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eastAsia="仿宋" w:cs="宋体"/>
          <w:color w:val="0000FF"/>
          <w:sz w:val="48"/>
          <w:szCs w:val="48"/>
        </w:rPr>
      </w:pPr>
      <w:r>
        <w:rPr>
          <w:rFonts w:hint="eastAsia" w:ascii="仿宋" w:hAnsi="仿宋" w:eastAsia="仿宋" w:cs="仿宋"/>
          <w:b/>
          <w:bCs/>
          <w:sz w:val="32"/>
          <w:szCs w:val="32"/>
        </w:rPr>
        <w:t>杭州西站现代综合交通枢纽“镜像新城”项目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编号:（HRXZZFCG-2023-005）</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采购人：杭州西站枢纽管理委员会</w:t>
      </w: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采购代理机构：杭州华瑞新洲工程造价咨询有限公司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 年四月</w:t>
      </w:r>
      <w:r>
        <w:rPr>
          <w:rFonts w:hint="eastAsia" w:ascii="宋体" w:hAnsi="宋体" w:cs="宋体"/>
          <w:bCs/>
          <w:sz w:val="32"/>
          <w:szCs w:val="32"/>
          <w:lang w:val="en-US" w:eastAsia="zh-CN"/>
        </w:rPr>
        <w:t>二十一</w:t>
      </w:r>
      <w:r>
        <w:rPr>
          <w:rFonts w:hint="eastAsia" w:ascii="宋体" w:hAnsi="宋体" w:cs="宋体"/>
          <w:bCs/>
          <w:sz w:val="32"/>
          <w:szCs w:val="32"/>
        </w:rPr>
        <w:t xml:space="preserve"> 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6"/>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Theme="minorEastAsia" w:hAnsiTheme="minorEastAsia" w:eastAsiaTheme="minorEastAsia"/>
          <w:sz w:val="24"/>
        </w:rPr>
        <w:t>杭州西站现代综合交通枢纽“镜像新城”项目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kern w:val="2"/>
          <w:sz w:val="24"/>
          <w:szCs w:val="24"/>
        </w:rPr>
        <w:t>https://www.zcygov.cn/）获取（下载）招标文件，并于202</w:t>
      </w:r>
      <w:r>
        <w:rPr>
          <w:rStyle w:val="76"/>
          <w:rFonts w:hint="eastAsia" w:ascii="宋体" w:hAnsi="宋体" w:cs="宋体"/>
          <w:snapToGrid/>
          <w:kern w:val="2"/>
          <w:sz w:val="24"/>
          <w:szCs w:val="24"/>
          <w:lang w:val="en-US" w:eastAsia="zh-CN"/>
        </w:rPr>
        <w:t>3</w:t>
      </w:r>
      <w:r>
        <w:rPr>
          <w:rStyle w:val="76"/>
          <w:rFonts w:hint="eastAsia" w:ascii="宋体" w:hAnsi="宋体" w:eastAsia="宋体" w:cs="宋体"/>
          <w:snapToGrid/>
          <w:kern w:val="2"/>
          <w:sz w:val="24"/>
          <w:szCs w:val="24"/>
        </w:rPr>
        <w:t>年</w:t>
      </w:r>
      <w:r>
        <w:rPr>
          <w:rStyle w:val="76"/>
          <w:rFonts w:hint="eastAsia" w:ascii="宋体" w:hAnsi="宋体" w:cs="宋体"/>
          <w:snapToGrid/>
          <w:kern w:val="2"/>
          <w:sz w:val="24"/>
          <w:szCs w:val="24"/>
          <w:lang w:val="en-US" w:eastAsia="zh-CN"/>
        </w:rPr>
        <w:t>5</w:t>
      </w:r>
      <w:r>
        <w:rPr>
          <w:rStyle w:val="76"/>
          <w:rFonts w:hint="eastAsia" w:ascii="宋体" w:hAnsi="宋体" w:eastAsia="宋体" w:cs="宋体"/>
          <w:snapToGrid/>
          <w:kern w:val="2"/>
          <w:sz w:val="24"/>
          <w:szCs w:val="24"/>
        </w:rPr>
        <w:t xml:space="preserve">月 </w:t>
      </w:r>
      <w:r>
        <w:rPr>
          <w:rStyle w:val="76"/>
          <w:rFonts w:hint="eastAsia" w:ascii="宋体" w:hAnsi="宋体" w:cs="宋体"/>
          <w:snapToGrid/>
          <w:kern w:val="2"/>
          <w:sz w:val="24"/>
          <w:szCs w:val="24"/>
          <w:lang w:val="en-US" w:eastAsia="zh-CN"/>
        </w:rPr>
        <w:t>12</w:t>
      </w:r>
      <w:r>
        <w:rPr>
          <w:rStyle w:val="76"/>
          <w:rFonts w:hint="eastAsia" w:ascii="宋体" w:hAnsi="宋体" w:eastAsia="宋体" w:cs="宋体"/>
          <w:snapToGrid/>
          <w:kern w:val="2"/>
          <w:sz w:val="24"/>
          <w:szCs w:val="24"/>
        </w:rPr>
        <w:t>日</w:t>
      </w:r>
      <w:r>
        <w:rPr>
          <w:rStyle w:val="76"/>
          <w:rFonts w:hint="eastAsia" w:ascii="宋体" w:hAnsi="宋体" w:cs="宋体"/>
          <w:snapToGrid/>
          <w:kern w:val="2"/>
          <w:sz w:val="24"/>
          <w:szCs w:val="24"/>
          <w:lang w:val="en-US" w:eastAsia="zh-CN"/>
        </w:rPr>
        <w:t>14</w:t>
      </w:r>
      <w:r>
        <w:rPr>
          <w:rStyle w:val="76"/>
          <w:rFonts w:hint="eastAsia" w:ascii="宋体" w:hAnsi="宋体" w:eastAsia="宋体" w:cs="宋体"/>
          <w:snapToGrid/>
          <w:kern w:val="2"/>
          <w:sz w:val="24"/>
          <w:szCs w:val="24"/>
        </w:rPr>
        <w:t>点</w:t>
      </w:r>
      <w:r>
        <w:rPr>
          <w:rStyle w:val="76"/>
          <w:rFonts w:hint="eastAsia" w:ascii="宋体" w:hAnsi="宋体" w:cs="宋体"/>
          <w:snapToGrid/>
          <w:kern w:val="2"/>
          <w:sz w:val="24"/>
          <w:szCs w:val="24"/>
          <w:lang w:val="en-US" w:eastAsia="zh-CN"/>
        </w:rPr>
        <w:t>00</w:t>
      </w:r>
      <w:r>
        <w:rPr>
          <w:rStyle w:val="76"/>
          <w:rFonts w:hint="eastAsia" w:ascii="宋体" w:hAnsi="宋体" w:eastAsia="宋体" w:cs="宋体"/>
          <w:snapToGrid/>
          <w:kern w:val="2"/>
          <w:sz w:val="24"/>
          <w:szCs w:val="24"/>
        </w:rPr>
        <w:t xml:space="preserve"> 分</w:t>
      </w:r>
      <w:r>
        <w:rPr>
          <w:rStyle w:val="76"/>
          <w:rFonts w:hint="eastAsia" w:ascii="宋体" w:hAnsi="宋体" w:eastAsia="宋体" w:cs="宋体"/>
          <w:bCs/>
          <w:snapToGrid/>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0"/>
        <w:rPr>
          <w:rFonts w:ascii="宋体" w:hAnsi="宋体" w:cs="宋体"/>
          <w:color w:val="FF0000"/>
          <w:sz w:val="24"/>
        </w:rPr>
      </w:pPr>
      <w:r>
        <w:rPr>
          <w:rFonts w:hint="eastAsia" w:ascii="宋体" w:hAnsi="宋体" w:cs="宋体"/>
          <w:b/>
          <w:sz w:val="24"/>
        </w:rPr>
        <w:t>项目编号：</w:t>
      </w:r>
      <w:r>
        <w:rPr>
          <w:rFonts w:hint="eastAsia" w:asciiTheme="minorEastAsia" w:hAnsiTheme="minorEastAsia" w:eastAsiaTheme="minorEastAsia"/>
          <w:sz w:val="24"/>
        </w:rPr>
        <w:t>（HRXZZFCG-2023-005）</w:t>
      </w:r>
    </w:p>
    <w:p>
      <w:pPr>
        <w:spacing w:line="360" w:lineRule="auto"/>
        <w:ind w:firstLine="480"/>
        <w:rPr>
          <w:rFonts w:ascii="宋体" w:hAnsi="宋体" w:cs="宋体" w:eastAsiaTheme="minorEastAsia"/>
          <w:sz w:val="24"/>
        </w:rPr>
      </w:pPr>
      <w:r>
        <w:rPr>
          <w:rFonts w:hint="eastAsia" w:ascii="宋体" w:hAnsi="宋体" w:cs="宋体"/>
          <w:b/>
          <w:sz w:val="24"/>
        </w:rPr>
        <w:t>项目名称：</w:t>
      </w:r>
      <w:r>
        <w:rPr>
          <w:rFonts w:hint="eastAsia" w:asciiTheme="minorEastAsia" w:hAnsiTheme="minorEastAsia" w:eastAsiaTheme="minorEastAsia"/>
          <w:sz w:val="24"/>
        </w:rPr>
        <w:t>杭州西站现代综合交通枢纽“镜像新城”项目</w:t>
      </w:r>
    </w:p>
    <w:p>
      <w:pPr>
        <w:spacing w:line="360" w:lineRule="auto"/>
        <w:rPr>
          <w:rFonts w:ascii="宋体" w:hAnsi="宋体" w:cs="宋体"/>
          <w:sz w:val="24"/>
          <w:highlight w:val="none"/>
        </w:rPr>
      </w:pPr>
      <w:r>
        <w:rPr>
          <w:rFonts w:hint="eastAsia" w:ascii="宋体" w:hAnsi="宋体" w:cs="宋体"/>
          <w:sz w:val="24"/>
        </w:rPr>
        <w:t xml:space="preserve">   </w:t>
      </w:r>
      <w:r>
        <w:rPr>
          <w:rFonts w:hint="eastAsia" w:ascii="宋体" w:hAnsi="宋体" w:cs="宋体"/>
          <w:b/>
          <w:sz w:val="24"/>
        </w:rPr>
        <w:t xml:space="preserve"> </w:t>
      </w:r>
      <w:r>
        <w:rPr>
          <w:rFonts w:hint="eastAsia" w:ascii="宋体" w:hAnsi="宋体" w:cs="宋体"/>
          <w:b/>
          <w:sz w:val="24"/>
          <w:highlight w:val="none"/>
        </w:rPr>
        <w:t>预算金额（元）：</w:t>
      </w:r>
      <w:r>
        <w:rPr>
          <w:rFonts w:hint="eastAsia" w:ascii="宋体" w:hAnsi="宋体" w:cs="宋体"/>
          <w:sz w:val="24"/>
          <w:highlight w:val="none"/>
        </w:rPr>
        <w:t>28948100元</w:t>
      </w:r>
    </w:p>
    <w:p>
      <w:pPr>
        <w:spacing w:line="360" w:lineRule="auto"/>
        <w:ind w:firstLine="480"/>
        <w:rPr>
          <w:rFonts w:ascii="宋体" w:hAnsi="宋体" w:cs="宋体"/>
          <w:sz w:val="24"/>
          <w:highlight w:val="none"/>
        </w:rPr>
      </w:pPr>
      <w:r>
        <w:rPr>
          <w:rFonts w:hint="eastAsia" w:ascii="宋体" w:hAnsi="宋体" w:cs="宋体"/>
          <w:b/>
          <w:sz w:val="24"/>
          <w:highlight w:val="none"/>
        </w:rPr>
        <w:t>最高限价（元）：</w:t>
      </w:r>
      <w:r>
        <w:rPr>
          <w:rFonts w:ascii="宋体" w:hAnsi="宋体" w:cs="宋体"/>
          <w:sz w:val="24"/>
          <w:highlight w:val="none"/>
        </w:rPr>
        <w:t xml:space="preserve"> </w:t>
      </w:r>
      <w:r>
        <w:rPr>
          <w:rFonts w:hint="eastAsia" w:ascii="宋体" w:hAnsi="宋体" w:cs="宋体"/>
          <w:sz w:val="24"/>
          <w:highlight w:val="none"/>
        </w:rPr>
        <w:t>28948100元</w:t>
      </w: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Theme="minorEastAsia" w:hAnsiTheme="minorEastAsia" w:eastAsiaTheme="minorEastAsia"/>
          <w:snapToGrid/>
          <w:color w:val="auto"/>
          <w:kern w:val="2"/>
          <w:sz w:val="24"/>
          <w:szCs w:val="24"/>
          <w:highlight w:val="none"/>
        </w:rPr>
        <w:t>杭州西站现代综合交通枢纽“镜像新城”项目</w:t>
      </w:r>
      <w:r>
        <w:rPr>
          <w:rFonts w:hint="eastAsia" w:hAnsi="宋体" w:cs="宋体"/>
          <w:bCs/>
          <w:snapToGrid/>
          <w:color w:val="auto"/>
          <w:kern w:val="2"/>
          <w:sz w:val="24"/>
          <w:szCs w:val="24"/>
          <w:highlight w:val="none"/>
        </w:rPr>
        <w:t>主要内容：</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0"/>
        <w:spacing w:before="0" w:line="600" w:lineRule="exact"/>
        <w:ind w:firstLine="482"/>
        <w:outlineLvl w:val="2"/>
        <w:rPr>
          <w:rFonts w:ascii="宋体" w:hAnsi="宋体" w:cs="宋体"/>
          <w:highlight w:val="none"/>
        </w:rPr>
      </w:pPr>
      <w:r>
        <w:rPr>
          <w:rFonts w:hint="eastAsia" w:ascii="宋体" w:hAnsi="宋体" w:cs="宋体"/>
          <w:b/>
          <w:highlight w:val="none"/>
        </w:rPr>
        <w:t>合同履约期限：</w:t>
      </w:r>
      <w:r>
        <w:rPr>
          <w:rFonts w:hint="eastAsia" w:ascii="宋体" w:hAnsi="宋体" w:cs="宋体"/>
          <w:b/>
          <w:szCs w:val="24"/>
          <w:highlight w:val="none"/>
          <w:u w:val="single"/>
        </w:rPr>
        <w:t>合同签订之日起12个月内完成安装调试进入试运行</w:t>
      </w:r>
      <w:r>
        <w:rPr>
          <w:rFonts w:hint="eastAsia" w:ascii="宋体" w:hAnsi="宋体" w:cs="宋体"/>
          <w:bCs/>
          <w:szCs w:val="24"/>
          <w:highlight w:val="none"/>
          <w:u w:val="single"/>
          <w:lang w:val="zh-CN"/>
        </w:rPr>
        <w:t>；</w:t>
      </w:r>
      <w:r>
        <w:rPr>
          <w:rFonts w:hint="eastAsia" w:ascii="宋体" w:hAnsi="宋体" w:cs="宋体"/>
          <w:b/>
          <w:szCs w:val="24"/>
          <w:highlight w:val="none"/>
          <w:u w:val="single"/>
        </w:rPr>
        <w:t>运营维护服务期三年。</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1389104339"/>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71715861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6407501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89958060"/>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040223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5635102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cs="宋体"/>
              <w:color w:val="auto"/>
              <w:kern w:val="0"/>
              <w:sz w:val="24"/>
              <w:highlight w:val="none"/>
            </w:rPr>
            <w:t>þ</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40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70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cs="宋体"/>
          <w:color w:val="auto"/>
          <w:sz w:val="24"/>
          <w:highlight w:val="none"/>
        </w:rPr>
        <w:t>：无；</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color w:val="FF0000"/>
          <w:sz w:val="24"/>
          <w:highlight w:val="none"/>
          <w:u w:val="single"/>
        </w:rPr>
        <w:t>202</w:t>
      </w:r>
      <w:r>
        <w:rPr>
          <w:rFonts w:hint="eastAsia" w:ascii="宋体" w:hAnsi="宋体" w:cs="宋体"/>
          <w:color w:val="FF0000"/>
          <w:sz w:val="24"/>
          <w:highlight w:val="none"/>
          <w:u w:val="single"/>
          <w:lang w:val="en-US" w:eastAsia="zh-CN"/>
        </w:rPr>
        <w:t>3</w:t>
      </w:r>
      <w:r>
        <w:rPr>
          <w:rFonts w:hint="eastAsia" w:ascii="宋体" w:hAnsi="宋体" w:cs="宋体"/>
          <w:color w:val="FF0000"/>
          <w:sz w:val="24"/>
          <w:highlight w:val="none"/>
          <w:u w:val="single"/>
        </w:rPr>
        <w:t>年</w:t>
      </w:r>
      <w:r>
        <w:rPr>
          <w:rFonts w:hint="eastAsia" w:ascii="宋体" w:hAnsi="宋体" w:cs="宋体"/>
          <w:color w:val="FF0000"/>
          <w:sz w:val="24"/>
          <w:highlight w:val="none"/>
          <w:u w:val="single"/>
          <w:lang w:val="en-US" w:eastAsia="zh-CN"/>
        </w:rPr>
        <w:t>5</w:t>
      </w:r>
      <w:r>
        <w:rPr>
          <w:rFonts w:hint="eastAsia" w:ascii="宋体" w:hAnsi="宋体" w:cs="宋体"/>
          <w:color w:val="FF0000"/>
          <w:sz w:val="24"/>
          <w:highlight w:val="none"/>
          <w:u w:val="single"/>
        </w:rPr>
        <w:t xml:space="preserve">月 </w:t>
      </w:r>
      <w:r>
        <w:rPr>
          <w:rFonts w:hint="eastAsia" w:ascii="宋体" w:hAnsi="宋体" w:cs="宋体"/>
          <w:color w:val="FF0000"/>
          <w:sz w:val="24"/>
          <w:highlight w:val="none"/>
          <w:u w:val="single"/>
          <w:lang w:val="en-US" w:eastAsia="zh-CN"/>
        </w:rPr>
        <w:t>12</w:t>
      </w:r>
      <w:r>
        <w:rPr>
          <w:rFonts w:hint="eastAsia" w:ascii="宋体" w:hAnsi="宋体" w:cs="宋体"/>
          <w:color w:val="FF0000"/>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color w:val="FF0000"/>
          <w:sz w:val="24"/>
          <w:highlight w:val="none"/>
          <w:u w:val="single"/>
        </w:rPr>
        <w:t xml:space="preserve"> </w:t>
      </w:r>
      <w:r>
        <w:rPr>
          <w:rStyle w:val="76"/>
          <w:rFonts w:hint="eastAsia" w:ascii="宋体" w:hAnsi="宋体" w:eastAsia="宋体" w:cs="宋体"/>
          <w:snapToGrid/>
          <w:kern w:val="2"/>
          <w:sz w:val="24"/>
          <w:szCs w:val="24"/>
        </w:rPr>
        <w:t>202</w:t>
      </w:r>
      <w:r>
        <w:rPr>
          <w:rStyle w:val="76"/>
          <w:rFonts w:hint="eastAsia" w:ascii="宋体" w:hAnsi="宋体" w:cs="宋体"/>
          <w:snapToGrid/>
          <w:kern w:val="2"/>
          <w:sz w:val="24"/>
          <w:szCs w:val="24"/>
          <w:lang w:val="en-US" w:eastAsia="zh-CN"/>
        </w:rPr>
        <w:t>3</w:t>
      </w:r>
      <w:r>
        <w:rPr>
          <w:rStyle w:val="76"/>
          <w:rFonts w:hint="eastAsia" w:ascii="宋体" w:hAnsi="宋体" w:eastAsia="宋体" w:cs="宋体"/>
          <w:snapToGrid/>
          <w:kern w:val="2"/>
          <w:sz w:val="24"/>
          <w:szCs w:val="24"/>
        </w:rPr>
        <w:t>年</w:t>
      </w:r>
      <w:r>
        <w:rPr>
          <w:rStyle w:val="76"/>
          <w:rFonts w:hint="eastAsia" w:ascii="宋体" w:hAnsi="宋体" w:cs="宋体"/>
          <w:snapToGrid/>
          <w:kern w:val="2"/>
          <w:sz w:val="24"/>
          <w:szCs w:val="24"/>
          <w:lang w:val="en-US" w:eastAsia="zh-CN"/>
        </w:rPr>
        <w:t>5</w:t>
      </w:r>
      <w:r>
        <w:rPr>
          <w:rStyle w:val="76"/>
          <w:rFonts w:hint="eastAsia" w:ascii="宋体" w:hAnsi="宋体" w:eastAsia="宋体" w:cs="宋体"/>
          <w:snapToGrid/>
          <w:kern w:val="2"/>
          <w:sz w:val="24"/>
          <w:szCs w:val="24"/>
        </w:rPr>
        <w:t xml:space="preserve">月 </w:t>
      </w:r>
      <w:r>
        <w:rPr>
          <w:rStyle w:val="76"/>
          <w:rFonts w:hint="eastAsia" w:ascii="宋体" w:hAnsi="宋体" w:cs="宋体"/>
          <w:snapToGrid/>
          <w:kern w:val="2"/>
          <w:sz w:val="24"/>
          <w:szCs w:val="24"/>
          <w:lang w:val="en-US" w:eastAsia="zh-CN"/>
        </w:rPr>
        <w:t>12</w:t>
      </w:r>
      <w:r>
        <w:rPr>
          <w:rStyle w:val="76"/>
          <w:rFonts w:hint="eastAsia" w:ascii="宋体" w:hAnsi="宋体" w:eastAsia="宋体" w:cs="宋体"/>
          <w:snapToGrid/>
          <w:kern w:val="2"/>
          <w:sz w:val="24"/>
          <w:szCs w:val="24"/>
        </w:rPr>
        <w:t>日</w:t>
      </w:r>
      <w:r>
        <w:rPr>
          <w:rStyle w:val="76"/>
          <w:rFonts w:hint="eastAsia" w:ascii="宋体" w:hAnsi="宋体" w:cs="宋体"/>
          <w:snapToGrid/>
          <w:kern w:val="2"/>
          <w:sz w:val="24"/>
          <w:szCs w:val="24"/>
          <w:lang w:val="en-US" w:eastAsia="zh-CN"/>
        </w:rPr>
        <w:t>14</w:t>
      </w:r>
      <w:r>
        <w:rPr>
          <w:rStyle w:val="76"/>
          <w:rFonts w:hint="eastAsia" w:ascii="宋体" w:hAnsi="宋体" w:eastAsia="宋体" w:cs="宋体"/>
          <w:snapToGrid/>
          <w:kern w:val="2"/>
          <w:sz w:val="24"/>
          <w:szCs w:val="24"/>
        </w:rPr>
        <w:t>点</w:t>
      </w:r>
      <w:r>
        <w:rPr>
          <w:rStyle w:val="76"/>
          <w:rFonts w:hint="eastAsia" w:ascii="宋体" w:hAnsi="宋体" w:cs="宋体"/>
          <w:snapToGrid/>
          <w:kern w:val="2"/>
          <w:sz w:val="24"/>
          <w:szCs w:val="24"/>
          <w:lang w:val="en-US" w:eastAsia="zh-CN"/>
        </w:rPr>
        <w:t>00</w:t>
      </w:r>
      <w:r>
        <w:rPr>
          <w:rStyle w:val="76"/>
          <w:rFonts w:hint="eastAsia" w:ascii="宋体" w:hAnsi="宋体" w:eastAsia="宋体" w:cs="宋体"/>
          <w:snapToGrid/>
          <w:kern w:val="2"/>
          <w:sz w:val="24"/>
          <w:szCs w:val="24"/>
        </w:rPr>
        <w:t xml:space="preserve"> 分</w:t>
      </w:r>
      <w:r>
        <w:rPr>
          <w:rStyle w:val="76"/>
          <w:rFonts w:hint="eastAsia" w:ascii="宋体" w:hAnsi="宋体" w:eastAsia="宋体" w:cs="宋体"/>
          <w:bCs/>
          <w:snapToGrid/>
          <w:kern w:val="2"/>
          <w:sz w:val="24"/>
          <w:szCs w:val="24"/>
        </w:rPr>
        <w:t>00秒</w:t>
      </w:r>
      <w:r>
        <w:rPr>
          <w:rFonts w:hint="eastAsia" w:ascii="宋体" w:hAnsi="宋体" w:cs="宋体"/>
          <w:bCs/>
          <w:color w:val="FF0000"/>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Style w:val="76"/>
          <w:rFonts w:hint="eastAsia" w:ascii="宋体" w:hAnsi="宋体" w:eastAsia="宋体" w:cs="宋体"/>
          <w:snapToGrid/>
          <w:kern w:val="2"/>
          <w:sz w:val="24"/>
          <w:szCs w:val="24"/>
        </w:rPr>
        <w:t>202</w:t>
      </w:r>
      <w:r>
        <w:rPr>
          <w:rStyle w:val="76"/>
          <w:rFonts w:hint="eastAsia" w:ascii="宋体" w:hAnsi="宋体" w:cs="宋体"/>
          <w:snapToGrid/>
          <w:kern w:val="2"/>
          <w:sz w:val="24"/>
          <w:szCs w:val="24"/>
          <w:lang w:val="en-US" w:eastAsia="zh-CN"/>
        </w:rPr>
        <w:t>3</w:t>
      </w:r>
      <w:r>
        <w:rPr>
          <w:rStyle w:val="76"/>
          <w:rFonts w:hint="eastAsia" w:ascii="宋体" w:hAnsi="宋体" w:eastAsia="宋体" w:cs="宋体"/>
          <w:snapToGrid/>
          <w:kern w:val="2"/>
          <w:sz w:val="24"/>
          <w:szCs w:val="24"/>
        </w:rPr>
        <w:t>年</w:t>
      </w:r>
      <w:r>
        <w:rPr>
          <w:rStyle w:val="76"/>
          <w:rFonts w:hint="eastAsia" w:ascii="宋体" w:hAnsi="宋体" w:cs="宋体"/>
          <w:snapToGrid/>
          <w:kern w:val="2"/>
          <w:sz w:val="24"/>
          <w:szCs w:val="24"/>
          <w:lang w:val="en-US" w:eastAsia="zh-CN"/>
        </w:rPr>
        <w:t>5</w:t>
      </w:r>
      <w:r>
        <w:rPr>
          <w:rStyle w:val="76"/>
          <w:rFonts w:hint="eastAsia" w:ascii="宋体" w:hAnsi="宋体" w:eastAsia="宋体" w:cs="宋体"/>
          <w:snapToGrid/>
          <w:kern w:val="2"/>
          <w:sz w:val="24"/>
          <w:szCs w:val="24"/>
        </w:rPr>
        <w:t xml:space="preserve">月 </w:t>
      </w:r>
      <w:r>
        <w:rPr>
          <w:rStyle w:val="76"/>
          <w:rFonts w:hint="eastAsia" w:ascii="宋体" w:hAnsi="宋体" w:cs="宋体"/>
          <w:snapToGrid/>
          <w:kern w:val="2"/>
          <w:sz w:val="24"/>
          <w:szCs w:val="24"/>
          <w:lang w:val="en-US" w:eastAsia="zh-CN"/>
        </w:rPr>
        <w:t>12</w:t>
      </w:r>
      <w:r>
        <w:rPr>
          <w:rStyle w:val="76"/>
          <w:rFonts w:hint="eastAsia" w:ascii="宋体" w:hAnsi="宋体" w:eastAsia="宋体" w:cs="宋体"/>
          <w:snapToGrid/>
          <w:kern w:val="2"/>
          <w:sz w:val="24"/>
          <w:szCs w:val="24"/>
        </w:rPr>
        <w:t>日</w:t>
      </w:r>
      <w:r>
        <w:rPr>
          <w:rStyle w:val="76"/>
          <w:rFonts w:hint="eastAsia" w:ascii="宋体" w:hAnsi="宋体" w:cs="宋体"/>
          <w:snapToGrid/>
          <w:kern w:val="2"/>
          <w:sz w:val="24"/>
          <w:szCs w:val="24"/>
          <w:lang w:val="en-US" w:eastAsia="zh-CN"/>
        </w:rPr>
        <w:t>14</w:t>
      </w:r>
      <w:r>
        <w:rPr>
          <w:rStyle w:val="76"/>
          <w:rFonts w:hint="eastAsia" w:ascii="宋体" w:hAnsi="宋体" w:eastAsia="宋体" w:cs="宋体"/>
          <w:snapToGrid/>
          <w:kern w:val="2"/>
          <w:sz w:val="24"/>
          <w:szCs w:val="24"/>
        </w:rPr>
        <w:t>点</w:t>
      </w:r>
      <w:r>
        <w:rPr>
          <w:rStyle w:val="76"/>
          <w:rFonts w:hint="eastAsia" w:ascii="宋体" w:hAnsi="宋体" w:cs="宋体"/>
          <w:snapToGrid/>
          <w:kern w:val="2"/>
          <w:sz w:val="24"/>
          <w:szCs w:val="24"/>
          <w:lang w:val="en-US" w:eastAsia="zh-CN"/>
        </w:rPr>
        <w:t>00</w:t>
      </w:r>
      <w:r>
        <w:rPr>
          <w:rStyle w:val="76"/>
          <w:rFonts w:hint="eastAsia" w:ascii="宋体" w:hAnsi="宋体" w:eastAsia="宋体" w:cs="宋体"/>
          <w:snapToGrid/>
          <w:kern w:val="2"/>
          <w:sz w:val="24"/>
          <w:szCs w:val="24"/>
        </w:rPr>
        <w:t xml:space="preserve"> 分</w:t>
      </w:r>
      <w:r>
        <w:rPr>
          <w:rStyle w:val="76"/>
          <w:rFonts w:hint="eastAsia" w:ascii="宋体" w:hAnsi="宋体" w:eastAsia="宋体" w:cs="宋体"/>
          <w:bCs/>
          <w:snapToGrid/>
          <w:kern w:val="2"/>
          <w:sz w:val="24"/>
          <w:szCs w:val="24"/>
        </w:rPr>
        <w:t>00秒</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w:t>
      </w:r>
      <w:r>
        <w:rPr>
          <w:rFonts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600" w:lineRule="exact"/>
        <w:ind w:firstLine="480"/>
        <w:rPr>
          <w:rFonts w:ascii="宋体" w:hAnsi="宋体" w:cs="宋体"/>
          <w:sz w:val="24"/>
          <w:highlight w:val="none"/>
        </w:rPr>
      </w:pPr>
      <w:r>
        <w:rPr>
          <w:rFonts w:hint="eastAsia" w:ascii="宋体" w:hAnsi="宋体" w:cs="宋体"/>
          <w:sz w:val="24"/>
          <w:highlight w:val="none"/>
        </w:rPr>
        <w:t>名    称：杭州西站枢纽管理委员会</w:t>
      </w:r>
    </w:p>
    <w:p>
      <w:pPr>
        <w:spacing w:line="600" w:lineRule="exact"/>
        <w:ind w:firstLine="480"/>
        <w:rPr>
          <w:rFonts w:ascii="宋体" w:hAnsi="宋体" w:cs="宋体"/>
          <w:sz w:val="24"/>
          <w:highlight w:val="none"/>
        </w:rPr>
      </w:pPr>
      <w:r>
        <w:rPr>
          <w:rFonts w:hint="eastAsia" w:ascii="宋体" w:hAnsi="宋体" w:cs="宋体"/>
          <w:sz w:val="24"/>
          <w:highlight w:val="none"/>
        </w:rPr>
        <w:t xml:space="preserve">地    址：杭州市西站 </w:t>
      </w:r>
    </w:p>
    <w:p>
      <w:pPr>
        <w:spacing w:line="600" w:lineRule="exact"/>
        <w:ind w:firstLine="480"/>
        <w:rPr>
          <w:rFonts w:ascii="宋体" w:hAnsi="宋体" w:cs="宋体"/>
          <w:sz w:val="24"/>
          <w:highlight w:val="none"/>
        </w:rPr>
      </w:pPr>
      <w:r>
        <w:rPr>
          <w:rFonts w:hint="eastAsia" w:ascii="宋体" w:hAnsi="宋体" w:cs="宋体"/>
          <w:sz w:val="24"/>
          <w:highlight w:val="none"/>
        </w:rPr>
        <w:t xml:space="preserve">传    真： </w:t>
      </w:r>
    </w:p>
    <w:p>
      <w:pPr>
        <w:spacing w:line="600" w:lineRule="exact"/>
        <w:ind w:firstLine="480"/>
        <w:rPr>
          <w:rFonts w:ascii="宋体" w:hAnsi="宋体" w:cs="宋体"/>
          <w:sz w:val="24"/>
          <w:highlight w:val="none"/>
        </w:rPr>
      </w:pPr>
      <w:r>
        <w:rPr>
          <w:rFonts w:hint="eastAsia" w:ascii="宋体" w:hAnsi="宋体" w:cs="宋体"/>
          <w:sz w:val="24"/>
          <w:highlight w:val="none"/>
        </w:rPr>
        <w:t>项目联系人（询问）：张工</w:t>
      </w:r>
    </w:p>
    <w:p>
      <w:pPr>
        <w:spacing w:line="600" w:lineRule="exact"/>
        <w:ind w:firstLine="480"/>
        <w:rPr>
          <w:rFonts w:ascii="宋体" w:hAnsi="宋体" w:cs="宋体"/>
          <w:sz w:val="24"/>
          <w:highlight w:val="none"/>
        </w:rPr>
      </w:pPr>
      <w:r>
        <w:rPr>
          <w:rFonts w:hint="eastAsia" w:ascii="宋体" w:hAnsi="宋体" w:cs="宋体"/>
          <w:sz w:val="24"/>
          <w:highlight w:val="none"/>
        </w:rPr>
        <w:t>项目联系方式（询问）：0571- 88525531</w:t>
      </w:r>
    </w:p>
    <w:p>
      <w:pPr>
        <w:spacing w:line="600" w:lineRule="exact"/>
        <w:ind w:firstLine="480"/>
        <w:rPr>
          <w:rFonts w:ascii="宋体" w:hAnsi="宋体" w:cs="宋体"/>
          <w:sz w:val="24"/>
          <w:highlight w:val="none"/>
        </w:rPr>
      </w:pPr>
      <w:r>
        <w:rPr>
          <w:rFonts w:hint="eastAsia" w:ascii="宋体" w:hAnsi="宋体" w:cs="宋体"/>
          <w:sz w:val="24"/>
          <w:highlight w:val="none"/>
        </w:rPr>
        <w:t>质疑联系人： 何工</w:t>
      </w:r>
    </w:p>
    <w:p>
      <w:pPr>
        <w:spacing w:line="600" w:lineRule="exact"/>
        <w:ind w:firstLine="480"/>
        <w:rPr>
          <w:rFonts w:ascii="宋体" w:hAnsi="宋体" w:cs="宋体"/>
          <w:sz w:val="24"/>
          <w:highlight w:val="none"/>
        </w:rPr>
      </w:pPr>
      <w:r>
        <w:rPr>
          <w:rFonts w:hint="eastAsia" w:ascii="宋体" w:hAnsi="宋体" w:cs="宋体"/>
          <w:sz w:val="24"/>
          <w:highlight w:val="none"/>
        </w:rPr>
        <w:t>质疑联系方式：0571-  88525529</w:t>
      </w:r>
    </w:p>
    <w:p>
      <w:pPr>
        <w:spacing w:line="600" w:lineRule="exact"/>
        <w:ind w:firstLine="480"/>
        <w:rPr>
          <w:rFonts w:ascii="宋体" w:hAnsi="宋体" w:cs="宋体"/>
          <w:sz w:val="24"/>
        </w:rPr>
      </w:pPr>
      <w:r>
        <w:rPr>
          <w:rFonts w:hint="eastAsia" w:ascii="宋体" w:hAnsi="宋体" w:cs="宋体"/>
          <w:sz w:val="24"/>
        </w:rPr>
        <w:t xml:space="preserve">2.采购代理机构信息            </w:t>
      </w:r>
    </w:p>
    <w:p>
      <w:pPr>
        <w:spacing w:line="600" w:lineRule="exact"/>
        <w:ind w:firstLine="480"/>
        <w:rPr>
          <w:rFonts w:ascii="宋体" w:hAnsi="宋体" w:cs="宋体"/>
          <w:sz w:val="24"/>
        </w:rPr>
      </w:pPr>
      <w:r>
        <w:rPr>
          <w:rFonts w:hint="eastAsia" w:ascii="宋体" w:hAnsi="宋体" w:cs="宋体"/>
          <w:sz w:val="24"/>
        </w:rPr>
        <w:t>名    称：杭州华瑞新洲工程造价咨询有限公司</w:t>
      </w:r>
    </w:p>
    <w:p>
      <w:pPr>
        <w:spacing w:line="600" w:lineRule="exact"/>
        <w:ind w:firstLine="480"/>
        <w:rPr>
          <w:rFonts w:ascii="宋体" w:hAnsi="宋体" w:cs="宋体"/>
          <w:sz w:val="24"/>
        </w:rPr>
      </w:pPr>
      <w:r>
        <w:rPr>
          <w:rFonts w:hint="eastAsia" w:ascii="宋体" w:hAnsi="宋体" w:cs="宋体"/>
          <w:sz w:val="24"/>
        </w:rPr>
        <w:t xml:space="preserve">地    址：杭州市临平区南苑街道玩月街IFC金融中心2幢1302室 </w:t>
      </w:r>
    </w:p>
    <w:p>
      <w:pPr>
        <w:spacing w:line="600" w:lineRule="exact"/>
        <w:ind w:firstLine="480" w:firstLineChars="200"/>
        <w:rPr>
          <w:rFonts w:ascii="宋体" w:hAnsi="宋体" w:cs="宋体"/>
          <w:sz w:val="24"/>
        </w:rPr>
      </w:pPr>
      <w:r>
        <w:rPr>
          <w:rFonts w:hint="eastAsia" w:ascii="宋体" w:hAnsi="宋体" w:cs="宋体"/>
          <w:sz w:val="24"/>
        </w:rPr>
        <w:t xml:space="preserve">传    真：0571-89181168           </w:t>
      </w:r>
    </w:p>
    <w:p>
      <w:pPr>
        <w:spacing w:line="600" w:lineRule="exact"/>
        <w:ind w:firstLine="480" w:firstLineChars="200"/>
        <w:rPr>
          <w:rFonts w:ascii="宋体" w:hAnsi="宋体" w:cs="宋体"/>
          <w:sz w:val="24"/>
        </w:rPr>
      </w:pPr>
      <w:r>
        <w:rPr>
          <w:rFonts w:hint="eastAsia" w:ascii="宋体" w:hAnsi="宋体" w:cs="宋体"/>
          <w:sz w:val="24"/>
        </w:rPr>
        <w:t xml:space="preserve">项目联系人（询问）：马火苗        </w:t>
      </w:r>
    </w:p>
    <w:p>
      <w:pPr>
        <w:spacing w:line="600" w:lineRule="exact"/>
        <w:ind w:firstLine="480" w:firstLineChars="200"/>
        <w:rPr>
          <w:rFonts w:ascii="宋体" w:hAnsi="宋体" w:cs="宋体"/>
          <w:sz w:val="24"/>
        </w:rPr>
      </w:pPr>
      <w:r>
        <w:rPr>
          <w:rFonts w:hint="eastAsia" w:ascii="宋体" w:hAnsi="宋体" w:cs="宋体"/>
          <w:sz w:val="24"/>
        </w:rPr>
        <w:t>项目联系方式（询问）：13757179876</w:t>
      </w:r>
    </w:p>
    <w:p>
      <w:pPr>
        <w:spacing w:line="600" w:lineRule="exact"/>
        <w:ind w:firstLine="480" w:firstLineChars="200"/>
        <w:rPr>
          <w:rFonts w:ascii="宋体" w:hAnsi="宋体" w:cs="宋体"/>
          <w:sz w:val="24"/>
        </w:rPr>
      </w:pPr>
      <w:r>
        <w:rPr>
          <w:rFonts w:hint="eastAsia" w:ascii="宋体" w:hAnsi="宋体" w:cs="宋体"/>
          <w:sz w:val="24"/>
        </w:rPr>
        <w:t xml:space="preserve">质疑联系人：罗国华           </w:t>
      </w:r>
    </w:p>
    <w:p>
      <w:pPr>
        <w:spacing w:line="600" w:lineRule="exact"/>
        <w:ind w:firstLine="480" w:firstLineChars="200"/>
        <w:rPr>
          <w:rFonts w:ascii="宋体" w:hAnsi="宋体" w:cs="宋体"/>
          <w:sz w:val="24"/>
        </w:rPr>
      </w:pPr>
      <w:r>
        <w:rPr>
          <w:rFonts w:hint="eastAsia" w:ascii="宋体" w:hAnsi="宋体" w:cs="宋体"/>
          <w:sz w:val="24"/>
        </w:rPr>
        <w:t>质疑联系方式：0571-89181168</w:t>
      </w:r>
    </w:p>
    <w:p>
      <w:pPr>
        <w:numPr>
          <w:ilvl w:val="0"/>
          <w:numId w:val="1"/>
        </w:numPr>
        <w:spacing w:line="600" w:lineRule="exact"/>
        <w:ind w:firstLine="480" w:firstLineChars="200"/>
        <w:rPr>
          <w:rFonts w:ascii="宋体" w:hAnsi="宋体" w:cs="宋体"/>
          <w:sz w:val="24"/>
        </w:rPr>
      </w:pPr>
      <w:r>
        <w:rPr>
          <w:rFonts w:hint="eastAsia" w:ascii="宋体" w:hAnsi="宋体" w:cs="宋体"/>
          <w:sz w:val="24"/>
        </w:rPr>
        <w:t xml:space="preserve">同级政府采购监督管理部门            </w:t>
      </w:r>
    </w:p>
    <w:p>
      <w:pPr>
        <w:spacing w:line="600" w:lineRule="exact"/>
        <w:rPr>
          <w:rFonts w:ascii="宋体" w:hAnsi="宋体" w:cs="宋体"/>
          <w:sz w:val="24"/>
        </w:rPr>
      </w:pPr>
      <w:r>
        <w:rPr>
          <w:rFonts w:hint="eastAsia" w:ascii="宋体" w:hAnsi="宋体" w:cs="宋体"/>
          <w:sz w:val="24"/>
        </w:rPr>
        <w:t xml:space="preserve">    名    称：余杭区政府采购办公室</w:t>
      </w:r>
    </w:p>
    <w:p>
      <w:pPr>
        <w:spacing w:line="600" w:lineRule="exact"/>
        <w:rPr>
          <w:rFonts w:ascii="宋体" w:hAnsi="宋体" w:cs="宋体"/>
          <w:sz w:val="24"/>
        </w:rPr>
      </w:pPr>
      <w:r>
        <w:rPr>
          <w:rFonts w:hint="eastAsia" w:ascii="宋体" w:hAnsi="宋体" w:cs="宋体"/>
          <w:sz w:val="24"/>
        </w:rPr>
        <w:t xml:space="preserve">    地    址：杭州市余杭区文一西路1500号8号楼1201室 </w:t>
      </w:r>
    </w:p>
    <w:p>
      <w:pPr>
        <w:spacing w:line="600" w:lineRule="exact"/>
        <w:ind w:firstLine="240" w:firstLineChars="100"/>
        <w:rPr>
          <w:rFonts w:ascii="宋体" w:hAnsi="宋体" w:cs="宋体"/>
          <w:sz w:val="24"/>
        </w:rPr>
      </w:pPr>
      <w:r>
        <w:rPr>
          <w:rFonts w:hint="eastAsia" w:ascii="宋体" w:hAnsi="宋体" w:cs="宋体"/>
          <w:sz w:val="24"/>
        </w:rPr>
        <w:t xml:space="preserve">  传    真：0571-88728858 </w:t>
      </w:r>
    </w:p>
    <w:p>
      <w:pPr>
        <w:spacing w:line="600" w:lineRule="exact"/>
        <w:ind w:firstLine="240" w:firstLineChars="100"/>
        <w:rPr>
          <w:rFonts w:ascii="宋体" w:hAnsi="宋体" w:cs="宋体"/>
          <w:sz w:val="24"/>
        </w:rPr>
      </w:pPr>
      <w:r>
        <w:rPr>
          <w:rFonts w:hint="eastAsia" w:ascii="宋体" w:hAnsi="宋体" w:cs="宋体"/>
          <w:sz w:val="24"/>
        </w:rPr>
        <w:t xml:space="preserve">  联系人 ：杜国强    </w:t>
      </w:r>
    </w:p>
    <w:p>
      <w:pPr>
        <w:spacing w:line="600" w:lineRule="exact"/>
        <w:ind w:firstLine="480" w:firstLineChars="200"/>
        <w:rPr>
          <w:rFonts w:ascii="宋体" w:hAnsi="宋体" w:cs="宋体"/>
          <w:sz w:val="24"/>
        </w:rPr>
      </w:pPr>
      <w:r>
        <w:rPr>
          <w:rFonts w:hint="eastAsia" w:ascii="宋体" w:hAnsi="宋体" w:cs="宋体"/>
          <w:sz w:val="24"/>
        </w:rPr>
        <w:t xml:space="preserve">监督投诉电话：0571-88728858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rPr>
                <w:rFonts w:ascii="宋体" w:hAnsi="宋体" w:eastAsia="宋体" w:cs="宋体"/>
                <w:lang w:val="en-US"/>
              </w:rPr>
            </w:pPr>
            <w:r>
              <w:rPr>
                <w:rFonts w:hint="eastAsia" w:ascii="宋体" w:hAnsi="宋体" w:eastAsia="宋体" w:cs="宋体"/>
                <w:b w:val="0"/>
                <w:bCs w:val="0"/>
                <w:kern w:val="0"/>
                <w:sz w:val="24"/>
                <w:szCs w:val="24"/>
                <w:lang w:val="en-US"/>
              </w:rPr>
              <w:t>标的：杭州西站现代综合交通枢纽“镜像新城”项目 属于服务项目；所属行业：未列明行业；具体详见《中小企业划型标准规定》。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90235289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cs="宋体"/>
                    <w:color w:val="auto"/>
                    <w:kern w:val="0"/>
                    <w:sz w:val="24"/>
                    <w:highlight w:val="none"/>
                  </w:rPr>
                  <w:t>þ</w:t>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1029112080"/>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38040521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þ</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服务、维保等   </w:t>
            </w:r>
            <w:r>
              <w:rPr>
                <w:rFonts w:hint="eastAsia" w:ascii="宋体" w:hAnsi="宋体" w:cs="宋体"/>
                <w:color w:val="auto"/>
                <w:sz w:val="24"/>
              </w:rPr>
              <w:t>工作分包。</w:t>
            </w:r>
            <w:sdt>
              <w:sdtPr>
                <w:rPr>
                  <w:rFonts w:hint="eastAsia" w:ascii="宋体" w:hAnsi="宋体" w:cs="宋体"/>
                  <w:color w:val="auto"/>
                  <w:kern w:val="0"/>
                  <w:sz w:val="24"/>
                </w:rPr>
                <w:id w:val="-87353831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202790662"/>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164816704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1574523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jc w:val="left"/>
              <w:rPr>
                <w:sz w:val="24"/>
              </w:rPr>
            </w:pPr>
          </w:p>
          <w:p>
            <w:pPr>
              <w:spacing w:line="360" w:lineRule="auto"/>
              <w:rPr>
                <w:rFonts w:ascii="宋体" w:hAnsi="宋体" w:cs="宋体"/>
                <w:kern w:val="0"/>
                <w:sz w:val="24"/>
              </w:rPr>
            </w:pPr>
            <w:sdt>
              <w:sdtPr>
                <w:rPr>
                  <w:rFonts w:hint="eastAsia" w:ascii="宋体" w:hAnsi="宋体" w:cs="宋体"/>
                  <w:kern w:val="0"/>
                  <w:sz w:val="24"/>
                </w:rPr>
                <w:id w:val="11740717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kern w:val="0"/>
                <w:sz w:val="24"/>
              </w:rPr>
              <w:t>B组织。</w:t>
            </w:r>
          </w:p>
          <w:p>
            <w:pPr>
              <w:snapToGrid w:val="0"/>
              <w:spacing w:line="360" w:lineRule="auto"/>
              <w:rPr>
                <w:rFonts w:ascii="宋体" w:hAnsi="宋体" w:cs="宋体"/>
                <w:color w:val="auto"/>
                <w:kern w:val="0"/>
                <w:sz w:val="24"/>
                <w:highlight w:val="none"/>
              </w:rPr>
            </w:pPr>
            <w:r>
              <w:rPr>
                <w:rFonts w:hint="eastAsia" w:ascii="宋体" w:hAnsi="宋体" w:cs="宋体"/>
                <w:kern w:val="0"/>
                <w:sz w:val="24"/>
              </w:rPr>
              <w:t>（1）在评标时安排每个投标人进行方案讲解演示。每个投标人时间不超过</w:t>
            </w:r>
            <w:r>
              <w:rPr>
                <w:rFonts w:hint="eastAsia" w:ascii="宋体" w:hAnsi="宋体" w:cs="宋体"/>
                <w:color w:val="auto"/>
                <w:kern w:val="0"/>
                <w:sz w:val="24"/>
                <w:highlight w:val="none"/>
              </w:rPr>
              <w:t>30分钟，讲解次序以投标文件解密时间先后次序为准，讲解演示人员不超过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方式二：现场讲解演示。现场讲解地点为</w:t>
            </w:r>
            <w:r>
              <w:rPr>
                <w:rFonts w:hint="eastAsia" w:ascii="宋体" w:hAnsi="宋体" w:cs="宋体"/>
                <w:color w:val="auto"/>
                <w:kern w:val="0"/>
                <w:sz w:val="24"/>
                <w:highlight w:val="none"/>
                <w:u w:val="single"/>
              </w:rPr>
              <w:t xml:space="preserve">  </w:t>
            </w:r>
            <w:r>
              <w:rPr>
                <w:rFonts w:hint="eastAsia"/>
                <w:color w:val="auto"/>
                <w:sz w:val="24"/>
                <w:highlight w:val="none"/>
                <w:u w:val="single"/>
              </w:rPr>
              <w:t>杭州市临平区南苑街道玩月街IFC金融中心2幢1302室会议室</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网络等设备由投标人自备。现场讲解演示人员进场时提供讲解人员名单（加盖公章或授权代表签名）及身份证明，否则不得讲解演示。（现场演示顺序按到达签到顺序进行抽签确定演示顺序）</w:t>
            </w:r>
          </w:p>
          <w:p>
            <w:pPr>
              <w:jc w:val="left"/>
              <w:rPr>
                <w:sz w:val="24"/>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p>
            <w:pPr>
              <w:ind w:firstLine="480" w:firstLineChars="200"/>
              <w:jc w:val="left"/>
              <w:rPr>
                <w:rFonts w:ascii="宋体" w:hAnsi="宋体" w:cs="宋体"/>
                <w:b/>
                <w:kern w:val="0"/>
                <w:sz w:val="24"/>
                <w:lang w:val="zh-CN"/>
              </w:rPr>
            </w:pPr>
            <w:r>
              <w:rPr>
                <w:rFonts w:hint="eastAsia"/>
                <w:sz w:val="24"/>
              </w:rPr>
              <w:t>本项目需要的视频演示由投标单位自行录制，视频演示文件保存到U盘，密封好后在</w:t>
            </w:r>
            <w:r>
              <w:rPr>
                <w:rFonts w:hint="eastAsia" w:ascii="宋体" w:hAnsi="宋体" w:cs="宋体"/>
                <w:sz w:val="24"/>
                <w:u w:val="single"/>
              </w:rPr>
              <w:t>2023年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11</w:t>
            </w:r>
            <w:r>
              <w:rPr>
                <w:rFonts w:hint="eastAsia" w:ascii="宋体" w:hAnsi="宋体" w:cs="宋体"/>
                <w:sz w:val="24"/>
                <w:u w:val="single"/>
              </w:rPr>
              <w:t>日</w:t>
            </w:r>
            <w:r>
              <w:rPr>
                <w:rFonts w:hint="eastAsia" w:ascii="宋体" w:hAnsi="宋体" w:cs="宋体"/>
                <w:sz w:val="24"/>
                <w:u w:val="single"/>
                <w:lang w:val="en-US" w:eastAsia="zh-CN"/>
              </w:rPr>
              <w:t>17</w:t>
            </w:r>
            <w:r>
              <w:rPr>
                <w:rFonts w:hint="eastAsia" w:ascii="宋体" w:hAnsi="宋体" w:cs="宋体"/>
                <w:sz w:val="24"/>
                <w:u w:val="single"/>
              </w:rPr>
              <w:t>点</w:t>
            </w:r>
            <w:r>
              <w:rPr>
                <w:rFonts w:hint="eastAsia" w:ascii="宋体" w:hAnsi="宋体" w:cs="宋体"/>
                <w:sz w:val="24"/>
                <w:u w:val="single"/>
                <w:lang w:val="en-US" w:eastAsia="zh-CN"/>
              </w:rPr>
              <w:t>00</w:t>
            </w:r>
            <w:bookmarkStart w:id="520" w:name="_GoBack"/>
            <w:bookmarkEnd w:id="520"/>
            <w:r>
              <w:rPr>
                <w:rFonts w:hint="eastAsia" w:ascii="宋体" w:hAnsi="宋体" w:cs="宋体"/>
                <w:sz w:val="24"/>
                <w:u w:val="single"/>
              </w:rPr>
              <w:t>分</w:t>
            </w:r>
            <w:r>
              <w:rPr>
                <w:rFonts w:hint="eastAsia" w:ascii="宋体" w:hAnsi="宋体" w:cs="宋体"/>
                <w:bCs/>
                <w:sz w:val="24"/>
                <w:u w:val="single"/>
              </w:rPr>
              <w:t xml:space="preserve"> </w:t>
            </w:r>
            <w:r>
              <w:rPr>
                <w:rFonts w:hint="eastAsia"/>
                <w:sz w:val="24"/>
              </w:rPr>
              <w:t>前随备份文件一同提交，送达地点：杭州市临平区南苑街道玩月街IFC金融中心2幢1302室（马工收）；备份投标文件签收人员联系电话：13757179876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 xml:space="preserve">  </w:t>
            </w:r>
            <w:r>
              <w:rPr>
                <w:rFonts w:hint="eastAsia"/>
                <w:sz w:val="24"/>
                <w:u w:val="single"/>
              </w:rPr>
              <w:t>杭州市临平区南苑街道玩月街IFC金融中心2幢1302室（马工收）</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13757179876 </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1703427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9762588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Wingdings" w:hAnsi="Wingdings" w:cs="Arial" w:eastAsiaTheme="minorEastAsia"/>
                    <w:kern w:val="0"/>
                    <w:sz w:val="24"/>
                  </w:rPr>
                  <w:t>þ</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招标代理费</w:t>
            </w:r>
          </w:p>
        </w:tc>
        <w:tc>
          <w:tcPr>
            <w:tcW w:w="609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本次代理服务费由中标人支付，</w:t>
            </w:r>
            <w:r>
              <w:rPr>
                <w:rFonts w:hint="eastAsia"/>
                <w:sz w:val="24"/>
              </w:rPr>
              <w:t>代理服务费按照国家计委印发的《招标代理服务收费管理暂行办法》计价格[2002]1980号、发改办价格[2003]857号</w:t>
            </w:r>
            <w:r>
              <w:rPr>
                <w:rFonts w:hint="eastAsia" w:ascii="宋体" w:hAnsi="宋体" w:cs="宋体"/>
                <w:sz w:val="24"/>
              </w:rPr>
              <w:t>。招标代理费为</w:t>
            </w:r>
            <w:r>
              <w:rPr>
                <w:rFonts w:hint="eastAsia" w:ascii="宋体" w:hAnsi="宋体" w:cs="宋体"/>
                <w:color w:val="auto"/>
                <w:sz w:val="24"/>
                <w:highlight w:val="none"/>
              </w:rPr>
              <w:t>11.687万元人民币元整（专家费按实计取）</w:t>
            </w:r>
            <w:r>
              <w:rPr>
                <w:rFonts w:hint="eastAsia" w:ascii="宋体" w:hAnsi="宋体" w:cs="宋体"/>
                <w:sz w:val="24"/>
              </w:rPr>
              <w:t>。各投标人应在投标报价中予以考虑。</w:t>
            </w:r>
          </w:p>
          <w:p>
            <w:pPr>
              <w:spacing w:line="360" w:lineRule="auto"/>
              <w:rPr>
                <w:rFonts w:cs="Arial" w:asciiTheme="minorEastAsia" w:hAnsiTheme="minorEastAsia" w:eastAsiaTheme="minorEastAsia"/>
                <w:kern w:val="0"/>
                <w:sz w:val="24"/>
              </w:rPr>
            </w:pPr>
            <w:r>
              <w:rPr>
                <w:rFonts w:hint="eastAsia" w:ascii="宋体" w:hAnsi="宋体" w:cs="宋体"/>
                <w:sz w:val="24"/>
              </w:rPr>
              <w:t>中标服务费的交纳方式：以转帐或支票的形式支付；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其他费用</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本次投标报价中须包含商用密码评估费、项目第三方软件评测费、源代码安全审计、三级等保评测、验收费（含专家费）、审计费，各投标人应在投标报价中予以考虑。</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8"/>
        <w:shd w:val="clear" w:color="auto" w:fill="FFFFFF"/>
        <w:snapToGrid w:val="0"/>
        <w:spacing w:after="240" w:afterAutospacing="0" w:line="360" w:lineRule="auto"/>
        <w:ind w:firstLine="400"/>
        <w:contextualSpacing/>
      </w:pPr>
      <w:r>
        <w:rPr>
          <w:rFonts w:hint="eastAsia"/>
        </w:rPr>
        <w:t>投诉书范本及制作说明详见附件3。</w:t>
      </w:r>
    </w:p>
    <w:p>
      <w:pPr>
        <w:pStyle w:val="130"/>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0"/>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9"/>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68072998"/>
      <w:bookmarkEnd w:id="16"/>
      <w:bookmarkStart w:id="17" w:name="_Hlt68073093"/>
      <w:bookmarkEnd w:id="17"/>
      <w:bookmarkStart w:id="18" w:name="_Hlt75236290"/>
      <w:bookmarkEnd w:id="18"/>
      <w:bookmarkStart w:id="19" w:name="_Hlt68072990"/>
      <w:bookmarkEnd w:id="19"/>
      <w:bookmarkStart w:id="20" w:name="_Hlt75236101"/>
      <w:bookmarkEnd w:id="20"/>
      <w:bookmarkStart w:id="21" w:name="_Hlt74729768"/>
      <w:bookmarkEnd w:id="21"/>
      <w:bookmarkStart w:id="22" w:name="_Hlt68057669"/>
      <w:bookmarkEnd w:id="22"/>
      <w:bookmarkStart w:id="23" w:name="_Hlt74730295"/>
      <w:bookmarkEnd w:id="23"/>
      <w:bookmarkStart w:id="24" w:name="_Hlt74707468"/>
      <w:bookmarkEnd w:id="24"/>
      <w:bookmarkStart w:id="25" w:name="_Hlt75236011"/>
      <w:bookmarkEnd w:id="25"/>
      <w:bookmarkStart w:id="26" w:name="_Hlt74714665"/>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spacing w:line="360" w:lineRule="auto"/>
        <w:ind w:firstLine="181" w:firstLineChars="50"/>
        <w:rPr>
          <w:rFonts w:ascii="宋体" w:hAnsi="宋体" w:cs="宋体"/>
          <w:b/>
          <w:sz w:val="36"/>
          <w:szCs w:val="36"/>
        </w:rPr>
      </w:pPr>
    </w:p>
    <w:p>
      <w:pPr>
        <w:pStyle w:val="2"/>
        <w:ind w:left="0" w:firstLine="0"/>
      </w:pPr>
      <w:r>
        <w:rPr>
          <w:rFonts w:hint="eastAsia"/>
          <w:lang w:val="en-US"/>
        </w:rPr>
        <w:t>一、</w:t>
      </w:r>
      <w:r>
        <w:rPr>
          <w:rFonts w:hint="eastAsia"/>
        </w:rPr>
        <w:t>项目概述</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杭州西站枢纽是杭州第三大综合门户枢纽、“轨道上的长三角”重要节点工程，杭州亚运会重要交通配套，西站虽已开通运营，但站内信息化建设还相对落后，导致建成后的高铁场站日常运营日益复杂和无序。</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本次项目将在现有西站管理信息化工作基础上，充分利用物联网、大数据、移动互联网、数字孪生技术、视频分析技术、A</w:t>
      </w:r>
      <w:r>
        <w:rPr>
          <w:rFonts w:ascii="仿宋" w:hAnsi="仿宋" w:eastAsia="仿宋" w:cs="仿宋"/>
          <w:sz w:val="24"/>
        </w:rPr>
        <w:t>R</w:t>
      </w:r>
      <w:r>
        <w:rPr>
          <w:rFonts w:hint="eastAsia" w:ascii="仿宋" w:hAnsi="仿宋" w:eastAsia="仿宋" w:cs="仿宋"/>
          <w:sz w:val="24"/>
        </w:rPr>
        <w:t>等新一代信息技术，围绕“一核、两翼、四至、全域”的规划范围，1：1还原西站枢纽周边三维实景。“一核”即西站枢纽主站体。利用数字孪生城市的理念，全真还原西站站房及相关附属配套，实现站房模型构件级还原。“两翼”即站体近站核心道路，实现核心道路单体级还原。“四至”即管委会管辖的围合区域（3.16平方公里）。四至范围内剩余主次干道，实现元素级还原。“全域”即云城重点建设区。打通省域空间地理信息数据，实现云城重点建设区（13平方公里）城市级还原。同时，叠加区域物联网（IoT）、大数据、5G通信等技术，构建准三维城市信息模型（CIM）。</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本项目建设总体分为</w:t>
      </w:r>
      <w:r>
        <w:rPr>
          <w:rFonts w:ascii="仿宋" w:hAnsi="仿宋" w:eastAsia="仿宋" w:cs="仿宋"/>
          <w:sz w:val="24"/>
        </w:rPr>
        <w:t>6</w:t>
      </w:r>
      <w:r>
        <w:rPr>
          <w:rFonts w:hint="eastAsia" w:ascii="仿宋" w:hAnsi="仿宋" w:eastAsia="仿宋" w:cs="仿宋"/>
          <w:sz w:val="24"/>
        </w:rPr>
        <w:t>大块内容，分别是基础设施支撑、数据互动、孪生建模、仿真分析、决策辅助、综合呈现，主要建设内容如下：</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1）基础设施支撑：围绕“全域感知，安全可控”总体建设目标，通过站内外全景视频监控，集水井流量、消防系统、地下水位等物联网设备监测网络的构建、出租车网约车监管体系的构建，实现全域物联网监控、监测数据的实时汇聚，为西站枢纽日常安全、监测预警、应急模拟、数据推演等业务提供海量的数据补充支撑，实现实时监测，精准预警，安全可控。</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数据互动：按照感知设备应接尽接、公共数据一库共享、专有数据分期接入的建设模式，采集协同单数关联数据，实现数据汇聚，并按照，数据采集、数据开发管理、数据服务的建设过程，构建基础库、专题库、业务指标、相应标准规范，实现数据全生命周期管理,为场景应用提供数据支撑。</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孪生建模：基于“BIM+GIS”三维数字孪生底板，依靠多源异构数据接入、融合、轻量化、存储能力，集成各类矢量栅格、激光点云、倾斜摄影、BIM、手工模型等数据，实现数字孪生场景宏观微观一体化、地上地下一体化、室内室外一体化、动态静态一体化的展示，将杭州西站内交通、建筑、空间等全域数字化，进行统一管理与输出，达到一体整合数据、一屏可观全局、一体应急联动的杭州西站一体化、智能化、高效化管理。</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）仿真分析：建设视频分析算法、日常工作算法分析、大客流疏散算法分析、极端天气算法分析、火灾事故算法分析</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）决策辅助：为西站突发事件提供基础决策辅助功能</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综合呈现：建设驾驶舱为西站整体运营管理提供数据化、在线化、智能化的管理能力，基于大屏系统综合展示西站区域智慧交通、智慧运营、应急事件的综合态势，为管理者做出科学精准的判断和决策提供支撑。整体打造动态交互、图表结合、直观展现的具有科技感的使用体验，同时基于数字孪生体和仿真分析算法进行应急事件的仿真推演过程呈现。</w:t>
      </w:r>
    </w:p>
    <w:p>
      <w:pPr>
        <w:pStyle w:val="7"/>
        <w:spacing w:after="0" w:line="360" w:lineRule="auto"/>
        <w:ind w:left="0" w:leftChars="0" w:firstLine="480"/>
        <w:rPr>
          <w:rFonts w:ascii="仿宋" w:hAnsi="仿宋" w:eastAsia="仿宋" w:cs="仿宋"/>
          <w:sz w:val="24"/>
        </w:rPr>
      </w:pPr>
      <w:r>
        <w:rPr>
          <w:rFonts w:hint="eastAsia" w:ascii="仿宋" w:hAnsi="仿宋" w:eastAsia="仿宋" w:cs="仿宋"/>
          <w:sz w:val="24"/>
        </w:rPr>
        <w:t>通过本项目，建设杭州西站现代综合交通枢纽“镜像新城”，打造“数据双向赋能、态势立体感知、预测洞见未来”的西站数字孪生智慧中枢系统，对标群众品质出行新期待，为建设杭州城市新中心提供窗口担当。</w:t>
      </w:r>
    </w:p>
    <w:tbl>
      <w:tblPr>
        <w:tblStyle w:val="62"/>
        <w:tblW w:w="8426" w:type="dxa"/>
        <w:tblInd w:w="96" w:type="dxa"/>
        <w:tblLayout w:type="fixed"/>
        <w:tblCellMar>
          <w:top w:w="0" w:type="dxa"/>
          <w:left w:w="108" w:type="dxa"/>
          <w:bottom w:w="0" w:type="dxa"/>
          <w:right w:w="108" w:type="dxa"/>
        </w:tblCellMar>
      </w:tblPr>
      <w:tblGrid>
        <w:gridCol w:w="776"/>
        <w:gridCol w:w="5312"/>
        <w:gridCol w:w="2338"/>
      </w:tblGrid>
      <w:tr>
        <w:tblPrEx>
          <w:tblCellMar>
            <w:top w:w="0" w:type="dxa"/>
            <w:left w:w="108" w:type="dxa"/>
            <w:bottom w:w="0" w:type="dxa"/>
            <w:right w:w="108" w:type="dxa"/>
          </w:tblCellMar>
        </w:tblPrEx>
        <w:trPr>
          <w:trHeight w:val="980" w:hRule="atLeast"/>
        </w:trPr>
        <w:tc>
          <w:tcPr>
            <w:tcW w:w="84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杭州西站现代综合交通枢纽“镜像新城”项目分项及总价最高限价表</w:t>
            </w:r>
          </w:p>
        </w:tc>
      </w:tr>
      <w:tr>
        <w:tblPrEx>
          <w:tblCellMar>
            <w:top w:w="0" w:type="dxa"/>
            <w:left w:w="108" w:type="dxa"/>
            <w:bottom w:w="0" w:type="dxa"/>
            <w:right w:w="108" w:type="dxa"/>
          </w:tblCellMar>
        </w:tblPrEx>
        <w:trPr>
          <w:trHeight w:val="28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序号</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项目名称</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最高限价（万元）</w:t>
            </w:r>
          </w:p>
        </w:tc>
      </w:tr>
      <w:tr>
        <w:tblPrEx>
          <w:tblCellMar>
            <w:top w:w="0" w:type="dxa"/>
            <w:left w:w="108" w:type="dxa"/>
            <w:bottom w:w="0" w:type="dxa"/>
            <w:right w:w="108" w:type="dxa"/>
          </w:tblCellMar>
        </w:tblPrEx>
        <w:trPr>
          <w:trHeight w:val="28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模型构建渲染费用</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650</w:t>
            </w:r>
          </w:p>
        </w:tc>
      </w:tr>
      <w:tr>
        <w:tblPrEx>
          <w:tblCellMar>
            <w:top w:w="0" w:type="dxa"/>
            <w:left w:w="108" w:type="dxa"/>
            <w:bottom w:w="0" w:type="dxa"/>
            <w:right w:w="108" w:type="dxa"/>
          </w:tblCellMar>
        </w:tblPrEx>
        <w:trPr>
          <w:trHeight w:val="28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应用软件费用</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1400</w:t>
            </w:r>
          </w:p>
        </w:tc>
      </w:tr>
      <w:tr>
        <w:tblPrEx>
          <w:tblCellMar>
            <w:top w:w="0" w:type="dxa"/>
            <w:left w:w="108" w:type="dxa"/>
            <w:bottom w:w="0" w:type="dxa"/>
            <w:right w:w="108" w:type="dxa"/>
          </w:tblCellMar>
        </w:tblPrEx>
        <w:trPr>
          <w:trHeight w:val="28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机房改造费用</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45</w:t>
            </w:r>
          </w:p>
        </w:tc>
      </w:tr>
      <w:tr>
        <w:tblPrEx>
          <w:tblCellMar>
            <w:top w:w="0" w:type="dxa"/>
            <w:left w:w="108" w:type="dxa"/>
            <w:bottom w:w="0" w:type="dxa"/>
            <w:right w:w="108" w:type="dxa"/>
          </w:tblCellMar>
        </w:tblPrEx>
        <w:trPr>
          <w:trHeight w:val="28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硬件设备购置费用</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490</w:t>
            </w:r>
          </w:p>
        </w:tc>
      </w:tr>
      <w:tr>
        <w:tblPrEx>
          <w:tblCellMar>
            <w:top w:w="0" w:type="dxa"/>
            <w:left w:w="108" w:type="dxa"/>
            <w:bottom w:w="0" w:type="dxa"/>
            <w:right w:w="108" w:type="dxa"/>
          </w:tblCellMar>
        </w:tblPrEx>
        <w:trPr>
          <w:trHeight w:val="28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项目终验合格后三年运营维护费</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239.81</w:t>
            </w:r>
          </w:p>
        </w:tc>
      </w:tr>
      <w:tr>
        <w:tblPrEx>
          <w:tblCellMar>
            <w:top w:w="0" w:type="dxa"/>
            <w:left w:w="108" w:type="dxa"/>
            <w:bottom w:w="0" w:type="dxa"/>
            <w:right w:w="108" w:type="dxa"/>
          </w:tblCellMar>
        </w:tblPrEx>
        <w:trPr>
          <w:trHeight w:val="115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5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其它费用（商用密码评估费、项目第三方软件评测费、源代码安全审计、三级等保评测、验收费（含专家费）、审计费）</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70</w:t>
            </w:r>
          </w:p>
        </w:tc>
      </w:tr>
      <w:tr>
        <w:tblPrEx>
          <w:tblCellMar>
            <w:top w:w="0" w:type="dxa"/>
            <w:left w:w="108" w:type="dxa"/>
            <w:bottom w:w="0" w:type="dxa"/>
            <w:right w:w="108" w:type="dxa"/>
          </w:tblCellMar>
        </w:tblPrEx>
        <w:trPr>
          <w:trHeight w:val="31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r>
              <w:rPr>
                <w:rFonts w:hint="eastAsia" w:ascii="宋体" w:hAnsi="宋体" w:cs="宋体"/>
                <w:color w:val="000000"/>
                <w:sz w:val="22"/>
                <w:szCs w:val="22"/>
                <w:highlight w:val="none"/>
              </w:rPr>
              <w:t>7</w:t>
            </w:r>
          </w:p>
        </w:tc>
        <w:tc>
          <w:tcPr>
            <w:tcW w:w="5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2894.81</w:t>
            </w:r>
          </w:p>
        </w:tc>
      </w:tr>
    </w:tbl>
    <w:p>
      <w:pPr>
        <w:pStyle w:val="8"/>
      </w:pPr>
    </w:p>
    <w:p>
      <w:pPr>
        <w:pStyle w:val="8"/>
        <w:ind w:firstLine="0"/>
        <w:rPr>
          <w:lang w:val="en-US"/>
        </w:rPr>
      </w:pPr>
      <w:r>
        <w:rPr>
          <w:rFonts w:hint="eastAsia" w:ascii="仿宋_GB2312" w:hAnsi="仿宋" w:eastAsia="仿宋_GB2312"/>
          <w:b/>
          <w:bCs/>
          <w:sz w:val="32"/>
          <w:szCs w:val="32"/>
        </w:rPr>
        <w:t>二、功能需求</w:t>
      </w:r>
      <w:r>
        <w:rPr>
          <w:rFonts w:hint="eastAsia" w:hAnsi="宋体" w:cs="宋体"/>
        </w:rPr>
        <w:tab/>
      </w:r>
      <w:r>
        <w:rPr>
          <w:rFonts w:hint="eastAsia" w:hAnsi="宋体" w:cs="宋体"/>
        </w:rPr>
        <w:tab/>
      </w:r>
    </w:p>
    <w:p>
      <w:pPr>
        <w:ind w:firstLine="480"/>
        <w:rPr>
          <w:rFonts w:ascii="宋体" w:hAnsi="宋体" w:cs="宋体"/>
        </w:rPr>
      </w:pPr>
    </w:p>
    <w:p>
      <w:pPr>
        <w:spacing w:line="360" w:lineRule="auto"/>
        <w:ind w:firstLine="482"/>
        <w:rPr>
          <w:rFonts w:ascii="仿宋" w:hAnsi="仿宋" w:eastAsia="仿宋" w:cs="仿宋"/>
          <w:sz w:val="24"/>
        </w:rPr>
      </w:pPr>
      <w:r>
        <w:rPr>
          <w:rFonts w:hint="eastAsia" w:ascii="仿宋" w:hAnsi="仿宋" w:eastAsia="仿宋" w:cs="仿宋"/>
          <w:sz w:val="24"/>
        </w:rPr>
        <w:t>1、旅客交通出行服务功能</w:t>
      </w:r>
    </w:p>
    <w:p>
      <w:pPr>
        <w:spacing w:line="360" w:lineRule="auto"/>
        <w:ind w:firstLine="480"/>
        <w:rPr>
          <w:rFonts w:ascii="仿宋" w:hAnsi="仿宋" w:eastAsia="仿宋" w:cs="仿宋"/>
          <w:sz w:val="24"/>
        </w:rPr>
      </w:pPr>
      <w:r>
        <w:rPr>
          <w:rFonts w:hint="eastAsia" w:ascii="仿宋" w:hAnsi="仿宋" w:eastAsia="仿宋" w:cs="仿宋"/>
          <w:sz w:val="24"/>
        </w:rPr>
        <w:t>为做好杭州西站地区综合交通运输的有效衔接与高效服务工作，亟须加强不同运输方式之间、城际交通与城市交通之间，在换乘引导、组织调度、精细化服务等方面的创新，坚持旅客需求导向，及时有效地将交通方式运行信息、周边特色特产、餐饮住宿信息提供给到发站旅客，实现杭州西站内外导航准确指引，全面提高旅客交通出行服务水平，让旅客出行更便捷、更舒心、更安全。</w:t>
      </w:r>
    </w:p>
    <w:p>
      <w:pPr>
        <w:spacing w:line="360" w:lineRule="auto"/>
        <w:ind w:firstLine="482"/>
        <w:rPr>
          <w:rFonts w:ascii="仿宋" w:hAnsi="仿宋" w:eastAsia="仿宋" w:cs="仿宋"/>
          <w:sz w:val="24"/>
        </w:rPr>
      </w:pPr>
      <w:r>
        <w:rPr>
          <w:rFonts w:hint="eastAsia" w:ascii="仿宋" w:hAnsi="仿宋" w:eastAsia="仿宋" w:cs="仿宋"/>
          <w:sz w:val="24"/>
        </w:rPr>
        <w:t>2、经济发展服务功能</w:t>
      </w:r>
    </w:p>
    <w:p>
      <w:pPr>
        <w:spacing w:line="360" w:lineRule="auto"/>
        <w:ind w:firstLine="480"/>
        <w:rPr>
          <w:rFonts w:ascii="仿宋" w:hAnsi="仿宋" w:eastAsia="仿宋" w:cs="仿宋"/>
          <w:sz w:val="24"/>
        </w:rPr>
      </w:pPr>
      <w:r>
        <w:rPr>
          <w:rFonts w:hint="eastAsia" w:ascii="仿宋" w:hAnsi="仿宋" w:eastAsia="仿宋" w:cs="仿宋"/>
          <w:sz w:val="24"/>
        </w:rPr>
        <w:t>充分利用杭州西站人流量优势，为的驻区企业及其他各类商业主体（杭州西站地区周边为主，包括并不限于酒店、餐饮、购物、旅游等）提供展示自身产品/服务的窗口，在一定程度上达到导流效果。</w:t>
      </w:r>
    </w:p>
    <w:p>
      <w:pPr>
        <w:spacing w:line="360" w:lineRule="auto"/>
        <w:ind w:firstLine="482"/>
        <w:rPr>
          <w:rFonts w:ascii="仿宋" w:hAnsi="仿宋" w:eastAsia="仿宋" w:cs="仿宋"/>
          <w:sz w:val="24"/>
        </w:rPr>
      </w:pPr>
      <w:r>
        <w:rPr>
          <w:rFonts w:hint="eastAsia" w:ascii="仿宋" w:hAnsi="仿宋" w:eastAsia="仿宋" w:cs="仿宋"/>
          <w:sz w:val="24"/>
        </w:rPr>
        <w:t>3、流量管控功能</w:t>
      </w:r>
    </w:p>
    <w:p>
      <w:pPr>
        <w:spacing w:line="360" w:lineRule="auto"/>
        <w:ind w:firstLine="480"/>
        <w:rPr>
          <w:rFonts w:ascii="仿宋" w:hAnsi="仿宋" w:eastAsia="仿宋" w:cs="仿宋"/>
          <w:sz w:val="24"/>
        </w:rPr>
      </w:pPr>
      <w:r>
        <w:rPr>
          <w:rFonts w:hint="eastAsia" w:ascii="仿宋" w:hAnsi="仿宋" w:eastAsia="仿宋" w:cs="仿宋"/>
          <w:sz w:val="24"/>
        </w:rPr>
        <w:t>城市交通流量成分复杂、具有空间和时间上的不均衡性，亟须通过对车流、人流、道路状况的实时监测与预警分析，全面了解西站地区路网的运行面貌，指引综合管理的工作方向，提高杭州西站管委会对城市枢纽动态异常事件的快速反应能力。</w:t>
      </w:r>
    </w:p>
    <w:p>
      <w:pPr>
        <w:spacing w:line="360" w:lineRule="auto"/>
        <w:ind w:firstLine="482"/>
        <w:rPr>
          <w:rFonts w:ascii="仿宋" w:hAnsi="仿宋" w:eastAsia="仿宋" w:cs="仿宋"/>
          <w:sz w:val="24"/>
        </w:rPr>
      </w:pPr>
      <w:r>
        <w:rPr>
          <w:rFonts w:hint="eastAsia" w:ascii="仿宋" w:hAnsi="仿宋" w:eastAsia="仿宋" w:cs="仿宋"/>
          <w:sz w:val="24"/>
        </w:rPr>
        <w:t>4、应急事件管理功能</w:t>
      </w:r>
    </w:p>
    <w:p>
      <w:pPr>
        <w:spacing w:line="360" w:lineRule="auto"/>
        <w:ind w:firstLine="480"/>
        <w:rPr>
          <w:rFonts w:ascii="仿宋" w:hAnsi="仿宋" w:eastAsia="仿宋" w:cs="仿宋"/>
          <w:sz w:val="24"/>
        </w:rPr>
      </w:pPr>
      <w:r>
        <w:rPr>
          <w:rFonts w:hint="eastAsia" w:ascii="仿宋" w:hAnsi="仿宋" w:eastAsia="仿宋" w:cs="仿宋"/>
          <w:sz w:val="24"/>
        </w:rPr>
        <w:t>杭州西站地区客流量巨大且高度集中，换乘种类复杂且方式众多，其日常运营面临着一定的安全隐患，为避免自然因素及人为因素引发的突发事件频繁发生，威胁公众生命健康及财产安全，亟须通过“事前、事中、事后”全过程管理有效应对日常安全事件及突发应急事件</w:t>
      </w:r>
      <w:r>
        <w:rPr>
          <w:rFonts w:hint="eastAsia" w:ascii="仿宋" w:hAnsi="仿宋" w:eastAsia="仿宋" w:cs="仿宋"/>
          <w:sz w:val="24"/>
        </w:rPr>
        <w:tab/>
      </w:r>
      <w:r>
        <w:rPr>
          <w:rFonts w:hint="eastAsia" w:ascii="仿宋" w:hAnsi="仿宋" w:eastAsia="仿宋" w:cs="仿宋"/>
          <w:sz w:val="24"/>
        </w:rPr>
        <w:t>，为运力协同及应急处置提供有力支撑。</w:t>
      </w:r>
    </w:p>
    <w:p>
      <w:pPr>
        <w:spacing w:line="360" w:lineRule="auto"/>
        <w:ind w:firstLine="482"/>
        <w:rPr>
          <w:rFonts w:ascii="仿宋" w:hAnsi="仿宋" w:eastAsia="仿宋" w:cs="仿宋"/>
          <w:sz w:val="24"/>
        </w:rPr>
      </w:pPr>
      <w:r>
        <w:rPr>
          <w:rFonts w:hint="eastAsia" w:ascii="仿宋" w:hAnsi="仿宋" w:eastAsia="仿宋" w:cs="仿宋"/>
          <w:sz w:val="24"/>
        </w:rPr>
        <w:t>5、设施设备管理功能</w:t>
      </w:r>
    </w:p>
    <w:p>
      <w:pPr>
        <w:spacing w:line="360" w:lineRule="auto"/>
        <w:ind w:firstLine="480"/>
        <w:rPr>
          <w:rFonts w:ascii="仿宋" w:hAnsi="仿宋" w:eastAsia="仿宋" w:cs="仿宋"/>
          <w:sz w:val="24"/>
        </w:rPr>
      </w:pPr>
      <w:r>
        <w:rPr>
          <w:rFonts w:hint="eastAsia" w:ascii="仿宋" w:hAnsi="仿宋" w:eastAsia="仿宋" w:cs="仿宋"/>
          <w:sz w:val="24"/>
        </w:rPr>
        <w:t>为保证杭州西站内各种设备设施的经济运行，减轻能源消耗，亟须对站内设备整个生命周期中加以计划、指导、维护、控制和监督，以保证设备的安全性和质量控制的有效性，提高工程效率、降低设备故障率和减少主设备非计划停运时间，为杭州西站整体业务开展提供保障。</w:t>
      </w:r>
    </w:p>
    <w:p>
      <w:pPr>
        <w:spacing w:line="360" w:lineRule="auto"/>
        <w:ind w:firstLine="482"/>
        <w:rPr>
          <w:rFonts w:ascii="仿宋" w:hAnsi="仿宋" w:eastAsia="仿宋" w:cs="仿宋"/>
          <w:sz w:val="24"/>
        </w:rPr>
      </w:pPr>
      <w:r>
        <w:rPr>
          <w:rFonts w:hint="eastAsia" w:ascii="仿宋" w:hAnsi="仿宋" w:eastAsia="仿宋" w:cs="仿宋"/>
          <w:sz w:val="24"/>
        </w:rPr>
        <w:t>6、综合业务管理功能</w:t>
      </w:r>
    </w:p>
    <w:p>
      <w:pPr>
        <w:spacing w:line="360" w:lineRule="auto"/>
        <w:ind w:firstLine="480"/>
        <w:rPr>
          <w:rFonts w:ascii="仿宋" w:hAnsi="仿宋" w:eastAsia="仿宋" w:cs="仿宋"/>
          <w:sz w:val="24"/>
        </w:rPr>
      </w:pPr>
      <w:r>
        <w:rPr>
          <w:rFonts w:hint="eastAsia" w:ascii="仿宋" w:hAnsi="仿宋" w:eastAsia="仿宋" w:cs="仿宋"/>
          <w:sz w:val="24"/>
        </w:rPr>
        <w:t>为加强规范化管理，提高杭州西站综合管理治理能力，亟须着力改变以往分散执法、突击整治的行政执法方式，大力推行精细化管理，强化人员培训和制度建设，大幅提高日常行政管理效能，极大降低行政管理成本。</w:t>
      </w:r>
    </w:p>
    <w:p>
      <w:pPr>
        <w:spacing w:line="360" w:lineRule="auto"/>
        <w:ind w:firstLine="482"/>
        <w:rPr>
          <w:rFonts w:ascii="仿宋" w:hAnsi="仿宋" w:eastAsia="仿宋" w:cs="仿宋"/>
          <w:sz w:val="24"/>
        </w:rPr>
      </w:pPr>
      <w:r>
        <w:rPr>
          <w:rFonts w:hint="eastAsia" w:ascii="仿宋" w:hAnsi="仿宋" w:eastAsia="仿宋" w:cs="仿宋"/>
          <w:sz w:val="24"/>
        </w:rPr>
        <w:t>7、安全防范管理功能</w:t>
      </w:r>
    </w:p>
    <w:p>
      <w:pPr>
        <w:spacing w:line="360" w:lineRule="auto"/>
        <w:ind w:firstLine="480"/>
        <w:rPr>
          <w:rFonts w:ascii="仿宋" w:hAnsi="仿宋" w:eastAsia="仿宋" w:cs="仿宋"/>
          <w:sz w:val="24"/>
        </w:rPr>
      </w:pPr>
      <w:r>
        <w:rPr>
          <w:rFonts w:hint="eastAsia" w:ascii="仿宋" w:hAnsi="仿宋" w:eastAsia="仿宋" w:cs="仿宋"/>
          <w:sz w:val="24"/>
        </w:rPr>
        <w:t>针对杭州西站覆盖面积大，人员密集，功能复杂等特点，作为市内外交通转换关键节点，对于杭州西站及其周边的安全监视，设备监控，生产运行提供有效的技术防范是非常有必要的，亟须综合运用安防、楼控、消防、救援、联动报警等技术手段，有效提升交通枢纽的安全防范能力，为应对处理各类应急突发事件、全方位指挥逃生及救援提供直观高效的技术保障。</w:t>
      </w:r>
    </w:p>
    <w:p>
      <w:pPr>
        <w:spacing w:line="360" w:lineRule="auto"/>
        <w:ind w:firstLine="482"/>
        <w:rPr>
          <w:rFonts w:ascii="仿宋" w:hAnsi="仿宋" w:eastAsia="仿宋" w:cs="仿宋"/>
          <w:sz w:val="24"/>
        </w:rPr>
      </w:pPr>
      <w:r>
        <w:rPr>
          <w:rFonts w:hint="eastAsia" w:ascii="仿宋" w:hAnsi="仿宋" w:eastAsia="仿宋" w:cs="仿宋"/>
          <w:sz w:val="24"/>
        </w:rPr>
        <w:t>8、智能化管理功能</w:t>
      </w:r>
    </w:p>
    <w:p>
      <w:pPr>
        <w:spacing w:line="360" w:lineRule="auto"/>
        <w:ind w:firstLine="480"/>
        <w:rPr>
          <w:rFonts w:ascii="仿宋" w:hAnsi="仿宋" w:eastAsia="仿宋" w:cs="仿宋"/>
          <w:sz w:val="24"/>
        </w:rPr>
      </w:pPr>
      <w:r>
        <w:rPr>
          <w:rFonts w:hint="eastAsia" w:ascii="仿宋" w:hAnsi="仿宋" w:eastAsia="仿宋" w:cs="仿宋"/>
          <w:sz w:val="24"/>
        </w:rPr>
        <w:t>无论日常或突发，针对杭州西站纷杂的各类事务，需要通过技术手段实现智能化、自动化分发处理，将人工干预工作量在保障安全合理的前提下降至最低，从而大幅提高杭州西站管理效能和资源整合能力。</w:t>
      </w:r>
    </w:p>
    <w:p>
      <w:pPr>
        <w:spacing w:line="360" w:lineRule="auto"/>
        <w:ind w:firstLine="482"/>
        <w:rPr>
          <w:rFonts w:ascii="仿宋" w:hAnsi="仿宋" w:eastAsia="仿宋" w:cs="仿宋"/>
          <w:sz w:val="24"/>
        </w:rPr>
      </w:pPr>
      <w:r>
        <w:rPr>
          <w:rFonts w:hint="eastAsia" w:ascii="仿宋" w:hAnsi="仿宋" w:eastAsia="仿宋" w:cs="仿宋"/>
          <w:sz w:val="24"/>
        </w:rPr>
        <w:t>9、可视化指挥调度功能</w:t>
      </w:r>
    </w:p>
    <w:p>
      <w:pPr>
        <w:spacing w:line="360" w:lineRule="auto"/>
        <w:ind w:firstLine="480"/>
        <w:rPr>
          <w:rFonts w:ascii="仿宋" w:hAnsi="仿宋" w:eastAsia="仿宋" w:cs="仿宋"/>
          <w:sz w:val="24"/>
        </w:rPr>
      </w:pPr>
      <w:r>
        <w:rPr>
          <w:rFonts w:hint="eastAsia" w:ascii="仿宋" w:hAnsi="仿宋" w:eastAsia="仿宋" w:cs="仿宋"/>
          <w:sz w:val="24"/>
        </w:rPr>
        <w:t>为加强杭州西站管委会在协调处置突发性安全事件、加强公共安全快速反应能力等各方面的作用，亟须建设一个以构建统一指挥、集中管控、分级负责、互联互通为核心，以指挥调度、指令下达、信息研判、资源调配、综合管理为基本职能，从实时监测、故障告警、工单下发、到现场解决与问题反馈的标准闭环流程的可视化综合指挥调度中心，实现各协同部门资源共享，方便快捷地掌握全局，合理清晰地调配公共资源、降低行政成本，提升运作效率。</w:t>
      </w:r>
    </w:p>
    <w:p>
      <w:pPr>
        <w:pStyle w:val="10"/>
        <w:spacing w:line="360" w:lineRule="auto"/>
      </w:pPr>
    </w:p>
    <w:p>
      <w:pPr>
        <w:pStyle w:val="8"/>
        <w:ind w:firstLine="0"/>
        <w:rPr>
          <w:rFonts w:ascii="仿宋_GB2312" w:hAnsi="仿宋" w:eastAsia="仿宋_GB2312"/>
          <w:b/>
          <w:bCs/>
          <w:sz w:val="32"/>
          <w:szCs w:val="32"/>
        </w:rPr>
      </w:pPr>
      <w:r>
        <w:rPr>
          <w:rFonts w:hint="eastAsia" w:ascii="仿宋_GB2312" w:hAnsi="仿宋" w:eastAsia="仿宋_GB2312"/>
          <w:b/>
          <w:bCs/>
          <w:sz w:val="32"/>
          <w:szCs w:val="32"/>
        </w:rPr>
        <w:t>三、服务期：</w:t>
      </w:r>
    </w:p>
    <w:p>
      <w:pPr>
        <w:pStyle w:val="130"/>
        <w:spacing w:before="0" w:line="600" w:lineRule="exact"/>
        <w:ind w:firstLine="420" w:firstLineChars="0"/>
        <w:outlineLvl w:val="2"/>
        <w:rPr>
          <w:rFonts w:ascii="宋体" w:hAnsi="宋体" w:cs="宋体"/>
          <w:b/>
          <w:szCs w:val="24"/>
        </w:rPr>
      </w:pPr>
      <w:r>
        <w:rPr>
          <w:rFonts w:hint="eastAsia" w:ascii="宋体" w:hAnsi="宋体" w:cs="宋体"/>
          <w:b/>
          <w:szCs w:val="24"/>
        </w:rPr>
        <w:t>安装调试服务期：合同签订之日起至2</w:t>
      </w:r>
      <w:r>
        <w:rPr>
          <w:rFonts w:ascii="宋体" w:hAnsi="宋体" w:cs="宋体"/>
          <w:b/>
          <w:szCs w:val="24"/>
        </w:rPr>
        <w:t>023</w:t>
      </w:r>
      <w:r>
        <w:rPr>
          <w:rFonts w:hint="eastAsia" w:ascii="宋体" w:hAnsi="宋体" w:cs="宋体"/>
          <w:b/>
          <w:szCs w:val="24"/>
        </w:rPr>
        <w:t>年1</w:t>
      </w:r>
      <w:r>
        <w:rPr>
          <w:rFonts w:ascii="宋体" w:hAnsi="宋体" w:cs="宋体"/>
          <w:b/>
          <w:szCs w:val="24"/>
        </w:rPr>
        <w:t>2</w:t>
      </w:r>
      <w:r>
        <w:rPr>
          <w:rFonts w:hint="eastAsia" w:ascii="宋体" w:hAnsi="宋体" w:cs="宋体"/>
          <w:b/>
          <w:szCs w:val="24"/>
        </w:rPr>
        <w:t>月3</w:t>
      </w:r>
      <w:r>
        <w:rPr>
          <w:rFonts w:ascii="宋体" w:hAnsi="宋体" w:cs="宋体"/>
          <w:b/>
          <w:szCs w:val="24"/>
        </w:rPr>
        <w:t>1</w:t>
      </w:r>
      <w:r>
        <w:rPr>
          <w:rFonts w:hint="eastAsia" w:ascii="宋体" w:hAnsi="宋体" w:cs="宋体"/>
          <w:b/>
          <w:szCs w:val="24"/>
        </w:rPr>
        <w:t>日，项目完成，通过最终验收；</w:t>
      </w:r>
    </w:p>
    <w:p>
      <w:pPr>
        <w:pStyle w:val="130"/>
        <w:spacing w:before="0" w:line="600" w:lineRule="exact"/>
        <w:ind w:firstLine="420" w:firstLineChars="0"/>
        <w:outlineLvl w:val="2"/>
      </w:pPr>
      <w:r>
        <w:rPr>
          <w:rFonts w:hint="eastAsia" w:ascii="宋体" w:hAnsi="宋体" w:cs="宋体"/>
          <w:b/>
          <w:szCs w:val="24"/>
        </w:rPr>
        <w:t>运营维护期： 以实际项目终验合格后算起三年为准，拟定为2</w:t>
      </w:r>
      <w:r>
        <w:rPr>
          <w:rFonts w:ascii="宋体" w:hAnsi="宋体" w:cs="宋体"/>
          <w:b/>
          <w:szCs w:val="24"/>
        </w:rPr>
        <w:t>024</w:t>
      </w:r>
      <w:r>
        <w:rPr>
          <w:rFonts w:hint="eastAsia" w:ascii="宋体" w:hAnsi="宋体" w:cs="宋体"/>
          <w:b/>
          <w:szCs w:val="24"/>
        </w:rPr>
        <w:t>年1月1日至2</w:t>
      </w:r>
      <w:r>
        <w:rPr>
          <w:rFonts w:ascii="宋体" w:hAnsi="宋体" w:cs="宋体"/>
          <w:b/>
          <w:szCs w:val="24"/>
        </w:rPr>
        <w:t>026</w:t>
      </w:r>
      <w:r>
        <w:rPr>
          <w:rFonts w:hint="eastAsia" w:ascii="宋体" w:hAnsi="宋体" w:cs="宋体"/>
          <w:b/>
          <w:szCs w:val="24"/>
        </w:rPr>
        <w:t>年1</w:t>
      </w:r>
      <w:r>
        <w:rPr>
          <w:rFonts w:ascii="宋体" w:hAnsi="宋体" w:cs="宋体"/>
          <w:b/>
          <w:szCs w:val="24"/>
        </w:rPr>
        <w:t>2</w:t>
      </w:r>
      <w:r>
        <w:rPr>
          <w:rFonts w:hint="eastAsia" w:ascii="宋体" w:hAnsi="宋体" w:cs="宋体"/>
          <w:b/>
          <w:szCs w:val="24"/>
        </w:rPr>
        <w:t>月3</w:t>
      </w:r>
      <w:r>
        <w:rPr>
          <w:rFonts w:ascii="宋体" w:hAnsi="宋体" w:cs="宋体"/>
          <w:b/>
          <w:szCs w:val="24"/>
        </w:rPr>
        <w:t>1</w:t>
      </w:r>
      <w:r>
        <w:rPr>
          <w:rFonts w:hint="eastAsia" w:ascii="宋体" w:hAnsi="宋体" w:cs="宋体"/>
          <w:b/>
          <w:szCs w:val="24"/>
        </w:rPr>
        <w:t>日。</w:t>
      </w:r>
    </w:p>
    <w:p>
      <w:pPr>
        <w:pStyle w:val="8"/>
        <w:ind w:firstLine="0"/>
        <w:rPr>
          <w:rFonts w:ascii="仿宋_GB2312" w:hAnsi="仿宋" w:eastAsia="仿宋_GB2312"/>
          <w:b/>
          <w:bCs/>
          <w:sz w:val="32"/>
          <w:szCs w:val="32"/>
        </w:rPr>
      </w:pPr>
      <w:r>
        <w:rPr>
          <w:rFonts w:hint="eastAsia" w:ascii="仿宋_GB2312" w:hAnsi="仿宋" w:eastAsia="仿宋_GB2312"/>
          <w:b/>
          <w:bCs/>
          <w:sz w:val="32"/>
          <w:szCs w:val="32"/>
        </w:rPr>
        <w:t>四、服务内容</w:t>
      </w:r>
    </w:p>
    <w:tbl>
      <w:tblPr>
        <w:tblStyle w:val="62"/>
        <w:tblW w:w="8045" w:type="dxa"/>
        <w:tblInd w:w="113" w:type="dxa"/>
        <w:tblLayout w:type="fixed"/>
        <w:tblCellMar>
          <w:top w:w="0" w:type="dxa"/>
          <w:left w:w="108" w:type="dxa"/>
          <w:bottom w:w="0" w:type="dxa"/>
          <w:right w:w="108" w:type="dxa"/>
        </w:tblCellMar>
      </w:tblPr>
      <w:tblGrid>
        <w:gridCol w:w="789"/>
        <w:gridCol w:w="1691"/>
        <w:gridCol w:w="4602"/>
        <w:gridCol w:w="963"/>
      </w:tblGrid>
      <w:tr>
        <w:tblPrEx>
          <w:tblCellMar>
            <w:top w:w="0" w:type="dxa"/>
            <w:left w:w="108" w:type="dxa"/>
            <w:bottom w:w="0" w:type="dxa"/>
            <w:right w:w="108" w:type="dxa"/>
          </w:tblCellMar>
        </w:tblPrEx>
        <w:trPr>
          <w:trHeight w:val="641" w:hRule="atLeast"/>
        </w:trPr>
        <w:tc>
          <w:tcPr>
            <w:tcW w:w="7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24"/>
              </w:rPr>
            </w:pPr>
            <w:r>
              <w:rPr>
                <w:rFonts w:hint="eastAsia" w:ascii="仿宋" w:hAnsi="仿宋" w:eastAsia="仿宋"/>
                <w:b/>
                <w:bCs/>
                <w:kern w:val="0"/>
                <w:sz w:val="24"/>
              </w:rPr>
              <w:t>序号</w:t>
            </w:r>
          </w:p>
        </w:tc>
        <w:tc>
          <w:tcPr>
            <w:tcW w:w="169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24"/>
              </w:rPr>
            </w:pPr>
            <w:r>
              <w:rPr>
                <w:rFonts w:hint="eastAsia" w:ascii="仿宋" w:hAnsi="仿宋" w:eastAsia="仿宋"/>
                <w:b/>
                <w:bCs/>
                <w:kern w:val="0"/>
                <w:sz w:val="24"/>
              </w:rPr>
              <w:t>采购内容</w:t>
            </w:r>
          </w:p>
        </w:tc>
        <w:tc>
          <w:tcPr>
            <w:tcW w:w="46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24"/>
              </w:rPr>
            </w:pPr>
            <w:r>
              <w:rPr>
                <w:rFonts w:hint="eastAsia" w:ascii="仿宋" w:hAnsi="仿宋" w:eastAsia="仿宋"/>
                <w:b/>
                <w:bCs/>
                <w:kern w:val="0"/>
                <w:sz w:val="24"/>
              </w:rPr>
              <w:t>技术规范及要求</w:t>
            </w:r>
          </w:p>
        </w:tc>
        <w:tc>
          <w:tcPr>
            <w:tcW w:w="9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24"/>
              </w:rPr>
            </w:pPr>
            <w:r>
              <w:rPr>
                <w:rFonts w:hint="eastAsia" w:ascii="仿宋" w:hAnsi="仿宋" w:eastAsia="仿宋"/>
                <w:b/>
                <w:bCs/>
                <w:kern w:val="0"/>
                <w:sz w:val="24"/>
              </w:rPr>
              <w:t>数量/单位</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sz w:val="24"/>
                <w:highlight w:val="none"/>
              </w:rPr>
              <w:t>基础支撑层</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2</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数据互动层</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3</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sz w:val="24"/>
                <w:highlight w:val="none"/>
              </w:rPr>
              <w:t>模型构建层</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4</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sz w:val="24"/>
                <w:highlight w:val="none"/>
              </w:rPr>
            </w:pPr>
            <w:r>
              <w:rPr>
                <w:rFonts w:hint="eastAsia" w:ascii="仿宋" w:hAnsi="仿宋" w:eastAsia="仿宋"/>
                <w:sz w:val="24"/>
                <w:highlight w:val="none"/>
              </w:rPr>
              <w:t>仿真分析层</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5</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决策辅助层</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6</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sz w:val="24"/>
                <w:highlight w:val="none"/>
              </w:rPr>
            </w:pPr>
            <w:r>
              <w:rPr>
                <w:rFonts w:hint="eastAsia" w:ascii="仿宋" w:hAnsi="仿宋" w:eastAsia="仿宋"/>
                <w:sz w:val="24"/>
                <w:highlight w:val="none"/>
              </w:rPr>
              <w:t>综合呈现层</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7</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sz w:val="24"/>
                <w:highlight w:val="none"/>
              </w:rPr>
            </w:pPr>
            <w:r>
              <w:rPr>
                <w:rFonts w:hint="eastAsia" w:ascii="仿宋" w:hAnsi="仿宋" w:eastAsia="仿宋"/>
                <w:sz w:val="24"/>
                <w:highlight w:val="none"/>
              </w:rPr>
              <w:t>出租车、网约车管理</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8</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sz w:val="24"/>
                <w:highlight w:val="none"/>
              </w:rPr>
            </w:pPr>
            <w:r>
              <w:rPr>
                <w:rFonts w:hint="eastAsia" w:ascii="仿宋" w:hAnsi="仿宋" w:eastAsia="仿宋"/>
                <w:sz w:val="24"/>
                <w:highlight w:val="none"/>
              </w:rPr>
              <w:t>基础设施</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r>
        <w:tblPrEx>
          <w:tblCellMar>
            <w:top w:w="0" w:type="dxa"/>
            <w:left w:w="108" w:type="dxa"/>
            <w:bottom w:w="0" w:type="dxa"/>
            <w:right w:w="108" w:type="dxa"/>
          </w:tblCellMar>
        </w:tblPrEx>
        <w:trPr>
          <w:trHeight w:val="589" w:hRule="atLeast"/>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9</w:t>
            </w:r>
          </w:p>
        </w:tc>
        <w:tc>
          <w:tcPr>
            <w:tcW w:w="169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sz w:val="24"/>
                <w:highlight w:val="none"/>
              </w:rPr>
            </w:pPr>
            <w:r>
              <w:rPr>
                <w:rFonts w:hint="eastAsia" w:ascii="仿宋" w:hAnsi="仿宋" w:eastAsia="仿宋"/>
                <w:sz w:val="24"/>
                <w:highlight w:val="none"/>
              </w:rPr>
              <w:t>机房改造</w:t>
            </w:r>
          </w:p>
        </w:tc>
        <w:tc>
          <w:tcPr>
            <w:tcW w:w="460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详见功能要求（必须满足）</w:t>
            </w:r>
          </w:p>
        </w:tc>
        <w:tc>
          <w:tcPr>
            <w:tcW w:w="96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kern w:val="0"/>
                <w:sz w:val="24"/>
                <w:highlight w:val="none"/>
              </w:rPr>
            </w:pPr>
            <w:r>
              <w:rPr>
                <w:rFonts w:hint="eastAsia" w:ascii="仿宋" w:hAnsi="仿宋" w:eastAsia="仿宋"/>
                <w:kern w:val="0"/>
                <w:sz w:val="24"/>
                <w:highlight w:val="none"/>
              </w:rPr>
              <w:t>1套</w:t>
            </w:r>
          </w:p>
        </w:tc>
      </w:tr>
    </w:tbl>
    <w:p>
      <w:pPr>
        <w:widowControl/>
        <w:jc w:val="left"/>
        <w:rPr>
          <w:rFonts w:ascii="仿宋" w:hAnsi="仿宋" w:eastAsia="仿宋"/>
          <w:kern w:val="0"/>
          <w:sz w:val="24"/>
          <w:highlight w:val="none"/>
        </w:rPr>
      </w:pPr>
      <w:r>
        <w:rPr>
          <w:rFonts w:hint="eastAsia" w:ascii="仿宋" w:hAnsi="仿宋" w:eastAsia="仿宋"/>
          <w:kern w:val="0"/>
          <w:sz w:val="24"/>
          <w:highlight w:val="none"/>
        </w:rPr>
        <w:t xml:space="preserve">   注：本项目为交钥匙工程，须同时符合国家省市区技术规范要求（包括浙里办、浙政钉应用发布、5G物联网和视频共享平台对接共享、软硬件信创适配、组件算法上架区组件平台、建模引擎共享全区使用等要求）”。</w:t>
      </w:r>
    </w:p>
    <w:p>
      <w:pPr>
        <w:adjustRightInd/>
        <w:rPr>
          <w:szCs w:val="21"/>
        </w:rPr>
      </w:pPr>
    </w:p>
    <w:p>
      <w:pPr>
        <w:adjustRightInd/>
        <w:rPr>
          <w:rFonts w:ascii="仿宋" w:hAnsi="仿宋" w:eastAsia="仿宋"/>
          <w:b/>
          <w:bCs/>
          <w:sz w:val="32"/>
          <w:szCs w:val="32"/>
        </w:rPr>
      </w:pPr>
      <w:r>
        <w:rPr>
          <w:rFonts w:hint="eastAsia" w:ascii="仿宋" w:hAnsi="仿宋" w:eastAsia="仿宋"/>
          <w:b/>
          <w:bCs/>
          <w:sz w:val="32"/>
          <w:szCs w:val="32"/>
        </w:rPr>
        <w:t>功能要求</w:t>
      </w:r>
    </w:p>
    <w:p>
      <w:pPr>
        <w:widowControl/>
        <w:adjustRightInd/>
        <w:jc w:val="left"/>
        <w:rPr>
          <w:rFonts w:ascii="仿宋" w:hAnsi="仿宋" w:eastAsia="仿宋"/>
          <w:sz w:val="24"/>
        </w:rPr>
      </w:pPr>
      <w:r>
        <w:rPr>
          <w:rFonts w:hint="eastAsia" w:ascii="仿宋" w:hAnsi="仿宋" w:eastAsia="仿宋"/>
          <w:sz w:val="24"/>
        </w:rPr>
        <w:t>一、基础支撑层</w:t>
      </w:r>
    </w:p>
    <w:p>
      <w:pPr>
        <w:widowControl/>
        <w:autoSpaceDE w:val="0"/>
        <w:adjustRightInd/>
        <w:spacing w:line="570" w:lineRule="exact"/>
        <w:ind w:firstLine="420"/>
        <w:jc w:val="left"/>
        <w:rPr>
          <w:rFonts w:ascii="仿宋" w:hAnsi="仿宋" w:eastAsia="仿宋"/>
          <w:sz w:val="24"/>
        </w:rPr>
      </w:pPr>
      <w:bookmarkStart w:id="28" w:name="_Hlk131516387"/>
      <w:r>
        <w:rPr>
          <w:rFonts w:hint="eastAsia" w:ascii="仿宋" w:hAnsi="仿宋" w:eastAsia="仿宋"/>
          <w:sz w:val="24"/>
        </w:rPr>
        <w:t>基础支撑层提供本项目的基础数据。围绕“全域感知，安全可控”总体建设目标，通过站内外全景视频监控，管网窨井流量、消防系统、地下水位等物联网设备监测网络的构建、出租车网约车监管体系的构建，实现全域物联网监控、监测数据的实时汇聚，为西站枢纽日常安全、监测预警、应急模拟、数据推演等业务提供海量的数据补充支撑，实现实时监测，精准预警，安全可控。通过布设各类芯片、传感器、监控等设备或搭建接口接入其他平台来获取所需数据，数据共分为四类，分别为</w:t>
      </w:r>
      <w:r>
        <w:rPr>
          <w:rFonts w:hint="eastAsia" w:ascii="仿宋" w:hAnsi="仿宋" w:eastAsia="仿宋"/>
          <w:b/>
          <w:bCs/>
          <w:sz w:val="24"/>
        </w:rPr>
        <w:t>内部数据、外部数据、自采数据和外采数据</w:t>
      </w:r>
      <w:r>
        <w:rPr>
          <w:rFonts w:hint="eastAsia" w:ascii="仿宋" w:hAnsi="仿宋" w:eastAsia="仿宋"/>
          <w:sz w:val="24"/>
        </w:rPr>
        <w:t>。</w:t>
      </w:r>
      <w:bookmarkEnd w:id="28"/>
    </w:p>
    <w:p>
      <w:pPr>
        <w:adjustRightInd/>
        <w:rPr>
          <w:rFonts w:ascii="仿宋" w:hAnsi="仿宋" w:eastAsia="仿宋"/>
          <w:sz w:val="24"/>
        </w:rPr>
      </w:pPr>
      <w:r>
        <w:rPr>
          <w:rFonts w:hint="eastAsia" w:ascii="仿宋" w:hAnsi="仿宋" w:eastAsia="仿宋"/>
          <w:sz w:val="24"/>
        </w:rPr>
        <w:t xml:space="preserve"> </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1.内部数据</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内部数据为政务网IRS数据，本系统所需下列IRS数据（包括不限于），</w:t>
      </w:r>
      <w:r>
        <w:rPr>
          <w:rFonts w:hint="eastAsia" w:ascii="仿宋" w:hAnsi="仿宋" w:eastAsia="仿宋"/>
          <w:b/>
          <w:bCs/>
          <w:sz w:val="24"/>
        </w:rPr>
        <w:t>投标人需提供该类数据的接入工作</w:t>
      </w:r>
      <w:r>
        <w:rPr>
          <w:rFonts w:hint="eastAsia" w:ascii="仿宋" w:hAnsi="仿宋" w:eastAsia="仿宋"/>
          <w:sz w:val="24"/>
        </w:rPr>
        <w:t>，招标人可提供协调工作；</w:t>
      </w:r>
    </w:p>
    <w:p>
      <w:pPr>
        <w:adjustRightInd/>
        <w:rPr>
          <w:rFonts w:ascii="仿宋" w:hAnsi="仿宋" w:eastAsia="仿宋"/>
          <w:sz w:val="24"/>
        </w:rPr>
      </w:pPr>
      <w:r>
        <w:rPr>
          <w:rFonts w:hint="eastAsia" w:ascii="仿宋" w:hAnsi="仿宋" w:eastAsia="仿宋"/>
          <w:sz w:val="24"/>
        </w:rPr>
        <w:t xml:space="preserve"> </w:t>
      </w:r>
    </w:p>
    <w:tbl>
      <w:tblPr>
        <w:tblStyle w:val="62"/>
        <w:tblW w:w="7700" w:type="dxa"/>
        <w:tblInd w:w="93" w:type="dxa"/>
        <w:tblLayout w:type="fixed"/>
        <w:tblCellMar>
          <w:top w:w="0" w:type="dxa"/>
          <w:left w:w="0" w:type="dxa"/>
          <w:bottom w:w="0" w:type="dxa"/>
          <w:right w:w="0" w:type="dxa"/>
        </w:tblCellMar>
      </w:tblPr>
      <w:tblGrid>
        <w:gridCol w:w="1040"/>
        <w:gridCol w:w="2060"/>
        <w:gridCol w:w="2120"/>
        <w:gridCol w:w="1440"/>
        <w:gridCol w:w="1040"/>
      </w:tblGrid>
      <w:tr>
        <w:tblPrEx>
          <w:tblCellMar>
            <w:top w:w="0" w:type="dxa"/>
            <w:left w:w="0" w:type="dxa"/>
            <w:bottom w:w="0" w:type="dxa"/>
            <w:right w:w="0" w:type="dxa"/>
          </w:tblCellMar>
        </w:tblPrEx>
        <w:trPr>
          <w:trHeight w:val="570" w:hRule="atLeast"/>
        </w:trPr>
        <w:tc>
          <w:tcPr>
            <w:tcW w:w="10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jc w:val="center"/>
              <w:textAlignment w:val="center"/>
              <w:rPr>
                <w:rFonts w:ascii="仿宋" w:hAnsi="仿宋" w:eastAsia="仿宋"/>
                <w:b/>
                <w:bCs/>
                <w:sz w:val="24"/>
              </w:rPr>
            </w:pPr>
            <w:r>
              <w:rPr>
                <w:rFonts w:hint="eastAsia" w:ascii="仿宋" w:hAnsi="仿宋" w:eastAsia="仿宋"/>
                <w:b/>
                <w:bCs/>
                <w:kern w:val="0"/>
                <w:sz w:val="24"/>
              </w:rPr>
              <w:t>序号</w:t>
            </w:r>
          </w:p>
        </w:tc>
        <w:tc>
          <w:tcPr>
            <w:tcW w:w="2060"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jc w:val="center"/>
              <w:textAlignment w:val="center"/>
              <w:rPr>
                <w:rFonts w:ascii="仿宋" w:hAnsi="仿宋" w:eastAsia="仿宋"/>
                <w:b/>
                <w:bCs/>
                <w:sz w:val="24"/>
              </w:rPr>
            </w:pPr>
            <w:r>
              <w:rPr>
                <w:rFonts w:hint="eastAsia" w:ascii="仿宋" w:hAnsi="仿宋" w:eastAsia="仿宋"/>
                <w:b/>
                <w:bCs/>
                <w:kern w:val="0"/>
                <w:sz w:val="24"/>
              </w:rPr>
              <w:t>数据名称</w:t>
            </w:r>
          </w:p>
        </w:tc>
        <w:tc>
          <w:tcPr>
            <w:tcW w:w="2120"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jc w:val="center"/>
              <w:textAlignment w:val="center"/>
              <w:rPr>
                <w:rFonts w:ascii="仿宋" w:hAnsi="仿宋" w:eastAsia="仿宋"/>
                <w:b/>
                <w:bCs/>
                <w:sz w:val="24"/>
              </w:rPr>
            </w:pPr>
            <w:r>
              <w:rPr>
                <w:rFonts w:hint="eastAsia" w:ascii="仿宋" w:hAnsi="仿宋" w:eastAsia="仿宋"/>
                <w:b/>
                <w:bCs/>
                <w:kern w:val="0"/>
                <w:sz w:val="24"/>
              </w:rPr>
              <w:t>数源单位</w:t>
            </w:r>
          </w:p>
        </w:tc>
        <w:tc>
          <w:tcPr>
            <w:tcW w:w="1440"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jc w:val="center"/>
              <w:textAlignment w:val="center"/>
              <w:rPr>
                <w:rFonts w:ascii="仿宋" w:hAnsi="仿宋" w:eastAsia="仿宋"/>
                <w:b/>
                <w:bCs/>
                <w:sz w:val="24"/>
              </w:rPr>
            </w:pPr>
            <w:r>
              <w:rPr>
                <w:rFonts w:hint="eastAsia" w:ascii="仿宋" w:hAnsi="仿宋" w:eastAsia="仿宋"/>
                <w:b/>
                <w:bCs/>
                <w:kern w:val="0"/>
                <w:sz w:val="24"/>
              </w:rPr>
              <w:t>领域分类</w:t>
            </w:r>
          </w:p>
        </w:tc>
        <w:tc>
          <w:tcPr>
            <w:tcW w:w="1040"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jc w:val="center"/>
              <w:textAlignment w:val="center"/>
              <w:rPr>
                <w:rFonts w:ascii="仿宋" w:hAnsi="仿宋" w:eastAsia="仿宋"/>
                <w:b/>
                <w:bCs/>
                <w:sz w:val="24"/>
              </w:rPr>
            </w:pPr>
            <w:r>
              <w:rPr>
                <w:rFonts w:hint="eastAsia" w:ascii="仿宋" w:hAnsi="仿宋" w:eastAsia="仿宋"/>
                <w:b/>
                <w:bCs/>
                <w:kern w:val="0"/>
                <w:sz w:val="24"/>
              </w:rPr>
              <w:t>更新频率</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实时水雨情数据信息查询接口</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余杭区/余杭区林业水利局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省下发_1公里网格降水预报信息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杭州市/杭州市数据资源管理局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气象服务</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小时级</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数字公交线路信息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w:t>
            </w:r>
            <w:r>
              <w:rPr>
                <w:rFonts w:ascii="仿宋" w:hAnsi="仿宋" w:eastAsia="仿宋"/>
                <w:sz w:val="24"/>
              </w:rPr>
              <w:t>/余杭区文化和广电旅游体育局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生活服务</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4</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公交站点线路轨迹信息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余杭区/余杭区交通运输局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每月</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5</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客运站点信息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余杭区/余杭区交通运输局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6</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营运出租车车辆信息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余杭区/余杭区交通运输局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7</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浙江杭州交警道路拥堵预警信息查询</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杭州市/杭州市政府办公厅</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8</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城市道路交通事故信息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杭州市/杭州市政府办公厅</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9</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浙江省杭州市气象局预警信号当前预警信号详细信息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杭州市/杭州市气象局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10</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杭州市地铁集团-车站首末班车时间接口</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杭州市/市地铁集团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11</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杭州市地铁集团-交通枢纽站点出站客流接口</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杭州市/市地铁集团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12</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杭州市地铁集团-交通枢纽站点进站客流接口</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杭州市/市地铁集团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13</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杭州市地铁集团_车站昨日客流接口信息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杭州市/市地铁集团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14</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杭州市地铁集团-线网列车准点率接口</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杭州市/市地铁集团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15</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省下发_重点营运车辆联网联控信息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余杭区/余杭区交通运输局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每月</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16</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省下发_台风路径信息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余杭区/余杭区区气象局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气象服务</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17</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杭州市地铁集团-计划时刻信息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杭州市/市地铁集团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每日</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18</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杭州市地铁集团-车站当日分时段客流信息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杭州市/市地铁集团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每日</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19</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浙江杭州市城投集团公交日运营信息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杭州市/市城投集团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分钟级</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20</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公交车GPS数据信息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杭州市/市城投集团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分钟级</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21</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浙江杭州市城管局停车场指数</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杭州市/杭州市城管局（杭州市综合行政执法局）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22</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浙江杭州市城管局区域停车诱导数据</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杭州市/杭州市城管局（杭州市综合行政执法局）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23</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杭州市地铁集团_线路日总客流信息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杭州市/市地铁集团</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每日</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24</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杭州市出租车从业人员资格信息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杭州市/杭州市交通运输局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25</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台风实况信息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杭州市/杭州市气象局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气象服务</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26</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杭州市警情及出动车辆信息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杭州市/杭州市消防救援支队</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公共安全</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小时级</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27</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给中枢提供杭州市的道路速度信息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杭州市/杭州市公安局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交通运输</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每日</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28</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消防通道堵塞事件信息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余杭区/余杭区委政法委</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公共安全</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每日</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29</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舆情处置案件信息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余杭区/中共杭州市余杭区委宣传部</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公共安全,安全生产</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30</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物联感知-杭州市消防救援支队-物联感知设备/部件状态信息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杭州市/杭州市消防救援支队</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安全生产</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分钟级</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31</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物联感知-杭州市消防救援支队-火灾预警信息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杭州市/杭州市消防救援支队</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安全生产</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分钟级</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32</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杭州火灾数据信息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杭州市/杭州市消防救援支队</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安全生产</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33</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物联感知-杭州市消防救援支队-火灾预警处置信息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杭州市/杭州市消防救援支队</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安全生产</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分钟级</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34</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物联感知-杭州市消防救援支队-消防建筑物信息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杭州市/杭州市消防救援支队</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安全生产</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分钟级</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35</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城市CT事件协同处置信息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余杭区/余杭区应急管理局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公共安全</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每日</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36</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基础地理框架道路地理信息</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杭州市/杭州市规划和自然资源局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地理空间</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每年</w:t>
            </w:r>
          </w:p>
        </w:tc>
      </w:tr>
      <w:tr>
        <w:tblPrEx>
          <w:tblCellMar>
            <w:top w:w="0" w:type="dxa"/>
            <w:left w:w="0" w:type="dxa"/>
            <w:bottom w:w="0" w:type="dxa"/>
            <w:right w:w="0" w:type="dxa"/>
          </w:tblCellMar>
        </w:tblPrEx>
        <w:trPr>
          <w:trHeight w:val="570" w:hRule="atLeast"/>
        </w:trPr>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37</w:t>
            </w:r>
          </w:p>
        </w:tc>
        <w:tc>
          <w:tcPr>
            <w:tcW w:w="20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center"/>
              <w:textAlignment w:val="center"/>
              <w:rPr>
                <w:rFonts w:ascii="仿宋" w:hAnsi="仿宋" w:eastAsia="仿宋"/>
                <w:sz w:val="24"/>
              </w:rPr>
            </w:pPr>
            <w:r>
              <w:rPr>
                <w:rFonts w:hint="eastAsia" w:ascii="仿宋" w:hAnsi="仿宋" w:eastAsia="仿宋"/>
                <w:kern w:val="0"/>
                <w:sz w:val="24"/>
              </w:rPr>
              <w:t>杭州市电子地图接口</w:t>
            </w:r>
          </w:p>
        </w:tc>
        <w:tc>
          <w:tcPr>
            <w:tcW w:w="21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杭州市/杭州市规划和自然资源局</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　</w:t>
            </w: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jc w:val="left"/>
              <w:textAlignment w:val="center"/>
              <w:rPr>
                <w:rFonts w:ascii="仿宋" w:hAnsi="仿宋" w:eastAsia="仿宋"/>
                <w:sz w:val="24"/>
              </w:rPr>
            </w:pPr>
            <w:r>
              <w:rPr>
                <w:rFonts w:hint="eastAsia" w:ascii="仿宋" w:hAnsi="仿宋" w:eastAsia="仿宋"/>
                <w:kern w:val="0"/>
                <w:sz w:val="24"/>
              </w:rPr>
              <w:t>API实时</w:t>
            </w:r>
          </w:p>
        </w:tc>
      </w:tr>
    </w:tbl>
    <w:p>
      <w:pPr>
        <w:widowControl/>
        <w:adjustRightInd/>
        <w:ind w:left="780"/>
        <w:rPr>
          <w:rFonts w:ascii="仿宋" w:hAnsi="仿宋" w:eastAsia="仿宋"/>
          <w:sz w:val="24"/>
        </w:rPr>
      </w:pPr>
      <w:r>
        <w:rPr>
          <w:rFonts w:hint="eastAsia" w:ascii="仿宋" w:hAnsi="仿宋" w:eastAsia="仿宋"/>
          <w:sz w:val="24"/>
        </w:rPr>
        <w:tab/>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2.外部数据</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外部数据为西站站体内已建、在建及未来筹建的各类数据，本系统所需下列站体内数据（包括但不限于），</w:t>
      </w:r>
      <w:r>
        <w:rPr>
          <w:rFonts w:hint="eastAsia" w:ascii="仿宋" w:hAnsi="仿宋" w:eastAsia="仿宋"/>
          <w:b/>
          <w:bCs/>
          <w:sz w:val="24"/>
        </w:rPr>
        <w:t>投标人需提供该类数据的接入工作</w:t>
      </w:r>
      <w:r>
        <w:rPr>
          <w:rFonts w:hint="eastAsia" w:ascii="仿宋" w:hAnsi="仿宋" w:eastAsia="仿宋"/>
          <w:sz w:val="24"/>
        </w:rPr>
        <w:t>，招标人可提供协调工作；</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 xml:space="preserve"> </w:t>
      </w:r>
    </w:p>
    <w:tbl>
      <w:tblPr>
        <w:tblStyle w:val="62"/>
        <w:tblW w:w="6633" w:type="dxa"/>
        <w:jc w:val="center"/>
        <w:tblLayout w:type="fixed"/>
        <w:tblCellMar>
          <w:top w:w="0" w:type="dxa"/>
          <w:left w:w="108" w:type="dxa"/>
          <w:bottom w:w="0" w:type="dxa"/>
          <w:right w:w="108" w:type="dxa"/>
        </w:tblCellMar>
      </w:tblPr>
      <w:tblGrid>
        <w:gridCol w:w="563"/>
        <w:gridCol w:w="849"/>
        <w:gridCol w:w="709"/>
        <w:gridCol w:w="1125"/>
        <w:gridCol w:w="1678"/>
        <w:gridCol w:w="1709"/>
      </w:tblGrid>
      <w:tr>
        <w:tblPrEx>
          <w:tblCellMar>
            <w:top w:w="0" w:type="dxa"/>
            <w:left w:w="108" w:type="dxa"/>
            <w:bottom w:w="0" w:type="dxa"/>
            <w:right w:w="108" w:type="dxa"/>
          </w:tblCellMar>
        </w:tblPrEx>
        <w:trPr>
          <w:trHeight w:val="310"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val="0"/>
              <w:jc w:val="left"/>
              <w:rPr>
                <w:rFonts w:ascii="仿宋" w:hAnsi="仿宋" w:eastAsia="仿宋"/>
                <w:b/>
                <w:bCs/>
                <w:sz w:val="24"/>
              </w:rPr>
            </w:pPr>
            <w:r>
              <w:rPr>
                <w:rFonts w:hint="eastAsia" w:ascii="仿宋" w:hAnsi="仿宋" w:eastAsia="仿宋"/>
                <w:b/>
                <w:bCs/>
                <w:kern w:val="0"/>
                <w:sz w:val="24"/>
              </w:rPr>
              <w:t>序号</w:t>
            </w:r>
          </w:p>
        </w:tc>
        <w:tc>
          <w:tcPr>
            <w:tcW w:w="849" w:type="dxa"/>
            <w:vMerge w:val="restart"/>
            <w:tcBorders>
              <w:top w:val="single" w:color="auto" w:sz="4" w:space="0"/>
              <w:left w:val="nil"/>
              <w:bottom w:val="single" w:color="auto" w:sz="4" w:space="0"/>
              <w:right w:val="single" w:color="auto" w:sz="4" w:space="0"/>
            </w:tcBorders>
            <w:shd w:val="clear" w:color="auto" w:fill="auto"/>
            <w:vAlign w:val="center"/>
          </w:tcPr>
          <w:p>
            <w:pPr>
              <w:widowControl/>
              <w:adjustRightInd/>
              <w:snapToGrid w:val="0"/>
              <w:jc w:val="left"/>
              <w:rPr>
                <w:rFonts w:ascii="仿宋" w:hAnsi="仿宋" w:eastAsia="仿宋"/>
                <w:b/>
                <w:bCs/>
                <w:sz w:val="24"/>
              </w:rPr>
            </w:pPr>
            <w:r>
              <w:rPr>
                <w:rFonts w:hint="eastAsia" w:ascii="仿宋" w:hAnsi="仿宋" w:eastAsia="仿宋"/>
                <w:b/>
                <w:bCs/>
                <w:kern w:val="0"/>
                <w:sz w:val="24"/>
              </w:rPr>
              <w:t>数据资源名称</w:t>
            </w: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widowControl/>
              <w:adjustRightInd/>
              <w:snapToGrid w:val="0"/>
              <w:jc w:val="left"/>
              <w:rPr>
                <w:rFonts w:ascii="仿宋" w:hAnsi="仿宋" w:eastAsia="仿宋"/>
                <w:b/>
                <w:bCs/>
                <w:sz w:val="24"/>
              </w:rPr>
            </w:pPr>
            <w:r>
              <w:rPr>
                <w:rFonts w:hint="eastAsia" w:ascii="仿宋" w:hAnsi="仿宋" w:eastAsia="仿宋"/>
                <w:b/>
                <w:bCs/>
                <w:kern w:val="0"/>
                <w:sz w:val="24"/>
              </w:rPr>
              <w:t>数据格式</w:t>
            </w:r>
          </w:p>
        </w:tc>
        <w:tc>
          <w:tcPr>
            <w:tcW w:w="1125" w:type="dxa"/>
            <w:vMerge w:val="restart"/>
            <w:tcBorders>
              <w:top w:val="single" w:color="auto" w:sz="4" w:space="0"/>
              <w:left w:val="nil"/>
              <w:bottom w:val="single" w:color="auto" w:sz="4" w:space="0"/>
              <w:right w:val="single" w:color="auto" w:sz="4" w:space="0"/>
            </w:tcBorders>
            <w:shd w:val="clear" w:color="auto" w:fill="FFFFFF"/>
            <w:vAlign w:val="center"/>
          </w:tcPr>
          <w:p>
            <w:pPr>
              <w:widowControl/>
              <w:adjustRightInd/>
              <w:snapToGrid w:val="0"/>
              <w:jc w:val="left"/>
              <w:rPr>
                <w:rFonts w:ascii="仿宋" w:hAnsi="仿宋" w:eastAsia="仿宋"/>
                <w:b/>
                <w:bCs/>
                <w:sz w:val="24"/>
              </w:rPr>
            </w:pPr>
            <w:r>
              <w:rPr>
                <w:rFonts w:hint="eastAsia" w:ascii="仿宋" w:hAnsi="仿宋" w:eastAsia="仿宋"/>
                <w:b/>
                <w:bCs/>
                <w:kern w:val="0"/>
                <w:sz w:val="24"/>
              </w:rPr>
              <w:t>数源系统名称</w:t>
            </w:r>
          </w:p>
        </w:tc>
        <w:tc>
          <w:tcPr>
            <w:tcW w:w="3387" w:type="dxa"/>
            <w:gridSpan w:val="2"/>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b/>
                <w:bCs/>
                <w:sz w:val="24"/>
              </w:rPr>
            </w:pPr>
            <w:r>
              <w:rPr>
                <w:rFonts w:hint="eastAsia" w:ascii="仿宋" w:hAnsi="仿宋" w:eastAsia="仿宋"/>
                <w:b/>
                <w:bCs/>
                <w:kern w:val="0"/>
                <w:sz w:val="24"/>
              </w:rPr>
              <w:t>主要数据项</w:t>
            </w:r>
          </w:p>
        </w:tc>
      </w:tr>
      <w:tr>
        <w:tblPrEx>
          <w:tblCellMar>
            <w:top w:w="0" w:type="dxa"/>
            <w:left w:w="108" w:type="dxa"/>
            <w:bottom w:w="0" w:type="dxa"/>
            <w:right w:w="108" w:type="dxa"/>
          </w:tblCellMar>
        </w:tblPrEx>
        <w:trPr>
          <w:trHeight w:val="310"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 w:hAnsi="仿宋" w:eastAsia="仿宋"/>
                <w:b/>
                <w:bCs/>
                <w:sz w:val="24"/>
              </w:rPr>
            </w:pPr>
          </w:p>
        </w:tc>
        <w:tc>
          <w:tcPr>
            <w:tcW w:w="849" w:type="dxa"/>
            <w:vMerge w:val="continue"/>
            <w:tcBorders>
              <w:top w:val="single" w:color="auto" w:sz="4" w:space="0"/>
              <w:left w:val="nil"/>
              <w:bottom w:val="single" w:color="auto" w:sz="4" w:space="0"/>
              <w:right w:val="single" w:color="auto" w:sz="4" w:space="0"/>
            </w:tcBorders>
            <w:vAlign w:val="center"/>
          </w:tcPr>
          <w:p>
            <w:pPr>
              <w:widowControl/>
              <w:adjustRightInd/>
              <w:jc w:val="left"/>
              <w:rPr>
                <w:rFonts w:ascii="仿宋" w:hAnsi="仿宋" w:eastAsia="仿宋"/>
                <w:b/>
                <w:bCs/>
                <w:sz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adjustRightInd/>
              <w:jc w:val="left"/>
              <w:rPr>
                <w:rFonts w:ascii="仿宋" w:hAnsi="仿宋" w:eastAsia="仿宋"/>
                <w:b/>
                <w:bCs/>
                <w:sz w:val="24"/>
              </w:rPr>
            </w:pPr>
          </w:p>
        </w:tc>
        <w:tc>
          <w:tcPr>
            <w:tcW w:w="1125" w:type="dxa"/>
            <w:vMerge w:val="continue"/>
            <w:tcBorders>
              <w:top w:val="single" w:color="auto" w:sz="4" w:space="0"/>
              <w:left w:val="nil"/>
              <w:bottom w:val="single" w:color="auto" w:sz="4" w:space="0"/>
              <w:right w:val="single" w:color="auto" w:sz="4" w:space="0"/>
            </w:tcBorders>
            <w:vAlign w:val="center"/>
          </w:tcPr>
          <w:p>
            <w:pPr>
              <w:widowControl/>
              <w:adjustRightInd/>
              <w:jc w:val="left"/>
              <w:rPr>
                <w:rFonts w:ascii="仿宋" w:hAnsi="仿宋" w:eastAsia="仿宋"/>
                <w:b/>
                <w:bCs/>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b/>
                <w:bCs/>
                <w:sz w:val="24"/>
              </w:rPr>
            </w:pPr>
            <w:r>
              <w:rPr>
                <w:rFonts w:hint="eastAsia" w:ascii="仿宋" w:hAnsi="仿宋" w:eastAsia="仿宋"/>
                <w:b/>
                <w:bCs/>
                <w:kern w:val="0"/>
                <w:sz w:val="24"/>
              </w:rPr>
              <w:t>数据项名称</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b/>
                <w:bCs/>
                <w:sz w:val="24"/>
              </w:rPr>
            </w:pPr>
            <w:r>
              <w:rPr>
                <w:rFonts w:hint="eastAsia" w:ascii="仿宋" w:hAnsi="仿宋" w:eastAsia="仿宋"/>
                <w:b/>
                <w:bCs/>
                <w:kern w:val="0"/>
                <w:sz w:val="24"/>
              </w:rPr>
              <w:t>字段描述</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1</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用电数据</w:t>
            </w:r>
          </w:p>
        </w:tc>
        <w:tc>
          <w:tcPr>
            <w:tcW w:w="70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电力监控数据</w:t>
            </w:r>
          </w:p>
        </w:tc>
        <w:tc>
          <w:tcPr>
            <w:tcW w:w="1678"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电力监控数据</w:t>
            </w:r>
          </w:p>
        </w:tc>
        <w:tc>
          <w:tcPr>
            <w:tcW w:w="1709"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电力监控数据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UPS设备及电池运行状态数据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UPS设备及电池运行状态数据</w:t>
            </w:r>
          </w:p>
        </w:tc>
      </w:tr>
      <w:tr>
        <w:tblPrEx>
          <w:tblCellMar>
            <w:top w:w="0" w:type="dxa"/>
            <w:left w:w="108" w:type="dxa"/>
            <w:bottom w:w="0" w:type="dxa"/>
            <w:right w:w="108" w:type="dxa"/>
          </w:tblCellMar>
        </w:tblPrEx>
        <w:trPr>
          <w:trHeight w:val="31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2</w:t>
            </w:r>
          </w:p>
        </w:tc>
        <w:tc>
          <w:tcPr>
            <w:tcW w:w="849"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用水数据</w:t>
            </w:r>
          </w:p>
        </w:tc>
        <w:tc>
          <w:tcPr>
            <w:tcW w:w="709" w:type="dxa"/>
            <w:tcBorders>
              <w:top w:val="single" w:color="auto" w:sz="4" w:space="0"/>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给排水监控数据</w:t>
            </w:r>
          </w:p>
        </w:tc>
        <w:tc>
          <w:tcPr>
            <w:tcW w:w="1678"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给排水监控数据</w:t>
            </w:r>
          </w:p>
        </w:tc>
        <w:tc>
          <w:tcPr>
            <w:tcW w:w="1709"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给排水监控数据</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3</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FAS（消防）数据</w:t>
            </w:r>
          </w:p>
        </w:tc>
        <w:tc>
          <w:tcPr>
            <w:tcW w:w="709" w:type="dxa"/>
            <w:vMerge w:val="restart"/>
            <w:tcBorders>
              <w:top w:val="nil"/>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消防自动化报警</w:t>
            </w:r>
          </w:p>
        </w:tc>
        <w:tc>
          <w:tcPr>
            <w:tcW w:w="1678" w:type="dxa"/>
            <w:tcBorders>
              <w:top w:val="single" w:color="auto" w:sz="4" w:space="0"/>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FAS主机状态数据</w:t>
            </w:r>
          </w:p>
        </w:tc>
        <w:tc>
          <w:tcPr>
            <w:tcW w:w="1709" w:type="dxa"/>
            <w:tcBorders>
              <w:top w:val="single" w:color="auto" w:sz="4" w:space="0"/>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FAS主机状态数据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消防设备的运行数据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消防设备的运行数据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安防设备运行数据（监控数据）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安防设备运行数据（监控数据）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巡查信息数据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巡查信息数据</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4</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停车道闸数据</w:t>
            </w:r>
          </w:p>
        </w:tc>
        <w:tc>
          <w:tcPr>
            <w:tcW w:w="70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停车场管理系统</w:t>
            </w:r>
          </w:p>
        </w:tc>
        <w:tc>
          <w:tcPr>
            <w:tcW w:w="1678" w:type="dxa"/>
            <w:tcBorders>
              <w:top w:val="single" w:color="auto" w:sz="4" w:space="0"/>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门禁状态</w:t>
            </w:r>
          </w:p>
        </w:tc>
        <w:tc>
          <w:tcPr>
            <w:tcW w:w="1709" w:type="dxa"/>
            <w:tcBorders>
              <w:top w:val="single" w:color="auto" w:sz="4" w:space="0"/>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门禁状态</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停车场运营状态数据（车位总数、车位剩余数等）</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停车场运营状态数据（车位总数、车位剩余数等）</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信息发布屏运行状态数据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信息发布屏运行状态数据</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5</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能耗数据</w:t>
            </w:r>
          </w:p>
        </w:tc>
        <w:tc>
          <w:tcPr>
            <w:tcW w:w="709" w:type="dxa"/>
            <w:vMerge w:val="restart"/>
            <w:tcBorders>
              <w:top w:val="nil"/>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监测系统</w:t>
            </w:r>
          </w:p>
        </w:tc>
        <w:tc>
          <w:tcPr>
            <w:tcW w:w="1678" w:type="dxa"/>
            <w:tcBorders>
              <w:top w:val="single" w:color="auto" w:sz="4" w:space="0"/>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智能照明数据</w:t>
            </w:r>
          </w:p>
        </w:tc>
        <w:tc>
          <w:tcPr>
            <w:tcW w:w="1709" w:type="dxa"/>
            <w:vMerge w:val="restart"/>
            <w:tcBorders>
              <w:top w:val="nil"/>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智能照明数据</w:t>
            </w:r>
          </w:p>
          <w:p>
            <w:pPr>
              <w:widowControl/>
              <w:adjustRightInd/>
              <w:jc w:val="left"/>
              <w:textAlignment w:val="center"/>
              <w:rPr>
                <w:rFonts w:ascii="仿宋" w:hAnsi="仿宋" w:eastAsia="仿宋"/>
                <w:kern w:val="0"/>
                <w:sz w:val="24"/>
              </w:rPr>
            </w:pPr>
            <w:r>
              <w:rPr>
                <w:rFonts w:hint="eastAsia" w:ascii="仿宋" w:hAnsi="仿宋" w:eastAsia="仿宋"/>
                <w:kern w:val="0"/>
                <w:sz w:val="24"/>
              </w:rPr>
              <w:t>工区能耗统计数据</w:t>
            </w:r>
          </w:p>
          <w:p>
            <w:pPr>
              <w:widowControl/>
              <w:adjustRightInd/>
              <w:jc w:val="left"/>
              <w:textAlignment w:val="center"/>
              <w:rPr>
                <w:rFonts w:ascii="仿宋" w:hAnsi="仿宋" w:eastAsia="仿宋"/>
                <w:kern w:val="0"/>
                <w:sz w:val="24"/>
              </w:rPr>
            </w:pPr>
            <w:r>
              <w:rPr>
                <w:rFonts w:hint="eastAsia" w:ascii="仿宋" w:hAnsi="仿宋" w:eastAsia="仿宋"/>
                <w:kern w:val="0"/>
                <w:sz w:val="24"/>
              </w:rPr>
              <w:t>节能措施数据</w:t>
            </w:r>
          </w:p>
          <w:p>
            <w:pPr>
              <w:widowControl/>
              <w:adjustRightInd/>
              <w:jc w:val="left"/>
              <w:textAlignment w:val="center"/>
              <w:rPr>
                <w:rFonts w:ascii="仿宋" w:hAnsi="仿宋" w:eastAsia="仿宋"/>
                <w:kern w:val="0"/>
                <w:sz w:val="24"/>
              </w:rPr>
            </w:pPr>
            <w:r>
              <w:rPr>
                <w:rFonts w:hint="eastAsia" w:ascii="仿宋" w:hAnsi="仿宋" w:eastAsia="仿宋"/>
                <w:kern w:val="0"/>
                <w:sz w:val="24"/>
              </w:rPr>
              <w:t>用能对标分析数据</w:t>
            </w:r>
          </w:p>
          <w:p>
            <w:pPr>
              <w:widowControl/>
              <w:adjustRightInd/>
              <w:jc w:val="left"/>
              <w:textAlignment w:val="center"/>
              <w:rPr>
                <w:rFonts w:ascii="仿宋" w:hAnsi="仿宋" w:eastAsia="仿宋"/>
                <w:kern w:val="0"/>
                <w:sz w:val="24"/>
              </w:rPr>
            </w:pPr>
            <w:r>
              <w:rPr>
                <w:rFonts w:hint="eastAsia" w:ascii="仿宋" w:hAnsi="仿宋" w:eastAsia="仿宋"/>
                <w:kern w:val="0"/>
                <w:sz w:val="24"/>
              </w:rPr>
              <w:t>能耗报警预警数据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工区能耗统计数据</w:t>
            </w:r>
          </w:p>
        </w:tc>
        <w:tc>
          <w:tcPr>
            <w:tcW w:w="1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节能措施数据</w:t>
            </w:r>
          </w:p>
        </w:tc>
        <w:tc>
          <w:tcPr>
            <w:tcW w:w="1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用能对标分析数据</w:t>
            </w:r>
          </w:p>
        </w:tc>
        <w:tc>
          <w:tcPr>
            <w:tcW w:w="1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能耗报警预警数据</w:t>
            </w:r>
          </w:p>
        </w:tc>
        <w:tc>
          <w:tcPr>
            <w:tcW w:w="1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6</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一体化出行信息服务数据</w:t>
            </w:r>
          </w:p>
        </w:tc>
        <w:tc>
          <w:tcPr>
            <w:tcW w:w="709" w:type="dxa"/>
            <w:vMerge w:val="restart"/>
            <w:tcBorders>
              <w:top w:val="nil"/>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一体化出行信息服务系统</w:t>
            </w:r>
          </w:p>
        </w:tc>
        <w:tc>
          <w:tcPr>
            <w:tcW w:w="1678"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交通信息数据</w:t>
            </w:r>
          </w:p>
        </w:tc>
        <w:tc>
          <w:tcPr>
            <w:tcW w:w="1709"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交通信息数据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路况信息数据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路况信息数据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停车信息数据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停车信息数据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票务信息数据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票务信息数据</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7</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枢纽交通运行感知数据</w:t>
            </w:r>
          </w:p>
        </w:tc>
        <w:tc>
          <w:tcPr>
            <w:tcW w:w="70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枢纽交通运行感知系统</w:t>
            </w:r>
          </w:p>
        </w:tc>
        <w:tc>
          <w:tcPr>
            <w:tcW w:w="1678" w:type="dxa"/>
            <w:tcBorders>
              <w:top w:val="single" w:color="auto" w:sz="4" w:space="0"/>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城际交通运行态势感知数据</w:t>
            </w:r>
          </w:p>
        </w:tc>
        <w:tc>
          <w:tcPr>
            <w:tcW w:w="1709" w:type="dxa"/>
            <w:tcBorders>
              <w:top w:val="single" w:color="auto" w:sz="4" w:space="0"/>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城际交通运行态势感知数据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市域交通运行态势感知数据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市域交通运行态势感知数据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站域交通运行态势感知数据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站域交通运行态势感知数据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交通客流分析数据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交通客流分析数据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交通资源分析数据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交通资源分析数据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周边拥堵分析数据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周边拥堵分析数据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交通预警数据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交通预警数据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客流预警数据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客流预警数据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资源缺口预警数据</w:t>
            </w:r>
          </w:p>
        </w:tc>
        <w:tc>
          <w:tcPr>
            <w:tcW w:w="1709" w:type="dxa"/>
            <w:tcBorders>
              <w:top w:val="single" w:color="auto" w:sz="4" w:space="0"/>
              <w:left w:val="nil"/>
              <w:bottom w:val="single" w:color="auto" w:sz="4" w:space="0"/>
              <w:right w:val="single" w:color="auto" w:sz="4" w:space="0"/>
            </w:tcBorders>
          </w:tcPr>
          <w:p>
            <w:pPr>
              <w:widowControl/>
              <w:adjustRightInd/>
              <w:snapToGrid w:val="0"/>
              <w:jc w:val="left"/>
              <w:rPr>
                <w:rFonts w:ascii="仿宋" w:hAnsi="仿宋" w:eastAsia="仿宋"/>
                <w:kern w:val="0"/>
                <w:sz w:val="24"/>
              </w:rPr>
            </w:pPr>
            <w:r>
              <w:rPr>
                <w:rFonts w:hint="eastAsia" w:ascii="仿宋" w:hAnsi="仿宋" w:eastAsia="仿宋"/>
                <w:kern w:val="0"/>
                <w:sz w:val="24"/>
              </w:rPr>
              <w:t>资源缺口预警数据</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8</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枢纽内部数据</w:t>
            </w:r>
          </w:p>
        </w:tc>
        <w:tc>
          <w:tcPr>
            <w:tcW w:w="709" w:type="dxa"/>
            <w:vMerge w:val="restart"/>
            <w:tcBorders>
              <w:top w:val="nil"/>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枢纽内部数据应用服务系统</w:t>
            </w:r>
          </w:p>
        </w:tc>
        <w:tc>
          <w:tcPr>
            <w:tcW w:w="1678"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枢纽内部空间引导数据</w:t>
            </w:r>
          </w:p>
        </w:tc>
        <w:tc>
          <w:tcPr>
            <w:tcW w:w="1709"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枢纽内部空间引导数据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枢纽内部场站停车数据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枢纽内部场站停车数据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b/>
                <w:bCs/>
                <w:kern w:val="0"/>
                <w:sz w:val="24"/>
              </w:rPr>
              <w:t>枢纽内部视频数据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枢纽内部视频数据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枢纽内部动线规划数据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枢纽内部动线规划数据</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9</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枢纽外部数据</w:t>
            </w:r>
          </w:p>
        </w:tc>
        <w:tc>
          <w:tcPr>
            <w:tcW w:w="709" w:type="dxa"/>
            <w:vMerge w:val="restart"/>
            <w:tcBorders>
              <w:top w:val="nil"/>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枢纽外部数据应用服务系统</w:t>
            </w:r>
          </w:p>
        </w:tc>
        <w:tc>
          <w:tcPr>
            <w:tcW w:w="1678"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枢纽外部交通小区数据</w:t>
            </w:r>
          </w:p>
        </w:tc>
        <w:tc>
          <w:tcPr>
            <w:tcW w:w="1709"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枢纽外部交通小区数据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枢纽外部道路数据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枢纽外部道路数据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枢纽外部交通动态数据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枢纽外部交通动态数据</w:t>
            </w:r>
          </w:p>
        </w:tc>
      </w:tr>
      <w:tr>
        <w:tblPrEx>
          <w:tblCellMar>
            <w:top w:w="0" w:type="dxa"/>
            <w:left w:w="108" w:type="dxa"/>
            <w:bottom w:w="0" w:type="dxa"/>
            <w:right w:w="108" w:type="dxa"/>
          </w:tblCellMar>
        </w:tblPrEx>
        <w:trPr>
          <w:trHeight w:val="495"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枢纽外部客流吸引力数据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枢纽外部客流吸引力数据</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10</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数据指标数据</w:t>
            </w:r>
          </w:p>
        </w:tc>
        <w:tc>
          <w:tcPr>
            <w:tcW w:w="709" w:type="dxa"/>
            <w:vMerge w:val="restart"/>
            <w:tcBorders>
              <w:top w:val="nil"/>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枢纽外部数据应用服务系统</w:t>
            </w:r>
          </w:p>
        </w:tc>
        <w:tc>
          <w:tcPr>
            <w:tcW w:w="1678"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枢纽运行指标体系数据</w:t>
            </w:r>
          </w:p>
        </w:tc>
        <w:tc>
          <w:tcPr>
            <w:tcW w:w="1709"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枢纽运行指标体系数据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道路交通运行指标体系数据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道路交通运行指标体系数据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路网建设指标体系数据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路网建设指标体系数据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公共交通运行指标体系数据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公共交通运行指标体系数据</w:t>
            </w:r>
          </w:p>
        </w:tc>
      </w:tr>
      <w:tr>
        <w:tblPrEx>
          <w:tblCellMar>
            <w:top w:w="0" w:type="dxa"/>
            <w:left w:w="108" w:type="dxa"/>
            <w:bottom w:w="0" w:type="dxa"/>
            <w:right w:w="108" w:type="dxa"/>
          </w:tblCellMar>
        </w:tblPrEx>
        <w:trPr>
          <w:trHeight w:val="310" w:hRule="atLeast"/>
          <w:jc w:val="center"/>
        </w:trPr>
        <w:tc>
          <w:tcPr>
            <w:tcW w:w="563" w:type="dxa"/>
            <w:vMerge w:val="restart"/>
            <w:tcBorders>
              <w:top w:val="nil"/>
              <w:left w:val="single" w:color="auto" w:sz="4" w:space="0"/>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11</w:t>
            </w:r>
          </w:p>
        </w:tc>
        <w:tc>
          <w:tcPr>
            <w:tcW w:w="849"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一体化设备智能云数据</w:t>
            </w:r>
          </w:p>
        </w:tc>
        <w:tc>
          <w:tcPr>
            <w:tcW w:w="709" w:type="dxa"/>
            <w:vMerge w:val="restart"/>
            <w:tcBorders>
              <w:top w:val="nil"/>
              <w:left w:val="nil"/>
              <w:bottom w:val="single" w:color="auto" w:sz="4" w:space="0"/>
              <w:right w:val="single" w:color="auto" w:sz="4" w:space="0"/>
            </w:tcBorders>
          </w:tcPr>
          <w:p>
            <w:pPr>
              <w:widowControl/>
              <w:adjustRightInd/>
              <w:jc w:val="left"/>
              <w:textAlignment w:val="center"/>
              <w:rPr>
                <w:rFonts w:ascii="仿宋" w:hAnsi="仿宋" w:eastAsia="仿宋"/>
                <w:kern w:val="0"/>
                <w:sz w:val="24"/>
              </w:rPr>
            </w:pPr>
            <w:r>
              <w:rPr>
                <w:rFonts w:hint="eastAsia" w:ascii="仿宋" w:hAnsi="仿宋" w:eastAsia="仿宋"/>
                <w:kern w:val="0"/>
                <w:sz w:val="24"/>
              </w:rPr>
              <w:t>接口类</w:t>
            </w:r>
          </w:p>
        </w:tc>
        <w:tc>
          <w:tcPr>
            <w:tcW w:w="1125" w:type="dxa"/>
            <w:vMerge w:val="restart"/>
            <w:tcBorders>
              <w:top w:val="nil"/>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一体化设备智能云可视化系统</w:t>
            </w:r>
          </w:p>
        </w:tc>
        <w:tc>
          <w:tcPr>
            <w:tcW w:w="1678"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维保数据</w:t>
            </w:r>
          </w:p>
        </w:tc>
        <w:tc>
          <w:tcPr>
            <w:tcW w:w="1709" w:type="dxa"/>
            <w:tcBorders>
              <w:top w:val="single" w:color="auto" w:sz="4" w:space="0"/>
              <w:left w:val="nil"/>
              <w:bottom w:val="single" w:color="auto" w:sz="4" w:space="0"/>
              <w:right w:val="single" w:color="auto" w:sz="4" w:space="0"/>
            </w:tcBorders>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维保数据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服务人员统计数据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服务人员统计数据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服务质量数据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服务质量数据</w:t>
            </w:r>
          </w:p>
        </w:tc>
      </w:tr>
      <w:tr>
        <w:tblPrEx>
          <w:tblCellMar>
            <w:top w:w="0" w:type="dxa"/>
            <w:left w:w="108" w:type="dxa"/>
            <w:bottom w:w="0" w:type="dxa"/>
            <w:right w:w="108" w:type="dxa"/>
          </w:tblCellMar>
        </w:tblPrEx>
        <w:trPr>
          <w:trHeight w:val="310" w:hRule="atLeast"/>
          <w:jc w:val="center"/>
        </w:trPr>
        <w:tc>
          <w:tcPr>
            <w:tcW w:w="563"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84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709"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12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678"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运营报表及趋势信息数据</w:t>
            </w:r>
          </w:p>
        </w:tc>
        <w:tc>
          <w:tcPr>
            <w:tcW w:w="1709" w:type="dxa"/>
            <w:tcBorders>
              <w:top w:val="single" w:color="auto" w:sz="4" w:space="0"/>
              <w:left w:val="nil"/>
              <w:bottom w:val="single" w:color="auto" w:sz="4" w:space="0"/>
              <w:right w:val="single" w:color="auto" w:sz="4" w:space="0"/>
            </w:tcBorders>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运营报表及趋势信息数据</w:t>
            </w:r>
          </w:p>
        </w:tc>
      </w:tr>
    </w:tbl>
    <w:p>
      <w:pPr>
        <w:widowControl/>
        <w:adjustRightInd/>
        <w:ind w:left="780"/>
        <w:rPr>
          <w:rFonts w:ascii="仿宋" w:hAnsi="仿宋" w:eastAsia="仿宋"/>
          <w:sz w:val="24"/>
        </w:rPr>
      </w:pPr>
      <w:r>
        <w:rPr>
          <w:rFonts w:hint="eastAsia" w:ascii="仿宋" w:hAnsi="仿宋" w:eastAsia="仿宋"/>
          <w:sz w:val="24"/>
        </w:rPr>
        <w:t xml:space="preserve"> </w:t>
      </w:r>
    </w:p>
    <w:p>
      <w:pPr>
        <w:widowControl/>
        <w:adjustRightInd/>
        <w:ind w:left="780"/>
        <w:rPr>
          <w:rFonts w:ascii="仿宋" w:hAnsi="仿宋" w:eastAsia="仿宋"/>
          <w:b/>
          <w:bCs/>
          <w:sz w:val="24"/>
          <w:highlight w:val="none"/>
        </w:rPr>
      </w:pPr>
      <w:r>
        <w:rPr>
          <w:rFonts w:hint="eastAsia" w:ascii="仿宋" w:hAnsi="仿宋" w:eastAsia="仿宋"/>
          <w:b/>
          <w:bCs/>
          <w:sz w:val="24"/>
          <w:highlight w:val="none"/>
        </w:rPr>
        <w:t>注：</w:t>
      </w:r>
      <w:r>
        <w:rPr>
          <w:rFonts w:hint="eastAsia" w:eastAsia="仿宋_GB2312"/>
          <w:b/>
          <w:bCs/>
          <w:sz w:val="24"/>
          <w:highlight w:val="none"/>
        </w:rPr>
        <w:t>本项目所有与外部单位对接的视频接口费用和所需第三方接口开发费用均包含在总费用中</w:t>
      </w:r>
      <w:r>
        <w:rPr>
          <w:rFonts w:hint="eastAsia" w:ascii="仿宋" w:hAnsi="仿宋" w:eastAsia="仿宋"/>
          <w:b/>
          <w:bCs/>
          <w:sz w:val="24"/>
          <w:highlight w:val="none"/>
        </w:rPr>
        <w:t>。</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3.自采数据</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自采数据为本项目计划采购安装的物联网设备所提供的数据，该类设备的采购、安装、维护等暂不包含在此次招标内容中。本系统所需下列自采数据（包括但不限于），</w:t>
      </w:r>
      <w:r>
        <w:rPr>
          <w:rFonts w:hint="eastAsia" w:ascii="仿宋" w:hAnsi="仿宋" w:eastAsia="仿宋"/>
          <w:b/>
          <w:bCs/>
          <w:sz w:val="24"/>
        </w:rPr>
        <w:t>投标人需提供该类数据及其接入工作</w:t>
      </w:r>
      <w:r>
        <w:rPr>
          <w:rFonts w:hint="eastAsia" w:ascii="仿宋" w:hAnsi="仿宋" w:eastAsia="仿宋"/>
          <w:sz w:val="24"/>
        </w:rPr>
        <w:t>；</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 xml:space="preserve"> </w:t>
      </w:r>
    </w:p>
    <w:p>
      <w:pPr>
        <w:widowControl/>
        <w:adjustRightInd/>
        <w:ind w:left="420" w:firstLine="480" w:firstLineChars="200"/>
        <w:rPr>
          <w:rFonts w:ascii="仿宋" w:hAnsi="仿宋" w:eastAsia="仿宋"/>
          <w:sz w:val="24"/>
        </w:rPr>
      </w:pPr>
      <w:r>
        <w:rPr>
          <w:rFonts w:hint="eastAsia" w:ascii="仿宋" w:hAnsi="仿宋" w:eastAsia="仿宋"/>
          <w:sz w:val="24"/>
        </w:rPr>
        <w:t xml:space="preserve"> </w:t>
      </w:r>
    </w:p>
    <w:tbl>
      <w:tblPr>
        <w:tblStyle w:val="62"/>
        <w:tblW w:w="7040" w:type="dxa"/>
        <w:jc w:val="center"/>
        <w:tblLayout w:type="fixed"/>
        <w:tblCellMar>
          <w:top w:w="0" w:type="dxa"/>
          <w:left w:w="0" w:type="dxa"/>
          <w:bottom w:w="0" w:type="dxa"/>
          <w:right w:w="0" w:type="dxa"/>
        </w:tblCellMar>
      </w:tblPr>
      <w:tblGrid>
        <w:gridCol w:w="680"/>
        <w:gridCol w:w="1220"/>
        <w:gridCol w:w="1000"/>
        <w:gridCol w:w="1040"/>
        <w:gridCol w:w="1040"/>
        <w:gridCol w:w="2060"/>
      </w:tblGrid>
      <w:tr>
        <w:tblPrEx>
          <w:tblCellMar>
            <w:top w:w="0" w:type="dxa"/>
            <w:left w:w="0" w:type="dxa"/>
            <w:bottom w:w="0" w:type="dxa"/>
            <w:right w:w="0" w:type="dxa"/>
          </w:tblCellMar>
        </w:tblPrEx>
        <w:trPr>
          <w:trHeight w:val="555" w:hRule="atLeast"/>
          <w:jc w:val="center"/>
        </w:trPr>
        <w:tc>
          <w:tcPr>
            <w:tcW w:w="680" w:type="dxa"/>
            <w:vMerge w:val="restart"/>
            <w:tcBorders>
              <w:top w:val="single" w:color="auto" w:sz="8" w:space="0"/>
              <w:left w:val="single" w:color="auto" w:sz="8" w:space="0"/>
              <w:bottom w:val="nil"/>
              <w:right w:val="single" w:color="auto" w:sz="8" w:space="0"/>
            </w:tcBorders>
            <w:shd w:val="clear" w:color="auto" w:fill="auto"/>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序号</w:t>
            </w:r>
          </w:p>
        </w:tc>
        <w:tc>
          <w:tcPr>
            <w:tcW w:w="1220" w:type="dxa"/>
            <w:vMerge w:val="restart"/>
            <w:tcBorders>
              <w:top w:val="single" w:color="auto" w:sz="8" w:space="0"/>
              <w:left w:val="nil"/>
              <w:bottom w:val="single" w:color="000000" w:sz="8" w:space="0"/>
              <w:right w:val="single" w:color="auto" w:sz="8" w:space="0"/>
            </w:tcBorders>
            <w:shd w:val="clear" w:color="auto" w:fill="auto"/>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数据资源名称</w:t>
            </w:r>
          </w:p>
        </w:tc>
        <w:tc>
          <w:tcPr>
            <w:tcW w:w="1000" w:type="dxa"/>
            <w:vMerge w:val="restart"/>
            <w:tcBorders>
              <w:top w:val="single" w:color="auto" w:sz="8" w:space="0"/>
              <w:left w:val="nil"/>
              <w:bottom w:val="single" w:color="000000" w:sz="8" w:space="0"/>
              <w:right w:val="single" w:color="auto" w:sz="8" w:space="0"/>
            </w:tcBorders>
            <w:shd w:val="clear" w:color="auto" w:fill="auto"/>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数据格式</w:t>
            </w:r>
          </w:p>
        </w:tc>
        <w:tc>
          <w:tcPr>
            <w:tcW w:w="1040" w:type="dxa"/>
            <w:vMerge w:val="restart"/>
            <w:tcBorders>
              <w:top w:val="single" w:color="auto" w:sz="8" w:space="0"/>
              <w:left w:val="nil"/>
              <w:bottom w:val="single" w:color="000000" w:sz="8" w:space="0"/>
              <w:right w:val="single" w:color="auto" w:sz="8" w:space="0"/>
            </w:tcBorders>
            <w:shd w:val="clear" w:color="auto" w:fill="FFFFFF"/>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数源系统名称</w:t>
            </w:r>
          </w:p>
        </w:tc>
        <w:tc>
          <w:tcPr>
            <w:tcW w:w="3100" w:type="dxa"/>
            <w:gridSpan w:val="2"/>
            <w:tcBorders>
              <w:top w:val="single" w:color="auto" w:sz="8" w:space="0"/>
              <w:left w:val="nil"/>
              <w:bottom w:val="single" w:color="auto" w:sz="8" w:space="0"/>
              <w:right w:val="single" w:color="000000" w:sz="8" w:space="0"/>
            </w:tcBorders>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主要数据项</w:t>
            </w:r>
          </w:p>
        </w:tc>
      </w:tr>
      <w:tr>
        <w:tblPrEx>
          <w:tblCellMar>
            <w:top w:w="0" w:type="dxa"/>
            <w:left w:w="0" w:type="dxa"/>
            <w:bottom w:w="0" w:type="dxa"/>
            <w:right w:w="0" w:type="dxa"/>
          </w:tblCellMar>
        </w:tblPrEx>
        <w:trPr>
          <w:trHeight w:val="585" w:hRule="atLeast"/>
          <w:jc w:val="center"/>
        </w:trPr>
        <w:tc>
          <w:tcPr>
            <w:tcW w:w="680" w:type="dxa"/>
            <w:vMerge w:val="continue"/>
            <w:tcBorders>
              <w:top w:val="single" w:color="auto" w:sz="8" w:space="0"/>
              <w:left w:val="single" w:color="auto" w:sz="8" w:space="0"/>
              <w:bottom w:val="nil"/>
              <w:right w:val="single" w:color="auto" w:sz="8" w:space="0"/>
            </w:tcBorders>
            <w:vAlign w:val="center"/>
          </w:tcPr>
          <w:p>
            <w:pPr>
              <w:widowControl/>
              <w:adjustRightInd/>
              <w:jc w:val="left"/>
              <w:rPr>
                <w:rFonts w:ascii="仿宋" w:hAnsi="仿宋" w:eastAsia="仿宋"/>
                <w:b/>
                <w:bCs/>
                <w:sz w:val="24"/>
              </w:rPr>
            </w:pPr>
          </w:p>
        </w:tc>
        <w:tc>
          <w:tcPr>
            <w:tcW w:w="1220" w:type="dxa"/>
            <w:vMerge w:val="continue"/>
            <w:tcBorders>
              <w:top w:val="single" w:color="auto" w:sz="8" w:space="0"/>
              <w:left w:val="nil"/>
              <w:bottom w:val="single" w:color="000000" w:sz="8" w:space="0"/>
              <w:right w:val="single" w:color="auto" w:sz="8" w:space="0"/>
            </w:tcBorders>
            <w:vAlign w:val="center"/>
          </w:tcPr>
          <w:p>
            <w:pPr>
              <w:widowControl/>
              <w:adjustRightInd/>
              <w:jc w:val="left"/>
              <w:rPr>
                <w:rFonts w:ascii="仿宋" w:hAnsi="仿宋" w:eastAsia="仿宋"/>
                <w:b/>
                <w:bCs/>
                <w:sz w:val="24"/>
              </w:rPr>
            </w:pPr>
          </w:p>
        </w:tc>
        <w:tc>
          <w:tcPr>
            <w:tcW w:w="1000" w:type="dxa"/>
            <w:vMerge w:val="continue"/>
            <w:tcBorders>
              <w:top w:val="single" w:color="auto" w:sz="8" w:space="0"/>
              <w:left w:val="nil"/>
              <w:bottom w:val="single" w:color="000000" w:sz="8" w:space="0"/>
              <w:right w:val="single" w:color="auto" w:sz="8" w:space="0"/>
            </w:tcBorders>
            <w:vAlign w:val="center"/>
          </w:tcPr>
          <w:p>
            <w:pPr>
              <w:widowControl/>
              <w:adjustRightInd/>
              <w:jc w:val="left"/>
              <w:rPr>
                <w:rFonts w:ascii="仿宋" w:hAnsi="仿宋" w:eastAsia="仿宋"/>
                <w:b/>
                <w:bCs/>
                <w:sz w:val="24"/>
              </w:rPr>
            </w:pPr>
          </w:p>
        </w:tc>
        <w:tc>
          <w:tcPr>
            <w:tcW w:w="1040" w:type="dxa"/>
            <w:vMerge w:val="continue"/>
            <w:tcBorders>
              <w:top w:val="single" w:color="auto" w:sz="8" w:space="0"/>
              <w:left w:val="nil"/>
              <w:bottom w:val="single" w:color="000000" w:sz="8" w:space="0"/>
              <w:right w:val="single" w:color="auto" w:sz="8" w:space="0"/>
            </w:tcBorders>
            <w:vAlign w:val="center"/>
          </w:tcPr>
          <w:p>
            <w:pPr>
              <w:widowControl/>
              <w:adjustRightInd/>
              <w:jc w:val="left"/>
              <w:rPr>
                <w:rFonts w:ascii="仿宋" w:hAnsi="仿宋" w:eastAsia="仿宋"/>
                <w:b/>
                <w:bCs/>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数据项名称</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字段描述</w:t>
            </w:r>
          </w:p>
        </w:tc>
      </w:tr>
      <w:tr>
        <w:tblPrEx>
          <w:tblCellMar>
            <w:top w:w="0" w:type="dxa"/>
            <w:left w:w="0" w:type="dxa"/>
            <w:bottom w:w="0" w:type="dxa"/>
            <w:right w:w="0" w:type="dxa"/>
          </w:tblCellMar>
        </w:tblPrEx>
        <w:trPr>
          <w:trHeight w:val="585" w:hRule="atLeast"/>
          <w:jc w:val="center"/>
        </w:trPr>
        <w:tc>
          <w:tcPr>
            <w:tcW w:w="68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1</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落客平台运行状态</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数据库</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西站东、西落客平台运行状态</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东落客平台车辆数</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杭州西站东落客平台当天途径车辆数</w:t>
            </w:r>
          </w:p>
        </w:tc>
      </w:tr>
      <w:tr>
        <w:tblPrEx>
          <w:tblCellMar>
            <w:top w:w="0" w:type="dxa"/>
            <w:left w:w="0" w:type="dxa"/>
            <w:bottom w:w="0" w:type="dxa"/>
            <w:right w:w="0" w:type="dxa"/>
          </w:tblCellMar>
        </w:tblPrEx>
        <w:trPr>
          <w:trHeight w:val="870"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东落客平台运行速度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杭州西站东落客平台当天车辆平均速度</w:t>
            </w:r>
          </w:p>
        </w:tc>
      </w:tr>
      <w:tr>
        <w:tblPrEx>
          <w:tblCellMar>
            <w:top w:w="0" w:type="dxa"/>
            <w:left w:w="0" w:type="dxa"/>
            <w:bottom w:w="0" w:type="dxa"/>
            <w:right w:w="0" w:type="dxa"/>
          </w:tblCellMar>
        </w:tblPrEx>
        <w:trPr>
          <w:trHeight w:val="58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西落客平台车辆数</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杭州西站西落客平台当天途径车辆数</w:t>
            </w:r>
          </w:p>
        </w:tc>
      </w:tr>
      <w:tr>
        <w:tblPrEx>
          <w:tblCellMar>
            <w:top w:w="0" w:type="dxa"/>
            <w:left w:w="0" w:type="dxa"/>
            <w:bottom w:w="0" w:type="dxa"/>
            <w:right w:w="0" w:type="dxa"/>
          </w:tblCellMar>
        </w:tblPrEx>
        <w:trPr>
          <w:trHeight w:val="870"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西落客平台运行速度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杭州西站西落客平台当天车辆平均速度</w:t>
            </w:r>
          </w:p>
        </w:tc>
      </w:tr>
      <w:tr>
        <w:tblPrEx>
          <w:tblCellMar>
            <w:top w:w="0" w:type="dxa"/>
            <w:left w:w="0" w:type="dxa"/>
            <w:bottom w:w="0" w:type="dxa"/>
            <w:right w:w="0" w:type="dxa"/>
          </w:tblCellMar>
        </w:tblPrEx>
        <w:trPr>
          <w:trHeight w:val="30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2</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道路状态数据</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道路状态数据</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积水厚度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路面积水厚度检测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结冰厚度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路面结冰厚度检测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结冰厚度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路面结冰厚度检测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路面温度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路面温度检测</w:t>
            </w:r>
          </w:p>
        </w:tc>
      </w:tr>
      <w:tr>
        <w:tblPrEx>
          <w:tblCellMar>
            <w:top w:w="0" w:type="dxa"/>
            <w:left w:w="0" w:type="dxa"/>
            <w:bottom w:w="0" w:type="dxa"/>
            <w:right w:w="0" w:type="dxa"/>
          </w:tblCellMar>
        </w:tblPrEx>
        <w:trPr>
          <w:trHeight w:val="30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3</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地下空间地质健康数据</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地下空间地质健康数据</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预警类型</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预警类型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预警产生时间</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预警对象</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预警对象</w:t>
            </w:r>
          </w:p>
        </w:tc>
      </w:tr>
      <w:tr>
        <w:tblPrEx>
          <w:tblCellMar>
            <w:top w:w="0" w:type="dxa"/>
            <w:left w:w="0" w:type="dxa"/>
            <w:bottom w:w="0" w:type="dxa"/>
            <w:right w:w="0" w:type="dxa"/>
          </w:tblCellMar>
        </w:tblPrEx>
        <w:trPr>
          <w:trHeight w:val="30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4</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管线三方入侵预警信息</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管线三方入侵预警信息</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预警类型</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预警类型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预警产生时间</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预警对象</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预警对象</w:t>
            </w:r>
          </w:p>
        </w:tc>
      </w:tr>
      <w:tr>
        <w:tblPrEx>
          <w:tblCellMar>
            <w:top w:w="0" w:type="dxa"/>
            <w:left w:w="0" w:type="dxa"/>
            <w:bottom w:w="0" w:type="dxa"/>
            <w:right w:w="0" w:type="dxa"/>
          </w:tblCellMar>
        </w:tblPrEx>
        <w:trPr>
          <w:trHeight w:val="30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5</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管理人员手持对讲机定位</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管理人员手持对讲机定位</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视频</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视频</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语音</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语音</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定位</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定位</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轨迹</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轨迹</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设备编号</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设备编号</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所属组织</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所属组织</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CELL-ID</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CELL-ID</w:t>
            </w:r>
          </w:p>
        </w:tc>
      </w:tr>
      <w:tr>
        <w:tblPrEx>
          <w:tblCellMar>
            <w:top w:w="0" w:type="dxa"/>
            <w:left w:w="0" w:type="dxa"/>
            <w:bottom w:w="0" w:type="dxa"/>
            <w:right w:w="0" w:type="dxa"/>
          </w:tblCellMar>
        </w:tblPrEx>
        <w:trPr>
          <w:trHeight w:val="30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6</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集水井液位监测信息</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集水井液位监测信息</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液位</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液位</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时间</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地址</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地址</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预警类型</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预警类型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预警产生时间</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预警位置</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预警发生位置信息</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预警产生时间</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预警位置</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预警发生位置信息</w:t>
            </w:r>
          </w:p>
        </w:tc>
      </w:tr>
      <w:tr>
        <w:tblPrEx>
          <w:tblCellMar>
            <w:top w:w="0" w:type="dxa"/>
            <w:left w:w="0" w:type="dxa"/>
            <w:bottom w:w="0" w:type="dxa"/>
            <w:right w:w="0" w:type="dxa"/>
          </w:tblCellMar>
        </w:tblPrEx>
        <w:trPr>
          <w:trHeight w:val="285"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7</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西站气象监测信息</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数据库</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西站气象监测信息</w:t>
            </w:r>
          </w:p>
        </w:tc>
        <w:tc>
          <w:tcPr>
            <w:tcW w:w="1040" w:type="dxa"/>
            <w:tcBorders>
              <w:top w:val="nil"/>
              <w:left w:val="nil"/>
              <w:bottom w:val="nil"/>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温度</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温度</w:t>
            </w:r>
          </w:p>
        </w:tc>
      </w:tr>
      <w:tr>
        <w:tblPrEx>
          <w:tblCellMar>
            <w:top w:w="0" w:type="dxa"/>
            <w:left w:w="0" w:type="dxa"/>
            <w:bottom w:w="0" w:type="dxa"/>
            <w:right w:w="0" w:type="dxa"/>
          </w:tblCellMar>
        </w:tblPrEx>
        <w:trPr>
          <w:trHeight w:val="2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湿度</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湿度</w:t>
            </w:r>
          </w:p>
        </w:tc>
      </w:tr>
      <w:tr>
        <w:tblPrEx>
          <w:tblCellMar>
            <w:top w:w="0" w:type="dxa"/>
            <w:left w:w="0" w:type="dxa"/>
            <w:bottom w:w="0" w:type="dxa"/>
            <w:right w:w="0" w:type="dxa"/>
          </w:tblCellMar>
        </w:tblPrEx>
        <w:trPr>
          <w:trHeight w:val="2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风速</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风速</w:t>
            </w:r>
          </w:p>
        </w:tc>
      </w:tr>
      <w:tr>
        <w:tblPrEx>
          <w:tblCellMar>
            <w:top w:w="0" w:type="dxa"/>
            <w:left w:w="0" w:type="dxa"/>
            <w:bottom w:w="0" w:type="dxa"/>
            <w:right w:w="0" w:type="dxa"/>
          </w:tblCellMar>
        </w:tblPrEx>
        <w:trPr>
          <w:trHeight w:val="2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风向</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风向</w:t>
            </w:r>
          </w:p>
        </w:tc>
      </w:tr>
      <w:tr>
        <w:tblPrEx>
          <w:tblCellMar>
            <w:top w:w="0" w:type="dxa"/>
            <w:left w:w="0" w:type="dxa"/>
            <w:bottom w:w="0" w:type="dxa"/>
            <w:right w:w="0" w:type="dxa"/>
          </w:tblCellMar>
        </w:tblPrEx>
        <w:trPr>
          <w:trHeight w:val="2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气压</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气压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时间</w:t>
            </w:r>
          </w:p>
        </w:tc>
      </w:tr>
      <w:tr>
        <w:tblPrEx>
          <w:tblCellMar>
            <w:top w:w="0" w:type="dxa"/>
            <w:left w:w="0" w:type="dxa"/>
            <w:bottom w:w="0" w:type="dxa"/>
            <w:right w:w="0" w:type="dxa"/>
          </w:tblCellMar>
        </w:tblPrEx>
        <w:trPr>
          <w:trHeight w:val="30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8</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多要素微型气象站预警信息</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多要素微型气象站预警信息</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预警类型</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预警类型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预警产生时间</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预警对象</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预警对象</w:t>
            </w:r>
          </w:p>
        </w:tc>
      </w:tr>
      <w:tr>
        <w:tblPrEx>
          <w:tblCellMar>
            <w:top w:w="0" w:type="dxa"/>
            <w:left w:w="0" w:type="dxa"/>
            <w:bottom w:w="0" w:type="dxa"/>
            <w:right w:w="0" w:type="dxa"/>
          </w:tblCellMar>
        </w:tblPrEx>
        <w:trPr>
          <w:trHeight w:val="285"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9</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温湿度信息</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温湿度信息</w:t>
            </w:r>
          </w:p>
        </w:tc>
        <w:tc>
          <w:tcPr>
            <w:tcW w:w="1040" w:type="dxa"/>
            <w:tcBorders>
              <w:top w:val="nil"/>
              <w:left w:val="nil"/>
              <w:bottom w:val="nil"/>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湿度</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湿度</w:t>
            </w:r>
          </w:p>
        </w:tc>
      </w:tr>
      <w:tr>
        <w:tblPrEx>
          <w:tblCellMar>
            <w:top w:w="0" w:type="dxa"/>
            <w:left w:w="0" w:type="dxa"/>
            <w:bottom w:w="0" w:type="dxa"/>
            <w:right w:w="0" w:type="dxa"/>
          </w:tblCellMar>
        </w:tblPrEx>
        <w:trPr>
          <w:trHeight w:val="2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温度</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温度</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时间</w:t>
            </w:r>
          </w:p>
        </w:tc>
      </w:tr>
      <w:tr>
        <w:tblPrEx>
          <w:tblCellMar>
            <w:top w:w="0" w:type="dxa"/>
            <w:left w:w="0" w:type="dxa"/>
            <w:bottom w:w="0" w:type="dxa"/>
            <w:right w:w="0" w:type="dxa"/>
          </w:tblCellMar>
        </w:tblPrEx>
        <w:trPr>
          <w:trHeight w:val="30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10</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温湿度预警信息</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温湿度预警信息</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预警类型</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预警类型</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预警产生时间</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预警对象</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预警对象</w:t>
            </w:r>
          </w:p>
        </w:tc>
      </w:tr>
      <w:tr>
        <w:tblPrEx>
          <w:tblCellMar>
            <w:top w:w="0" w:type="dxa"/>
            <w:left w:w="0" w:type="dxa"/>
            <w:bottom w:w="0" w:type="dxa"/>
            <w:right w:w="0" w:type="dxa"/>
          </w:tblCellMar>
        </w:tblPrEx>
        <w:trPr>
          <w:trHeight w:val="30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11</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站内门开关数据</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数据库</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无线门磁</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开关时间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时间</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开关地点</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地点</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开关次数</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次数</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闭合状态</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闭合状态</w:t>
            </w:r>
          </w:p>
        </w:tc>
      </w:tr>
      <w:tr>
        <w:tblPrEx>
          <w:tblCellMar>
            <w:top w:w="0" w:type="dxa"/>
            <w:left w:w="0" w:type="dxa"/>
            <w:bottom w:w="0" w:type="dxa"/>
            <w:right w:w="0" w:type="dxa"/>
          </w:tblCellMar>
        </w:tblPrEx>
        <w:trPr>
          <w:trHeight w:val="57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12</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西站枢纽实时客流情况</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数据库</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西站枢纽实时客流情况</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客流量</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时间、地点、人流密度、停留时间、</w:t>
            </w:r>
          </w:p>
        </w:tc>
      </w:tr>
      <w:tr>
        <w:tblPrEx>
          <w:tblCellMar>
            <w:top w:w="0" w:type="dxa"/>
            <w:left w:w="0" w:type="dxa"/>
            <w:bottom w:w="0" w:type="dxa"/>
            <w:right w:w="0" w:type="dxa"/>
          </w:tblCellMar>
        </w:tblPrEx>
        <w:trPr>
          <w:trHeight w:val="2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客流来源地、</w:t>
            </w:r>
          </w:p>
        </w:tc>
      </w:tr>
      <w:tr>
        <w:tblPrEx>
          <w:tblCellMar>
            <w:top w:w="0" w:type="dxa"/>
            <w:left w:w="0" w:type="dxa"/>
            <w:bottom w:w="0" w:type="dxa"/>
            <w:right w:w="0" w:type="dxa"/>
          </w:tblCellMar>
        </w:tblPrEx>
        <w:trPr>
          <w:trHeight w:val="2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2060" w:type="dxa"/>
            <w:tcBorders>
              <w:top w:val="nil"/>
              <w:left w:val="nil"/>
              <w:bottom w:val="nil"/>
              <w:right w:val="single" w:color="auto" w:sz="8" w:space="0"/>
            </w:tcBorders>
            <w:tcMar>
              <w:top w:w="15" w:type="dxa"/>
              <w:left w:w="15" w:type="dxa"/>
              <w:bottom w:w="0" w:type="dxa"/>
              <w:right w:w="15" w:type="dxa"/>
            </w:tcMar>
            <w:vAlign w:val="center"/>
          </w:tcPr>
          <w:p>
            <w:pPr>
              <w:widowControl/>
              <w:adjustRightInd/>
              <w:jc w:val="center"/>
              <w:textAlignment w:val="center"/>
              <w:rPr>
                <w:rFonts w:ascii="仿宋" w:hAnsi="仿宋" w:eastAsia="仿宋"/>
                <w:kern w:val="0"/>
                <w:sz w:val="24"/>
              </w:rPr>
            </w:pPr>
            <w:r>
              <w:rPr>
                <w:rFonts w:hint="eastAsia" w:ascii="仿宋" w:hAnsi="仿宋" w:eastAsia="仿宋"/>
                <w:kern w:val="0"/>
                <w:sz w:val="24"/>
              </w:rPr>
              <w:t>客流去向地、</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路程时长</w:t>
            </w:r>
          </w:p>
        </w:tc>
      </w:tr>
      <w:tr>
        <w:tblPrEx>
          <w:tblCellMar>
            <w:top w:w="0" w:type="dxa"/>
            <w:left w:w="0" w:type="dxa"/>
            <w:bottom w:w="0" w:type="dxa"/>
            <w:right w:w="0" w:type="dxa"/>
          </w:tblCellMar>
        </w:tblPrEx>
        <w:trPr>
          <w:trHeight w:val="312"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13</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西站枢纽实时客流情况</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西站枢纽实时客流情况</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客流量</w:t>
            </w:r>
          </w:p>
        </w:tc>
        <w:tc>
          <w:tcPr>
            <w:tcW w:w="206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时间、地点、人流密度</w:t>
            </w:r>
          </w:p>
        </w:tc>
      </w:tr>
      <w:tr>
        <w:tblPrEx>
          <w:tblCellMar>
            <w:top w:w="0" w:type="dxa"/>
            <w:left w:w="0" w:type="dxa"/>
            <w:bottom w:w="0" w:type="dxa"/>
            <w:right w:w="0" w:type="dxa"/>
          </w:tblCellMar>
        </w:tblPrEx>
        <w:trPr>
          <w:trHeight w:val="312"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206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r>
      <w:tr>
        <w:tblPrEx>
          <w:tblCellMar>
            <w:top w:w="0" w:type="dxa"/>
            <w:left w:w="0" w:type="dxa"/>
            <w:bottom w:w="0" w:type="dxa"/>
            <w:right w:w="0" w:type="dxa"/>
          </w:tblCellMar>
        </w:tblPrEx>
        <w:trPr>
          <w:trHeight w:val="870"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14</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出租车调度管理信息</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出租车调度管理信息</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出租车设备配置信息</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snapToGrid w:val="0"/>
              <w:jc w:val="left"/>
              <w:rPr>
                <w:rFonts w:ascii="仿宋" w:hAnsi="仿宋" w:eastAsia="仿宋"/>
                <w:kern w:val="0"/>
                <w:sz w:val="24"/>
              </w:rPr>
            </w:pPr>
            <w:r>
              <w:rPr>
                <w:rFonts w:hint="eastAsia" w:ascii="仿宋" w:hAnsi="仿宋" w:eastAsia="仿宋"/>
                <w:kern w:val="0"/>
                <w:sz w:val="24"/>
              </w:rPr>
              <w:t>出租车设备配置信息</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实时数据上传、指令下写</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实时数据上传、指令下写</w:t>
            </w:r>
          </w:p>
        </w:tc>
      </w:tr>
      <w:tr>
        <w:tblPrEx>
          <w:tblCellMar>
            <w:top w:w="0" w:type="dxa"/>
            <w:left w:w="0" w:type="dxa"/>
            <w:bottom w:w="0" w:type="dxa"/>
            <w:right w:w="0" w:type="dxa"/>
          </w:tblCellMar>
        </w:tblPrEx>
        <w:trPr>
          <w:trHeight w:val="201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设备运行日志记录，如用户操作、设备事件、日志查询等</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设备运行日志记录，如用户操作、设备事件、日志查询等</w:t>
            </w:r>
          </w:p>
        </w:tc>
      </w:tr>
      <w:tr>
        <w:tblPrEx>
          <w:tblCellMar>
            <w:top w:w="0" w:type="dxa"/>
            <w:left w:w="0" w:type="dxa"/>
            <w:bottom w:w="0" w:type="dxa"/>
            <w:right w:w="0" w:type="dxa"/>
          </w:tblCellMar>
        </w:tblPrEx>
        <w:trPr>
          <w:trHeight w:val="258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出租车调度情况运行感知，汇总出租车接客时长、候车时长等运行指标数据</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出租车调度情况运行感知，汇总出租车接客时长、候车时长等运行指标数据</w:t>
            </w:r>
          </w:p>
        </w:tc>
      </w:tr>
      <w:tr>
        <w:tblPrEx>
          <w:tblCellMar>
            <w:top w:w="0" w:type="dxa"/>
            <w:left w:w="0" w:type="dxa"/>
            <w:bottom w:w="0" w:type="dxa"/>
            <w:right w:w="0" w:type="dxa"/>
          </w:tblCellMar>
        </w:tblPrEx>
        <w:trPr>
          <w:trHeight w:val="172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实现设备控制、车道设施信息管理、信号方案管理等</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实现设备控制、车道设施信息管理、信号方案管理等</w:t>
            </w:r>
          </w:p>
        </w:tc>
      </w:tr>
      <w:tr>
        <w:tblPrEx>
          <w:tblCellMar>
            <w:top w:w="0" w:type="dxa"/>
            <w:left w:w="0" w:type="dxa"/>
            <w:bottom w:w="0" w:type="dxa"/>
            <w:right w:w="0" w:type="dxa"/>
          </w:tblCellMar>
        </w:tblPrEx>
        <w:trPr>
          <w:trHeight w:val="201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蓄车场排队调度、上客区调度、旅客统计、信号灯控制等</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蓄车场排队调度、上客区调度、旅客统计、信号灯控制等</w:t>
            </w:r>
          </w:p>
        </w:tc>
      </w:tr>
      <w:tr>
        <w:tblPrEx>
          <w:tblCellMar>
            <w:top w:w="0" w:type="dxa"/>
            <w:left w:w="0" w:type="dxa"/>
            <w:bottom w:w="0" w:type="dxa"/>
            <w:right w:w="0" w:type="dxa"/>
          </w:tblCellMar>
        </w:tblPrEx>
        <w:trPr>
          <w:trHeight w:val="172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智能监控、道闸管理、诱导屏管理、信号机管理</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智能监控、道闸管理、诱导屏管理、信号机管理</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出租车发送旅客占比</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kern w:val="0"/>
                <w:sz w:val="24"/>
              </w:rPr>
            </w:pPr>
            <w:r>
              <w:rPr>
                <w:rFonts w:hint="eastAsia" w:ascii="仿宋" w:hAnsi="仿宋" w:eastAsia="仿宋"/>
                <w:kern w:val="0"/>
                <w:sz w:val="24"/>
              </w:rPr>
              <w:t>出租车发送旅客占比</w:t>
            </w:r>
          </w:p>
        </w:tc>
      </w:tr>
      <w:tr>
        <w:tblPrEx>
          <w:tblCellMar>
            <w:top w:w="0" w:type="dxa"/>
            <w:left w:w="0" w:type="dxa"/>
            <w:bottom w:w="0" w:type="dxa"/>
            <w:right w:w="0" w:type="dxa"/>
          </w:tblCellMar>
        </w:tblPrEx>
        <w:trPr>
          <w:trHeight w:val="14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报警信息、设备详情、历史信息、历史报警等</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报警信息、设备详情、历史信息、历史报警等</w:t>
            </w:r>
          </w:p>
        </w:tc>
      </w:tr>
      <w:tr>
        <w:tblPrEx>
          <w:tblCellMar>
            <w:top w:w="0" w:type="dxa"/>
            <w:left w:w="0" w:type="dxa"/>
            <w:bottom w:w="0" w:type="dxa"/>
            <w:right w:w="0" w:type="dxa"/>
          </w:tblCellMar>
        </w:tblPrEx>
        <w:trPr>
          <w:trHeight w:val="172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西站周边3</w:t>
            </w:r>
            <w:r>
              <w:rPr>
                <w:rFonts w:ascii="仿宋" w:hAnsi="仿宋" w:eastAsia="仿宋"/>
                <w:kern w:val="0"/>
                <w:sz w:val="24"/>
              </w:rPr>
              <w:t>km</w:t>
            </w:r>
            <w:r>
              <w:rPr>
                <w:rFonts w:hint="eastAsia" w:ascii="仿宋" w:hAnsi="仿宋" w:eastAsia="仿宋"/>
                <w:kern w:val="0"/>
                <w:sz w:val="24"/>
              </w:rPr>
              <w:t>里内出租车空车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西站周边3</w:t>
            </w:r>
            <w:r>
              <w:rPr>
                <w:rFonts w:ascii="仿宋" w:hAnsi="仿宋" w:eastAsia="仿宋"/>
                <w:kern w:val="0"/>
                <w:sz w:val="24"/>
              </w:rPr>
              <w:t>km</w:t>
            </w:r>
            <w:r>
              <w:rPr>
                <w:rFonts w:hint="eastAsia" w:ascii="仿宋" w:hAnsi="仿宋" w:eastAsia="仿宋"/>
                <w:kern w:val="0"/>
                <w:sz w:val="24"/>
              </w:rPr>
              <w:t>里内空车数据等</w:t>
            </w:r>
          </w:p>
        </w:tc>
      </w:tr>
      <w:tr>
        <w:tblPrEx>
          <w:tblCellMar>
            <w:top w:w="0" w:type="dxa"/>
            <w:left w:w="0" w:type="dxa"/>
            <w:bottom w:w="0" w:type="dxa"/>
            <w:right w:w="0" w:type="dxa"/>
          </w:tblCellMar>
        </w:tblPrEx>
        <w:trPr>
          <w:trHeight w:val="172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乘客数量、接客时长、等待时长、排队车辆数等</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乘客数量、接客时长、等待时长、排队车辆数等</w:t>
            </w:r>
          </w:p>
        </w:tc>
      </w:tr>
      <w:tr>
        <w:tblPrEx>
          <w:tblCellMar>
            <w:top w:w="0" w:type="dxa"/>
            <w:left w:w="0" w:type="dxa"/>
            <w:bottom w:w="0" w:type="dxa"/>
            <w:right w:w="0" w:type="dxa"/>
          </w:tblCellMar>
        </w:tblPrEx>
        <w:trPr>
          <w:trHeight w:val="115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出租车发送客流与运行对比阈值</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出租车发送客流与运行对比阈值</w:t>
            </w:r>
          </w:p>
        </w:tc>
      </w:tr>
      <w:tr>
        <w:tblPrEx>
          <w:tblCellMar>
            <w:top w:w="0" w:type="dxa"/>
            <w:left w:w="0" w:type="dxa"/>
            <w:bottom w:w="0" w:type="dxa"/>
            <w:right w:w="0" w:type="dxa"/>
          </w:tblCellMar>
        </w:tblPrEx>
        <w:trPr>
          <w:trHeight w:val="585" w:hRule="atLeast"/>
          <w:jc w:val="center"/>
        </w:trPr>
        <w:tc>
          <w:tcPr>
            <w:tcW w:w="680"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15</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网约车运行管理</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网约车运行管理</w:t>
            </w: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已发送客流</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已发送客流人数</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运力计算</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网约车车辆数</w:t>
            </w:r>
          </w:p>
        </w:tc>
      </w:tr>
      <w:tr>
        <w:tblPrEx>
          <w:tblCellMar>
            <w:top w:w="0" w:type="dxa"/>
            <w:left w:w="0" w:type="dxa"/>
            <w:bottom w:w="0" w:type="dxa"/>
            <w:right w:w="0" w:type="dxa"/>
          </w:tblCellMar>
        </w:tblPrEx>
        <w:trPr>
          <w:trHeight w:val="5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运力预警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发送客流与运行对比阈值</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站内网约车峰值承载量</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网约车峰值数据</w:t>
            </w:r>
          </w:p>
        </w:tc>
      </w:tr>
      <w:tr>
        <w:tblPrEx>
          <w:tblCellMar>
            <w:top w:w="0" w:type="dxa"/>
            <w:left w:w="0" w:type="dxa"/>
            <w:bottom w:w="0" w:type="dxa"/>
            <w:right w:w="0" w:type="dxa"/>
          </w:tblCellMar>
        </w:tblPrEx>
        <w:trPr>
          <w:trHeight w:val="5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西站周边3</w:t>
            </w:r>
            <w:r>
              <w:rPr>
                <w:rFonts w:ascii="仿宋" w:hAnsi="仿宋" w:eastAsia="仿宋"/>
                <w:kern w:val="0"/>
                <w:sz w:val="24"/>
              </w:rPr>
              <w:t>km</w:t>
            </w:r>
            <w:r>
              <w:rPr>
                <w:rFonts w:hint="eastAsia" w:ascii="仿宋" w:hAnsi="仿宋" w:eastAsia="仿宋"/>
                <w:kern w:val="0"/>
                <w:sz w:val="24"/>
              </w:rPr>
              <w:t>里内网约车空车</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西站周边3</w:t>
            </w:r>
            <w:r>
              <w:rPr>
                <w:rFonts w:ascii="仿宋" w:hAnsi="仿宋" w:eastAsia="仿宋"/>
                <w:kern w:val="0"/>
                <w:sz w:val="24"/>
              </w:rPr>
              <w:t>km</w:t>
            </w:r>
            <w:r>
              <w:rPr>
                <w:rFonts w:hint="eastAsia" w:ascii="仿宋" w:hAnsi="仿宋" w:eastAsia="仿宋"/>
                <w:kern w:val="0"/>
                <w:sz w:val="24"/>
              </w:rPr>
              <w:t>里内网约车空车数据等</w:t>
            </w:r>
          </w:p>
        </w:tc>
      </w:tr>
      <w:tr>
        <w:tblPrEx>
          <w:tblCellMar>
            <w:top w:w="0" w:type="dxa"/>
            <w:left w:w="0" w:type="dxa"/>
            <w:bottom w:w="0" w:type="dxa"/>
            <w:right w:w="0" w:type="dxa"/>
          </w:tblCellMar>
        </w:tblPrEx>
        <w:trPr>
          <w:trHeight w:val="5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乘客预计候车时间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候车时间</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网约车候车区旅客数</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等车人数</w:t>
            </w:r>
          </w:p>
        </w:tc>
      </w:tr>
      <w:tr>
        <w:tblPrEx>
          <w:tblCellMar>
            <w:top w:w="0" w:type="dxa"/>
            <w:left w:w="0" w:type="dxa"/>
            <w:bottom w:w="0" w:type="dxa"/>
            <w:right w:w="0" w:type="dxa"/>
          </w:tblCellMar>
        </w:tblPrEx>
        <w:trPr>
          <w:trHeight w:val="5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网约车分担率</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网约车发送旅客占比</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网约车停车场剩余车位数据</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停车场剩余车位</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网约车停车匹配数据</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车位与车辆信息匹配</w:t>
            </w:r>
          </w:p>
        </w:tc>
      </w:tr>
      <w:tr>
        <w:tblPrEx>
          <w:tblCellMar>
            <w:top w:w="0" w:type="dxa"/>
            <w:left w:w="0" w:type="dxa"/>
            <w:bottom w:w="0" w:type="dxa"/>
            <w:right w:w="0" w:type="dxa"/>
          </w:tblCellMar>
        </w:tblPrEx>
        <w:trPr>
          <w:trHeight w:val="585"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网约车进站时间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进站时间</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网约车平均等候时间</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候车时间</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网约车停车场停车周转率</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周转率</w:t>
            </w:r>
          </w:p>
        </w:tc>
      </w:tr>
      <w:tr>
        <w:tblPrEx>
          <w:tblCellMar>
            <w:top w:w="0" w:type="dxa"/>
            <w:left w:w="0" w:type="dxa"/>
            <w:bottom w:w="0" w:type="dxa"/>
            <w:right w:w="0" w:type="dxa"/>
          </w:tblCellMar>
        </w:tblPrEx>
        <w:trPr>
          <w:trHeight w:val="8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网约车停车场停车饱和度</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饱和度</w:t>
            </w:r>
          </w:p>
        </w:tc>
      </w:tr>
      <w:tr>
        <w:tblPrEx>
          <w:tblCellMar>
            <w:top w:w="0" w:type="dxa"/>
            <w:left w:w="0" w:type="dxa"/>
            <w:bottom w:w="0" w:type="dxa"/>
            <w:right w:w="0" w:type="dxa"/>
          </w:tblCellMar>
        </w:tblPrEx>
        <w:trPr>
          <w:trHeight w:val="870" w:hRule="atLeast"/>
          <w:jc w:val="center"/>
        </w:trPr>
        <w:tc>
          <w:tcPr>
            <w:tcW w:w="68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16</w:t>
            </w:r>
          </w:p>
        </w:tc>
        <w:tc>
          <w:tcPr>
            <w:tcW w:w="1220" w:type="dxa"/>
            <w:tcBorders>
              <w:top w:val="nil"/>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视频监控、卡口相机</w:t>
            </w:r>
          </w:p>
        </w:tc>
        <w:tc>
          <w:tcPr>
            <w:tcW w:w="1000" w:type="dxa"/>
            <w:tcBorders>
              <w:top w:val="nil"/>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接口类</w:t>
            </w:r>
          </w:p>
        </w:tc>
        <w:tc>
          <w:tcPr>
            <w:tcW w:w="104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视频流</w:t>
            </w:r>
          </w:p>
        </w:tc>
        <w:tc>
          <w:tcPr>
            <w:tcW w:w="104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视频数据</w:t>
            </w:r>
          </w:p>
        </w:tc>
        <w:tc>
          <w:tcPr>
            <w:tcW w:w="206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人流数量、人员动作识别、人员入侵数据等</w:t>
            </w:r>
          </w:p>
        </w:tc>
      </w:tr>
      <w:tr>
        <w:tblPrEx>
          <w:tblCellMar>
            <w:top w:w="0" w:type="dxa"/>
            <w:left w:w="0" w:type="dxa"/>
            <w:bottom w:w="0" w:type="dxa"/>
            <w:right w:w="0" w:type="dxa"/>
          </w:tblCellMar>
        </w:tblPrEx>
        <w:trPr>
          <w:trHeight w:val="870" w:hRule="atLeast"/>
          <w:jc w:val="center"/>
        </w:trPr>
        <w:tc>
          <w:tcPr>
            <w:tcW w:w="68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17</w:t>
            </w:r>
          </w:p>
        </w:tc>
        <w:tc>
          <w:tcPr>
            <w:tcW w:w="122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工作人员数据</w:t>
            </w:r>
          </w:p>
        </w:tc>
        <w:tc>
          <w:tcPr>
            <w:tcW w:w="100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接口类</w:t>
            </w:r>
          </w:p>
        </w:tc>
        <w:tc>
          <w:tcPr>
            <w:tcW w:w="104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人员信息</w:t>
            </w:r>
          </w:p>
        </w:tc>
        <w:tc>
          <w:tcPr>
            <w:tcW w:w="104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cs="宋体"/>
                <w:kern w:val="0"/>
                <w:sz w:val="24"/>
              </w:rPr>
              <w:t>工作人员职务、姓名、工龄、岗位、负责区域等。</w:t>
            </w:r>
          </w:p>
        </w:tc>
        <w:tc>
          <w:tcPr>
            <w:tcW w:w="206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cs="宋体"/>
                <w:kern w:val="0"/>
                <w:sz w:val="24"/>
              </w:rPr>
              <w:t>工作人员职务、姓名、工龄、岗位、负责区域等。</w:t>
            </w:r>
          </w:p>
        </w:tc>
      </w:tr>
      <w:tr>
        <w:tblPrEx>
          <w:tblCellMar>
            <w:top w:w="0" w:type="dxa"/>
            <w:left w:w="0" w:type="dxa"/>
            <w:bottom w:w="0" w:type="dxa"/>
            <w:right w:w="0" w:type="dxa"/>
          </w:tblCellMar>
        </w:tblPrEx>
        <w:trPr>
          <w:trHeight w:val="870" w:hRule="atLeast"/>
          <w:jc w:val="center"/>
        </w:trPr>
        <w:tc>
          <w:tcPr>
            <w:tcW w:w="68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8</w:t>
            </w:r>
          </w:p>
        </w:tc>
        <w:tc>
          <w:tcPr>
            <w:tcW w:w="122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对讲机指令数据</w:t>
            </w:r>
          </w:p>
        </w:tc>
        <w:tc>
          <w:tcPr>
            <w:tcW w:w="100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接口类</w:t>
            </w:r>
          </w:p>
        </w:tc>
        <w:tc>
          <w:tcPr>
            <w:tcW w:w="104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对讲机通话记录</w:t>
            </w:r>
          </w:p>
        </w:tc>
        <w:tc>
          <w:tcPr>
            <w:tcW w:w="104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cs="宋体"/>
                <w:kern w:val="0"/>
                <w:sz w:val="24"/>
              </w:rPr>
            </w:pPr>
            <w:r>
              <w:rPr>
                <w:rFonts w:hint="eastAsia" w:ascii="仿宋" w:hAnsi="仿宋" w:eastAsia="仿宋" w:cs="宋体"/>
                <w:kern w:val="0"/>
                <w:sz w:val="24"/>
              </w:rPr>
              <w:t>对讲机通话数据</w:t>
            </w:r>
          </w:p>
        </w:tc>
        <w:tc>
          <w:tcPr>
            <w:tcW w:w="2060" w:type="dxa"/>
            <w:tcBorders>
              <w:top w:val="single" w:color="auto" w:sz="4" w:space="0"/>
              <w:left w:val="nil"/>
              <w:bottom w:val="single" w:color="auto" w:sz="4" w:space="0"/>
              <w:right w:val="single" w:color="auto" w:sz="8" w:space="0"/>
            </w:tcBorders>
            <w:tcMar>
              <w:top w:w="15" w:type="dxa"/>
              <w:left w:w="15" w:type="dxa"/>
              <w:bottom w:w="0" w:type="dxa"/>
              <w:right w:w="15" w:type="dxa"/>
            </w:tcMar>
            <w:vAlign w:val="center"/>
          </w:tcPr>
          <w:p>
            <w:pPr>
              <w:adjustRightInd/>
              <w:jc w:val="center"/>
              <w:rPr>
                <w:rFonts w:ascii="仿宋" w:hAnsi="仿宋" w:eastAsia="仿宋" w:cs="宋体"/>
                <w:kern w:val="0"/>
                <w:sz w:val="24"/>
              </w:rPr>
            </w:pPr>
            <w:r>
              <w:rPr>
                <w:rFonts w:hint="eastAsia" w:ascii="仿宋" w:hAnsi="仿宋" w:eastAsia="仿宋" w:cs="宋体"/>
                <w:kern w:val="0"/>
                <w:sz w:val="24"/>
              </w:rPr>
              <w:t>通话时间、通话内容、通话人等</w:t>
            </w:r>
          </w:p>
        </w:tc>
      </w:tr>
      <w:tr>
        <w:tblPrEx>
          <w:tblCellMar>
            <w:top w:w="0" w:type="dxa"/>
            <w:left w:w="0" w:type="dxa"/>
            <w:bottom w:w="0" w:type="dxa"/>
            <w:right w:w="0" w:type="dxa"/>
          </w:tblCellMar>
        </w:tblPrEx>
        <w:trPr>
          <w:trHeight w:val="870" w:hRule="atLeast"/>
          <w:jc w:val="center"/>
        </w:trPr>
        <w:tc>
          <w:tcPr>
            <w:tcW w:w="68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9</w:t>
            </w:r>
          </w:p>
        </w:tc>
        <w:tc>
          <w:tcPr>
            <w:tcW w:w="1220" w:type="dxa"/>
            <w:tcBorders>
              <w:top w:val="single" w:color="auto" w:sz="4" w:space="0"/>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应急广播数据</w:t>
            </w:r>
          </w:p>
        </w:tc>
        <w:tc>
          <w:tcPr>
            <w:tcW w:w="1000" w:type="dxa"/>
            <w:tcBorders>
              <w:top w:val="single" w:color="auto" w:sz="4" w:space="0"/>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接口类</w:t>
            </w:r>
          </w:p>
        </w:tc>
        <w:tc>
          <w:tcPr>
            <w:tcW w:w="1040" w:type="dxa"/>
            <w:tcBorders>
              <w:top w:val="single" w:color="auto" w:sz="4" w:space="0"/>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应急广播平台</w:t>
            </w:r>
          </w:p>
        </w:tc>
        <w:tc>
          <w:tcPr>
            <w:tcW w:w="1040" w:type="dxa"/>
            <w:tcBorders>
              <w:top w:val="single" w:color="auto" w:sz="4" w:space="0"/>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cs="宋体"/>
                <w:kern w:val="0"/>
                <w:sz w:val="24"/>
              </w:rPr>
            </w:pPr>
            <w:r>
              <w:rPr>
                <w:rFonts w:hint="eastAsia" w:ascii="仿宋" w:hAnsi="仿宋" w:eastAsia="仿宋" w:cs="宋体"/>
                <w:kern w:val="0"/>
                <w:sz w:val="24"/>
              </w:rPr>
              <w:t>应急广播平台数据</w:t>
            </w:r>
          </w:p>
        </w:tc>
        <w:tc>
          <w:tcPr>
            <w:tcW w:w="2060" w:type="dxa"/>
            <w:tcBorders>
              <w:top w:val="single" w:color="auto" w:sz="4" w:space="0"/>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cs="宋体"/>
                <w:kern w:val="0"/>
                <w:sz w:val="24"/>
              </w:rPr>
            </w:pPr>
            <w:r>
              <w:rPr>
                <w:rFonts w:hint="eastAsia" w:ascii="仿宋" w:hAnsi="仿宋" w:eastAsia="仿宋" w:cs="宋体"/>
                <w:kern w:val="0"/>
                <w:sz w:val="24"/>
              </w:rPr>
              <w:t>广播内容、广播时间、广播事件等</w:t>
            </w:r>
          </w:p>
        </w:tc>
      </w:tr>
    </w:tbl>
    <w:p>
      <w:pPr>
        <w:adjustRightInd/>
        <w:jc w:val="center"/>
        <w:rPr>
          <w:rFonts w:ascii="仿宋" w:hAnsi="仿宋" w:eastAsia="仿宋"/>
          <w:kern w:val="0"/>
          <w:sz w:val="24"/>
        </w:rPr>
      </w:pPr>
      <w:r>
        <w:rPr>
          <w:rFonts w:hint="eastAsia" w:ascii="仿宋" w:hAnsi="仿宋" w:eastAsia="仿宋"/>
          <w:kern w:val="0"/>
          <w:sz w:val="24"/>
        </w:rPr>
        <w:t xml:space="preserve"> </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4.外采数据</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外采数据包括运营商信令数据及路网交通运行信息，此类数据的购买不在本次招标范围内，投标人应</w:t>
      </w:r>
      <w:r>
        <w:rPr>
          <w:rFonts w:hint="eastAsia" w:ascii="仿宋" w:hAnsi="仿宋" w:eastAsia="仿宋"/>
          <w:b/>
          <w:bCs/>
          <w:sz w:val="24"/>
        </w:rPr>
        <w:t>提供该类数据的接入工作</w:t>
      </w:r>
      <w:r>
        <w:rPr>
          <w:rFonts w:hint="eastAsia" w:ascii="仿宋" w:hAnsi="仿宋" w:eastAsia="仿宋"/>
          <w:sz w:val="24"/>
        </w:rPr>
        <w:t>。</w:t>
      </w:r>
    </w:p>
    <w:p>
      <w:pPr>
        <w:adjustRightInd/>
        <w:ind w:firstLine="420"/>
        <w:rPr>
          <w:rFonts w:ascii="仿宋" w:hAnsi="仿宋" w:eastAsia="仿宋"/>
          <w:sz w:val="24"/>
        </w:rPr>
      </w:pPr>
      <w:r>
        <w:rPr>
          <w:rFonts w:hint="eastAsia" w:ascii="仿宋" w:hAnsi="仿宋" w:eastAsia="仿宋"/>
          <w:sz w:val="24"/>
        </w:rPr>
        <w:t xml:space="preserve"> </w:t>
      </w:r>
    </w:p>
    <w:tbl>
      <w:tblPr>
        <w:tblStyle w:val="62"/>
        <w:tblW w:w="7040" w:type="dxa"/>
        <w:jc w:val="center"/>
        <w:tblLayout w:type="fixed"/>
        <w:tblCellMar>
          <w:top w:w="0" w:type="dxa"/>
          <w:left w:w="0" w:type="dxa"/>
          <w:bottom w:w="0" w:type="dxa"/>
          <w:right w:w="0" w:type="dxa"/>
        </w:tblCellMar>
      </w:tblPr>
      <w:tblGrid>
        <w:gridCol w:w="680"/>
        <w:gridCol w:w="1220"/>
        <w:gridCol w:w="1000"/>
        <w:gridCol w:w="1040"/>
        <w:gridCol w:w="1040"/>
        <w:gridCol w:w="2060"/>
      </w:tblGrid>
      <w:tr>
        <w:tblPrEx>
          <w:tblCellMar>
            <w:top w:w="0" w:type="dxa"/>
            <w:left w:w="0" w:type="dxa"/>
            <w:bottom w:w="0" w:type="dxa"/>
            <w:right w:w="0" w:type="dxa"/>
          </w:tblCellMar>
        </w:tblPrEx>
        <w:trPr>
          <w:trHeight w:val="300" w:hRule="atLeast"/>
          <w:jc w:val="center"/>
        </w:trPr>
        <w:tc>
          <w:tcPr>
            <w:tcW w:w="680" w:type="dxa"/>
            <w:vMerge w:val="restart"/>
            <w:tcBorders>
              <w:top w:val="single" w:color="auto" w:sz="8" w:space="0"/>
              <w:left w:val="single" w:color="auto" w:sz="8" w:space="0"/>
              <w:bottom w:val="nil"/>
              <w:right w:val="single" w:color="auto" w:sz="8" w:space="0"/>
            </w:tcBorders>
            <w:shd w:val="clear" w:color="auto" w:fill="auto"/>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序号</w:t>
            </w:r>
          </w:p>
        </w:tc>
        <w:tc>
          <w:tcPr>
            <w:tcW w:w="1220" w:type="dxa"/>
            <w:vMerge w:val="restart"/>
            <w:tcBorders>
              <w:top w:val="single" w:color="auto" w:sz="8" w:space="0"/>
              <w:left w:val="nil"/>
              <w:bottom w:val="single" w:color="000000" w:sz="8" w:space="0"/>
              <w:right w:val="single" w:color="auto" w:sz="8" w:space="0"/>
            </w:tcBorders>
            <w:shd w:val="clear" w:color="auto" w:fill="auto"/>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数据资源名称</w:t>
            </w:r>
          </w:p>
        </w:tc>
        <w:tc>
          <w:tcPr>
            <w:tcW w:w="1000" w:type="dxa"/>
            <w:vMerge w:val="restart"/>
            <w:tcBorders>
              <w:top w:val="single" w:color="auto" w:sz="8" w:space="0"/>
              <w:left w:val="nil"/>
              <w:bottom w:val="single" w:color="000000" w:sz="8" w:space="0"/>
              <w:right w:val="single" w:color="auto" w:sz="8" w:space="0"/>
            </w:tcBorders>
            <w:shd w:val="clear" w:color="auto" w:fill="auto"/>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数据格式</w:t>
            </w:r>
          </w:p>
        </w:tc>
        <w:tc>
          <w:tcPr>
            <w:tcW w:w="1040" w:type="dxa"/>
            <w:vMerge w:val="restart"/>
            <w:tcBorders>
              <w:top w:val="single" w:color="auto" w:sz="8" w:space="0"/>
              <w:left w:val="nil"/>
              <w:bottom w:val="single" w:color="000000" w:sz="8" w:space="0"/>
              <w:right w:val="single" w:color="auto" w:sz="8" w:space="0"/>
            </w:tcBorders>
            <w:shd w:val="clear" w:color="auto" w:fill="FFFFFF"/>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数源系统名称</w:t>
            </w:r>
          </w:p>
        </w:tc>
        <w:tc>
          <w:tcPr>
            <w:tcW w:w="3100" w:type="dxa"/>
            <w:gridSpan w:val="2"/>
            <w:tcBorders>
              <w:top w:val="single" w:color="auto" w:sz="8" w:space="0"/>
              <w:left w:val="nil"/>
              <w:bottom w:val="single" w:color="auto" w:sz="8" w:space="0"/>
              <w:right w:val="single" w:color="000000" w:sz="8" w:space="0"/>
            </w:tcBorders>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主要数据项</w:t>
            </w:r>
          </w:p>
        </w:tc>
      </w:tr>
      <w:tr>
        <w:tblPrEx>
          <w:tblCellMar>
            <w:top w:w="0" w:type="dxa"/>
            <w:left w:w="0" w:type="dxa"/>
            <w:bottom w:w="0" w:type="dxa"/>
            <w:right w:w="0" w:type="dxa"/>
          </w:tblCellMar>
        </w:tblPrEx>
        <w:trPr>
          <w:trHeight w:val="585" w:hRule="atLeast"/>
          <w:jc w:val="center"/>
        </w:trPr>
        <w:tc>
          <w:tcPr>
            <w:tcW w:w="680" w:type="dxa"/>
            <w:vMerge w:val="continue"/>
            <w:tcBorders>
              <w:top w:val="single" w:color="auto" w:sz="8" w:space="0"/>
              <w:left w:val="single" w:color="auto" w:sz="8" w:space="0"/>
              <w:bottom w:val="nil"/>
              <w:right w:val="single" w:color="auto" w:sz="8" w:space="0"/>
            </w:tcBorders>
            <w:vAlign w:val="center"/>
          </w:tcPr>
          <w:p>
            <w:pPr>
              <w:widowControl/>
              <w:adjustRightInd/>
              <w:jc w:val="left"/>
              <w:rPr>
                <w:rFonts w:ascii="仿宋" w:hAnsi="仿宋" w:eastAsia="仿宋"/>
                <w:b/>
                <w:bCs/>
                <w:sz w:val="24"/>
              </w:rPr>
            </w:pPr>
          </w:p>
        </w:tc>
        <w:tc>
          <w:tcPr>
            <w:tcW w:w="1220" w:type="dxa"/>
            <w:vMerge w:val="continue"/>
            <w:tcBorders>
              <w:top w:val="single" w:color="auto" w:sz="8" w:space="0"/>
              <w:left w:val="nil"/>
              <w:bottom w:val="single" w:color="000000" w:sz="8" w:space="0"/>
              <w:right w:val="single" w:color="auto" w:sz="8" w:space="0"/>
            </w:tcBorders>
            <w:vAlign w:val="center"/>
          </w:tcPr>
          <w:p>
            <w:pPr>
              <w:widowControl/>
              <w:adjustRightInd/>
              <w:jc w:val="left"/>
              <w:rPr>
                <w:rFonts w:ascii="仿宋" w:hAnsi="仿宋" w:eastAsia="仿宋"/>
                <w:b/>
                <w:bCs/>
                <w:sz w:val="24"/>
              </w:rPr>
            </w:pPr>
          </w:p>
        </w:tc>
        <w:tc>
          <w:tcPr>
            <w:tcW w:w="1000" w:type="dxa"/>
            <w:vMerge w:val="continue"/>
            <w:tcBorders>
              <w:top w:val="single" w:color="auto" w:sz="8" w:space="0"/>
              <w:left w:val="nil"/>
              <w:bottom w:val="single" w:color="000000" w:sz="8" w:space="0"/>
              <w:right w:val="single" w:color="auto" w:sz="8" w:space="0"/>
            </w:tcBorders>
            <w:vAlign w:val="center"/>
          </w:tcPr>
          <w:p>
            <w:pPr>
              <w:widowControl/>
              <w:adjustRightInd/>
              <w:jc w:val="left"/>
              <w:rPr>
                <w:rFonts w:ascii="仿宋" w:hAnsi="仿宋" w:eastAsia="仿宋"/>
                <w:b/>
                <w:bCs/>
                <w:sz w:val="24"/>
              </w:rPr>
            </w:pPr>
          </w:p>
        </w:tc>
        <w:tc>
          <w:tcPr>
            <w:tcW w:w="1040" w:type="dxa"/>
            <w:vMerge w:val="continue"/>
            <w:tcBorders>
              <w:top w:val="single" w:color="auto" w:sz="8" w:space="0"/>
              <w:left w:val="nil"/>
              <w:bottom w:val="single" w:color="000000" w:sz="8" w:space="0"/>
              <w:right w:val="single" w:color="auto" w:sz="8" w:space="0"/>
            </w:tcBorders>
            <w:vAlign w:val="center"/>
          </w:tcPr>
          <w:p>
            <w:pPr>
              <w:widowControl/>
              <w:adjustRightInd/>
              <w:jc w:val="left"/>
              <w:rPr>
                <w:rFonts w:ascii="仿宋" w:hAnsi="仿宋" w:eastAsia="仿宋"/>
                <w:b/>
                <w:bCs/>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数据项名称</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widowControl/>
              <w:adjustRightInd/>
              <w:jc w:val="left"/>
              <w:textAlignment w:val="center"/>
              <w:rPr>
                <w:rFonts w:ascii="仿宋" w:hAnsi="仿宋" w:eastAsia="仿宋"/>
                <w:b/>
                <w:bCs/>
                <w:sz w:val="24"/>
              </w:rPr>
            </w:pPr>
            <w:r>
              <w:rPr>
                <w:rFonts w:hint="eastAsia" w:ascii="仿宋" w:hAnsi="仿宋" w:eastAsia="仿宋"/>
                <w:b/>
                <w:bCs/>
                <w:kern w:val="0"/>
                <w:sz w:val="24"/>
              </w:rPr>
              <w:t>字段描述</w:t>
            </w:r>
          </w:p>
        </w:tc>
      </w:tr>
      <w:tr>
        <w:tblPrEx>
          <w:tblCellMar>
            <w:top w:w="0" w:type="dxa"/>
            <w:left w:w="0" w:type="dxa"/>
            <w:bottom w:w="0" w:type="dxa"/>
            <w:right w:w="0" w:type="dxa"/>
          </w:tblCellMar>
        </w:tblPrEx>
        <w:trPr>
          <w:trHeight w:val="285" w:hRule="atLeast"/>
          <w:jc w:val="center"/>
        </w:trPr>
        <w:tc>
          <w:tcPr>
            <w:tcW w:w="680" w:type="dxa"/>
            <w:vMerge w:val="restart"/>
            <w:tcBorders>
              <w:top w:val="single" w:color="auto" w:sz="8" w:space="0"/>
              <w:left w:val="single" w:color="auto" w:sz="8" w:space="0"/>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1</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运营商信令数据</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运营商信令数据</w:t>
            </w: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信令信息</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信令信息</w:t>
            </w:r>
          </w:p>
        </w:tc>
      </w:tr>
      <w:tr>
        <w:tblPrEx>
          <w:tblCellMar>
            <w:top w:w="0" w:type="dxa"/>
            <w:left w:w="0" w:type="dxa"/>
            <w:bottom w:w="0" w:type="dxa"/>
            <w:right w:w="0" w:type="dxa"/>
          </w:tblCellMar>
        </w:tblPrEx>
        <w:trPr>
          <w:trHeight w:val="570" w:hRule="atLeast"/>
          <w:jc w:val="center"/>
        </w:trPr>
        <w:tc>
          <w:tcPr>
            <w:tcW w:w="68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出发层信令人数</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出发层信令人数</w:t>
            </w:r>
          </w:p>
        </w:tc>
      </w:tr>
      <w:tr>
        <w:tblPrEx>
          <w:tblCellMar>
            <w:top w:w="0" w:type="dxa"/>
            <w:left w:w="0" w:type="dxa"/>
            <w:bottom w:w="0" w:type="dxa"/>
            <w:right w:w="0" w:type="dxa"/>
          </w:tblCellMar>
        </w:tblPrEx>
        <w:trPr>
          <w:trHeight w:val="570" w:hRule="atLeast"/>
          <w:jc w:val="center"/>
        </w:trPr>
        <w:tc>
          <w:tcPr>
            <w:tcW w:w="68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达到层信令人数</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达到层信令人数</w:t>
            </w:r>
          </w:p>
        </w:tc>
      </w:tr>
      <w:tr>
        <w:tblPrEx>
          <w:tblCellMar>
            <w:top w:w="0" w:type="dxa"/>
            <w:left w:w="0" w:type="dxa"/>
            <w:bottom w:w="0" w:type="dxa"/>
            <w:right w:w="0" w:type="dxa"/>
          </w:tblCellMar>
        </w:tblPrEx>
        <w:trPr>
          <w:trHeight w:val="285" w:hRule="atLeast"/>
          <w:jc w:val="center"/>
        </w:trPr>
        <w:tc>
          <w:tcPr>
            <w:tcW w:w="68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停留时间</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停留时间</w:t>
            </w:r>
          </w:p>
        </w:tc>
      </w:tr>
      <w:tr>
        <w:tblPrEx>
          <w:tblCellMar>
            <w:top w:w="0" w:type="dxa"/>
            <w:left w:w="0" w:type="dxa"/>
            <w:bottom w:w="0" w:type="dxa"/>
            <w:right w:w="0" w:type="dxa"/>
          </w:tblCellMar>
        </w:tblPrEx>
        <w:trPr>
          <w:trHeight w:val="570" w:hRule="atLeast"/>
          <w:jc w:val="center"/>
        </w:trPr>
        <w:tc>
          <w:tcPr>
            <w:tcW w:w="68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客流来源地</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客流来源地</w:t>
            </w:r>
          </w:p>
        </w:tc>
      </w:tr>
      <w:tr>
        <w:tblPrEx>
          <w:tblCellMar>
            <w:top w:w="0" w:type="dxa"/>
            <w:left w:w="0" w:type="dxa"/>
            <w:bottom w:w="0" w:type="dxa"/>
            <w:right w:w="0" w:type="dxa"/>
          </w:tblCellMar>
        </w:tblPrEx>
        <w:trPr>
          <w:trHeight w:val="570" w:hRule="atLeast"/>
          <w:jc w:val="center"/>
        </w:trPr>
        <w:tc>
          <w:tcPr>
            <w:tcW w:w="68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客流去向地</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客流去向地</w:t>
            </w:r>
          </w:p>
        </w:tc>
      </w:tr>
      <w:tr>
        <w:tblPrEx>
          <w:tblCellMar>
            <w:top w:w="0" w:type="dxa"/>
            <w:left w:w="0" w:type="dxa"/>
            <w:bottom w:w="0" w:type="dxa"/>
            <w:right w:w="0" w:type="dxa"/>
          </w:tblCellMar>
        </w:tblPrEx>
        <w:trPr>
          <w:trHeight w:val="300" w:hRule="atLeast"/>
          <w:jc w:val="center"/>
        </w:trPr>
        <w:tc>
          <w:tcPr>
            <w:tcW w:w="68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路程时长</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路程时长</w:t>
            </w:r>
          </w:p>
        </w:tc>
      </w:tr>
      <w:tr>
        <w:tblPrEx>
          <w:tblCellMar>
            <w:top w:w="0" w:type="dxa"/>
            <w:left w:w="0" w:type="dxa"/>
            <w:bottom w:w="0" w:type="dxa"/>
            <w:right w:w="0" w:type="dxa"/>
          </w:tblCellMar>
        </w:tblPrEx>
        <w:trPr>
          <w:trHeight w:val="570" w:hRule="atLeast"/>
          <w:jc w:val="center"/>
        </w:trPr>
        <w:tc>
          <w:tcPr>
            <w:tcW w:w="680" w:type="dxa"/>
            <w:vMerge w:val="restart"/>
            <w:tcBorders>
              <w:top w:val="nil"/>
              <w:left w:val="single" w:color="auto" w:sz="8" w:space="0"/>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2</w:t>
            </w:r>
          </w:p>
        </w:tc>
        <w:tc>
          <w:tcPr>
            <w:tcW w:w="122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路网交通运行信息</w:t>
            </w:r>
          </w:p>
        </w:tc>
        <w:tc>
          <w:tcPr>
            <w:tcW w:w="100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接口类</w:t>
            </w:r>
          </w:p>
        </w:tc>
        <w:tc>
          <w:tcPr>
            <w:tcW w:w="1040" w:type="dxa"/>
            <w:vMerge w:val="restart"/>
            <w:tcBorders>
              <w:top w:val="nil"/>
              <w:left w:val="nil"/>
              <w:bottom w:val="single" w:color="000000"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路网交通运行信息</w:t>
            </w: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区域拥堵指数</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区域拥堵指数</w:t>
            </w:r>
          </w:p>
        </w:tc>
      </w:tr>
      <w:tr>
        <w:tblPrEx>
          <w:tblCellMar>
            <w:top w:w="0" w:type="dxa"/>
            <w:left w:w="0" w:type="dxa"/>
            <w:bottom w:w="0" w:type="dxa"/>
            <w:right w:w="0" w:type="dxa"/>
          </w:tblCellMar>
        </w:tblPrEx>
        <w:trPr>
          <w:trHeight w:val="570" w:hRule="atLeast"/>
          <w:jc w:val="center"/>
        </w:trPr>
        <w:tc>
          <w:tcPr>
            <w:tcW w:w="68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区域运行速度</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区域运行速度</w:t>
            </w:r>
          </w:p>
        </w:tc>
      </w:tr>
      <w:tr>
        <w:tblPrEx>
          <w:tblCellMar>
            <w:top w:w="0" w:type="dxa"/>
            <w:left w:w="0" w:type="dxa"/>
            <w:bottom w:w="0" w:type="dxa"/>
            <w:right w:w="0" w:type="dxa"/>
          </w:tblCellMar>
        </w:tblPrEx>
        <w:trPr>
          <w:trHeight w:val="570" w:hRule="atLeast"/>
          <w:jc w:val="center"/>
        </w:trPr>
        <w:tc>
          <w:tcPr>
            <w:tcW w:w="68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重点道路拥堵指数</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重点道路拥堵指数</w:t>
            </w:r>
          </w:p>
        </w:tc>
      </w:tr>
      <w:tr>
        <w:tblPrEx>
          <w:tblCellMar>
            <w:top w:w="0" w:type="dxa"/>
            <w:left w:w="0" w:type="dxa"/>
            <w:bottom w:w="0" w:type="dxa"/>
            <w:right w:w="0" w:type="dxa"/>
          </w:tblCellMar>
        </w:tblPrEx>
        <w:trPr>
          <w:trHeight w:val="570" w:hRule="atLeast"/>
          <w:jc w:val="center"/>
        </w:trPr>
        <w:tc>
          <w:tcPr>
            <w:tcW w:w="68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重点道路运行速度</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重点道路运行速度</w:t>
            </w:r>
          </w:p>
        </w:tc>
      </w:tr>
      <w:tr>
        <w:tblPrEx>
          <w:tblCellMar>
            <w:top w:w="0" w:type="dxa"/>
            <w:left w:w="0" w:type="dxa"/>
            <w:bottom w:w="0" w:type="dxa"/>
            <w:right w:w="0" w:type="dxa"/>
          </w:tblCellMar>
        </w:tblPrEx>
        <w:trPr>
          <w:trHeight w:val="570" w:hRule="atLeast"/>
          <w:jc w:val="center"/>
        </w:trPr>
        <w:tc>
          <w:tcPr>
            <w:tcW w:w="68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重点节点拥堵指数</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重点节点拥堵指数</w:t>
            </w:r>
          </w:p>
        </w:tc>
      </w:tr>
      <w:tr>
        <w:tblPrEx>
          <w:tblCellMar>
            <w:top w:w="0" w:type="dxa"/>
            <w:left w:w="0" w:type="dxa"/>
            <w:bottom w:w="0" w:type="dxa"/>
            <w:right w:w="0" w:type="dxa"/>
          </w:tblCellMar>
        </w:tblPrEx>
        <w:trPr>
          <w:trHeight w:val="570" w:hRule="atLeast"/>
          <w:jc w:val="center"/>
        </w:trPr>
        <w:tc>
          <w:tcPr>
            <w:tcW w:w="68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重点节点服务水平</w:t>
            </w:r>
          </w:p>
        </w:tc>
        <w:tc>
          <w:tcPr>
            <w:tcW w:w="2060" w:type="dxa"/>
            <w:tcBorders>
              <w:top w:val="nil"/>
              <w:left w:val="nil"/>
              <w:bottom w:val="nil"/>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重点节点服务水平</w:t>
            </w:r>
          </w:p>
        </w:tc>
      </w:tr>
      <w:tr>
        <w:tblPrEx>
          <w:tblCellMar>
            <w:top w:w="0" w:type="dxa"/>
            <w:left w:w="0" w:type="dxa"/>
            <w:bottom w:w="0" w:type="dxa"/>
            <w:right w:w="0" w:type="dxa"/>
          </w:tblCellMar>
        </w:tblPrEx>
        <w:trPr>
          <w:trHeight w:val="300" w:hRule="atLeast"/>
          <w:jc w:val="center"/>
        </w:trPr>
        <w:tc>
          <w:tcPr>
            <w:tcW w:w="680" w:type="dxa"/>
            <w:vMerge w:val="continue"/>
            <w:tcBorders>
              <w:top w:val="nil"/>
              <w:left w:val="single" w:color="auto" w:sz="8" w:space="0"/>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22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0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vMerge w:val="continue"/>
            <w:tcBorders>
              <w:top w:val="nil"/>
              <w:left w:val="nil"/>
              <w:bottom w:val="single" w:color="000000" w:sz="8" w:space="0"/>
              <w:right w:val="single" w:color="auto" w:sz="8" w:space="0"/>
            </w:tcBorders>
            <w:vAlign w:val="center"/>
          </w:tcPr>
          <w:p>
            <w:pPr>
              <w:widowControl/>
              <w:adjustRightInd/>
              <w:jc w:val="left"/>
              <w:rPr>
                <w:rFonts w:ascii="仿宋" w:hAnsi="仿宋" w:eastAsia="仿宋"/>
                <w:kern w:val="0"/>
                <w:sz w:val="24"/>
              </w:rPr>
            </w:pPr>
          </w:p>
        </w:tc>
        <w:tc>
          <w:tcPr>
            <w:tcW w:w="104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交通事件</w:t>
            </w:r>
          </w:p>
        </w:tc>
        <w:tc>
          <w:tcPr>
            <w:tcW w:w="2060" w:type="dxa"/>
            <w:tcBorders>
              <w:top w:val="nil"/>
              <w:left w:val="nil"/>
              <w:bottom w:val="single" w:color="auto" w:sz="8" w:space="0"/>
              <w:right w:val="single" w:color="auto" w:sz="8" w:space="0"/>
            </w:tcBorders>
            <w:tcMar>
              <w:top w:w="15" w:type="dxa"/>
              <w:left w:w="15" w:type="dxa"/>
              <w:bottom w:w="0" w:type="dxa"/>
              <w:right w:w="15" w:type="dxa"/>
            </w:tcMar>
            <w:vAlign w:val="center"/>
          </w:tcPr>
          <w:p>
            <w:pPr>
              <w:adjustRightInd/>
              <w:jc w:val="center"/>
              <w:rPr>
                <w:rFonts w:ascii="仿宋" w:hAnsi="仿宋" w:eastAsia="仿宋"/>
                <w:kern w:val="0"/>
                <w:sz w:val="24"/>
              </w:rPr>
            </w:pPr>
            <w:r>
              <w:rPr>
                <w:rFonts w:hint="eastAsia" w:ascii="仿宋" w:hAnsi="仿宋" w:eastAsia="仿宋"/>
                <w:kern w:val="0"/>
                <w:sz w:val="24"/>
              </w:rPr>
              <w:t>交通事件</w:t>
            </w:r>
          </w:p>
        </w:tc>
      </w:tr>
    </w:tbl>
    <w:p>
      <w:pPr>
        <w:adjustRightInd/>
        <w:ind w:firstLine="420"/>
        <w:rPr>
          <w:rFonts w:ascii="仿宋" w:hAnsi="仿宋" w:eastAsia="仿宋"/>
          <w:sz w:val="24"/>
        </w:rPr>
      </w:pPr>
      <w:r>
        <w:rPr>
          <w:rFonts w:hint="eastAsia" w:ascii="仿宋" w:hAnsi="仿宋" w:eastAsia="仿宋"/>
          <w:sz w:val="24"/>
        </w:rPr>
        <w:t xml:space="preserve"> </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5.基础软件</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投标人需提供一套综合安防管理平台，实现下列功能：</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（1）整合门禁控制系统，实现对门禁子系统的配置、控制、管理与触发相关联动功能。</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（2）接入路面测温摄像机，功能如下表所示。</w:t>
      </w:r>
    </w:p>
    <w:p>
      <w:pPr>
        <w:widowControl/>
        <w:autoSpaceDE w:val="0"/>
        <w:adjustRightInd/>
        <w:spacing w:line="570" w:lineRule="exact"/>
        <w:ind w:firstLine="420"/>
        <w:jc w:val="left"/>
        <w:rPr>
          <w:rFonts w:ascii="仿宋" w:hAnsi="仿宋" w:eastAsia="仿宋"/>
          <w:sz w:val="24"/>
        </w:rPr>
      </w:pPr>
      <w:r>
        <w:rPr>
          <w:rFonts w:hint="eastAsia" w:ascii="仿宋" w:hAnsi="仿宋" w:eastAsia="仿宋"/>
          <w:sz w:val="24"/>
        </w:rPr>
        <w:t>（3）提供摄像头整合功能，支持设置录像计划、录像规则（包括定时录像、报警联动录像）等。</w:t>
      </w:r>
    </w:p>
    <w:p>
      <w:pPr>
        <w:adjustRightInd/>
        <w:rPr>
          <w:rFonts w:ascii="仿宋" w:hAnsi="仿宋" w:eastAsia="仿宋"/>
          <w:sz w:val="24"/>
        </w:rPr>
      </w:pPr>
      <w:r>
        <w:rPr>
          <w:rFonts w:hint="eastAsia" w:ascii="仿宋" w:hAnsi="仿宋" w:eastAsia="仿宋"/>
          <w:sz w:val="24"/>
        </w:rPr>
        <w:t xml:space="preserve"> </w:t>
      </w:r>
    </w:p>
    <w:tbl>
      <w:tblPr>
        <w:tblStyle w:val="62"/>
        <w:tblW w:w="7833" w:type="dxa"/>
        <w:tblInd w:w="226" w:type="dxa"/>
        <w:tblLayout w:type="fixed"/>
        <w:tblCellMar>
          <w:top w:w="0" w:type="dxa"/>
          <w:left w:w="108" w:type="dxa"/>
          <w:bottom w:w="0" w:type="dxa"/>
          <w:right w:w="108" w:type="dxa"/>
        </w:tblCellMar>
      </w:tblPr>
      <w:tblGrid>
        <w:gridCol w:w="969"/>
        <w:gridCol w:w="1782"/>
        <w:gridCol w:w="3542"/>
        <w:gridCol w:w="704"/>
        <w:gridCol w:w="836"/>
      </w:tblGrid>
      <w:tr>
        <w:tblPrEx>
          <w:tblCellMar>
            <w:top w:w="0" w:type="dxa"/>
            <w:left w:w="108" w:type="dxa"/>
            <w:bottom w:w="0" w:type="dxa"/>
            <w:right w:w="108" w:type="dxa"/>
          </w:tblCellMar>
        </w:tblPrEx>
        <w:trPr>
          <w:trHeight w:val="300" w:hRule="atLeast"/>
        </w:trPr>
        <w:tc>
          <w:tcPr>
            <w:tcW w:w="9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1782"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综合安防管理平台</w:t>
            </w:r>
          </w:p>
        </w:tc>
        <w:tc>
          <w:tcPr>
            <w:tcW w:w="3542"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一、基础门禁管理通过接入多种门禁设备，利用卡片、人脸、指纹介质，实现人员身份识别、出入管控等智能应用，主要提供门禁权限管理、事件管理、门禁状态查看、门禁远程控制、人员出入记录实时展示、远程呼叫对讲等应用。默认包含50路门禁点授权。（</w:t>
            </w:r>
          </w:p>
          <w:p>
            <w:pPr>
              <w:snapToGrid w:val="0"/>
              <w:jc w:val="center"/>
              <w:rPr>
                <w:rFonts w:ascii="仿宋" w:hAnsi="仿宋" w:eastAsia="仿宋" w:cs="宋体"/>
                <w:sz w:val="24"/>
              </w:rPr>
            </w:pPr>
            <w:r>
              <w:rPr>
                <w:rFonts w:hint="eastAsia" w:ascii="仿宋" w:hAnsi="仿宋" w:eastAsia="仿宋" w:cs="宋体"/>
                <w:sz w:val="24"/>
              </w:rPr>
              <w:t>（一）、提供门禁权限管理应用</w:t>
            </w:r>
          </w:p>
          <w:p>
            <w:pPr>
              <w:snapToGrid w:val="0"/>
              <w:jc w:val="center"/>
              <w:rPr>
                <w:rFonts w:ascii="仿宋" w:hAnsi="仿宋" w:eastAsia="仿宋" w:cs="宋体"/>
                <w:sz w:val="24"/>
              </w:rPr>
            </w:pPr>
            <w:r>
              <w:rPr>
                <w:rFonts w:hint="eastAsia" w:ascii="仿宋" w:hAnsi="仿宋" w:eastAsia="仿宋" w:cs="宋体"/>
                <w:sz w:val="24"/>
              </w:rPr>
              <w:t>1、支持按组织、人员、人员分组、门禁点维度配置权限；</w:t>
            </w:r>
          </w:p>
          <w:p>
            <w:pPr>
              <w:snapToGrid w:val="0"/>
              <w:jc w:val="center"/>
              <w:rPr>
                <w:rFonts w:ascii="仿宋" w:hAnsi="仿宋" w:eastAsia="仿宋" w:cs="宋体"/>
                <w:sz w:val="24"/>
              </w:rPr>
            </w:pPr>
            <w:r>
              <w:rPr>
                <w:rFonts w:hint="eastAsia" w:ascii="仿宋" w:hAnsi="仿宋" w:eastAsia="仿宋" w:cs="宋体"/>
                <w:sz w:val="24"/>
              </w:rPr>
              <w:t>2. 支持M1卡指定扇区加密，加密的M1卡可以按权限在加密或不加密的设备上使用；</w:t>
            </w:r>
          </w:p>
          <w:p>
            <w:pPr>
              <w:snapToGrid w:val="0"/>
              <w:jc w:val="center"/>
              <w:rPr>
                <w:rFonts w:ascii="仿宋" w:hAnsi="仿宋" w:eastAsia="仿宋" w:cs="宋体"/>
                <w:sz w:val="24"/>
              </w:rPr>
            </w:pPr>
            <w:r>
              <w:rPr>
                <w:rFonts w:hint="eastAsia" w:ascii="仿宋" w:hAnsi="仿宋" w:eastAsia="仿宋" w:cs="宋体"/>
                <w:sz w:val="24"/>
              </w:rPr>
              <w:t>3、支持设置权限有效期、计划模板、假日计划；</w:t>
            </w:r>
          </w:p>
          <w:p>
            <w:pPr>
              <w:snapToGrid w:val="0"/>
              <w:jc w:val="center"/>
              <w:rPr>
                <w:rFonts w:ascii="仿宋" w:hAnsi="仿宋" w:eastAsia="仿宋" w:cs="宋体"/>
                <w:sz w:val="24"/>
              </w:rPr>
            </w:pPr>
            <w:r>
              <w:rPr>
                <w:rFonts w:hint="eastAsia" w:ascii="仿宋" w:hAnsi="仿宋" w:eastAsia="仿宋" w:cs="宋体"/>
                <w:sz w:val="24"/>
              </w:rPr>
              <w:t>4、支持按人员特征属性生成人员分组，如证件类型、岗位等级、职称等；</w:t>
            </w:r>
          </w:p>
          <w:p>
            <w:pPr>
              <w:snapToGrid w:val="0"/>
              <w:jc w:val="center"/>
              <w:rPr>
                <w:rFonts w:ascii="仿宋" w:hAnsi="仿宋" w:eastAsia="仿宋" w:cs="宋体"/>
                <w:sz w:val="24"/>
              </w:rPr>
            </w:pPr>
            <w:r>
              <w:rPr>
                <w:rFonts w:hint="eastAsia" w:ascii="仿宋" w:hAnsi="仿宋" w:eastAsia="仿宋" w:cs="宋体"/>
                <w:sz w:val="24"/>
              </w:rPr>
              <w:t>5、支持权限增量下发、初始化下发；</w:t>
            </w:r>
          </w:p>
          <w:p>
            <w:pPr>
              <w:snapToGrid w:val="0"/>
              <w:jc w:val="center"/>
              <w:rPr>
                <w:rFonts w:ascii="仿宋" w:hAnsi="仿宋" w:eastAsia="仿宋" w:cs="宋体"/>
                <w:sz w:val="24"/>
              </w:rPr>
            </w:pPr>
            <w:r>
              <w:rPr>
                <w:rFonts w:hint="eastAsia" w:ascii="仿宋" w:hAnsi="仿宋" w:eastAsia="仿宋" w:cs="宋体"/>
                <w:sz w:val="24"/>
              </w:rPr>
              <w:t xml:space="preserve">6. 支持人脸建模的批量下发；支持全量下发和增量下发 </w:t>
            </w:r>
          </w:p>
          <w:p>
            <w:pPr>
              <w:snapToGrid w:val="0"/>
              <w:jc w:val="center"/>
              <w:rPr>
                <w:rFonts w:ascii="仿宋" w:hAnsi="仿宋" w:eastAsia="仿宋" w:cs="宋体"/>
                <w:sz w:val="24"/>
              </w:rPr>
            </w:pPr>
            <w:r>
              <w:rPr>
                <w:rFonts w:hint="eastAsia" w:ascii="仿宋" w:hAnsi="仿宋" w:eastAsia="仿宋" w:cs="宋体"/>
                <w:sz w:val="24"/>
              </w:rPr>
              <w:t>7、支持按时段配置门的常开常闭状态；</w:t>
            </w:r>
          </w:p>
          <w:p>
            <w:pPr>
              <w:snapToGrid w:val="0"/>
              <w:jc w:val="center"/>
              <w:rPr>
                <w:rFonts w:ascii="仿宋" w:hAnsi="仿宋" w:eastAsia="仿宋" w:cs="宋体"/>
                <w:sz w:val="24"/>
              </w:rPr>
            </w:pPr>
            <w:r>
              <w:rPr>
                <w:rFonts w:hint="eastAsia" w:ascii="仿宋" w:hAnsi="仿宋" w:eastAsia="仿宋" w:cs="宋体"/>
                <w:sz w:val="24"/>
              </w:rPr>
              <w:t>8. 支持人员的卡权限在平台进行权限认证，当卡权限还未下发到设备时，平台可以根据刷卡事件进行人员权限判断并进行反控开门</w:t>
            </w:r>
          </w:p>
          <w:p>
            <w:pPr>
              <w:snapToGrid w:val="0"/>
              <w:jc w:val="center"/>
              <w:rPr>
                <w:rFonts w:ascii="仿宋" w:hAnsi="仿宋" w:eastAsia="仿宋" w:cs="宋体"/>
                <w:sz w:val="24"/>
              </w:rPr>
            </w:pPr>
            <w:r>
              <w:rPr>
                <w:rFonts w:hint="eastAsia" w:ascii="仿宋" w:hAnsi="仿宋" w:eastAsia="仿宋" w:cs="宋体"/>
                <w:sz w:val="24"/>
              </w:rPr>
              <w:t>9、支持认证方式设置，可按不同时段设置不同的认证方式，如刷卡+人脸、刷卡+指纹；</w:t>
            </w:r>
          </w:p>
          <w:p>
            <w:pPr>
              <w:snapToGrid w:val="0"/>
              <w:jc w:val="center"/>
              <w:rPr>
                <w:rFonts w:ascii="仿宋" w:hAnsi="仿宋" w:eastAsia="仿宋" w:cs="宋体"/>
                <w:sz w:val="24"/>
              </w:rPr>
            </w:pPr>
            <w:r>
              <w:rPr>
                <w:rFonts w:hint="eastAsia" w:ascii="仿宋" w:hAnsi="仿宋" w:eastAsia="仿宋" w:cs="宋体"/>
                <w:sz w:val="24"/>
              </w:rPr>
              <w:t>10、支持首卡常开，刷首卡可使门保持常开至常开时间段结束，若此期间再次刷首卡，门恢复正常状态；</w:t>
            </w:r>
          </w:p>
          <w:p>
            <w:pPr>
              <w:snapToGrid w:val="0"/>
              <w:jc w:val="center"/>
              <w:rPr>
                <w:rFonts w:ascii="仿宋" w:hAnsi="仿宋" w:eastAsia="仿宋" w:cs="宋体"/>
                <w:sz w:val="24"/>
              </w:rPr>
            </w:pPr>
            <w:r>
              <w:rPr>
                <w:rFonts w:hint="eastAsia" w:ascii="仿宋" w:hAnsi="仿宋" w:eastAsia="仿宋" w:cs="宋体"/>
                <w:sz w:val="24"/>
              </w:rPr>
              <w:t>11. 支持可设置门禁权限为长期有效；权限时间支持精确到秒；门禁权限手动冻结、解冻；支持开启自动清理一定时间范围未使用的门禁权限</w:t>
            </w:r>
          </w:p>
          <w:p>
            <w:pPr>
              <w:snapToGrid w:val="0"/>
              <w:jc w:val="center"/>
              <w:rPr>
                <w:rFonts w:ascii="仿宋" w:hAnsi="仿宋" w:eastAsia="仿宋" w:cs="宋体"/>
                <w:sz w:val="24"/>
              </w:rPr>
            </w:pPr>
            <w:r>
              <w:rPr>
                <w:rFonts w:hint="eastAsia" w:ascii="仿宋" w:hAnsi="仿宋" w:eastAsia="仿宋" w:cs="宋体"/>
                <w:sz w:val="24"/>
              </w:rPr>
              <w:t>12、支持特殊卡设置，包括残疾人卡（可延长开门时间）、黑名单卡（无法开门）、胁迫卡（正常开门并上报胁迫报警）、超级卡（不受限于门常闭、刷卡+密码认证需要密码确认的规则，刷卡直接开门）；</w:t>
            </w:r>
          </w:p>
          <w:p>
            <w:pPr>
              <w:snapToGrid w:val="0"/>
              <w:jc w:val="center"/>
              <w:rPr>
                <w:rFonts w:ascii="仿宋" w:hAnsi="仿宋" w:eastAsia="仿宋" w:cs="宋体"/>
                <w:sz w:val="24"/>
              </w:rPr>
            </w:pPr>
            <w:r>
              <w:rPr>
                <w:rFonts w:hint="eastAsia" w:ascii="仿宋" w:hAnsi="仿宋" w:eastAsia="仿宋" w:cs="宋体"/>
                <w:sz w:val="24"/>
              </w:rPr>
              <w:t>13、针对刷卡开门方式，即使卡片权限未同步到设备，也可通过中心平台完成权限认证开门。</w:t>
            </w:r>
          </w:p>
          <w:p>
            <w:pPr>
              <w:snapToGrid w:val="0"/>
              <w:jc w:val="center"/>
              <w:rPr>
                <w:rFonts w:ascii="仿宋" w:hAnsi="仿宋" w:eastAsia="仿宋" w:cs="宋体"/>
                <w:sz w:val="24"/>
              </w:rPr>
            </w:pPr>
            <w:r>
              <w:rPr>
                <w:rFonts w:hint="eastAsia" w:ascii="仿宋" w:hAnsi="仿宋" w:eastAsia="仿宋" w:cs="宋体"/>
                <w:sz w:val="24"/>
              </w:rPr>
              <w:t>14、支持调整已超出或即将超出设备容量的人员生物特征；</w:t>
            </w:r>
          </w:p>
          <w:p>
            <w:pPr>
              <w:snapToGrid w:val="0"/>
              <w:jc w:val="center"/>
              <w:rPr>
                <w:rFonts w:ascii="仿宋" w:hAnsi="仿宋" w:eastAsia="仿宋" w:cs="宋体"/>
                <w:sz w:val="24"/>
              </w:rPr>
            </w:pPr>
            <w:r>
              <w:rPr>
                <w:rFonts w:hint="eastAsia" w:ascii="仿宋" w:hAnsi="仿宋" w:eastAsia="仿宋" w:cs="宋体"/>
                <w:sz w:val="24"/>
              </w:rPr>
              <w:t>15、支持按门禁点、人员、组织、区域等多维度，综合查询权限配置、下发状态等信息；</w:t>
            </w:r>
          </w:p>
          <w:p>
            <w:pPr>
              <w:snapToGrid w:val="0"/>
              <w:jc w:val="center"/>
              <w:rPr>
                <w:rFonts w:ascii="仿宋" w:hAnsi="仿宋" w:eastAsia="仿宋" w:cs="宋体"/>
                <w:sz w:val="24"/>
              </w:rPr>
            </w:pPr>
            <w:r>
              <w:rPr>
                <w:rFonts w:hint="eastAsia" w:ascii="仿宋" w:hAnsi="仿宋" w:eastAsia="仿宋" w:cs="宋体"/>
                <w:sz w:val="24"/>
              </w:rPr>
              <w:t>16. 支持多样的人员信息采集途径，并支持人脸照片质量评价。采集方式包括：①通过多功能采集设备在线采集人脸、指纹、身份证信息；②在公网或内网环境下，通过APP实现人脸照片采集；③通过人证比对设备实现离线或在线采集人脸照片；④通过平台批量导入人脸照片，并验证人脸照片命名、大小和质量是否符合规范；</w:t>
            </w:r>
          </w:p>
          <w:p>
            <w:pPr>
              <w:snapToGrid w:val="0"/>
              <w:jc w:val="center"/>
              <w:rPr>
                <w:rFonts w:ascii="仿宋" w:hAnsi="仿宋" w:eastAsia="仿宋" w:cs="宋体"/>
                <w:sz w:val="24"/>
              </w:rPr>
            </w:pPr>
            <w:r>
              <w:rPr>
                <w:rFonts w:hint="eastAsia" w:ascii="仿宋" w:hAnsi="仿宋" w:eastAsia="仿宋" w:cs="宋体"/>
                <w:sz w:val="24"/>
              </w:rPr>
              <w:t>17. 支持跨门禁主机的多门互锁</w:t>
            </w:r>
          </w:p>
          <w:p>
            <w:pPr>
              <w:snapToGrid w:val="0"/>
              <w:jc w:val="center"/>
              <w:rPr>
                <w:rFonts w:ascii="仿宋" w:hAnsi="仿宋" w:eastAsia="仿宋" w:cs="宋体"/>
                <w:sz w:val="24"/>
              </w:rPr>
            </w:pPr>
            <w:r>
              <w:rPr>
                <w:rFonts w:hint="eastAsia" w:ascii="仿宋" w:hAnsi="仿宋" w:eastAsia="仿宋" w:cs="宋体"/>
                <w:sz w:val="24"/>
              </w:rPr>
              <w:t>（二）、提供门禁事件管理应用</w:t>
            </w:r>
          </w:p>
          <w:p>
            <w:pPr>
              <w:snapToGrid w:val="0"/>
              <w:jc w:val="center"/>
              <w:rPr>
                <w:rFonts w:ascii="仿宋" w:hAnsi="仿宋" w:eastAsia="仿宋" w:cs="宋体"/>
                <w:sz w:val="24"/>
              </w:rPr>
            </w:pPr>
            <w:r>
              <w:rPr>
                <w:rFonts w:hint="eastAsia" w:ascii="仿宋" w:hAnsi="仿宋" w:eastAsia="仿宋" w:cs="宋体"/>
                <w:sz w:val="24"/>
              </w:rPr>
              <w:t>1、支持配置平台接收到事件类型；</w:t>
            </w:r>
          </w:p>
          <w:p>
            <w:pPr>
              <w:snapToGrid w:val="0"/>
              <w:rPr>
                <w:rFonts w:ascii="仿宋" w:hAnsi="仿宋" w:eastAsia="仿宋" w:cs="宋体"/>
                <w:sz w:val="24"/>
              </w:rPr>
            </w:pPr>
            <w:r>
              <w:rPr>
                <w:rFonts w:hint="eastAsia" w:ascii="仿宋" w:hAnsi="仿宋" w:eastAsia="仿宋" w:cs="宋体"/>
                <w:sz w:val="24"/>
              </w:rPr>
              <w:t>2、支持配置事件保存时长；</w:t>
            </w:r>
          </w:p>
          <w:p>
            <w:pPr>
              <w:snapToGrid w:val="0"/>
              <w:jc w:val="center"/>
              <w:rPr>
                <w:rFonts w:ascii="仿宋" w:hAnsi="仿宋" w:eastAsia="仿宋" w:cs="宋体"/>
                <w:sz w:val="24"/>
              </w:rPr>
            </w:pPr>
            <w:r>
              <w:rPr>
                <w:rFonts w:hint="eastAsia" w:ascii="仿宋" w:hAnsi="仿宋" w:eastAsia="仿宋" w:cs="宋体"/>
                <w:sz w:val="24"/>
              </w:rPr>
              <w:t>3、支持查询人员出入事件和设备事件；</w:t>
            </w:r>
          </w:p>
          <w:p>
            <w:pPr>
              <w:snapToGrid w:val="0"/>
              <w:jc w:val="center"/>
              <w:rPr>
                <w:rFonts w:ascii="仿宋" w:hAnsi="仿宋" w:eastAsia="仿宋" w:cs="宋体"/>
                <w:sz w:val="24"/>
              </w:rPr>
            </w:pPr>
            <w:r>
              <w:rPr>
                <w:rFonts w:hint="eastAsia" w:ascii="仿宋" w:hAnsi="仿宋" w:eastAsia="仿宋" w:cs="宋体"/>
                <w:sz w:val="24"/>
              </w:rPr>
              <w:t>（三）、提供门禁状态查看及远程控制应用</w:t>
            </w:r>
          </w:p>
          <w:p>
            <w:pPr>
              <w:snapToGrid w:val="0"/>
              <w:jc w:val="center"/>
              <w:rPr>
                <w:rFonts w:ascii="仿宋" w:hAnsi="仿宋" w:eastAsia="仿宋" w:cs="宋体"/>
                <w:sz w:val="24"/>
              </w:rPr>
            </w:pPr>
            <w:r>
              <w:rPr>
                <w:rFonts w:hint="eastAsia" w:ascii="仿宋" w:hAnsi="仿宋" w:eastAsia="仿宋" w:cs="宋体"/>
                <w:sz w:val="24"/>
              </w:rPr>
              <w:t>1、支持查看门禁状态，包括开关状态、在离线状态；</w:t>
            </w:r>
          </w:p>
          <w:p>
            <w:pPr>
              <w:snapToGrid w:val="0"/>
              <w:jc w:val="center"/>
              <w:rPr>
                <w:rFonts w:ascii="仿宋" w:hAnsi="仿宋" w:eastAsia="仿宋" w:cs="宋体"/>
                <w:sz w:val="24"/>
              </w:rPr>
            </w:pPr>
            <w:r>
              <w:rPr>
                <w:rFonts w:hint="eastAsia" w:ascii="仿宋" w:hAnsi="仿宋" w:eastAsia="仿宋" w:cs="宋体"/>
                <w:sz w:val="24"/>
              </w:rPr>
              <w:t>2、支持对门禁点反控，包括对门进行开、关、常开、常闭的反控操作；</w:t>
            </w:r>
          </w:p>
          <w:p>
            <w:pPr>
              <w:snapToGrid w:val="0"/>
              <w:jc w:val="center"/>
              <w:rPr>
                <w:rFonts w:ascii="仿宋" w:hAnsi="仿宋" w:eastAsia="仿宋" w:cs="宋体"/>
                <w:sz w:val="24"/>
              </w:rPr>
            </w:pPr>
            <w:r>
              <w:rPr>
                <w:rFonts w:hint="eastAsia" w:ascii="仿宋" w:hAnsi="仿宋" w:eastAsia="仿宋" w:cs="宋体"/>
                <w:sz w:val="24"/>
              </w:rPr>
              <w:t>3. 支持人员通行记录区分：内部人员、外部人员、陌生人员；</w:t>
            </w:r>
          </w:p>
          <w:p>
            <w:pPr>
              <w:snapToGrid w:val="0"/>
              <w:jc w:val="center"/>
              <w:rPr>
                <w:rFonts w:ascii="仿宋" w:hAnsi="仿宋" w:eastAsia="仿宋" w:cs="宋体"/>
                <w:sz w:val="24"/>
              </w:rPr>
            </w:pPr>
            <w:r>
              <w:rPr>
                <w:rFonts w:hint="eastAsia" w:ascii="仿宋" w:hAnsi="仿宋" w:eastAsia="仿宋" w:cs="宋体"/>
                <w:sz w:val="24"/>
              </w:rPr>
              <w:t>4、支持远程呼叫应用，门禁一体机呼叫中心发起开门请求，cs客户端弹窗显示一体机视频，中心可选择接听、拒绝、开门；</w:t>
            </w:r>
          </w:p>
          <w:p>
            <w:pPr>
              <w:snapToGrid w:val="0"/>
              <w:jc w:val="center"/>
              <w:rPr>
                <w:rFonts w:ascii="仿宋" w:hAnsi="仿宋" w:eastAsia="仿宋" w:cs="宋体"/>
                <w:sz w:val="24"/>
              </w:rPr>
            </w:pPr>
            <w:r>
              <w:rPr>
                <w:rFonts w:hint="eastAsia" w:ascii="仿宋" w:hAnsi="仿宋" w:eastAsia="仿宋" w:cs="宋体"/>
                <w:sz w:val="24"/>
              </w:rPr>
              <w:t>（四）、提供人员出入记录实时展示应用</w:t>
            </w:r>
          </w:p>
          <w:p>
            <w:pPr>
              <w:snapToGrid w:val="0"/>
              <w:jc w:val="center"/>
              <w:rPr>
                <w:rFonts w:ascii="仿宋" w:hAnsi="仿宋" w:eastAsia="仿宋" w:cs="宋体"/>
                <w:sz w:val="24"/>
              </w:rPr>
            </w:pPr>
            <w:r>
              <w:rPr>
                <w:rFonts w:hint="eastAsia" w:ascii="仿宋" w:hAnsi="仿宋" w:eastAsia="仿宋" w:cs="宋体"/>
                <w:sz w:val="24"/>
              </w:rPr>
              <w:t>1、支持人员进出事件实时展示，包括人员基础信息、抓拍图片、进出时间、设备名称等，可全屏展示</w:t>
            </w:r>
          </w:p>
          <w:p>
            <w:pPr>
              <w:snapToGrid w:val="0"/>
              <w:jc w:val="center"/>
              <w:rPr>
                <w:rFonts w:ascii="仿宋" w:hAnsi="仿宋" w:eastAsia="仿宋" w:cs="宋体"/>
                <w:sz w:val="24"/>
              </w:rPr>
            </w:pPr>
            <w:r>
              <w:rPr>
                <w:rFonts w:hint="eastAsia" w:ascii="仿宋" w:hAnsi="仿宋" w:eastAsia="仿宋" w:cs="宋体"/>
                <w:sz w:val="24"/>
              </w:rPr>
              <w:t>二、客流应用</w:t>
            </w:r>
          </w:p>
          <w:p>
            <w:pPr>
              <w:snapToGrid w:val="0"/>
              <w:jc w:val="center"/>
              <w:rPr>
                <w:rFonts w:ascii="仿宋" w:hAnsi="仿宋" w:eastAsia="仿宋" w:cs="宋体"/>
                <w:sz w:val="24"/>
              </w:rPr>
            </w:pPr>
            <w:r>
              <w:rPr>
                <w:rFonts w:hint="eastAsia" w:ascii="仿宋" w:hAnsi="仿宋" w:eastAsia="仿宋" w:cs="宋体"/>
                <w:sz w:val="24"/>
              </w:rPr>
              <w:t>1、枢纽3D地图：实时全局/区域客流数据、实时客流热力图、工作人员位置显示（需配合室内定位标签数据输入）（不包含站点三维建模费）；</w:t>
            </w:r>
          </w:p>
          <w:p>
            <w:pPr>
              <w:snapToGrid w:val="0"/>
              <w:jc w:val="center"/>
              <w:rPr>
                <w:rFonts w:ascii="仿宋" w:hAnsi="仿宋" w:eastAsia="仿宋" w:cs="宋体"/>
                <w:sz w:val="24"/>
              </w:rPr>
            </w:pPr>
            <w:r>
              <w:rPr>
                <w:rFonts w:hint="eastAsia" w:ascii="仿宋" w:hAnsi="仿宋" w:eastAsia="仿宋" w:cs="宋体"/>
                <w:sz w:val="24"/>
              </w:rPr>
              <w:t>2、区域VR全景：视频投影（需前端设备支持）、实时区域数据、漫游（不包含站点三维建模费）；</w:t>
            </w:r>
          </w:p>
          <w:p>
            <w:pPr>
              <w:snapToGrid w:val="0"/>
              <w:jc w:val="center"/>
              <w:rPr>
                <w:rFonts w:ascii="仿宋" w:hAnsi="仿宋" w:eastAsia="仿宋" w:cs="宋体"/>
                <w:sz w:val="24"/>
              </w:rPr>
            </w:pPr>
            <w:r>
              <w:rPr>
                <w:rFonts w:hint="eastAsia" w:ascii="仿宋" w:hAnsi="仿宋" w:eastAsia="仿宋" w:cs="宋体"/>
                <w:sz w:val="24"/>
              </w:rPr>
              <w:t>3、支持录像分段回放功能，可以将录像文件等分成多个片段同时回放，通过分割点的图像差异，快速确定回放关键录像时段；</w:t>
            </w:r>
          </w:p>
          <w:p>
            <w:pPr>
              <w:snapToGrid w:val="0"/>
              <w:jc w:val="center"/>
              <w:rPr>
                <w:rFonts w:ascii="仿宋" w:hAnsi="仿宋" w:eastAsia="仿宋" w:cs="宋体"/>
                <w:sz w:val="24"/>
              </w:rPr>
            </w:pPr>
            <w:r>
              <w:rPr>
                <w:rFonts w:hint="eastAsia" w:ascii="仿宋" w:hAnsi="仿宋" w:eastAsia="仿宋" w:cs="宋体"/>
                <w:sz w:val="24"/>
              </w:rPr>
              <w:t>4、支持设置是否开启直连云存储高倍速回放，开启后点位可支持32倍、64倍高倍速播放，支持高倍速播放的点位画面上会有图标标明；</w:t>
            </w:r>
          </w:p>
          <w:p>
            <w:pPr>
              <w:snapToGrid w:val="0"/>
              <w:jc w:val="center"/>
              <w:rPr>
                <w:rFonts w:ascii="仿宋" w:hAnsi="仿宋" w:eastAsia="仿宋" w:cs="宋体"/>
                <w:sz w:val="24"/>
              </w:rPr>
            </w:pPr>
            <w:r>
              <w:rPr>
                <w:rFonts w:hint="eastAsia" w:ascii="仿宋" w:hAnsi="仿宋" w:eastAsia="仿宋" w:cs="宋体"/>
                <w:sz w:val="24"/>
              </w:rPr>
              <w:t>5、客流管控：预案管理、多级客流管控、客流管控判断预提醒、管控效果评估、工作人员定位报警；</w:t>
            </w:r>
          </w:p>
          <w:p>
            <w:pPr>
              <w:snapToGrid w:val="0"/>
              <w:jc w:val="center"/>
              <w:rPr>
                <w:rFonts w:ascii="仿宋" w:hAnsi="仿宋" w:eastAsia="仿宋" w:cs="宋体"/>
                <w:sz w:val="24"/>
              </w:rPr>
            </w:pPr>
            <w:r>
              <w:rPr>
                <w:rFonts w:hint="eastAsia" w:ascii="仿宋" w:hAnsi="仿宋" w:eastAsia="仿宋" w:cs="宋体"/>
                <w:sz w:val="24"/>
              </w:rPr>
              <w:t>6、查询结果中支持展示目标对象的关联信息，包括同步采集信息及与目标对象具有关联关系的对象信息；</w:t>
            </w:r>
          </w:p>
          <w:p>
            <w:pPr>
              <w:snapToGrid w:val="0"/>
              <w:jc w:val="center"/>
              <w:rPr>
                <w:rFonts w:ascii="仿宋" w:hAnsi="仿宋" w:eastAsia="仿宋" w:cs="宋体"/>
                <w:sz w:val="24"/>
              </w:rPr>
            </w:pPr>
            <w:r>
              <w:rPr>
                <w:rFonts w:hint="eastAsia" w:ascii="仿宋" w:hAnsi="仿宋" w:eastAsia="仿宋" w:cs="宋体"/>
                <w:sz w:val="24"/>
              </w:rPr>
              <w:t>7、客流事件：密度报警、拥堵报警、人员报警；</w:t>
            </w:r>
          </w:p>
          <w:p>
            <w:pPr>
              <w:snapToGrid w:val="0"/>
              <w:jc w:val="center"/>
              <w:rPr>
                <w:rFonts w:ascii="仿宋" w:hAnsi="仿宋" w:eastAsia="仿宋" w:cs="宋体"/>
                <w:sz w:val="24"/>
              </w:rPr>
            </w:pPr>
            <w:r>
              <w:rPr>
                <w:rFonts w:hint="eastAsia" w:ascii="仿宋" w:hAnsi="仿宋" w:eastAsia="仿宋" w:cs="宋体"/>
                <w:sz w:val="24"/>
              </w:rPr>
              <w:t>8、支持查看基础目录，并支持根据业务需求切换相应的自定义业务目录，资源以资源树形式展示，点击可查看下层资源及点位；</w:t>
            </w:r>
          </w:p>
          <w:p>
            <w:pPr>
              <w:snapToGrid w:val="0"/>
              <w:jc w:val="center"/>
              <w:rPr>
                <w:rFonts w:ascii="仿宋" w:hAnsi="仿宋" w:eastAsia="仿宋" w:cs="宋体"/>
                <w:sz w:val="24"/>
              </w:rPr>
            </w:pPr>
            <w:r>
              <w:rPr>
                <w:rFonts w:hint="eastAsia" w:ascii="仿宋" w:hAnsi="仿宋" w:eastAsia="仿宋" w:cs="宋体"/>
                <w:sz w:val="24"/>
              </w:rPr>
              <w:t>9、查询统计：客流量、区域密度、通道拥堵度、历史热力图；</w:t>
            </w:r>
          </w:p>
          <w:p>
            <w:pPr>
              <w:snapToGrid w:val="0"/>
              <w:jc w:val="center"/>
              <w:rPr>
                <w:rFonts w:ascii="仿宋" w:hAnsi="仿宋" w:eastAsia="仿宋" w:cs="宋体"/>
                <w:sz w:val="24"/>
              </w:rPr>
            </w:pPr>
            <w:r>
              <w:rPr>
                <w:rFonts w:hint="eastAsia" w:ascii="仿宋" w:hAnsi="仿宋" w:eastAsia="仿宋" w:cs="宋体"/>
                <w:sz w:val="24"/>
              </w:rPr>
              <w:t>10、支持将创建的分组分享给其他用户并支持统计收藏夹被分享的用户数；支持查看其他用户共享的收藏夹分组，并支持查看分享人及分享时间；</w:t>
            </w:r>
          </w:p>
          <w:p>
            <w:pPr>
              <w:snapToGrid w:val="0"/>
              <w:jc w:val="center"/>
              <w:rPr>
                <w:rFonts w:ascii="仿宋" w:hAnsi="仿宋" w:eastAsia="仿宋" w:cs="宋体"/>
                <w:sz w:val="24"/>
              </w:rPr>
            </w:pPr>
            <w:r>
              <w:rPr>
                <w:rFonts w:hint="eastAsia" w:ascii="仿宋" w:hAnsi="仿宋" w:eastAsia="仿宋" w:cs="宋体"/>
                <w:sz w:val="24"/>
              </w:rPr>
              <w:t>11、支持根据用户业务需求，支持创建独立的业务目录树，同时也支持在基础目录树上创建更有业务针对性的业务目录区域，支持自定义新建及修改业务目录的名称、关联资源类型及关联目录标识，并支持针对业务目录进行修改、编辑、排序等管理</w:t>
            </w:r>
          </w:p>
          <w:p>
            <w:pPr>
              <w:snapToGrid w:val="0"/>
              <w:jc w:val="center"/>
              <w:rPr>
                <w:rFonts w:ascii="仿宋" w:hAnsi="仿宋" w:eastAsia="仿宋" w:cs="宋体"/>
                <w:sz w:val="24"/>
              </w:rPr>
            </w:pPr>
            <w:r>
              <w:rPr>
                <w:rFonts w:hint="eastAsia" w:ascii="仿宋" w:hAnsi="仿宋" w:eastAsia="仿宋" w:cs="宋体"/>
                <w:sz w:val="24"/>
              </w:rPr>
              <w:t>12、支持点位周边搜索，在地图上自由选择当前点位周边点位，并支持对所选点位进行预览、回放、收藏、定位到资源树及查看属性；</w:t>
            </w:r>
          </w:p>
          <w:p>
            <w:pPr>
              <w:snapToGrid w:val="0"/>
              <w:jc w:val="center"/>
              <w:rPr>
                <w:rFonts w:ascii="仿宋" w:hAnsi="仿宋" w:eastAsia="仿宋" w:cs="宋体"/>
                <w:sz w:val="24"/>
              </w:rPr>
            </w:pPr>
            <w:r>
              <w:rPr>
                <w:rFonts w:hint="eastAsia" w:ascii="仿宋" w:hAnsi="仿宋" w:eastAsia="仿宋" w:cs="宋体"/>
                <w:sz w:val="24"/>
              </w:rPr>
              <w:t>13、支持针对所选区域下的监控点状态、录像巡检状态、视频诊断状态及点播状态进行一键巡检，并展示异常状态及在线状态数据，同时支持巡检数据导出，同时支持依照所选区域及其子区域的巡检得分排名；</w:t>
            </w:r>
          </w:p>
          <w:p>
            <w:pPr>
              <w:snapToGrid w:val="0"/>
              <w:jc w:val="center"/>
              <w:rPr>
                <w:rFonts w:ascii="仿宋" w:hAnsi="仿宋" w:eastAsia="仿宋" w:cs="宋体"/>
                <w:sz w:val="24"/>
              </w:rPr>
            </w:pPr>
            <w:r>
              <w:rPr>
                <w:rFonts w:hint="eastAsia" w:ascii="仿宋" w:hAnsi="仿宋" w:eastAsia="仿宋" w:cs="宋体"/>
                <w:sz w:val="24"/>
              </w:rPr>
              <w:t>14、支持针对编码设备进行统一管理、配置、编辑及同步，编码设备添加支持单IP添加、IP段添加、单编号添加及编号段添加等多种方式，同时支持批量导入导出编码设备；</w:t>
            </w:r>
          </w:p>
          <w:p>
            <w:pPr>
              <w:snapToGrid w:val="0"/>
              <w:jc w:val="center"/>
              <w:rPr>
                <w:rFonts w:ascii="仿宋" w:hAnsi="仿宋" w:eastAsia="仿宋" w:cs="宋体"/>
                <w:b/>
                <w:bCs/>
                <w:sz w:val="24"/>
              </w:rPr>
            </w:pPr>
            <w:r>
              <w:rPr>
                <w:rFonts w:hint="eastAsia" w:ascii="仿宋" w:hAnsi="仿宋" w:eastAsia="仿宋" w:cs="宋体"/>
                <w:b/>
                <w:bCs/>
                <w:sz w:val="24"/>
              </w:rPr>
              <w:t>15、支持拓扑可视化展示物联资源联网下，本级域及上下级点位资源共享情况，支持查看各级资源共享详情、信令服务详情以及媒体服务详情，支持物联资源检索、共享，网关配置、外语配置、转码配置等设置</w:t>
            </w:r>
            <w:r>
              <w:rPr>
                <w:rFonts w:hint="eastAsia" w:ascii="仿宋" w:hAnsi="仿宋" w:eastAsia="仿宋" w:cs="宋体"/>
                <w:b/>
                <w:bCs/>
                <w:kern w:val="0"/>
                <w:sz w:val="24"/>
              </w:rPr>
              <w:t>（需提供第三方专业检测机构检测报告复印件或扫描件并加盖公章）</w:t>
            </w:r>
            <w:r>
              <w:rPr>
                <w:rFonts w:hint="eastAsia" w:ascii="仿宋" w:hAnsi="仿宋" w:eastAsia="仿宋" w:cs="宋体"/>
                <w:b/>
                <w:bCs/>
                <w:sz w:val="24"/>
              </w:rPr>
              <w:t>。</w:t>
            </w:r>
          </w:p>
          <w:p>
            <w:pPr>
              <w:snapToGrid w:val="0"/>
              <w:jc w:val="center"/>
              <w:rPr>
                <w:rFonts w:ascii="仿宋" w:hAnsi="仿宋" w:eastAsia="仿宋" w:cs="宋体"/>
                <w:sz w:val="24"/>
              </w:rPr>
            </w:pPr>
            <w:r>
              <w:rPr>
                <w:rFonts w:hint="eastAsia" w:ascii="仿宋" w:hAnsi="仿宋" w:eastAsia="仿宋" w:cs="宋体"/>
                <w:sz w:val="24"/>
              </w:rPr>
              <w:t>三、测温监控</w:t>
            </w:r>
          </w:p>
          <w:p>
            <w:pPr>
              <w:snapToGrid w:val="0"/>
              <w:jc w:val="center"/>
              <w:rPr>
                <w:rFonts w:ascii="仿宋" w:hAnsi="仿宋" w:eastAsia="仿宋" w:cs="宋体"/>
                <w:sz w:val="24"/>
              </w:rPr>
            </w:pPr>
            <w:r>
              <w:rPr>
                <w:rFonts w:hint="eastAsia" w:ascii="仿宋" w:hAnsi="仿宋" w:eastAsia="仿宋" w:cs="宋体"/>
                <w:sz w:val="24"/>
              </w:rPr>
              <w:t>1、支持热成像相机接入，预览回放、热成像温度、烟火识别报警联动等功能；</w:t>
            </w:r>
          </w:p>
          <w:p>
            <w:pPr>
              <w:snapToGrid w:val="0"/>
              <w:jc w:val="center"/>
              <w:rPr>
                <w:rFonts w:ascii="仿宋" w:hAnsi="仿宋" w:eastAsia="仿宋" w:cs="宋体"/>
                <w:sz w:val="24"/>
              </w:rPr>
            </w:pPr>
            <w:r>
              <w:rPr>
                <w:rFonts w:hint="eastAsia" w:ascii="仿宋" w:hAnsi="仿宋" w:eastAsia="仿宋" w:cs="宋体"/>
                <w:sz w:val="24"/>
              </w:rPr>
              <w:t>2、支持在预览监控点画面时进行一键上墙、 云台控制、语音对讲；</w:t>
            </w:r>
          </w:p>
          <w:p>
            <w:pPr>
              <w:snapToGrid w:val="0"/>
              <w:jc w:val="center"/>
              <w:rPr>
                <w:rFonts w:ascii="仿宋" w:hAnsi="仿宋" w:eastAsia="仿宋" w:cs="宋体"/>
                <w:sz w:val="24"/>
              </w:rPr>
            </w:pPr>
            <w:r>
              <w:rPr>
                <w:rFonts w:hint="eastAsia" w:ascii="仿宋" w:hAnsi="仿宋" w:eastAsia="仿宋" w:cs="宋体"/>
                <w:sz w:val="24"/>
              </w:rPr>
              <w:t>3、要求预览画面支持监控点信息、语音对讲、开关声音、云台与镜头控制、抓图、多图抓拍等；</w:t>
            </w:r>
          </w:p>
          <w:p>
            <w:pPr>
              <w:snapToGrid w:val="0"/>
              <w:jc w:val="center"/>
              <w:rPr>
                <w:rFonts w:ascii="仿宋" w:hAnsi="仿宋" w:eastAsia="仿宋" w:cs="宋体"/>
                <w:sz w:val="24"/>
              </w:rPr>
            </w:pPr>
            <w:r>
              <w:rPr>
                <w:rFonts w:hint="eastAsia" w:ascii="仿宋" w:hAnsi="仿宋" w:eastAsia="仿宋" w:cs="宋体"/>
                <w:sz w:val="24"/>
              </w:rPr>
              <w:t>4、要求支持视频画面叠加水印，包括视频预览、录像回放、即时回放、录像剪辑、手动录像和录像下载时叠加；</w:t>
            </w:r>
          </w:p>
          <w:p>
            <w:pPr>
              <w:snapToGrid w:val="0"/>
              <w:jc w:val="center"/>
              <w:rPr>
                <w:rFonts w:ascii="仿宋" w:hAnsi="仿宋" w:eastAsia="仿宋" w:cs="宋体"/>
                <w:sz w:val="24"/>
              </w:rPr>
            </w:pPr>
            <w:r>
              <w:rPr>
                <w:rFonts w:hint="eastAsia" w:ascii="仿宋" w:hAnsi="仿宋" w:eastAsia="仿宋" w:cs="宋体"/>
                <w:sz w:val="24"/>
              </w:rPr>
              <w:t>5、支持手动切换、定时切换、分组切换和报警切换等视频切换方式；</w:t>
            </w:r>
          </w:p>
          <w:p>
            <w:pPr>
              <w:snapToGrid w:val="0"/>
              <w:jc w:val="center"/>
              <w:rPr>
                <w:rFonts w:ascii="仿宋" w:hAnsi="仿宋" w:eastAsia="仿宋" w:cs="宋体"/>
                <w:sz w:val="24"/>
              </w:rPr>
            </w:pPr>
            <w:r>
              <w:rPr>
                <w:rFonts w:hint="eastAsia" w:ascii="仿宋" w:hAnsi="仿宋" w:eastAsia="仿宋" w:cs="宋体"/>
                <w:sz w:val="24"/>
              </w:rPr>
              <w:t>6、要求支持设备录像回传至中心存储，可以支持计划回传和手动回传两种模式；</w:t>
            </w:r>
          </w:p>
          <w:p>
            <w:pPr>
              <w:snapToGrid w:val="0"/>
              <w:jc w:val="center"/>
              <w:rPr>
                <w:rFonts w:ascii="仿宋" w:hAnsi="仿宋" w:eastAsia="仿宋" w:cs="宋体"/>
                <w:sz w:val="24"/>
              </w:rPr>
            </w:pPr>
            <w:r>
              <w:rPr>
                <w:rFonts w:hint="eastAsia" w:ascii="仿宋" w:hAnsi="仿宋" w:eastAsia="仿宋" w:cs="宋体"/>
                <w:sz w:val="24"/>
              </w:rPr>
              <w:t>7、支持客户端录像回放时一键上墙；</w:t>
            </w:r>
          </w:p>
          <w:p>
            <w:pPr>
              <w:snapToGrid w:val="0"/>
              <w:jc w:val="center"/>
              <w:rPr>
                <w:rFonts w:ascii="仿宋" w:hAnsi="仿宋" w:eastAsia="仿宋" w:cs="宋体"/>
                <w:sz w:val="24"/>
              </w:rPr>
            </w:pPr>
            <w:r>
              <w:rPr>
                <w:rFonts w:hint="eastAsia" w:ascii="仿宋" w:hAnsi="仿宋" w:eastAsia="仿宋" w:cs="宋体"/>
                <w:sz w:val="24"/>
              </w:rPr>
              <w:t>8、支持录像计划配置，可设置预录时长。</w:t>
            </w:r>
          </w:p>
        </w:tc>
        <w:tc>
          <w:tcPr>
            <w:tcW w:w="70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836"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项</w:t>
            </w:r>
          </w:p>
        </w:tc>
      </w:tr>
    </w:tbl>
    <w:p>
      <w:pPr>
        <w:adjustRightInd/>
        <w:ind w:firstLine="420"/>
        <w:rPr>
          <w:rFonts w:ascii="仿宋" w:hAnsi="仿宋" w:eastAsia="仿宋"/>
          <w:sz w:val="24"/>
        </w:rPr>
      </w:pPr>
      <w:r>
        <w:rPr>
          <w:rFonts w:hint="eastAsia" w:ascii="仿宋" w:hAnsi="仿宋" w:eastAsia="仿宋"/>
          <w:sz w:val="24"/>
        </w:rPr>
        <w:t xml:space="preserve"> </w:t>
      </w:r>
    </w:p>
    <w:p>
      <w:pPr>
        <w:pStyle w:val="2"/>
        <w:rPr>
          <w:lang w:val="en-US"/>
        </w:rPr>
      </w:pPr>
    </w:p>
    <w:p>
      <w:pPr>
        <w:numPr>
          <w:ilvl w:val="0"/>
          <w:numId w:val="2"/>
        </w:numPr>
        <w:adjustRightInd/>
        <w:ind w:firstLine="420"/>
        <w:rPr>
          <w:rFonts w:ascii="仿宋" w:hAnsi="仿宋" w:eastAsia="仿宋"/>
          <w:b/>
          <w:bCs/>
          <w:sz w:val="24"/>
        </w:rPr>
      </w:pPr>
      <w:r>
        <w:rPr>
          <w:rFonts w:hint="eastAsia" w:ascii="仿宋" w:hAnsi="仿宋" w:eastAsia="仿宋"/>
          <w:b/>
          <w:bCs/>
          <w:sz w:val="24"/>
        </w:rPr>
        <w:t>数据互动层</w:t>
      </w:r>
    </w:p>
    <w:p>
      <w:pPr>
        <w:widowControl/>
        <w:adjustRightInd/>
        <w:ind w:firstLine="420"/>
        <w:jc w:val="left"/>
        <w:rPr>
          <w:rFonts w:ascii="仿宋" w:hAnsi="仿宋" w:eastAsia="仿宋"/>
          <w:sz w:val="24"/>
        </w:rPr>
      </w:pPr>
      <w:r>
        <w:rPr>
          <w:rFonts w:hint="eastAsia" w:ascii="仿宋" w:hAnsi="仿宋" w:eastAsia="仿宋"/>
          <w:sz w:val="24"/>
        </w:rPr>
        <w:t>按照感知设备应接尽接、公共数据一库共享、专有数据分期接入的建设模式，利用基础支撑层所提供的数据，实现数据汇聚。投标人应按照</w:t>
      </w:r>
      <w:r>
        <w:rPr>
          <w:rFonts w:hint="eastAsia" w:ascii="仿宋" w:hAnsi="仿宋" w:eastAsia="仿宋"/>
          <w:b/>
          <w:bCs/>
          <w:sz w:val="24"/>
        </w:rPr>
        <w:t>数据采集、数据处理、数据管理、数据输出、数据安全</w:t>
      </w:r>
      <w:r>
        <w:rPr>
          <w:rFonts w:hint="eastAsia" w:ascii="仿宋" w:hAnsi="仿宋" w:eastAsia="仿宋"/>
          <w:sz w:val="24"/>
        </w:rPr>
        <w:t>的建设过程，搭建一套包括ELT、调度、建模在内的完整的数据中台，从中对数据进行清洗、转义、分类、重组、合并、拆分、统计，实现数据全生命周期管理，最终为本系统提供数据支撑。</w:t>
      </w:r>
    </w:p>
    <w:p>
      <w:pPr>
        <w:widowControl/>
        <w:adjustRightInd/>
        <w:ind w:firstLine="420"/>
        <w:jc w:val="left"/>
        <w:rPr>
          <w:rFonts w:ascii="仿宋" w:hAnsi="仿宋" w:eastAsia="仿宋"/>
          <w:sz w:val="24"/>
        </w:rPr>
      </w:pPr>
      <w:r>
        <w:rPr>
          <w:rFonts w:hint="eastAsia" w:ascii="仿宋" w:hAnsi="仿宋" w:eastAsia="仿宋"/>
          <w:sz w:val="24"/>
        </w:rPr>
        <w:t xml:space="preserve"> </w:t>
      </w:r>
    </w:p>
    <w:p>
      <w:pPr>
        <w:widowControl/>
        <w:adjustRightInd/>
        <w:ind w:firstLine="420"/>
        <w:jc w:val="left"/>
        <w:rPr>
          <w:rFonts w:ascii="仿宋" w:hAnsi="仿宋" w:eastAsia="仿宋"/>
          <w:b/>
          <w:bCs/>
          <w:sz w:val="24"/>
        </w:rPr>
      </w:pPr>
      <w:r>
        <w:rPr>
          <w:rFonts w:hint="eastAsia" w:ascii="仿宋" w:hAnsi="仿宋" w:eastAsia="仿宋"/>
          <w:b/>
          <w:bCs/>
          <w:sz w:val="24"/>
        </w:rPr>
        <w:t>1.数据采集</w:t>
      </w:r>
    </w:p>
    <w:p>
      <w:pPr>
        <w:widowControl/>
        <w:adjustRightInd/>
        <w:ind w:firstLine="420"/>
        <w:jc w:val="left"/>
        <w:rPr>
          <w:rFonts w:ascii="仿宋" w:hAnsi="仿宋" w:eastAsia="仿宋"/>
          <w:sz w:val="24"/>
        </w:rPr>
      </w:pPr>
      <w:r>
        <w:rPr>
          <w:rFonts w:hint="eastAsia" w:ascii="仿宋" w:hAnsi="仿宋" w:eastAsia="仿宋"/>
          <w:sz w:val="24"/>
        </w:rPr>
        <w:t>本系统的数据形式多样，投标方应根据基础支撑层的数据类型明确相应的</w:t>
      </w:r>
      <w:r>
        <w:rPr>
          <w:rFonts w:hint="eastAsia" w:ascii="仿宋" w:hAnsi="仿宋" w:eastAsia="仿宋"/>
          <w:b/>
          <w:bCs/>
          <w:sz w:val="24"/>
        </w:rPr>
        <w:t>采集工具</w:t>
      </w:r>
      <w:r>
        <w:rPr>
          <w:rFonts w:hint="eastAsia" w:ascii="仿宋" w:hAnsi="仿宋" w:eastAsia="仿宋"/>
          <w:sz w:val="24"/>
        </w:rPr>
        <w:t>和</w:t>
      </w:r>
      <w:r>
        <w:rPr>
          <w:rFonts w:hint="eastAsia" w:ascii="仿宋" w:hAnsi="仿宋" w:eastAsia="仿宋"/>
          <w:b/>
          <w:bCs/>
          <w:sz w:val="24"/>
        </w:rPr>
        <w:t>采集形式</w:t>
      </w:r>
      <w:r>
        <w:rPr>
          <w:rFonts w:hint="eastAsia" w:ascii="仿宋" w:hAnsi="仿宋" w:eastAsia="仿宋"/>
          <w:sz w:val="24"/>
        </w:rPr>
        <w:t>。</w:t>
      </w:r>
    </w:p>
    <w:p>
      <w:pPr>
        <w:pStyle w:val="2"/>
        <w:rPr>
          <w:lang w:val="en-US"/>
        </w:rPr>
      </w:pPr>
    </w:p>
    <w:p>
      <w:pPr>
        <w:widowControl/>
        <w:adjustRightInd/>
        <w:ind w:firstLine="420"/>
        <w:jc w:val="left"/>
        <w:rPr>
          <w:rFonts w:ascii="仿宋" w:hAnsi="仿宋" w:eastAsia="仿宋"/>
          <w:b/>
          <w:bCs/>
          <w:sz w:val="24"/>
        </w:rPr>
      </w:pPr>
      <w:r>
        <w:rPr>
          <w:rFonts w:hint="eastAsia" w:ascii="仿宋" w:hAnsi="仿宋" w:eastAsia="仿宋"/>
          <w:b/>
          <w:bCs/>
          <w:sz w:val="24"/>
        </w:rPr>
        <w:t>2.数据处理</w:t>
      </w:r>
    </w:p>
    <w:p>
      <w:pPr>
        <w:widowControl/>
        <w:adjustRightInd/>
        <w:ind w:firstLine="420"/>
        <w:jc w:val="left"/>
        <w:rPr>
          <w:rFonts w:ascii="仿宋" w:hAnsi="仿宋" w:eastAsia="仿宋"/>
          <w:sz w:val="24"/>
        </w:rPr>
      </w:pPr>
      <w:r>
        <w:rPr>
          <w:rFonts w:hint="eastAsia" w:ascii="仿宋" w:hAnsi="仿宋" w:eastAsia="仿宋"/>
          <w:sz w:val="24"/>
        </w:rPr>
        <w:t>投标人应提供数据的标准化制定</w:t>
      </w:r>
      <w:r>
        <w:rPr>
          <w:rFonts w:hint="eastAsia" w:ascii="仿宋" w:hAnsi="仿宋" w:eastAsia="仿宋"/>
          <w:sz w:val="24"/>
          <w:highlight w:val="none"/>
        </w:rPr>
        <w:t>、网络及数据对接的整体架构图和安全预案，明确如何处理采集的各类数据，通过何种技术手段实现</w:t>
      </w:r>
      <w:r>
        <w:rPr>
          <w:rFonts w:hint="eastAsia" w:ascii="仿宋" w:hAnsi="仿宋" w:eastAsia="仿宋"/>
          <w:b/>
          <w:bCs/>
          <w:sz w:val="24"/>
          <w:highlight w:val="none"/>
        </w:rPr>
        <w:t>数据清洗</w:t>
      </w:r>
      <w:r>
        <w:rPr>
          <w:rFonts w:hint="eastAsia" w:ascii="仿宋" w:hAnsi="仿宋" w:eastAsia="仿宋"/>
          <w:sz w:val="24"/>
          <w:highlight w:val="none"/>
        </w:rPr>
        <w:t>、</w:t>
      </w:r>
      <w:r>
        <w:rPr>
          <w:rFonts w:hint="eastAsia" w:ascii="仿宋" w:hAnsi="仿宋" w:eastAsia="仿宋"/>
          <w:b/>
          <w:bCs/>
          <w:sz w:val="24"/>
          <w:highlight w:val="none"/>
        </w:rPr>
        <w:t>数据转义</w:t>
      </w:r>
      <w:r>
        <w:rPr>
          <w:rFonts w:hint="eastAsia" w:ascii="仿宋" w:hAnsi="仿宋" w:eastAsia="仿宋"/>
          <w:sz w:val="24"/>
          <w:highlight w:val="none"/>
        </w:rPr>
        <w:t>，以实现数据分层分域。基于需求分析和技术定义，对数据处理模型进行总体架构设计、逻辑模型设计、物理模型设计，进行数据元素、数据粒度的确认、数据一致性的检查，对数据访问和查询、编制报表、安全防护等</w:t>
      </w:r>
      <w:r>
        <w:rPr>
          <w:rFonts w:hint="eastAsia" w:ascii="仿宋" w:hAnsi="仿宋" w:eastAsia="仿宋"/>
          <w:sz w:val="24"/>
        </w:rPr>
        <w:t>进行详细定义，为上层数据应用和信息交换提供基础数据支撑，实现数据沉淀、使用、优化的生态闭环。</w:t>
      </w:r>
    </w:p>
    <w:p>
      <w:pPr>
        <w:pStyle w:val="2"/>
        <w:rPr>
          <w:lang w:val="en-US"/>
        </w:rPr>
      </w:pPr>
    </w:p>
    <w:p>
      <w:pPr>
        <w:widowControl/>
        <w:adjustRightInd/>
        <w:ind w:firstLine="420"/>
        <w:jc w:val="left"/>
        <w:rPr>
          <w:rFonts w:ascii="仿宋" w:hAnsi="仿宋" w:eastAsia="仿宋"/>
          <w:b/>
          <w:bCs/>
          <w:sz w:val="24"/>
        </w:rPr>
      </w:pPr>
      <w:r>
        <w:rPr>
          <w:rFonts w:hint="eastAsia" w:ascii="仿宋" w:hAnsi="仿宋" w:eastAsia="仿宋"/>
          <w:b/>
          <w:bCs/>
          <w:sz w:val="24"/>
        </w:rPr>
        <w:t>3.数据管理</w:t>
      </w:r>
    </w:p>
    <w:p>
      <w:pPr>
        <w:widowControl/>
        <w:adjustRightInd/>
        <w:ind w:firstLine="420"/>
        <w:jc w:val="left"/>
        <w:rPr>
          <w:rFonts w:ascii="仿宋" w:hAnsi="仿宋" w:eastAsia="仿宋"/>
          <w:sz w:val="24"/>
        </w:rPr>
      </w:pPr>
      <w:r>
        <w:rPr>
          <w:rFonts w:hint="eastAsia" w:ascii="仿宋" w:hAnsi="仿宋" w:eastAsia="仿宋"/>
          <w:sz w:val="24"/>
        </w:rPr>
        <w:t>投标人应建立合理的数据管理体系，明确数据管理内容，管理层级。</w:t>
      </w:r>
    </w:p>
    <w:p>
      <w:pPr>
        <w:widowControl/>
        <w:adjustRightInd/>
        <w:ind w:firstLine="420"/>
        <w:jc w:val="left"/>
        <w:rPr>
          <w:rFonts w:ascii="仿宋" w:hAnsi="仿宋" w:eastAsia="仿宋"/>
          <w:sz w:val="24"/>
        </w:rPr>
      </w:pPr>
      <w:r>
        <w:rPr>
          <w:rFonts w:hint="eastAsia" w:ascii="仿宋" w:hAnsi="仿宋" w:eastAsia="仿宋"/>
          <w:sz w:val="24"/>
        </w:rPr>
        <w:t>①管理体系</w:t>
      </w:r>
    </w:p>
    <w:p>
      <w:pPr>
        <w:widowControl/>
        <w:adjustRightInd/>
        <w:ind w:firstLine="420"/>
        <w:jc w:val="left"/>
        <w:rPr>
          <w:rFonts w:ascii="仿宋" w:hAnsi="仿宋" w:eastAsia="仿宋"/>
          <w:sz w:val="24"/>
        </w:rPr>
      </w:pPr>
      <w:r>
        <w:rPr>
          <w:rFonts w:hint="eastAsia" w:ascii="仿宋" w:hAnsi="仿宋" w:eastAsia="仿宋"/>
          <w:sz w:val="24"/>
        </w:rPr>
        <w:t>数据管理体系应符合下列要求：</w:t>
      </w:r>
    </w:p>
    <w:p>
      <w:pPr>
        <w:widowControl/>
        <w:adjustRightInd/>
        <w:ind w:firstLine="420"/>
        <w:jc w:val="left"/>
        <w:rPr>
          <w:rFonts w:ascii="仿宋" w:hAnsi="仿宋" w:eastAsia="仿宋"/>
          <w:sz w:val="24"/>
        </w:rPr>
      </w:pPr>
      <w:r>
        <w:rPr>
          <w:rFonts w:hint="eastAsia" w:ascii="仿宋" w:hAnsi="仿宋" w:eastAsia="仿宋"/>
          <w:sz w:val="24"/>
        </w:rPr>
        <w:t>（1）</w:t>
      </w:r>
      <w:r>
        <w:rPr>
          <w:rFonts w:hint="eastAsia" w:ascii="仿宋" w:hAnsi="仿宋" w:eastAsia="仿宋"/>
          <w:b/>
          <w:bCs/>
          <w:sz w:val="24"/>
        </w:rPr>
        <w:t>清晰数据结构</w:t>
      </w:r>
      <w:r>
        <w:rPr>
          <w:rFonts w:hint="eastAsia" w:ascii="仿宋" w:hAnsi="仿宋" w:eastAsia="仿宋"/>
          <w:sz w:val="24"/>
        </w:rPr>
        <w:t>：让每个数据层都有自己的作用和职责，在使用和维护的时候能够更方便和理解</w:t>
      </w:r>
    </w:p>
    <w:p>
      <w:pPr>
        <w:widowControl/>
        <w:adjustRightInd/>
        <w:ind w:firstLine="420"/>
        <w:jc w:val="left"/>
        <w:rPr>
          <w:rFonts w:ascii="仿宋" w:hAnsi="仿宋" w:eastAsia="仿宋"/>
          <w:sz w:val="24"/>
        </w:rPr>
      </w:pPr>
      <w:r>
        <w:rPr>
          <w:rFonts w:hint="eastAsia" w:ascii="仿宋" w:hAnsi="仿宋" w:eastAsia="仿宋"/>
          <w:sz w:val="24"/>
        </w:rPr>
        <w:t>（2）</w:t>
      </w:r>
      <w:r>
        <w:rPr>
          <w:rFonts w:hint="eastAsia" w:ascii="仿宋" w:hAnsi="仿宋" w:eastAsia="仿宋"/>
          <w:b/>
          <w:bCs/>
          <w:sz w:val="24"/>
        </w:rPr>
        <w:t>复杂问题简化</w:t>
      </w:r>
      <w:r>
        <w:rPr>
          <w:rFonts w:hint="eastAsia" w:ascii="仿宋" w:hAnsi="仿宋" w:eastAsia="仿宋"/>
          <w:sz w:val="24"/>
        </w:rPr>
        <w:t>：将一个复杂的任务拆解成多个步骤来分步骤完成，每个层只解决特定的问题</w:t>
      </w:r>
    </w:p>
    <w:p>
      <w:pPr>
        <w:widowControl/>
        <w:adjustRightInd/>
        <w:ind w:firstLine="420"/>
        <w:jc w:val="left"/>
        <w:rPr>
          <w:rFonts w:ascii="仿宋" w:hAnsi="仿宋" w:eastAsia="仿宋"/>
          <w:sz w:val="24"/>
        </w:rPr>
      </w:pPr>
      <w:r>
        <w:rPr>
          <w:rFonts w:hint="eastAsia" w:ascii="仿宋" w:hAnsi="仿宋" w:eastAsia="仿宋"/>
          <w:sz w:val="24"/>
        </w:rPr>
        <w:t>（3）</w:t>
      </w:r>
      <w:r>
        <w:rPr>
          <w:rFonts w:hint="eastAsia" w:ascii="仿宋" w:hAnsi="仿宋" w:eastAsia="仿宋"/>
          <w:b/>
          <w:bCs/>
          <w:sz w:val="24"/>
        </w:rPr>
        <w:t>统一数据口径</w:t>
      </w:r>
      <w:r>
        <w:rPr>
          <w:rFonts w:hint="eastAsia" w:ascii="仿宋" w:hAnsi="仿宋" w:eastAsia="仿宋"/>
          <w:sz w:val="24"/>
        </w:rPr>
        <w:t>：通过数据分层，提供统一的数据出口，统一输出口径</w:t>
      </w:r>
    </w:p>
    <w:p>
      <w:pPr>
        <w:widowControl/>
        <w:adjustRightInd/>
        <w:ind w:firstLine="420"/>
        <w:jc w:val="left"/>
        <w:rPr>
          <w:rFonts w:ascii="仿宋" w:hAnsi="仿宋" w:eastAsia="仿宋"/>
          <w:sz w:val="24"/>
        </w:rPr>
      </w:pPr>
      <w:r>
        <w:rPr>
          <w:rFonts w:hint="eastAsia" w:ascii="仿宋" w:hAnsi="仿宋" w:eastAsia="仿宋"/>
          <w:sz w:val="24"/>
        </w:rPr>
        <w:t>（4）</w:t>
      </w:r>
      <w:r>
        <w:rPr>
          <w:rFonts w:hint="eastAsia" w:ascii="仿宋" w:hAnsi="仿宋" w:eastAsia="仿宋"/>
          <w:b/>
          <w:bCs/>
          <w:sz w:val="24"/>
        </w:rPr>
        <w:t>减少重复开发</w:t>
      </w:r>
      <w:r>
        <w:rPr>
          <w:rFonts w:hint="eastAsia" w:ascii="仿宋" w:hAnsi="仿宋" w:eastAsia="仿宋"/>
          <w:sz w:val="24"/>
        </w:rPr>
        <w:t>：规范数据分层，开发通用的中间层，可以极大地减少重复计算的工作</w:t>
      </w:r>
    </w:p>
    <w:p>
      <w:pPr>
        <w:widowControl/>
        <w:adjustRightInd/>
        <w:ind w:firstLine="420"/>
        <w:jc w:val="left"/>
        <w:rPr>
          <w:rFonts w:ascii="仿宋" w:hAnsi="仿宋" w:eastAsia="仿宋"/>
          <w:sz w:val="24"/>
        </w:rPr>
      </w:pPr>
      <w:r>
        <w:rPr>
          <w:rFonts w:hint="eastAsia" w:ascii="仿宋" w:hAnsi="仿宋" w:eastAsia="仿宋"/>
          <w:sz w:val="24"/>
        </w:rPr>
        <w:t>②管理内容</w:t>
      </w:r>
    </w:p>
    <w:p>
      <w:pPr>
        <w:widowControl/>
        <w:adjustRightInd/>
        <w:ind w:firstLine="420"/>
        <w:jc w:val="left"/>
        <w:rPr>
          <w:rFonts w:ascii="仿宋" w:hAnsi="仿宋" w:eastAsia="仿宋"/>
          <w:sz w:val="24"/>
        </w:rPr>
      </w:pPr>
      <w:r>
        <w:rPr>
          <w:rFonts w:hint="eastAsia" w:ascii="仿宋" w:hAnsi="仿宋" w:eastAsia="仿宋"/>
          <w:sz w:val="24"/>
        </w:rPr>
        <w:t>本系统数据管理应包含元数据管理、数据标准管理、数据质量管理、数据资产管理、数据模型管理、数据标签管理、数据指标体系、数据资源管理、数据生命周期管理、数据安全管理。</w:t>
      </w:r>
    </w:p>
    <w:p>
      <w:pPr>
        <w:widowControl/>
        <w:adjustRightInd/>
        <w:ind w:firstLine="420"/>
        <w:jc w:val="left"/>
        <w:rPr>
          <w:rFonts w:ascii="仿宋" w:hAnsi="仿宋" w:eastAsia="仿宋"/>
          <w:sz w:val="24"/>
        </w:rPr>
      </w:pPr>
      <w:r>
        <w:rPr>
          <w:rFonts w:hint="eastAsia" w:ascii="仿宋" w:hAnsi="仿宋" w:eastAsia="仿宋"/>
          <w:sz w:val="24"/>
        </w:rPr>
        <w:t>③管理层级</w:t>
      </w:r>
    </w:p>
    <w:p>
      <w:pPr>
        <w:widowControl/>
        <w:adjustRightInd/>
        <w:ind w:firstLine="420"/>
        <w:jc w:val="left"/>
        <w:rPr>
          <w:rFonts w:ascii="仿宋" w:hAnsi="仿宋" w:eastAsia="仿宋"/>
          <w:sz w:val="24"/>
        </w:rPr>
      </w:pPr>
      <w:r>
        <w:rPr>
          <w:rFonts w:hint="eastAsia" w:ascii="仿宋" w:hAnsi="仿宋" w:eastAsia="仿宋"/>
          <w:sz w:val="24"/>
        </w:rPr>
        <w:t>投标人应提供以ODS-数据准备层、DWD-数据细节层、DWM-数据中间层、DWS数据服务层以及ADS数据应用层为管理层级的数据处理中台，明确各层级用途及其工作方法，使之行之有效地为本系统的数据管理提供服务。</w:t>
      </w:r>
    </w:p>
    <w:p>
      <w:pPr>
        <w:pStyle w:val="2"/>
        <w:rPr>
          <w:lang w:val="en-US"/>
        </w:rPr>
      </w:pPr>
    </w:p>
    <w:p>
      <w:pPr>
        <w:widowControl/>
        <w:adjustRightInd/>
        <w:ind w:firstLine="420"/>
        <w:jc w:val="left"/>
        <w:rPr>
          <w:rFonts w:ascii="仿宋" w:hAnsi="仿宋" w:eastAsia="仿宋"/>
          <w:b/>
          <w:bCs/>
          <w:sz w:val="24"/>
        </w:rPr>
      </w:pPr>
      <w:r>
        <w:rPr>
          <w:rFonts w:hint="eastAsia" w:ascii="仿宋" w:hAnsi="仿宋" w:eastAsia="仿宋"/>
          <w:b/>
          <w:bCs/>
          <w:sz w:val="24"/>
        </w:rPr>
        <w:t>4、数据输出</w:t>
      </w:r>
    </w:p>
    <w:p>
      <w:pPr>
        <w:widowControl/>
        <w:adjustRightInd/>
        <w:ind w:firstLine="420"/>
        <w:jc w:val="left"/>
        <w:rPr>
          <w:rFonts w:ascii="仿宋" w:hAnsi="仿宋" w:eastAsia="仿宋"/>
          <w:sz w:val="24"/>
        </w:rPr>
      </w:pPr>
      <w:r>
        <w:rPr>
          <w:rFonts w:hint="eastAsia" w:ascii="仿宋" w:hAnsi="仿宋" w:eastAsia="仿宋"/>
          <w:sz w:val="24"/>
        </w:rPr>
        <w:t>为了将安全、有价值的数据快速方便的提供给本系统应用，投标人所提供的数据中台软件中应包含数据输出和提供API接口服务的功能。</w:t>
      </w:r>
    </w:p>
    <w:p>
      <w:pPr>
        <w:pStyle w:val="2"/>
        <w:rPr>
          <w:lang w:val="en-US"/>
        </w:rPr>
      </w:pPr>
    </w:p>
    <w:p>
      <w:pPr>
        <w:widowControl/>
        <w:adjustRightInd/>
        <w:ind w:firstLine="420"/>
        <w:jc w:val="left"/>
        <w:rPr>
          <w:rFonts w:ascii="仿宋" w:hAnsi="仿宋" w:eastAsia="仿宋"/>
          <w:b/>
          <w:bCs/>
          <w:sz w:val="24"/>
        </w:rPr>
      </w:pPr>
      <w:r>
        <w:rPr>
          <w:rFonts w:hint="eastAsia" w:ascii="仿宋" w:hAnsi="仿宋" w:eastAsia="仿宋"/>
          <w:b/>
          <w:bCs/>
          <w:sz w:val="24"/>
        </w:rPr>
        <w:t>5、数据安全</w:t>
      </w:r>
    </w:p>
    <w:p>
      <w:pPr>
        <w:widowControl/>
        <w:adjustRightInd/>
        <w:ind w:firstLine="420"/>
        <w:jc w:val="left"/>
        <w:rPr>
          <w:rFonts w:ascii="仿宋" w:hAnsi="仿宋" w:eastAsia="仿宋"/>
          <w:sz w:val="24"/>
        </w:rPr>
      </w:pPr>
      <w:r>
        <w:rPr>
          <w:rFonts w:hint="eastAsia" w:ascii="仿宋" w:hAnsi="仿宋" w:eastAsia="仿宋"/>
          <w:sz w:val="24"/>
        </w:rPr>
        <w:t>本项目依托余杭区已有云资源部署的信息化系统，网络安全服务和安全资源由余杭区数管局统一提供。</w:t>
      </w:r>
    </w:p>
    <w:p>
      <w:pPr>
        <w:widowControl/>
        <w:adjustRightInd/>
        <w:ind w:firstLine="420"/>
        <w:jc w:val="left"/>
        <w:rPr>
          <w:rFonts w:ascii="仿宋" w:hAnsi="仿宋" w:eastAsia="仿宋"/>
          <w:sz w:val="24"/>
        </w:rPr>
      </w:pPr>
      <w:r>
        <w:rPr>
          <w:rFonts w:hint="eastAsia" w:ascii="仿宋" w:hAnsi="仿宋" w:eastAsia="仿宋"/>
          <w:sz w:val="24"/>
        </w:rPr>
        <w:t>政务业务系统中的业务数据从其被采集、传输、存储、共享和使用直至其被销毁的全生命周期之中，每时每刻都存在各种各样的安全风险。包括合规性风险、可用性风险、存储风险、操作风险、展示风险、传输风险、滥用风险以及残留风险等。数据安全应当保证重要数据在涉及到其中每一个环节时，都有可靠的管理和技术手段应对，以避免可能数据的损毁、丢失、泄露等安全事件。</w:t>
      </w:r>
    </w:p>
    <w:p>
      <w:pPr>
        <w:widowControl/>
        <w:adjustRightInd/>
        <w:ind w:firstLine="420"/>
        <w:jc w:val="left"/>
        <w:rPr>
          <w:rFonts w:ascii="仿宋" w:hAnsi="仿宋" w:eastAsia="仿宋"/>
          <w:sz w:val="24"/>
        </w:rPr>
      </w:pPr>
      <w:r>
        <w:rPr>
          <w:rFonts w:hint="eastAsia" w:ascii="仿宋" w:hAnsi="仿宋" w:eastAsia="仿宋"/>
          <w:sz w:val="24"/>
        </w:rPr>
        <w:t>数据安全作为安全保障体系的重要组成部分，在提供业务便利性的同时，对于政务大数据平台安全保障体系的落实起着重要的作用。因此数据安全建设，需要满足数据安全、应用可用的总体安全目标的要求，立足于数据全程的保护，降低数据运行过程中的风险，保证数据在存储、传输和运行过程中的安全。</w:t>
      </w:r>
    </w:p>
    <w:p>
      <w:pPr>
        <w:widowControl/>
        <w:adjustRightInd/>
        <w:ind w:firstLine="420"/>
        <w:jc w:val="left"/>
        <w:rPr>
          <w:rFonts w:ascii="仿宋" w:hAnsi="仿宋" w:eastAsia="仿宋"/>
          <w:sz w:val="24"/>
        </w:rPr>
      </w:pPr>
      <w:r>
        <w:rPr>
          <w:rFonts w:hint="eastAsia" w:ascii="仿宋" w:hAnsi="仿宋" w:eastAsia="仿宋"/>
          <w:sz w:val="24"/>
        </w:rPr>
        <w:t>项目安全主要风险因素在于物理、系统、数据、应用、数据库、网络等安全问题，网络安全产品由数管局统一提供，后期主要安全风险在于系统漏洞、数据安全，针对系统漏洞安全，需由专人负责系统日常维护，及时为系统打补丁，数据安全需制定相应制度，并在开发过程中针对不可公开数据进行加密处理。</w:t>
      </w:r>
    </w:p>
    <w:p>
      <w:pPr>
        <w:ind w:firstLine="480"/>
        <w:rPr>
          <w:rFonts w:ascii="仿宋" w:hAnsi="仿宋" w:eastAsia="仿宋"/>
          <w:sz w:val="24"/>
        </w:rPr>
      </w:pPr>
      <w:r>
        <w:rPr>
          <w:rFonts w:hint="eastAsia" w:ascii="仿宋" w:hAnsi="仿宋" w:eastAsia="仿宋"/>
          <w:sz w:val="24"/>
        </w:rPr>
        <w:t>项目按照国家网络安全等级保护制度的相关要求进行建设，项目中的应用层的子系统网络安全等级保护定级为第三级。落实国家网络安全等级保护第三级的安全管理和安全技术要求，确保各项安全管理制度和安全技术措施同步规划、同步建设、同步使用。项目中的应用系统采用统一授权机制进行系统资源的安全保障，保障方式如下：</w:t>
      </w:r>
    </w:p>
    <w:p>
      <w:pPr>
        <w:ind w:firstLine="480"/>
        <w:rPr>
          <w:rFonts w:ascii="仿宋" w:hAnsi="仿宋" w:eastAsia="仿宋"/>
          <w:sz w:val="24"/>
        </w:rPr>
      </w:pPr>
      <w:r>
        <w:rPr>
          <w:rFonts w:hint="eastAsia" w:ascii="仿宋" w:hAnsi="仿宋" w:eastAsia="仿宋"/>
          <w:sz w:val="24"/>
        </w:rPr>
        <w:t>1）系统应保证信息的安全性，即保证此系统中的信息能够安全存储，并有良好的数据备份和快速恢复方案；</w:t>
      </w:r>
    </w:p>
    <w:p>
      <w:pPr>
        <w:ind w:firstLine="480"/>
        <w:rPr>
          <w:rFonts w:ascii="仿宋" w:hAnsi="仿宋" w:eastAsia="仿宋"/>
          <w:sz w:val="24"/>
        </w:rPr>
      </w:pPr>
      <w:r>
        <w:rPr>
          <w:rFonts w:hint="eastAsia" w:ascii="仿宋" w:hAnsi="仿宋" w:eastAsia="仿宋"/>
          <w:sz w:val="24"/>
        </w:rPr>
        <w:t>2）系统以RBAC（基于角色的访问控制）方式进行授权，在RBAC中，权限与角色相关联，用户通过成为适当角色的成员而得到这些角色的权限，权限管理更灵活。支持多组织架构的分级访问权限控制，支持字段级的权限控制，角色和用户权限分配细化到具体功能点。</w:t>
      </w:r>
    </w:p>
    <w:p>
      <w:pPr>
        <w:ind w:firstLine="480"/>
        <w:rPr>
          <w:rFonts w:ascii="仿宋" w:hAnsi="仿宋" w:eastAsia="仿宋"/>
          <w:sz w:val="24"/>
        </w:rPr>
      </w:pPr>
      <w:r>
        <w:rPr>
          <w:rFonts w:hint="eastAsia" w:ascii="仿宋" w:hAnsi="仿宋" w:eastAsia="仿宋"/>
          <w:sz w:val="24"/>
        </w:rPr>
        <w:t>3）系统应通过设置诸如防火墙等技术手段，对外部用户的访问数据包、用户身份和连接方式进行控制，加强用户行为审计，防止对本系统、与本平台相连的其他系统的非法访问、攻击和破坏。</w:t>
      </w:r>
    </w:p>
    <w:p>
      <w:pPr>
        <w:ind w:firstLine="480"/>
        <w:rPr>
          <w:rFonts w:ascii="仿宋" w:hAnsi="仿宋" w:eastAsia="仿宋"/>
          <w:sz w:val="24"/>
          <w:highlight w:val="none"/>
        </w:rPr>
      </w:pPr>
      <w:r>
        <w:rPr>
          <w:rFonts w:hint="eastAsia" w:ascii="仿宋" w:hAnsi="仿宋" w:eastAsia="仿宋"/>
          <w:sz w:val="24"/>
          <w:highlight w:val="none"/>
        </w:rPr>
        <w:t>注：因本项目中有本地机房建设要求，投标人须提供本地机房的网络数据安全的软硬件支撑的防护方案。</w:t>
      </w:r>
    </w:p>
    <w:p>
      <w:pPr>
        <w:widowControl/>
        <w:autoSpaceDE w:val="0"/>
        <w:adjustRightInd/>
        <w:spacing w:line="276" w:lineRule="auto"/>
        <w:ind w:firstLine="420"/>
        <w:jc w:val="left"/>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支撑需求</w:t>
      </w:r>
    </w:p>
    <w:p>
      <w:pPr>
        <w:widowControl/>
        <w:autoSpaceDE w:val="0"/>
        <w:adjustRightInd/>
        <w:spacing w:line="276" w:lineRule="auto"/>
        <w:ind w:firstLine="420"/>
        <w:jc w:val="left"/>
        <w:rPr>
          <w:rFonts w:ascii="仿宋" w:hAnsi="仿宋" w:eastAsia="仿宋"/>
          <w:sz w:val="24"/>
        </w:rPr>
      </w:pPr>
      <w:r>
        <w:rPr>
          <w:rFonts w:hint="eastAsia" w:ascii="仿宋" w:hAnsi="仿宋" w:eastAsia="仿宋"/>
          <w:sz w:val="24"/>
        </w:rPr>
        <w:t>投标人在</w:t>
      </w:r>
      <w:r>
        <w:rPr>
          <w:rFonts w:hint="eastAsia" w:ascii="仿宋" w:hAnsi="仿宋" w:eastAsia="仿宋"/>
          <w:b/>
          <w:bCs/>
          <w:sz w:val="24"/>
        </w:rPr>
        <w:t>数据互动层</w:t>
      </w:r>
      <w:r>
        <w:rPr>
          <w:rFonts w:hint="eastAsia" w:ascii="仿宋" w:hAnsi="仿宋" w:eastAsia="仿宋"/>
          <w:sz w:val="24"/>
        </w:rPr>
        <w:t>的技术方案中应包含其所提供服务所需的设备清单及方案，包括不限于各类型服务器、交换机、图形工作站、设备安装调试、机房建设、出租车，网约车场地改造与设备安装调试、IOT设备安装调试、通信服务等。提供的设备和方案应能满足在功能要求中所达到实际效果的要求。</w:t>
      </w:r>
    </w:p>
    <w:p>
      <w:pPr>
        <w:widowControl/>
        <w:adjustRightInd/>
        <w:jc w:val="left"/>
        <w:rPr>
          <w:rFonts w:ascii="仿宋" w:hAnsi="仿宋" w:eastAsia="仿宋"/>
          <w:sz w:val="24"/>
        </w:rPr>
      </w:pPr>
    </w:p>
    <w:p>
      <w:pPr>
        <w:numPr>
          <w:ilvl w:val="0"/>
          <w:numId w:val="2"/>
        </w:numPr>
        <w:adjustRightInd/>
        <w:ind w:firstLine="420"/>
        <w:rPr>
          <w:rFonts w:ascii="仿宋" w:hAnsi="仿宋" w:eastAsia="仿宋"/>
          <w:b/>
          <w:bCs/>
          <w:sz w:val="24"/>
        </w:rPr>
      </w:pPr>
      <w:r>
        <w:rPr>
          <w:rFonts w:hint="eastAsia" w:ascii="仿宋" w:hAnsi="仿宋" w:eastAsia="仿宋"/>
          <w:b/>
          <w:bCs/>
          <w:sz w:val="24"/>
        </w:rPr>
        <w:t>模型构件层</w:t>
      </w:r>
    </w:p>
    <w:p>
      <w:pPr>
        <w:widowControl/>
        <w:ind w:firstLine="480" w:firstLineChars="200"/>
        <w:jc w:val="left"/>
        <w:rPr>
          <w:rFonts w:ascii="仿宋" w:hAnsi="仿宋" w:eastAsia="仿宋"/>
          <w:sz w:val="24"/>
        </w:rPr>
      </w:pPr>
      <w:r>
        <w:rPr>
          <w:rFonts w:hint="eastAsia" w:ascii="仿宋" w:hAnsi="仿宋" w:eastAsia="仿宋"/>
          <w:sz w:val="24"/>
        </w:rPr>
        <w:t>建模“数字化”是对物理世界数字化的过程。此过程需要将物理对象表达为计算机和网络所能识别的数字模型。本项目建模的目的是将杭州西站内交通、建筑、空间等全域数字化，进行统一管理与输出。从而达到由实到虚，虚实互通，以虚控实的目的。</w:t>
      </w:r>
    </w:p>
    <w:p>
      <w:pPr>
        <w:widowControl/>
        <w:ind w:firstLine="480" w:firstLineChars="200"/>
        <w:jc w:val="left"/>
        <w:rPr>
          <w:rFonts w:ascii="仿宋" w:hAnsi="仿宋" w:eastAsia="仿宋"/>
          <w:sz w:val="24"/>
        </w:rPr>
      </w:pPr>
      <w:r>
        <w:rPr>
          <w:rFonts w:hint="eastAsia" w:ascii="仿宋" w:hAnsi="仿宋" w:eastAsia="仿宋"/>
          <w:sz w:val="24"/>
        </w:rPr>
        <w:t>投标人应使用BIM、GIS、3DMAX等建模工具，依靠多源异构数据接入、融合、轻量化、存储能力，集成各类矢量栅格、激光点云、倾斜摄影、BIM、手工模型等数据，构建本项目的三维数字孪生底座，利用数字孪生引擎，对整体模型实时渲染，通过接入的各类数据，时刻诊断杭州西站的“健康状态”，从而达到一体整合数据、一屏可观全局、一体应急联动的杭州西站一体化、智能化、高效化管理效果。</w:t>
      </w:r>
    </w:p>
    <w:p>
      <w:pPr>
        <w:pStyle w:val="2"/>
        <w:ind w:left="0" w:firstLine="480" w:firstLineChars="200"/>
        <w:rPr>
          <w:rFonts w:ascii="仿宋" w:eastAsia="仿宋"/>
          <w:sz w:val="24"/>
        </w:rPr>
      </w:pPr>
      <w:r>
        <w:rPr>
          <w:rFonts w:hint="eastAsia" w:ascii="仿宋" w:eastAsia="仿宋"/>
          <w:b w:val="0"/>
          <w:bCs w:val="0"/>
          <w:sz w:val="24"/>
          <w:szCs w:val="24"/>
          <w:lang w:val="en-US"/>
        </w:rPr>
        <w:t>本系统建模所需图纸，</w:t>
      </w:r>
      <w:r>
        <w:rPr>
          <w:rFonts w:hint="eastAsia" w:ascii="仿宋" w:eastAsia="仿宋"/>
          <w:sz w:val="24"/>
        </w:rPr>
        <w:t>招标人可提供协调工作</w:t>
      </w:r>
      <w:r>
        <w:rPr>
          <w:rFonts w:hint="eastAsia" w:ascii="仿宋" w:eastAsia="仿宋"/>
          <w:b w:val="0"/>
          <w:bCs w:val="0"/>
          <w:sz w:val="24"/>
          <w:szCs w:val="24"/>
          <w:lang w:val="en-US"/>
        </w:rPr>
        <w:t>。</w:t>
      </w:r>
    </w:p>
    <w:p>
      <w:pPr>
        <w:widowControl/>
        <w:ind w:firstLine="480" w:firstLineChars="200"/>
        <w:jc w:val="left"/>
        <w:rPr>
          <w:rFonts w:ascii="仿宋" w:hAnsi="仿宋" w:eastAsia="仿宋"/>
          <w:sz w:val="24"/>
        </w:rPr>
      </w:pPr>
      <w:r>
        <w:rPr>
          <w:rFonts w:hint="eastAsia" w:ascii="仿宋" w:hAnsi="仿宋" w:eastAsia="仿宋"/>
          <w:sz w:val="24"/>
        </w:rPr>
        <w:t>1.建模等级</w:t>
      </w:r>
    </w:p>
    <w:p>
      <w:pPr>
        <w:widowControl/>
        <w:ind w:firstLine="480" w:firstLineChars="200"/>
        <w:jc w:val="left"/>
        <w:rPr>
          <w:rFonts w:ascii="仿宋" w:hAnsi="仿宋" w:eastAsia="仿宋"/>
          <w:sz w:val="24"/>
        </w:rPr>
      </w:pPr>
      <w:r>
        <w:rPr>
          <w:rFonts w:hint="eastAsia" w:ascii="仿宋" w:hAnsi="仿宋" w:eastAsia="仿宋"/>
          <w:sz w:val="24"/>
        </w:rPr>
        <w:t>本项目数字孪生三维模型以杭州西站为中心，向外辐射，建立多层级的城市三维模型，依据住建部《城市信息模型基础平台技术导则》（修订版），投标人需建立符合示范区精细化管理要求的数字底座。通过不同精度模型数据的场景组装，满足业务需求，实现“一数多景”的可视化交互场景。将西站场景的三维数据按照精细程度分为以下四个层级，分别为1级地表模型；2级城市体块模型；3级手工模型；5级构件模型。</w:t>
      </w:r>
    </w:p>
    <w:p>
      <w:pPr>
        <w:widowControl/>
        <w:autoSpaceDE w:val="0"/>
        <w:autoSpaceDN w:val="0"/>
        <w:snapToGrid w:val="0"/>
        <w:ind w:firstLine="480" w:firstLineChars="200"/>
        <w:jc w:val="center"/>
        <w:textAlignment w:val="baseline"/>
        <w:rPr>
          <w:rFonts w:ascii="仿宋" w:hAnsi="仿宋" w:eastAsia="仿宋"/>
          <w:sz w:val="24"/>
        </w:rPr>
      </w:pPr>
      <w:r>
        <w:rPr>
          <w:rFonts w:hint="eastAsia" w:ascii="仿宋" w:hAnsi="仿宋" w:eastAsia="仿宋"/>
          <w:kern w:val="0"/>
          <w:sz w:val="24"/>
        </w:rPr>
        <w:t>信息模型分级</w:t>
      </w:r>
    </w:p>
    <w:tbl>
      <w:tblPr>
        <w:tblStyle w:val="62"/>
        <w:tblW w:w="8354" w:type="dxa"/>
        <w:jc w:val="center"/>
        <w:tblLayout w:type="fixed"/>
        <w:tblCellMar>
          <w:top w:w="0" w:type="dxa"/>
          <w:left w:w="57" w:type="dxa"/>
          <w:bottom w:w="0" w:type="dxa"/>
          <w:right w:w="57" w:type="dxa"/>
        </w:tblCellMar>
      </w:tblPr>
      <w:tblGrid>
        <w:gridCol w:w="661"/>
        <w:gridCol w:w="1170"/>
        <w:gridCol w:w="2286"/>
        <w:gridCol w:w="2252"/>
        <w:gridCol w:w="1985"/>
      </w:tblGrid>
      <w:tr>
        <w:tblPrEx>
          <w:tblCellMar>
            <w:top w:w="0" w:type="dxa"/>
            <w:left w:w="57" w:type="dxa"/>
            <w:bottom w:w="0" w:type="dxa"/>
            <w:right w:w="57" w:type="dxa"/>
          </w:tblCellMar>
        </w:tblPrEx>
        <w:trPr>
          <w:jc w:val="center"/>
        </w:trPr>
        <w:tc>
          <w:tcPr>
            <w:tcW w:w="661" w:type="dxa"/>
            <w:tcBorders>
              <w:top w:val="single" w:color="auto" w:sz="8" w:space="0"/>
              <w:left w:val="single" w:color="auto" w:sz="8" w:space="0"/>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级别</w:t>
            </w:r>
          </w:p>
        </w:tc>
        <w:tc>
          <w:tcPr>
            <w:tcW w:w="1170" w:type="dxa"/>
            <w:tcBorders>
              <w:top w:val="single" w:color="auto" w:sz="8"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名称</w:t>
            </w:r>
          </w:p>
        </w:tc>
        <w:tc>
          <w:tcPr>
            <w:tcW w:w="2286" w:type="dxa"/>
            <w:tcBorders>
              <w:top w:val="single" w:color="auto" w:sz="8"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模型主要内容</w:t>
            </w:r>
          </w:p>
        </w:tc>
        <w:tc>
          <w:tcPr>
            <w:tcW w:w="2252" w:type="dxa"/>
            <w:tcBorders>
              <w:top w:val="single" w:color="auto" w:sz="8"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模型特征</w:t>
            </w:r>
          </w:p>
        </w:tc>
        <w:tc>
          <w:tcPr>
            <w:tcW w:w="1985" w:type="dxa"/>
            <w:tcBorders>
              <w:top w:val="single" w:color="auto" w:sz="8" w:space="0"/>
              <w:left w:val="nil"/>
              <w:bottom w:val="single" w:color="auto" w:sz="6" w:space="0"/>
              <w:right w:val="single" w:color="auto" w:sz="8"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模型平面精度</w:t>
            </w:r>
          </w:p>
        </w:tc>
      </w:tr>
      <w:tr>
        <w:tblPrEx>
          <w:tblCellMar>
            <w:top w:w="0" w:type="dxa"/>
            <w:left w:w="57" w:type="dxa"/>
            <w:bottom w:w="0" w:type="dxa"/>
            <w:right w:w="57" w:type="dxa"/>
          </w:tblCellMar>
        </w:tblPrEx>
        <w:trPr>
          <w:jc w:val="center"/>
        </w:trPr>
        <w:tc>
          <w:tcPr>
            <w:tcW w:w="661" w:type="dxa"/>
            <w:tcBorders>
              <w:top w:val="single" w:color="auto" w:sz="6" w:space="0"/>
              <w:left w:val="single" w:color="auto" w:sz="8" w:space="0"/>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1</w:t>
            </w:r>
          </w:p>
        </w:tc>
        <w:tc>
          <w:tcPr>
            <w:tcW w:w="1170"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地表模型</w:t>
            </w:r>
          </w:p>
        </w:tc>
        <w:tc>
          <w:tcPr>
            <w:tcW w:w="2286"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left"/>
              <w:textAlignment w:val="baseline"/>
              <w:rPr>
                <w:rFonts w:ascii="仿宋" w:hAnsi="仿宋" w:eastAsia="仿宋"/>
                <w:kern w:val="0"/>
                <w:sz w:val="24"/>
              </w:rPr>
            </w:pPr>
            <w:r>
              <w:rPr>
                <w:rFonts w:hint="eastAsia" w:ascii="仿宋" w:hAnsi="仿宋" w:eastAsia="仿宋"/>
                <w:kern w:val="0"/>
                <w:sz w:val="24"/>
              </w:rPr>
              <w:t>行政区、地形、水系、居\民区、交通线等</w:t>
            </w:r>
          </w:p>
        </w:tc>
        <w:tc>
          <w:tcPr>
            <w:tcW w:w="2252"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left"/>
              <w:textAlignment w:val="baseline"/>
              <w:rPr>
                <w:rFonts w:ascii="仿宋" w:hAnsi="仿宋" w:eastAsia="仿宋"/>
                <w:kern w:val="0"/>
                <w:sz w:val="24"/>
              </w:rPr>
            </w:pPr>
            <w:r>
              <w:rPr>
                <w:rFonts w:hint="eastAsia" w:ascii="仿宋" w:hAnsi="仿宋" w:eastAsia="仿宋"/>
                <w:kern w:val="0"/>
                <w:sz w:val="24"/>
              </w:rPr>
              <w:t>DEM 和 DOM 叠加实体对象的底图</w:t>
            </w:r>
          </w:p>
        </w:tc>
        <w:tc>
          <w:tcPr>
            <w:tcW w:w="1985" w:type="dxa"/>
            <w:tcBorders>
              <w:top w:val="single" w:color="auto" w:sz="6" w:space="0"/>
              <w:left w:val="nil"/>
              <w:bottom w:val="single" w:color="auto" w:sz="6" w:space="0"/>
              <w:right w:val="single" w:color="auto" w:sz="8"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≥10米</w:t>
            </w:r>
          </w:p>
        </w:tc>
      </w:tr>
      <w:tr>
        <w:tblPrEx>
          <w:tblCellMar>
            <w:top w:w="0" w:type="dxa"/>
            <w:left w:w="57" w:type="dxa"/>
            <w:bottom w:w="0" w:type="dxa"/>
            <w:right w:w="57" w:type="dxa"/>
          </w:tblCellMar>
        </w:tblPrEx>
        <w:trPr>
          <w:jc w:val="center"/>
        </w:trPr>
        <w:tc>
          <w:tcPr>
            <w:tcW w:w="661" w:type="dxa"/>
            <w:tcBorders>
              <w:top w:val="single" w:color="auto" w:sz="6" w:space="0"/>
              <w:left w:val="single" w:color="auto" w:sz="8" w:space="0"/>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2</w:t>
            </w:r>
          </w:p>
        </w:tc>
        <w:tc>
          <w:tcPr>
            <w:tcW w:w="1170"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体块模型</w:t>
            </w:r>
          </w:p>
        </w:tc>
        <w:tc>
          <w:tcPr>
            <w:tcW w:w="2286"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left"/>
              <w:textAlignment w:val="baseline"/>
              <w:rPr>
                <w:rFonts w:ascii="仿宋" w:hAnsi="仿宋" w:eastAsia="仿宋"/>
                <w:kern w:val="0"/>
                <w:sz w:val="24"/>
              </w:rPr>
            </w:pPr>
            <w:r>
              <w:rPr>
                <w:rFonts w:hint="eastAsia" w:ascii="仿宋" w:hAnsi="仿宋" w:eastAsia="仿宋"/>
                <w:kern w:val="0"/>
                <w:sz w:val="24"/>
              </w:rPr>
              <w:t>提取建筑底部轮廓、高度信息，依据建筑底部轮廓和高度信息垂直生成建筑外观模型，并赋予建筑外立面贴图，形成建筑贴图模型。</w:t>
            </w:r>
          </w:p>
        </w:tc>
        <w:tc>
          <w:tcPr>
            <w:tcW w:w="2252"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left"/>
              <w:textAlignment w:val="baseline"/>
              <w:rPr>
                <w:rFonts w:ascii="仿宋" w:hAnsi="仿宋" w:eastAsia="仿宋"/>
                <w:kern w:val="0"/>
                <w:sz w:val="24"/>
              </w:rPr>
            </w:pPr>
            <w:r>
              <w:rPr>
                <w:rFonts w:hint="eastAsia" w:ascii="仿宋" w:hAnsi="仿宋" w:eastAsia="仿宋"/>
                <w:kern w:val="0"/>
                <w:sz w:val="24"/>
              </w:rPr>
              <w:t>三维框架和实景三维、内外表面，来源规划资料和倾斜模型资料，来源于规划资料</w:t>
            </w:r>
          </w:p>
        </w:tc>
        <w:tc>
          <w:tcPr>
            <w:tcW w:w="1985" w:type="dxa"/>
            <w:tcBorders>
              <w:top w:val="single" w:color="auto" w:sz="6" w:space="0"/>
              <w:left w:val="nil"/>
              <w:bottom w:val="single" w:color="auto" w:sz="6" w:space="0"/>
              <w:right w:val="single" w:color="auto" w:sz="8"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0.5～10米</w:t>
            </w:r>
          </w:p>
        </w:tc>
      </w:tr>
      <w:tr>
        <w:tblPrEx>
          <w:tblCellMar>
            <w:top w:w="0" w:type="dxa"/>
            <w:left w:w="57" w:type="dxa"/>
            <w:bottom w:w="0" w:type="dxa"/>
            <w:right w:w="57" w:type="dxa"/>
          </w:tblCellMar>
        </w:tblPrEx>
        <w:trPr>
          <w:jc w:val="center"/>
        </w:trPr>
        <w:tc>
          <w:tcPr>
            <w:tcW w:w="661" w:type="dxa"/>
            <w:tcBorders>
              <w:top w:val="single" w:color="auto" w:sz="6" w:space="0"/>
              <w:left w:val="single" w:color="auto" w:sz="8" w:space="0"/>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3</w:t>
            </w:r>
          </w:p>
        </w:tc>
        <w:tc>
          <w:tcPr>
            <w:tcW w:w="1170"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手工模型</w:t>
            </w:r>
          </w:p>
        </w:tc>
        <w:tc>
          <w:tcPr>
            <w:tcW w:w="2286"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left"/>
              <w:textAlignment w:val="baseline"/>
              <w:rPr>
                <w:rFonts w:ascii="仿宋" w:hAnsi="仿宋" w:eastAsia="仿宋"/>
                <w:kern w:val="0"/>
                <w:sz w:val="24"/>
              </w:rPr>
            </w:pPr>
            <w:r>
              <w:rPr>
                <w:rFonts w:hint="eastAsia" w:ascii="仿宋" w:hAnsi="仿宋" w:eastAsia="仿宋"/>
                <w:kern w:val="0"/>
                <w:sz w:val="24"/>
              </w:rPr>
              <w:t>包含建筑、场地、小品、交通、水系、植被等，模型实现单体化。单体模型和纹理具有明确的对应关系，纹理贴图无变形；建筑、场地、小品宜修补去除光影及杂物，地标建筑、沿街建筑及底层商业需准确建模，能够准确地表现建筑的特征</w:t>
            </w:r>
          </w:p>
        </w:tc>
        <w:tc>
          <w:tcPr>
            <w:tcW w:w="2252"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left"/>
              <w:textAlignment w:val="baseline"/>
              <w:rPr>
                <w:rFonts w:ascii="仿宋" w:hAnsi="仿宋" w:eastAsia="仿宋"/>
                <w:kern w:val="0"/>
                <w:sz w:val="24"/>
              </w:rPr>
            </w:pPr>
            <w:r>
              <w:rPr>
                <w:rFonts w:hint="eastAsia" w:ascii="仿宋" w:hAnsi="仿宋" w:eastAsia="仿宋"/>
                <w:kern w:val="0"/>
                <w:sz w:val="24"/>
              </w:rPr>
              <w:t>建筑效果模型，内外表面纹理与细节，包含模型单元的身份描述项目信息、组织角色等信息</w:t>
            </w:r>
          </w:p>
        </w:tc>
        <w:tc>
          <w:tcPr>
            <w:tcW w:w="1985" w:type="dxa"/>
            <w:tcBorders>
              <w:top w:val="single" w:color="auto" w:sz="6" w:space="0"/>
              <w:left w:val="nil"/>
              <w:bottom w:val="single" w:color="auto" w:sz="6" w:space="0"/>
              <w:right w:val="single" w:color="auto" w:sz="8"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0.2～0.5米</w:t>
            </w:r>
          </w:p>
        </w:tc>
      </w:tr>
      <w:tr>
        <w:tblPrEx>
          <w:tblCellMar>
            <w:top w:w="0" w:type="dxa"/>
            <w:left w:w="57" w:type="dxa"/>
            <w:bottom w:w="0" w:type="dxa"/>
            <w:right w:w="57" w:type="dxa"/>
          </w:tblCellMar>
        </w:tblPrEx>
        <w:trPr>
          <w:jc w:val="center"/>
        </w:trPr>
        <w:tc>
          <w:tcPr>
            <w:tcW w:w="661" w:type="dxa"/>
            <w:tcBorders>
              <w:top w:val="single" w:color="auto" w:sz="6" w:space="0"/>
              <w:left w:val="single" w:color="auto" w:sz="8" w:space="0"/>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4</w:t>
            </w:r>
          </w:p>
        </w:tc>
        <w:tc>
          <w:tcPr>
            <w:tcW w:w="1170"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构件级模型</w:t>
            </w:r>
          </w:p>
        </w:tc>
        <w:tc>
          <w:tcPr>
            <w:tcW w:w="2286"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left"/>
              <w:textAlignment w:val="baseline"/>
              <w:rPr>
                <w:rFonts w:ascii="仿宋" w:hAnsi="仿宋" w:eastAsia="仿宋"/>
                <w:kern w:val="0"/>
                <w:sz w:val="24"/>
              </w:rPr>
            </w:pPr>
            <w:r>
              <w:rPr>
                <w:rFonts w:hint="eastAsia" w:ascii="仿宋" w:hAnsi="仿宋" w:eastAsia="仿宋"/>
                <w:kern w:val="0"/>
                <w:sz w:val="24"/>
              </w:rPr>
              <w:t>创建杭州西站站房室内模型，通过BIM技术创建各种所需的功能单元、设施设备等构件模型</w:t>
            </w:r>
          </w:p>
        </w:tc>
        <w:tc>
          <w:tcPr>
            <w:tcW w:w="2252" w:type="dxa"/>
            <w:tcBorders>
              <w:top w:val="single" w:color="auto" w:sz="6" w:space="0"/>
              <w:left w:val="nil"/>
              <w:bottom w:val="single" w:color="auto" w:sz="6" w:space="0"/>
              <w:right w:val="single" w:color="auto" w:sz="6" w:space="0"/>
            </w:tcBorders>
            <w:vAlign w:val="center"/>
          </w:tcPr>
          <w:p>
            <w:pPr>
              <w:widowControl/>
              <w:autoSpaceDE w:val="0"/>
              <w:autoSpaceDN w:val="0"/>
              <w:snapToGrid w:val="0"/>
              <w:spacing w:before="100" w:beforeAutospacing="1" w:after="100" w:afterAutospacing="1"/>
              <w:jc w:val="left"/>
              <w:textAlignment w:val="baseline"/>
              <w:rPr>
                <w:rFonts w:ascii="仿宋" w:hAnsi="仿宋" w:eastAsia="仿宋"/>
                <w:kern w:val="0"/>
                <w:sz w:val="24"/>
              </w:rPr>
            </w:pPr>
            <w:r>
              <w:rPr>
                <w:rFonts w:hint="eastAsia" w:ascii="仿宋" w:hAnsi="仿宋" w:eastAsia="仿宋"/>
                <w:kern w:val="0"/>
                <w:sz w:val="24"/>
              </w:rPr>
              <w:t>满足建造安装流程、采购等精细识别需求的几何精度（构件级）宜包含和补充上级信息，增加生产信息、安装信息，来源建筑图纸、BIM模型等</w:t>
            </w:r>
          </w:p>
        </w:tc>
        <w:tc>
          <w:tcPr>
            <w:tcW w:w="1985" w:type="dxa"/>
            <w:tcBorders>
              <w:top w:val="single" w:color="auto" w:sz="6" w:space="0"/>
              <w:left w:val="nil"/>
              <w:bottom w:val="single" w:color="auto" w:sz="6" w:space="0"/>
              <w:right w:val="single" w:color="auto" w:sz="8" w:space="0"/>
            </w:tcBorders>
            <w:vAlign w:val="center"/>
          </w:tcPr>
          <w:p>
            <w:pPr>
              <w:widowControl/>
              <w:autoSpaceDE w:val="0"/>
              <w:autoSpaceDN w:val="0"/>
              <w:snapToGrid w:val="0"/>
              <w:spacing w:before="100" w:beforeAutospacing="1" w:after="100" w:afterAutospacing="1"/>
              <w:jc w:val="center"/>
              <w:textAlignment w:val="baseline"/>
              <w:rPr>
                <w:rFonts w:ascii="仿宋" w:hAnsi="仿宋" w:eastAsia="仿宋"/>
                <w:kern w:val="0"/>
                <w:sz w:val="24"/>
              </w:rPr>
            </w:pPr>
            <w:r>
              <w:rPr>
                <w:rFonts w:hint="eastAsia" w:ascii="仿宋" w:hAnsi="仿宋" w:eastAsia="仿宋"/>
                <w:kern w:val="0"/>
                <w:sz w:val="24"/>
              </w:rPr>
              <w:t>0.02～0.05米</w:t>
            </w:r>
          </w:p>
        </w:tc>
      </w:tr>
    </w:tbl>
    <w:p>
      <w:pPr>
        <w:widowControl/>
        <w:ind w:firstLine="480" w:firstLineChars="200"/>
        <w:jc w:val="left"/>
        <w:rPr>
          <w:rFonts w:ascii="仿宋" w:hAnsi="仿宋" w:eastAsia="仿宋"/>
          <w:sz w:val="24"/>
        </w:rPr>
      </w:pPr>
    </w:p>
    <w:p>
      <w:pPr>
        <w:widowControl/>
        <w:ind w:firstLine="480" w:firstLineChars="200"/>
        <w:jc w:val="left"/>
        <w:rPr>
          <w:rFonts w:ascii="仿宋" w:hAnsi="仿宋" w:eastAsia="仿宋"/>
          <w:sz w:val="24"/>
        </w:rPr>
      </w:pPr>
      <w:r>
        <w:rPr>
          <w:rFonts w:hint="eastAsia" w:ascii="仿宋" w:hAnsi="仿宋" w:eastAsia="仿宋"/>
          <w:sz w:val="24"/>
        </w:rPr>
        <w:t>2.建模范围</w:t>
      </w:r>
    </w:p>
    <w:tbl>
      <w:tblPr>
        <w:tblStyle w:val="6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693"/>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序号</w:t>
            </w:r>
          </w:p>
        </w:tc>
        <w:tc>
          <w:tcPr>
            <w:tcW w:w="2693" w:type="dxa"/>
            <w:vAlign w:val="center"/>
          </w:tcPr>
          <w:p>
            <w:pPr>
              <w:jc w:val="center"/>
              <w:rPr>
                <w:rFonts w:ascii="仿宋" w:hAnsi="仿宋" w:eastAsia="仿宋"/>
                <w:sz w:val="24"/>
              </w:rPr>
            </w:pPr>
            <w:r>
              <w:rPr>
                <w:rFonts w:hint="eastAsia" w:ascii="仿宋" w:hAnsi="仿宋" w:eastAsia="仿宋"/>
                <w:sz w:val="24"/>
              </w:rPr>
              <w:t>数据类别</w:t>
            </w:r>
          </w:p>
        </w:tc>
        <w:tc>
          <w:tcPr>
            <w:tcW w:w="4615" w:type="dxa"/>
            <w:vAlign w:val="center"/>
          </w:tcPr>
          <w:p>
            <w:pPr>
              <w:jc w:val="center"/>
              <w:rPr>
                <w:rFonts w:ascii="仿宋" w:hAnsi="仿宋" w:eastAsia="仿宋"/>
                <w:sz w:val="24"/>
              </w:rPr>
            </w:pPr>
            <w:r>
              <w:rPr>
                <w:rFonts w:hint="eastAsia" w:ascii="仿宋" w:hAnsi="仿宋" w:eastAsia="仿宋"/>
                <w:sz w:val="24"/>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vAlign w:val="center"/>
          </w:tcPr>
          <w:p>
            <w:pPr>
              <w:jc w:val="center"/>
              <w:rPr>
                <w:rFonts w:ascii="仿宋" w:hAnsi="仿宋" w:eastAsia="仿宋"/>
                <w:sz w:val="24"/>
              </w:rPr>
            </w:pPr>
            <w:r>
              <w:rPr>
                <w:rFonts w:hint="eastAsia" w:ascii="仿宋" w:hAnsi="仿宋" w:eastAsia="仿宋"/>
                <w:sz w:val="24"/>
              </w:rPr>
              <w:t>1</w:t>
            </w:r>
          </w:p>
        </w:tc>
        <w:tc>
          <w:tcPr>
            <w:tcW w:w="2693" w:type="dxa"/>
            <w:vAlign w:val="center"/>
          </w:tcPr>
          <w:p>
            <w:pPr>
              <w:jc w:val="center"/>
              <w:rPr>
                <w:rFonts w:ascii="仿宋" w:hAnsi="仿宋" w:eastAsia="仿宋"/>
                <w:sz w:val="24"/>
              </w:rPr>
            </w:pPr>
            <w:r>
              <w:rPr>
                <w:rFonts w:hint="eastAsia" w:ascii="仿宋" w:hAnsi="仿宋" w:eastAsia="仿宋"/>
                <w:sz w:val="24"/>
              </w:rPr>
              <w:t>1级地形层级别</w:t>
            </w:r>
          </w:p>
        </w:tc>
        <w:tc>
          <w:tcPr>
            <w:tcW w:w="4615" w:type="dxa"/>
          </w:tcPr>
          <w:p>
            <w:pPr>
              <w:rPr>
                <w:rFonts w:ascii="仿宋" w:hAnsi="仿宋" w:eastAsia="仿宋"/>
                <w:sz w:val="24"/>
              </w:rPr>
            </w:pPr>
            <w:r>
              <w:rPr>
                <w:rFonts w:hint="eastAsia" w:ascii="仿宋" w:hAnsi="仿宋" w:eastAsia="仿宋"/>
                <w:sz w:val="24"/>
              </w:rPr>
              <w:t>归集杭州市云城46.0平方公里（余杭）DEM数字高程数据-DOM数字正射影像图，作为数字孪生体二维底图；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2</w:t>
            </w:r>
          </w:p>
        </w:tc>
        <w:tc>
          <w:tcPr>
            <w:tcW w:w="2693" w:type="dxa"/>
            <w:vAlign w:val="center"/>
          </w:tcPr>
          <w:p>
            <w:pPr>
              <w:jc w:val="center"/>
              <w:rPr>
                <w:rFonts w:ascii="仿宋" w:hAnsi="仿宋" w:eastAsia="仿宋"/>
                <w:sz w:val="24"/>
              </w:rPr>
            </w:pPr>
            <w:r>
              <w:rPr>
                <w:rFonts w:hint="eastAsia" w:ascii="仿宋" w:hAnsi="仿宋" w:eastAsia="仿宋"/>
                <w:sz w:val="24"/>
              </w:rPr>
              <w:t>2级城市层级别</w:t>
            </w:r>
          </w:p>
        </w:tc>
        <w:tc>
          <w:tcPr>
            <w:tcW w:w="4615" w:type="dxa"/>
          </w:tcPr>
          <w:p>
            <w:pPr>
              <w:rPr>
                <w:rFonts w:ascii="仿宋" w:hAnsi="仿宋" w:eastAsia="仿宋"/>
                <w:sz w:val="24"/>
              </w:rPr>
            </w:pPr>
            <w:r>
              <w:rPr>
                <w:rFonts w:hint="eastAsia" w:ascii="仿宋" w:hAnsi="仿宋" w:eastAsia="仿宋"/>
                <w:sz w:val="24"/>
              </w:rPr>
              <w:t>归集杭州市云城46.0平方公里（余杭）体块模型；归集西站枢纽周边实景三维模型，模型面积为13平方公里（东至良睦路，南至文一西路，西至云溪高架路，北至留祥快速路）；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vAlign w:val="center"/>
          </w:tcPr>
          <w:p>
            <w:pPr>
              <w:jc w:val="center"/>
              <w:rPr>
                <w:rFonts w:ascii="仿宋" w:hAnsi="仿宋" w:eastAsia="仿宋"/>
                <w:sz w:val="24"/>
              </w:rPr>
            </w:pPr>
            <w:r>
              <w:rPr>
                <w:rFonts w:hint="eastAsia" w:ascii="仿宋" w:hAnsi="仿宋" w:eastAsia="仿宋"/>
                <w:sz w:val="24"/>
              </w:rPr>
              <w:t>3</w:t>
            </w:r>
          </w:p>
        </w:tc>
        <w:tc>
          <w:tcPr>
            <w:tcW w:w="2693" w:type="dxa"/>
            <w:vAlign w:val="center"/>
          </w:tcPr>
          <w:p>
            <w:pPr>
              <w:jc w:val="center"/>
              <w:rPr>
                <w:rFonts w:ascii="仿宋" w:hAnsi="仿宋" w:eastAsia="仿宋"/>
                <w:sz w:val="24"/>
              </w:rPr>
            </w:pPr>
            <w:r>
              <w:rPr>
                <w:rFonts w:hint="eastAsia" w:ascii="仿宋" w:hAnsi="仿宋" w:eastAsia="仿宋"/>
                <w:sz w:val="24"/>
              </w:rPr>
              <w:t>3级手工模型级别</w:t>
            </w:r>
          </w:p>
        </w:tc>
        <w:tc>
          <w:tcPr>
            <w:tcW w:w="4615" w:type="dxa"/>
          </w:tcPr>
          <w:p>
            <w:pPr>
              <w:rPr>
                <w:rFonts w:ascii="仿宋" w:hAnsi="仿宋" w:eastAsia="仿宋"/>
                <w:sz w:val="24"/>
              </w:rPr>
            </w:pPr>
            <w:r>
              <w:rPr>
                <w:rFonts w:hint="eastAsia" w:ascii="仿宋" w:hAnsi="仿宋" w:eastAsia="仿宋"/>
                <w:sz w:val="24"/>
              </w:rPr>
              <w:t>归集西站枢纽重点监管区的建筑与重点道路手工模型，归集范围为北至振华西路、东至良睦路、西至运溪高架路、南至大蔡园路，模型面积为3.16平方公里；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4</w:t>
            </w:r>
          </w:p>
        </w:tc>
        <w:tc>
          <w:tcPr>
            <w:tcW w:w="2693" w:type="dxa"/>
            <w:vAlign w:val="center"/>
          </w:tcPr>
          <w:p>
            <w:pPr>
              <w:jc w:val="center"/>
              <w:rPr>
                <w:rFonts w:ascii="仿宋" w:hAnsi="仿宋" w:eastAsia="仿宋"/>
                <w:sz w:val="24"/>
              </w:rPr>
            </w:pPr>
            <w:r>
              <w:rPr>
                <w:rFonts w:hint="eastAsia" w:ascii="仿宋" w:hAnsi="仿宋" w:eastAsia="仿宋"/>
                <w:sz w:val="24"/>
              </w:rPr>
              <w:t>5级构件层级别</w:t>
            </w:r>
          </w:p>
        </w:tc>
        <w:tc>
          <w:tcPr>
            <w:tcW w:w="4615" w:type="dxa"/>
          </w:tcPr>
          <w:p>
            <w:pPr>
              <w:rPr>
                <w:rFonts w:ascii="仿宋" w:hAnsi="仿宋" w:eastAsia="仿宋"/>
                <w:sz w:val="24"/>
              </w:rPr>
            </w:pPr>
            <w:r>
              <w:rPr>
                <w:rFonts w:hint="eastAsia" w:ascii="仿宋" w:hAnsi="仿宋" w:eastAsia="仿宋"/>
                <w:sz w:val="24"/>
              </w:rPr>
              <w:t>归集西站站房建筑BIM构件级模型，分别为站房及客运设施20万平方米、城市配套工程31万平方米、地铁配套工程16万平方米。</w:t>
            </w:r>
          </w:p>
        </w:tc>
      </w:tr>
    </w:tbl>
    <w:p>
      <w:pPr>
        <w:ind w:firstLine="480" w:firstLineChars="200"/>
        <w:rPr>
          <w:rFonts w:ascii="仿宋" w:hAnsi="仿宋" w:eastAsia="仿宋"/>
          <w:sz w:val="24"/>
        </w:rPr>
      </w:pPr>
    </w:p>
    <w:p>
      <w:pPr>
        <w:widowControl/>
        <w:ind w:firstLine="480" w:firstLineChars="200"/>
        <w:jc w:val="left"/>
        <w:rPr>
          <w:rFonts w:ascii="仿宋" w:hAnsi="仿宋" w:eastAsia="仿宋" w:cs="宋体"/>
          <w:sz w:val="24"/>
        </w:rPr>
      </w:pPr>
      <w:r>
        <w:rPr>
          <w:rFonts w:hint="eastAsia" w:ascii="仿宋" w:hAnsi="仿宋" w:eastAsia="仿宋" w:cs="宋体"/>
          <w:sz w:val="24"/>
        </w:rPr>
        <w:t>3</w:t>
      </w:r>
      <w:r>
        <w:rPr>
          <w:rFonts w:ascii="仿宋" w:hAnsi="仿宋" w:eastAsia="仿宋" w:cs="宋体"/>
          <w:sz w:val="24"/>
        </w:rPr>
        <w:t>.</w:t>
      </w:r>
      <w:r>
        <w:rPr>
          <w:rFonts w:hint="eastAsia" w:ascii="仿宋" w:hAnsi="仿宋" w:eastAsia="仿宋" w:cs="宋体"/>
          <w:sz w:val="24"/>
        </w:rPr>
        <w:t>数字孪生模型处理</w:t>
      </w:r>
    </w:p>
    <w:p>
      <w:pPr>
        <w:widowControl/>
        <w:ind w:firstLine="480" w:firstLineChars="200"/>
        <w:jc w:val="left"/>
        <w:rPr>
          <w:rFonts w:ascii="仿宋" w:hAnsi="仿宋" w:eastAsia="仿宋"/>
          <w:sz w:val="24"/>
        </w:rPr>
      </w:pPr>
      <w:r>
        <w:rPr>
          <w:rFonts w:hint="eastAsia" w:ascii="仿宋" w:hAnsi="仿宋" w:eastAsia="仿宋"/>
          <w:sz w:val="24"/>
        </w:rPr>
        <w:t>由于本项目涉及不同级别的三维数据，且数据量庞大，为确保模型效果和数据质量，投标人应提供从建模软件生产到可视化引擎使用需要有模型处理的过程。此过程包括但不限于：数据清洗、数据格式转换、数据坐标转换、数据轻量化处理、数据储存、数据检查入库、数据融合等。</w:t>
      </w:r>
    </w:p>
    <w:p>
      <w:pPr>
        <w:ind w:firstLine="480" w:firstLineChars="200"/>
        <w:rPr>
          <w:rFonts w:ascii="仿宋" w:hAnsi="仿宋" w:eastAsia="仿宋"/>
          <w:sz w:val="24"/>
        </w:rPr>
      </w:pPr>
    </w:p>
    <w:p>
      <w:pPr>
        <w:widowControl/>
        <w:ind w:firstLine="480" w:firstLineChars="200"/>
        <w:jc w:val="left"/>
        <w:rPr>
          <w:rFonts w:ascii="仿宋" w:hAnsi="仿宋" w:eastAsia="仿宋"/>
          <w:sz w:val="24"/>
        </w:rPr>
      </w:pPr>
      <w:r>
        <w:rPr>
          <w:rFonts w:hint="eastAsia" w:ascii="仿宋" w:hAnsi="仿宋" w:eastAsia="仿宋"/>
          <w:sz w:val="24"/>
        </w:rPr>
        <w:t>4.数字孪生场景美化</w:t>
      </w:r>
    </w:p>
    <w:tbl>
      <w:tblPr>
        <w:tblStyle w:val="6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409"/>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vAlign w:val="center"/>
          </w:tcPr>
          <w:p>
            <w:pPr>
              <w:jc w:val="center"/>
              <w:rPr>
                <w:rFonts w:ascii="仿宋" w:hAnsi="仿宋" w:eastAsia="仿宋"/>
                <w:sz w:val="24"/>
              </w:rPr>
            </w:pPr>
            <w:r>
              <w:rPr>
                <w:rFonts w:hint="eastAsia" w:ascii="仿宋" w:hAnsi="仿宋" w:eastAsia="仿宋"/>
                <w:sz w:val="24"/>
              </w:rPr>
              <w:t>序号</w:t>
            </w:r>
          </w:p>
        </w:tc>
        <w:tc>
          <w:tcPr>
            <w:tcW w:w="2409" w:type="dxa"/>
            <w:vAlign w:val="center"/>
          </w:tcPr>
          <w:p>
            <w:pPr>
              <w:jc w:val="center"/>
              <w:rPr>
                <w:rFonts w:ascii="仿宋" w:hAnsi="仿宋" w:eastAsia="仿宋"/>
                <w:sz w:val="24"/>
              </w:rPr>
            </w:pPr>
            <w:r>
              <w:rPr>
                <w:rFonts w:hint="eastAsia" w:ascii="仿宋" w:hAnsi="仿宋" w:eastAsia="仿宋"/>
                <w:sz w:val="24"/>
              </w:rPr>
              <w:t>名称</w:t>
            </w:r>
          </w:p>
        </w:tc>
        <w:tc>
          <w:tcPr>
            <w:tcW w:w="4899" w:type="dxa"/>
            <w:vAlign w:val="center"/>
          </w:tcPr>
          <w:p>
            <w:pPr>
              <w:jc w:val="center"/>
              <w:rPr>
                <w:rFonts w:ascii="仿宋" w:hAnsi="仿宋" w:eastAsia="仿宋"/>
                <w:sz w:val="24"/>
              </w:rPr>
            </w:pPr>
            <w:r>
              <w:rPr>
                <w:rFonts w:hint="eastAsia" w:ascii="仿宋" w:hAnsi="仿宋" w:eastAsia="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1</w:t>
            </w:r>
          </w:p>
        </w:tc>
        <w:tc>
          <w:tcPr>
            <w:tcW w:w="2409" w:type="dxa"/>
            <w:vAlign w:val="center"/>
          </w:tcPr>
          <w:p>
            <w:pPr>
              <w:jc w:val="center"/>
              <w:rPr>
                <w:rFonts w:ascii="仿宋" w:hAnsi="仿宋" w:eastAsia="仿宋"/>
                <w:sz w:val="24"/>
              </w:rPr>
            </w:pPr>
            <w:r>
              <w:rPr>
                <w:rFonts w:hint="eastAsia" w:ascii="仿宋" w:hAnsi="仿宋" w:eastAsia="仿宋"/>
                <w:sz w:val="24"/>
              </w:rPr>
              <w:t>数据建筑外观增强</w:t>
            </w:r>
          </w:p>
        </w:tc>
        <w:tc>
          <w:tcPr>
            <w:tcW w:w="4899" w:type="dxa"/>
          </w:tcPr>
          <w:p>
            <w:pPr>
              <w:rPr>
                <w:rFonts w:ascii="仿宋" w:hAnsi="仿宋" w:eastAsia="仿宋"/>
                <w:sz w:val="24"/>
              </w:rPr>
            </w:pPr>
            <w:r>
              <w:rPr>
                <w:rFonts w:hint="eastAsia" w:ascii="仿宋" w:hAnsi="仿宋" w:eastAsia="仿宋"/>
                <w:sz w:val="24"/>
              </w:rPr>
              <w:t>替换建模外观的材质，增加渲染效果，实现玻璃材质的反光、半透等。对建筑外观进行参数调整，制作阴影变换效果。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vAlign w:val="center"/>
          </w:tcPr>
          <w:p>
            <w:pPr>
              <w:jc w:val="center"/>
              <w:rPr>
                <w:rFonts w:ascii="仿宋" w:hAnsi="仿宋" w:eastAsia="仿宋"/>
                <w:sz w:val="24"/>
              </w:rPr>
            </w:pPr>
            <w:r>
              <w:rPr>
                <w:rFonts w:hint="eastAsia" w:ascii="仿宋" w:hAnsi="仿宋" w:eastAsia="仿宋"/>
                <w:sz w:val="24"/>
              </w:rPr>
              <w:t>2</w:t>
            </w:r>
          </w:p>
        </w:tc>
        <w:tc>
          <w:tcPr>
            <w:tcW w:w="2409" w:type="dxa"/>
            <w:vAlign w:val="center"/>
          </w:tcPr>
          <w:p>
            <w:pPr>
              <w:jc w:val="center"/>
              <w:rPr>
                <w:rFonts w:ascii="仿宋" w:hAnsi="仿宋" w:eastAsia="仿宋"/>
                <w:sz w:val="24"/>
              </w:rPr>
            </w:pPr>
            <w:r>
              <w:rPr>
                <w:rFonts w:hint="eastAsia" w:ascii="仿宋" w:hAnsi="仿宋" w:eastAsia="仿宋"/>
                <w:sz w:val="24"/>
              </w:rPr>
              <w:t>夜景</w:t>
            </w:r>
          </w:p>
        </w:tc>
        <w:tc>
          <w:tcPr>
            <w:tcW w:w="4899" w:type="dxa"/>
          </w:tcPr>
          <w:p>
            <w:pPr>
              <w:rPr>
                <w:rFonts w:ascii="仿宋" w:hAnsi="仿宋" w:eastAsia="仿宋"/>
                <w:sz w:val="24"/>
              </w:rPr>
            </w:pPr>
            <w:r>
              <w:rPr>
                <w:rFonts w:hint="eastAsia" w:ascii="仿宋" w:hAnsi="仿宋" w:eastAsia="仿宋"/>
                <w:sz w:val="24"/>
              </w:rPr>
              <w:t>在夜晚，替换建筑外观材质，实现夜景效果。增加夜景灯光，包括景观灯光、建筑灯光、室内透光等。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3</w:t>
            </w:r>
          </w:p>
        </w:tc>
        <w:tc>
          <w:tcPr>
            <w:tcW w:w="2409" w:type="dxa"/>
            <w:vAlign w:val="center"/>
          </w:tcPr>
          <w:p>
            <w:pPr>
              <w:jc w:val="center"/>
              <w:rPr>
                <w:rFonts w:ascii="仿宋" w:hAnsi="仿宋" w:eastAsia="仿宋"/>
                <w:sz w:val="24"/>
              </w:rPr>
            </w:pPr>
            <w:r>
              <w:rPr>
                <w:rFonts w:hint="eastAsia" w:ascii="仿宋" w:hAnsi="仿宋" w:eastAsia="仿宋"/>
                <w:sz w:val="24"/>
              </w:rPr>
              <w:t>整体三维场景效果美化</w:t>
            </w:r>
          </w:p>
        </w:tc>
        <w:tc>
          <w:tcPr>
            <w:tcW w:w="4899" w:type="dxa"/>
          </w:tcPr>
          <w:p>
            <w:pPr>
              <w:rPr>
                <w:rFonts w:ascii="仿宋" w:hAnsi="仿宋" w:eastAsia="仿宋"/>
                <w:sz w:val="24"/>
              </w:rPr>
            </w:pPr>
            <w:r>
              <w:rPr>
                <w:rFonts w:hint="eastAsia" w:ascii="仿宋" w:hAnsi="仿宋" w:eastAsia="仿宋"/>
                <w:sz w:val="24"/>
              </w:rPr>
              <w:t>实现景观绿化、河流、天气、火焰等的真实还原。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4</w:t>
            </w:r>
          </w:p>
        </w:tc>
        <w:tc>
          <w:tcPr>
            <w:tcW w:w="2409" w:type="dxa"/>
            <w:vAlign w:val="center"/>
          </w:tcPr>
          <w:p>
            <w:pPr>
              <w:jc w:val="center"/>
              <w:rPr>
                <w:rFonts w:ascii="仿宋" w:hAnsi="仿宋" w:eastAsia="仿宋"/>
                <w:sz w:val="24"/>
              </w:rPr>
            </w:pPr>
            <w:r>
              <w:rPr>
                <w:rFonts w:hint="eastAsia" w:ascii="仿宋" w:hAnsi="仿宋" w:eastAsia="仿宋"/>
                <w:sz w:val="24"/>
              </w:rPr>
              <w:t>灯光粒子效果</w:t>
            </w:r>
          </w:p>
        </w:tc>
        <w:tc>
          <w:tcPr>
            <w:tcW w:w="4899" w:type="dxa"/>
          </w:tcPr>
          <w:p>
            <w:pPr>
              <w:rPr>
                <w:rFonts w:ascii="仿宋" w:hAnsi="仿宋" w:eastAsia="仿宋"/>
                <w:sz w:val="24"/>
              </w:rPr>
            </w:pPr>
            <w:r>
              <w:rPr>
                <w:rFonts w:hint="eastAsia" w:ascii="仿宋" w:hAnsi="仿宋" w:eastAsia="仿宋"/>
                <w:sz w:val="24"/>
              </w:rPr>
              <w:t>增加聚光灯、点光源等灯光粒子效果，真实实现阳光、月光、星光、灯光等多种灯光粒子效果。</w:t>
            </w:r>
          </w:p>
        </w:tc>
      </w:tr>
    </w:tbl>
    <w:p>
      <w:pPr>
        <w:rPr>
          <w:rFonts w:ascii="仿宋" w:hAnsi="仿宋" w:eastAsia="仿宋"/>
          <w:sz w:val="24"/>
        </w:rPr>
      </w:pPr>
    </w:p>
    <w:p>
      <w:pPr>
        <w:widowControl/>
        <w:ind w:firstLine="480" w:firstLineChars="200"/>
        <w:jc w:val="left"/>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数字孪生引擎</w:t>
      </w:r>
    </w:p>
    <w:p>
      <w:pPr>
        <w:widowControl/>
        <w:ind w:firstLine="480" w:firstLineChars="200"/>
        <w:jc w:val="left"/>
        <w:rPr>
          <w:rFonts w:ascii="仿宋" w:hAnsi="仿宋" w:eastAsia="仿宋"/>
          <w:sz w:val="24"/>
        </w:rPr>
      </w:pPr>
      <w:r>
        <w:rPr>
          <w:rFonts w:hint="eastAsia" w:ascii="仿宋" w:hAnsi="仿宋" w:eastAsia="仿宋"/>
          <w:sz w:val="24"/>
        </w:rPr>
        <w:t>数字孪生引擎可赋予3D模型人机交互能力，具有实时渲染功能。投标人需提供行业内先进的且适合本项目的数字孪生引擎，为数字孪生提供核心动力。</w:t>
      </w:r>
    </w:p>
    <w:p>
      <w:pPr>
        <w:widowControl/>
        <w:ind w:firstLine="480" w:firstLineChars="200"/>
        <w:jc w:val="left"/>
        <w:rPr>
          <w:rFonts w:ascii="仿宋" w:hAnsi="仿宋" w:eastAsia="仿宋"/>
          <w:sz w:val="24"/>
        </w:rPr>
      </w:pPr>
      <w:r>
        <w:rPr>
          <w:rFonts w:hint="eastAsia" w:ascii="仿宋" w:hAnsi="仿宋" w:eastAsia="仿宋"/>
          <w:sz w:val="24"/>
        </w:rPr>
        <w:t>（1）数字孪生引擎的能力</w:t>
      </w:r>
    </w:p>
    <w:tbl>
      <w:tblPr>
        <w:tblStyle w:val="6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序号</w:t>
            </w:r>
          </w:p>
        </w:tc>
        <w:tc>
          <w:tcPr>
            <w:tcW w:w="1984" w:type="dxa"/>
            <w:vAlign w:val="center"/>
          </w:tcPr>
          <w:p>
            <w:pPr>
              <w:jc w:val="center"/>
              <w:rPr>
                <w:rFonts w:ascii="仿宋" w:hAnsi="仿宋" w:eastAsia="仿宋"/>
                <w:sz w:val="24"/>
              </w:rPr>
            </w:pPr>
            <w:r>
              <w:rPr>
                <w:rFonts w:hint="eastAsia" w:ascii="仿宋" w:hAnsi="仿宋" w:eastAsia="仿宋"/>
                <w:sz w:val="24"/>
              </w:rPr>
              <w:t>名称</w:t>
            </w:r>
          </w:p>
        </w:tc>
        <w:tc>
          <w:tcPr>
            <w:tcW w:w="5324" w:type="dxa"/>
            <w:vAlign w:val="center"/>
          </w:tcPr>
          <w:p>
            <w:pPr>
              <w:jc w:val="center"/>
              <w:rPr>
                <w:rFonts w:ascii="仿宋" w:hAnsi="仿宋" w:eastAsia="仿宋"/>
                <w:sz w:val="24"/>
              </w:rPr>
            </w:pPr>
            <w:r>
              <w:rPr>
                <w:rFonts w:hint="eastAsia" w:ascii="仿宋" w:hAnsi="仿宋" w:eastAsia="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1</w:t>
            </w:r>
          </w:p>
        </w:tc>
        <w:tc>
          <w:tcPr>
            <w:tcW w:w="1984" w:type="dxa"/>
            <w:vAlign w:val="center"/>
          </w:tcPr>
          <w:p>
            <w:pPr>
              <w:jc w:val="center"/>
              <w:rPr>
                <w:rFonts w:ascii="仿宋" w:hAnsi="仿宋" w:eastAsia="仿宋"/>
                <w:sz w:val="24"/>
              </w:rPr>
            </w:pPr>
            <w:r>
              <w:rPr>
                <w:rFonts w:hint="eastAsia" w:ascii="仿宋" w:hAnsi="仿宋" w:eastAsia="仿宋"/>
                <w:sz w:val="24"/>
              </w:rPr>
              <w:t>海量多源异构数据接入</w:t>
            </w:r>
          </w:p>
        </w:tc>
        <w:tc>
          <w:tcPr>
            <w:tcW w:w="5324" w:type="dxa"/>
          </w:tcPr>
          <w:p>
            <w:pPr>
              <w:rPr>
                <w:rFonts w:ascii="仿宋" w:hAnsi="仿宋" w:eastAsia="仿宋"/>
                <w:sz w:val="24"/>
              </w:rPr>
            </w:pPr>
            <w:r>
              <w:rPr>
                <w:rFonts w:hint="eastAsia" w:ascii="仿宋" w:hAnsi="仿宋" w:eastAsia="仿宋"/>
                <w:sz w:val="24"/>
              </w:rPr>
              <w:t>全面兼容各类三维数据，做到无损整合，接入的数据格式包括Max（手工建模）、Skp（草图大师）、rvt（BIM数据）、osgb（倾斜摄影数据）、IFC、obj、3ds、dae、dom、dem、fbx和las（点云）等。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2</w:t>
            </w:r>
          </w:p>
        </w:tc>
        <w:tc>
          <w:tcPr>
            <w:tcW w:w="1984" w:type="dxa"/>
            <w:vAlign w:val="center"/>
          </w:tcPr>
          <w:p>
            <w:pPr>
              <w:jc w:val="center"/>
              <w:rPr>
                <w:rFonts w:ascii="仿宋" w:hAnsi="仿宋" w:eastAsia="仿宋"/>
                <w:sz w:val="24"/>
              </w:rPr>
            </w:pPr>
            <w:r>
              <w:rPr>
                <w:rFonts w:hint="eastAsia" w:ascii="仿宋" w:hAnsi="仿宋" w:eastAsia="仿宋"/>
                <w:sz w:val="24"/>
              </w:rPr>
              <w:t>大体量空间数据存储及快速调度</w:t>
            </w:r>
          </w:p>
        </w:tc>
        <w:tc>
          <w:tcPr>
            <w:tcW w:w="5324" w:type="dxa"/>
            <w:vAlign w:val="center"/>
          </w:tcPr>
          <w:p>
            <w:pPr>
              <w:widowControl/>
              <w:jc w:val="left"/>
              <w:rPr>
                <w:rFonts w:ascii="仿宋" w:hAnsi="仿宋" w:eastAsia="仿宋"/>
                <w:sz w:val="24"/>
              </w:rPr>
            </w:pPr>
            <w:r>
              <w:rPr>
                <w:rFonts w:hint="eastAsia" w:ascii="仿宋" w:hAnsi="仿宋" w:eastAsia="仿宋"/>
                <w:sz w:val="24"/>
              </w:rPr>
              <w:t>采用先进的数据优化算法，使得渲染效果无关于数据规模和复杂度，解决城市级海量数据可视化应用的性能瓶颈；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3</w:t>
            </w:r>
          </w:p>
        </w:tc>
        <w:tc>
          <w:tcPr>
            <w:tcW w:w="1984" w:type="dxa"/>
            <w:vAlign w:val="center"/>
          </w:tcPr>
          <w:p>
            <w:pPr>
              <w:jc w:val="center"/>
              <w:rPr>
                <w:rFonts w:ascii="仿宋" w:hAnsi="仿宋" w:eastAsia="仿宋"/>
                <w:sz w:val="24"/>
              </w:rPr>
            </w:pPr>
            <w:r>
              <w:rPr>
                <w:rFonts w:hint="eastAsia" w:ascii="仿宋" w:hAnsi="仿宋" w:eastAsia="仿宋"/>
                <w:sz w:val="24"/>
              </w:rPr>
              <w:t>高逼真渲染效果</w:t>
            </w:r>
          </w:p>
        </w:tc>
        <w:tc>
          <w:tcPr>
            <w:tcW w:w="5324" w:type="dxa"/>
            <w:vAlign w:val="center"/>
          </w:tcPr>
          <w:p>
            <w:pPr>
              <w:rPr>
                <w:rFonts w:ascii="仿宋" w:hAnsi="仿宋" w:eastAsia="仿宋"/>
                <w:sz w:val="24"/>
              </w:rPr>
            </w:pPr>
            <w:r>
              <w:rPr>
                <w:rFonts w:hint="eastAsia" w:ascii="仿宋" w:hAnsi="仿宋" w:eastAsia="仿宋"/>
                <w:sz w:val="24"/>
              </w:rPr>
              <w:t>利用最新的GPU特性，对真实世界的光照、时间变换、天气变化进行模拟，实现物理世界和虚拟世界同步的数字镜像。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vAlign w:val="center"/>
          </w:tcPr>
          <w:p>
            <w:pPr>
              <w:jc w:val="center"/>
              <w:rPr>
                <w:rFonts w:ascii="仿宋" w:hAnsi="仿宋" w:eastAsia="仿宋"/>
                <w:sz w:val="24"/>
              </w:rPr>
            </w:pPr>
            <w:r>
              <w:rPr>
                <w:rFonts w:hint="eastAsia" w:ascii="仿宋" w:hAnsi="仿宋" w:eastAsia="仿宋"/>
                <w:sz w:val="24"/>
              </w:rPr>
              <w:t>4</w:t>
            </w:r>
          </w:p>
        </w:tc>
        <w:tc>
          <w:tcPr>
            <w:tcW w:w="1984" w:type="dxa"/>
            <w:vAlign w:val="center"/>
          </w:tcPr>
          <w:p>
            <w:pPr>
              <w:jc w:val="center"/>
              <w:rPr>
                <w:rFonts w:ascii="仿宋" w:hAnsi="仿宋" w:eastAsia="仿宋"/>
                <w:sz w:val="24"/>
              </w:rPr>
            </w:pPr>
            <w:r>
              <w:rPr>
                <w:rFonts w:hint="eastAsia" w:ascii="仿宋" w:hAnsi="仿宋" w:eastAsia="仿宋"/>
                <w:sz w:val="24"/>
              </w:rPr>
              <w:t>多种空间分析功能及展示效果</w:t>
            </w:r>
          </w:p>
        </w:tc>
        <w:tc>
          <w:tcPr>
            <w:tcW w:w="5324" w:type="dxa"/>
            <w:vAlign w:val="center"/>
          </w:tcPr>
          <w:p>
            <w:pPr>
              <w:rPr>
                <w:rFonts w:ascii="仿宋" w:hAnsi="仿宋" w:eastAsia="仿宋"/>
                <w:sz w:val="24"/>
              </w:rPr>
            </w:pPr>
            <w:r>
              <w:rPr>
                <w:rFonts w:hint="eastAsia" w:ascii="仿宋" w:hAnsi="仿宋" w:eastAsia="仿宋"/>
                <w:sz w:val="24"/>
              </w:rPr>
              <w:t>单体化查询、步行漫游友好性、空间坐标量算、剖切分析、多视口展示、丰富的材质材料库、自定义光源、支持室外室内的实时光照和阴影、支持云渲染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5</w:t>
            </w:r>
          </w:p>
        </w:tc>
        <w:tc>
          <w:tcPr>
            <w:tcW w:w="1984" w:type="dxa"/>
            <w:vAlign w:val="center"/>
          </w:tcPr>
          <w:p>
            <w:pPr>
              <w:jc w:val="center"/>
              <w:rPr>
                <w:rFonts w:ascii="仿宋" w:hAnsi="仿宋" w:eastAsia="仿宋"/>
                <w:sz w:val="24"/>
              </w:rPr>
            </w:pPr>
            <w:r>
              <w:rPr>
                <w:rFonts w:hint="eastAsia" w:ascii="仿宋" w:hAnsi="仿宋" w:eastAsia="仿宋"/>
                <w:sz w:val="24"/>
              </w:rPr>
              <w:t>丰富的SDK</w:t>
            </w:r>
          </w:p>
        </w:tc>
        <w:tc>
          <w:tcPr>
            <w:tcW w:w="5324" w:type="dxa"/>
            <w:vAlign w:val="center"/>
          </w:tcPr>
          <w:p>
            <w:pPr>
              <w:rPr>
                <w:rFonts w:ascii="仿宋" w:hAnsi="仿宋" w:eastAsia="仿宋"/>
                <w:sz w:val="24"/>
              </w:rPr>
            </w:pPr>
            <w:r>
              <w:rPr>
                <w:rFonts w:hint="eastAsia" w:ascii="仿宋" w:hAnsi="仿宋" w:eastAsia="仿宋"/>
                <w:sz w:val="24"/>
              </w:rPr>
              <w:t>提供上丰富的二次开发接口，支持二次开发定制。</w:t>
            </w:r>
          </w:p>
        </w:tc>
      </w:tr>
    </w:tbl>
    <w:p>
      <w:pPr>
        <w:widowControl/>
        <w:ind w:firstLine="480" w:firstLineChars="200"/>
        <w:jc w:val="left"/>
        <w:rPr>
          <w:rFonts w:ascii="仿宋" w:hAnsi="仿宋" w:eastAsia="仿宋"/>
          <w:sz w:val="24"/>
        </w:rPr>
      </w:pPr>
      <w:r>
        <w:rPr>
          <w:rFonts w:hint="eastAsia" w:ascii="仿宋" w:hAnsi="仿宋" w:eastAsia="仿宋"/>
          <w:sz w:val="24"/>
        </w:rPr>
        <w:t>（2）数字孪生引擎功能</w:t>
      </w:r>
    </w:p>
    <w:tbl>
      <w:tblPr>
        <w:tblStyle w:val="6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hint="eastAsia" w:ascii="仿宋" w:hAnsi="仿宋" w:eastAsia="仿宋"/>
                <w:sz w:val="24"/>
              </w:rPr>
              <w:t>名称</w:t>
            </w:r>
          </w:p>
        </w:tc>
        <w:tc>
          <w:tcPr>
            <w:tcW w:w="5749" w:type="dxa"/>
            <w:vAlign w:val="center"/>
          </w:tcPr>
          <w:p>
            <w:pPr>
              <w:jc w:val="center"/>
              <w:rPr>
                <w:rFonts w:ascii="仿宋" w:hAnsi="仿宋" w:eastAsia="仿宋"/>
                <w:sz w:val="24"/>
              </w:rPr>
            </w:pPr>
            <w:r>
              <w:rPr>
                <w:rFonts w:hint="eastAsia" w:ascii="仿宋" w:hAnsi="仿宋" w:eastAsia="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1</w:t>
            </w:r>
          </w:p>
        </w:tc>
        <w:tc>
          <w:tcPr>
            <w:tcW w:w="1559" w:type="dxa"/>
            <w:vAlign w:val="center"/>
          </w:tcPr>
          <w:p>
            <w:pPr>
              <w:jc w:val="center"/>
              <w:rPr>
                <w:rFonts w:ascii="仿宋" w:hAnsi="仿宋" w:eastAsia="仿宋"/>
                <w:sz w:val="24"/>
              </w:rPr>
            </w:pPr>
            <w:r>
              <w:rPr>
                <w:rFonts w:hint="eastAsia" w:ascii="仿宋" w:hAnsi="仿宋" w:eastAsia="仿宋"/>
                <w:sz w:val="24"/>
              </w:rPr>
              <w:t>数据加载</w:t>
            </w:r>
          </w:p>
        </w:tc>
        <w:tc>
          <w:tcPr>
            <w:tcW w:w="5749" w:type="dxa"/>
            <w:vAlign w:val="center"/>
          </w:tcPr>
          <w:p>
            <w:pPr>
              <w:widowControl/>
              <w:jc w:val="left"/>
              <w:rPr>
                <w:rFonts w:ascii="仿宋" w:hAnsi="仿宋" w:eastAsia="仿宋"/>
                <w:sz w:val="24"/>
              </w:rPr>
            </w:pPr>
            <w:r>
              <w:rPr>
                <w:rFonts w:hint="eastAsia" w:ascii="仿宋" w:hAnsi="仿宋" w:eastAsia="仿宋"/>
                <w:sz w:val="24"/>
              </w:rPr>
              <w:t>利用轻量化技术，实现对地形、影像、倾斜摄影三维模型、BIM模型、三维地质模型、地下管线三维模型、物联网数据等全空间海量、多源、异构数据的加载和显示。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2</w:t>
            </w:r>
          </w:p>
        </w:tc>
        <w:tc>
          <w:tcPr>
            <w:tcW w:w="1559" w:type="dxa"/>
            <w:vAlign w:val="center"/>
          </w:tcPr>
          <w:p>
            <w:pPr>
              <w:jc w:val="center"/>
              <w:rPr>
                <w:rFonts w:ascii="仿宋" w:hAnsi="仿宋" w:eastAsia="仿宋"/>
                <w:sz w:val="24"/>
              </w:rPr>
            </w:pPr>
            <w:r>
              <w:rPr>
                <w:rFonts w:hint="eastAsia" w:ascii="仿宋" w:hAnsi="仿宋" w:eastAsia="仿宋"/>
                <w:sz w:val="24"/>
              </w:rPr>
              <w:t>可视化渲染</w:t>
            </w:r>
          </w:p>
        </w:tc>
        <w:tc>
          <w:tcPr>
            <w:tcW w:w="5749" w:type="dxa"/>
            <w:vAlign w:val="center"/>
          </w:tcPr>
          <w:p>
            <w:pPr>
              <w:rPr>
                <w:rFonts w:ascii="仿宋" w:hAnsi="仿宋" w:eastAsia="仿宋"/>
                <w:sz w:val="24"/>
              </w:rPr>
            </w:pPr>
            <w:r>
              <w:rPr>
                <w:rFonts w:hint="eastAsia" w:ascii="仿宋" w:hAnsi="仿宋" w:eastAsia="仿宋"/>
                <w:sz w:val="24"/>
              </w:rPr>
              <w:t>实现对二三维地图数据的可视化加载与调度，包括动态加载、图像渲染、模型渲染等。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仿宋" w:hAnsi="仿宋" w:eastAsia="仿宋"/>
                <w:sz w:val="24"/>
              </w:rPr>
            </w:pPr>
            <w:r>
              <w:rPr>
                <w:rFonts w:hint="eastAsia" w:ascii="仿宋" w:hAnsi="仿宋" w:eastAsia="仿宋"/>
                <w:sz w:val="24"/>
              </w:rPr>
              <w:t>3</w:t>
            </w:r>
          </w:p>
        </w:tc>
        <w:tc>
          <w:tcPr>
            <w:tcW w:w="1559" w:type="dxa"/>
            <w:vAlign w:val="center"/>
          </w:tcPr>
          <w:p>
            <w:pPr>
              <w:jc w:val="center"/>
              <w:rPr>
                <w:rFonts w:ascii="仿宋" w:hAnsi="仿宋" w:eastAsia="仿宋"/>
                <w:sz w:val="24"/>
              </w:rPr>
            </w:pPr>
            <w:r>
              <w:rPr>
                <w:rFonts w:hint="eastAsia" w:ascii="仿宋" w:hAnsi="仿宋" w:eastAsia="仿宋"/>
                <w:sz w:val="24"/>
              </w:rPr>
              <w:t>可视化展示</w:t>
            </w:r>
          </w:p>
        </w:tc>
        <w:tc>
          <w:tcPr>
            <w:tcW w:w="5749" w:type="dxa"/>
            <w:vAlign w:val="center"/>
          </w:tcPr>
          <w:p>
            <w:pPr>
              <w:rPr>
                <w:rFonts w:ascii="仿宋" w:hAnsi="仿宋" w:eastAsia="仿宋"/>
                <w:sz w:val="24"/>
              </w:rPr>
            </w:pPr>
            <w:r>
              <w:rPr>
                <w:rFonts w:hint="eastAsia" w:ascii="仿宋" w:hAnsi="仿宋" w:eastAsia="仿宋"/>
                <w:sz w:val="24"/>
              </w:rPr>
              <w:t>通用工具设置、视点切换与漫游、室内室外一体化展示、多屏联动展示</w:t>
            </w:r>
          </w:p>
        </w:tc>
      </w:tr>
    </w:tbl>
    <w:p>
      <w:pPr>
        <w:ind w:firstLine="480" w:firstLineChars="200"/>
        <w:rPr>
          <w:rFonts w:ascii="仿宋" w:hAnsi="仿宋" w:eastAsia="仿宋"/>
          <w:sz w:val="24"/>
        </w:rPr>
      </w:pPr>
    </w:p>
    <w:p>
      <w:pPr>
        <w:widowControl/>
        <w:ind w:firstLine="480" w:firstLineChars="200"/>
        <w:jc w:val="left"/>
        <w:rPr>
          <w:rFonts w:ascii="仿宋" w:hAnsi="仿宋" w:eastAsia="仿宋"/>
          <w:sz w:val="24"/>
        </w:rPr>
      </w:pPr>
      <w:r>
        <w:rPr>
          <w:rFonts w:ascii="仿宋" w:hAnsi="仿宋" w:eastAsia="仿宋"/>
          <w:sz w:val="24"/>
        </w:rPr>
        <w:t>6.</w:t>
      </w:r>
      <w:r>
        <w:rPr>
          <w:rFonts w:hint="eastAsia" w:ascii="仿宋" w:hAnsi="仿宋" w:eastAsia="仿宋"/>
          <w:sz w:val="24"/>
        </w:rPr>
        <w:t>BIM引擎</w:t>
      </w:r>
    </w:p>
    <w:p>
      <w:pPr>
        <w:widowControl/>
        <w:ind w:firstLine="480" w:firstLineChars="200"/>
        <w:jc w:val="left"/>
        <w:rPr>
          <w:rFonts w:ascii="仿宋" w:hAnsi="仿宋" w:eastAsia="仿宋"/>
          <w:sz w:val="24"/>
        </w:rPr>
      </w:pPr>
      <w:r>
        <w:rPr>
          <w:rFonts w:hint="eastAsia" w:ascii="仿宋" w:hAnsi="仿宋" w:eastAsia="仿宋"/>
          <w:sz w:val="24"/>
        </w:rPr>
        <w:t>BIM引擎能够保留BIM信息和具备BIM专属应用能力的图形引擎，并且可以支持web端的BIM应用。模型发布方面，支持市面主流数据格式，覆盖95%以上的工程数据类型，精确保留构件的几何信息、构件属性信息和其层级关系，以及由模型衍生出的切图、料表、变更等内容并且可以直接上传模型，无需客户端转换；功能方面，具备线上批注，线上编辑，线上变更管理、线上图纸校审，线上碰撞检查、线上进度模拟、线上报表统计等BIM专属应用能力；同时兼顾用户体验和展示效果，500MB体量的BIM模型数据不低于20的浏览帧率，不超过3秒的数据加载速率，支持精确捕捉，提供精确测量。</w:t>
      </w:r>
    </w:p>
    <w:p>
      <w:pPr>
        <w:widowControl/>
        <w:ind w:firstLine="480" w:firstLineChars="200"/>
        <w:jc w:val="left"/>
        <w:rPr>
          <w:rFonts w:ascii="仿宋" w:hAnsi="仿宋" w:eastAsia="仿宋"/>
          <w:sz w:val="24"/>
        </w:rPr>
      </w:pPr>
      <w:r>
        <w:rPr>
          <w:rFonts w:hint="eastAsia" w:ascii="仿宋" w:hAnsi="仿宋" w:eastAsia="仿宋"/>
          <w:sz w:val="24"/>
        </w:rPr>
        <w:t>BIM引擎应能做到全区复用。</w:t>
      </w:r>
    </w:p>
    <w:p>
      <w:pPr>
        <w:widowControl/>
        <w:ind w:firstLine="480" w:firstLineChars="200"/>
        <w:jc w:val="left"/>
        <w:rPr>
          <w:rFonts w:ascii="仿宋" w:hAnsi="仿宋" w:eastAsia="仿宋"/>
          <w:sz w:val="24"/>
        </w:rPr>
      </w:pPr>
    </w:p>
    <w:p>
      <w:pPr>
        <w:widowControl/>
        <w:ind w:firstLine="480" w:firstLineChars="200"/>
        <w:jc w:val="left"/>
        <w:rPr>
          <w:rFonts w:ascii="仿宋" w:hAnsi="仿宋" w:eastAsia="仿宋"/>
          <w:sz w:val="24"/>
        </w:rPr>
      </w:pPr>
      <w:r>
        <w:rPr>
          <w:rFonts w:hint="eastAsia" w:ascii="仿宋" w:hAnsi="仿宋" w:eastAsia="仿宋"/>
          <w:sz w:val="24"/>
        </w:rPr>
        <w:t>7</w:t>
      </w:r>
      <w:r>
        <w:rPr>
          <w:rFonts w:ascii="仿宋" w:hAnsi="仿宋" w:eastAsia="仿宋"/>
          <w:sz w:val="24"/>
        </w:rPr>
        <w:t>.</w:t>
      </w:r>
      <w:r>
        <w:rPr>
          <w:rFonts w:hint="eastAsia" w:ascii="仿宋" w:hAnsi="仿宋" w:eastAsia="仿宋"/>
          <w:sz w:val="24"/>
        </w:rPr>
        <w:t>多维图形引擎框架</w:t>
      </w:r>
    </w:p>
    <w:p>
      <w:pPr>
        <w:widowControl/>
        <w:ind w:firstLine="480" w:firstLineChars="200"/>
        <w:jc w:val="left"/>
        <w:rPr>
          <w:rFonts w:ascii="仿宋" w:hAnsi="仿宋" w:eastAsia="仿宋"/>
          <w:sz w:val="24"/>
        </w:rPr>
      </w:pPr>
      <w:r>
        <w:rPr>
          <w:rFonts w:hint="eastAsia" w:ascii="仿宋" w:hAnsi="仿宋" w:eastAsia="仿宋"/>
          <w:sz w:val="24"/>
        </w:rPr>
        <w:t>支持BIM引擎和渲染引擎的融合，提供BIM与渲染引擎的无缝切换。统一多引擎的UI和功能交互，统一多引擎同一功能的封装接口，统一跨引擎的视角切换。</w:t>
      </w:r>
    </w:p>
    <w:p>
      <w:pPr>
        <w:pStyle w:val="2"/>
        <w:ind w:left="433" w:leftChars="202" w:hanging="9" w:hangingChars="4"/>
        <w:rPr>
          <w:rFonts w:ascii="仿宋" w:eastAsia="仿宋"/>
          <w:b w:val="0"/>
          <w:bCs w:val="0"/>
          <w:sz w:val="24"/>
          <w:szCs w:val="24"/>
          <w:highlight w:val="none"/>
          <w:lang w:val="en-US"/>
        </w:rPr>
      </w:pPr>
      <w:r>
        <w:rPr>
          <w:rFonts w:hint="eastAsia" w:ascii="仿宋" w:eastAsia="仿宋"/>
          <w:b w:val="0"/>
          <w:bCs w:val="0"/>
          <w:sz w:val="24"/>
          <w:szCs w:val="24"/>
          <w:highlight w:val="none"/>
          <w:lang w:val="en-US"/>
        </w:rPr>
        <w:t>8、以上“5.数字孪生引擎、6.BIM引擎、7.多维图形引擎框架”,数字孪生底座能力必须供全区使用，且具备开放能力，相关技术支撑服务，在项目验收前必须提供开放技术标准。</w:t>
      </w:r>
    </w:p>
    <w:p/>
    <w:p>
      <w:pPr>
        <w:widowControl/>
        <w:numPr>
          <w:ilvl w:val="0"/>
          <w:numId w:val="3"/>
        </w:numPr>
        <w:adjustRightInd/>
        <w:spacing w:line="360" w:lineRule="auto"/>
        <w:ind w:firstLine="420"/>
        <w:jc w:val="left"/>
        <w:rPr>
          <w:rFonts w:ascii="仿宋" w:hAnsi="仿宋" w:eastAsia="仿宋"/>
          <w:b/>
          <w:bCs/>
          <w:sz w:val="24"/>
        </w:rPr>
      </w:pPr>
      <w:r>
        <w:rPr>
          <w:rFonts w:hint="eastAsia" w:ascii="仿宋" w:hAnsi="仿宋" w:eastAsia="仿宋"/>
          <w:b/>
          <w:bCs/>
          <w:sz w:val="24"/>
        </w:rPr>
        <w:t>仿真分析层</w:t>
      </w:r>
    </w:p>
    <w:p>
      <w:pPr>
        <w:widowControl/>
        <w:adjustRightInd/>
        <w:spacing w:line="360" w:lineRule="auto"/>
        <w:ind w:firstLine="420"/>
        <w:jc w:val="left"/>
        <w:rPr>
          <w:rFonts w:ascii="仿宋" w:hAnsi="仿宋" w:eastAsia="仿宋"/>
          <w:sz w:val="24"/>
        </w:rPr>
      </w:pPr>
      <w:r>
        <w:rPr>
          <w:rFonts w:hint="eastAsia" w:ascii="仿宋" w:hAnsi="仿宋" w:eastAsia="仿宋"/>
          <w:sz w:val="24"/>
        </w:rPr>
        <w:t>仿真分析是指为数字化模型中融入物理规律和机理。不仅建立物理对象的数字化模型，还要根据当前状态，加入后台算法，通过物理学规律和机理来计算、分析和预测物理对象的未来状态。</w:t>
      </w:r>
    </w:p>
    <w:p>
      <w:pPr>
        <w:widowControl/>
        <w:numPr>
          <w:ilvl w:val="0"/>
          <w:numId w:val="4"/>
        </w:numPr>
        <w:adjustRightInd/>
        <w:spacing w:line="360" w:lineRule="auto"/>
        <w:ind w:left="420"/>
        <w:jc w:val="left"/>
        <w:rPr>
          <w:rFonts w:ascii="仿宋" w:hAnsi="仿宋" w:eastAsia="仿宋"/>
          <w:b/>
          <w:bCs/>
          <w:sz w:val="24"/>
        </w:rPr>
      </w:pPr>
      <w:r>
        <w:rPr>
          <w:rFonts w:hint="eastAsia" w:ascii="仿宋" w:hAnsi="仿宋" w:eastAsia="仿宋"/>
          <w:b/>
          <w:bCs/>
          <w:sz w:val="24"/>
        </w:rPr>
        <w:t>视频场景识别</w:t>
      </w:r>
    </w:p>
    <w:p>
      <w:pPr>
        <w:widowControl/>
        <w:adjustRightInd/>
        <w:spacing w:line="360" w:lineRule="auto"/>
        <w:ind w:firstLine="420"/>
        <w:jc w:val="left"/>
        <w:rPr>
          <w:rFonts w:ascii="仿宋" w:hAnsi="仿宋" w:eastAsia="仿宋"/>
          <w:sz w:val="24"/>
        </w:rPr>
      </w:pPr>
      <w:r>
        <w:rPr>
          <w:rFonts w:hint="eastAsia" w:ascii="仿宋" w:hAnsi="仿宋" w:eastAsia="仿宋"/>
          <w:sz w:val="24"/>
        </w:rPr>
        <w:t>①视频图像智能计算平台</w:t>
      </w:r>
    </w:p>
    <w:p>
      <w:pPr>
        <w:widowControl/>
        <w:adjustRightInd/>
        <w:spacing w:line="360" w:lineRule="auto"/>
        <w:ind w:firstLine="420"/>
        <w:jc w:val="left"/>
        <w:rPr>
          <w:rFonts w:ascii="仿宋" w:hAnsi="仿宋" w:eastAsia="仿宋"/>
          <w:sz w:val="24"/>
        </w:rPr>
      </w:pPr>
      <w:r>
        <w:rPr>
          <w:rFonts w:hint="eastAsia" w:ascii="仿宋" w:hAnsi="仿宋" w:eastAsia="仿宋"/>
          <w:sz w:val="24"/>
        </w:rPr>
        <w:t>投标人需提供一套视频图像智能计算平台，以便识别视频监控的各类场景，平台应包含下列功能：</w:t>
      </w:r>
    </w:p>
    <w:p>
      <w:pPr>
        <w:widowControl/>
        <w:adjustRightInd/>
        <w:ind w:firstLine="420"/>
        <w:jc w:val="left"/>
        <w:rPr>
          <w:rFonts w:ascii="仿宋" w:hAnsi="仿宋" w:eastAsia="仿宋"/>
          <w:sz w:val="24"/>
        </w:rPr>
      </w:pPr>
      <w:r>
        <w:rPr>
          <w:rFonts w:hint="eastAsia" w:ascii="仿宋" w:hAnsi="仿宋" w:eastAsia="仿宋"/>
          <w:sz w:val="24"/>
        </w:rPr>
        <w:t xml:space="preserve"> </w:t>
      </w:r>
    </w:p>
    <w:tbl>
      <w:tblPr>
        <w:tblStyle w:val="62"/>
        <w:tblW w:w="8047" w:type="dxa"/>
        <w:tblInd w:w="113" w:type="dxa"/>
        <w:tblLayout w:type="fixed"/>
        <w:tblCellMar>
          <w:top w:w="0" w:type="dxa"/>
          <w:left w:w="108" w:type="dxa"/>
          <w:bottom w:w="0" w:type="dxa"/>
          <w:right w:w="108" w:type="dxa"/>
        </w:tblCellMar>
      </w:tblPr>
      <w:tblGrid>
        <w:gridCol w:w="989"/>
        <w:gridCol w:w="713"/>
        <w:gridCol w:w="1133"/>
        <w:gridCol w:w="3638"/>
        <w:gridCol w:w="717"/>
        <w:gridCol w:w="857"/>
      </w:tblGrid>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序号</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采购细项</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数量</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视频图像智能计算平台</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实时预览</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通过流媒体直播服务，实现监控网点全天候、全方位的视频监视功能。对监视目标进行实时、直观、清晰的监视，全天24小时均可观察到前端现场的监控状况，并实现视频的上墙功能。</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视频存储管理</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视频存储子系统提供视频存储与管理服务，是基于云底座的云原生方案，可适配不同的存储场合与存储规模。</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录像管理</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平台支持视频存储、视频上传、录像查询与录像点播，同时支持GB/T28181协议对接国标下级平台，使用下级平台的存储功能，实现录像查询、录像回放等功能。支持SAN/NAS网络存储，通过SDK实现录像查询、录像回放等功能。</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视频转发调度</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提供流媒体服务支持hls\flv\rtmp等流媒体服务、支持rtsp服务、支持GB28181上级及联服务、并可以将视频写入MQ等为计算平台提供服务。</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一机一档</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摄像机点位信息是视频任务的关键输入和标识，使用GB28181中的20位编号对摄像机进行编号，并维护经纬度、区域码、类型、管辖单位等信息。所有的视频任务启动时都需要输入视频点位标识。该模块负责点位信息的获取、治理和分享。</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视频水印</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系统支持视频水印、页面水印的配置。平台用户在通过平台的各类客户端，进行视频查看的时候会自动打上相应标签，保障资源的安全使用。</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视频资源管理</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视频应用系统中，资源管理通过资源目录的方式来进行实现，资源目录是实现视频应用资源统一管理而设置的基本单位，实现应用的基础资源的组织和管理。</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视频安全管理</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提供视频资源安全管控功能，包括使用权限、视频内容可追溯等。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视频审计</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支持查看操作记录，展现视频配置的操作信息，以及查看调阅记录等视频审计相关功能。</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算法解析能力</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提供视觉算法解析能力</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bl>
    <w:p>
      <w:pPr>
        <w:widowControl/>
        <w:adjustRightInd/>
        <w:ind w:firstLine="420"/>
        <w:jc w:val="left"/>
        <w:rPr>
          <w:rFonts w:ascii="仿宋" w:hAnsi="仿宋" w:eastAsia="仿宋"/>
          <w:sz w:val="24"/>
        </w:rPr>
      </w:pPr>
    </w:p>
    <w:p>
      <w:pPr>
        <w:widowControl/>
        <w:adjustRightInd/>
        <w:ind w:firstLine="420"/>
        <w:jc w:val="left"/>
        <w:rPr>
          <w:rFonts w:ascii="仿宋" w:hAnsi="仿宋" w:eastAsia="仿宋"/>
          <w:sz w:val="24"/>
        </w:rPr>
      </w:pPr>
      <w:r>
        <w:rPr>
          <w:rFonts w:hint="eastAsia" w:ascii="仿宋" w:hAnsi="仿宋" w:eastAsia="仿宋"/>
          <w:sz w:val="24"/>
        </w:rPr>
        <w:t>②视频推演功能与算法</w:t>
      </w:r>
    </w:p>
    <w:p>
      <w:pPr>
        <w:widowControl/>
        <w:adjustRightInd/>
        <w:ind w:firstLine="420"/>
        <w:jc w:val="left"/>
        <w:rPr>
          <w:rFonts w:ascii="仿宋" w:hAnsi="仿宋" w:eastAsia="仿宋"/>
          <w:sz w:val="24"/>
        </w:rPr>
      </w:pPr>
      <w:r>
        <w:rPr>
          <w:rFonts w:hint="eastAsia" w:ascii="仿宋" w:hAnsi="仿宋" w:eastAsia="仿宋"/>
          <w:sz w:val="24"/>
        </w:rPr>
        <w:t>投标人所提供的视频识别算法应能识别下列场景：</w:t>
      </w:r>
    </w:p>
    <w:p>
      <w:pPr>
        <w:widowControl/>
        <w:adjustRightInd/>
        <w:ind w:firstLine="420"/>
        <w:jc w:val="left"/>
        <w:rPr>
          <w:rFonts w:ascii="仿宋" w:hAnsi="仿宋" w:eastAsia="仿宋"/>
          <w:sz w:val="24"/>
        </w:rPr>
      </w:pPr>
      <w:r>
        <w:rPr>
          <w:rFonts w:hint="eastAsia" w:ascii="仿宋" w:hAnsi="仿宋" w:eastAsia="仿宋"/>
          <w:sz w:val="24"/>
        </w:rPr>
        <w:t xml:space="preserve"> </w:t>
      </w:r>
    </w:p>
    <w:tbl>
      <w:tblPr>
        <w:tblStyle w:val="62"/>
        <w:tblW w:w="8047" w:type="dxa"/>
        <w:tblInd w:w="113" w:type="dxa"/>
        <w:tblLayout w:type="fixed"/>
        <w:tblCellMar>
          <w:top w:w="0" w:type="dxa"/>
          <w:left w:w="108" w:type="dxa"/>
          <w:bottom w:w="0" w:type="dxa"/>
          <w:right w:w="108" w:type="dxa"/>
        </w:tblCellMar>
      </w:tblPr>
      <w:tblGrid>
        <w:gridCol w:w="989"/>
        <w:gridCol w:w="713"/>
        <w:gridCol w:w="1133"/>
        <w:gridCol w:w="3637"/>
        <w:gridCol w:w="717"/>
        <w:gridCol w:w="858"/>
      </w:tblGrid>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序号</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采购细项</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数量</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视觉推演功能与算法</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视频人像结构化</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提供视频人像结构化能力</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人像实时布控算法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对站内外重要重点管控区域、点位，如落客平台、候车大厅、停车场等地出入口，进行实时图片流进行解析，在图片质量与场景满足要求时，当发生抓拍图片与与目标关注人员底库比对命中时，对识别命中人员进行预警上报，产出时间、点位信息、命中人员信息等结构化信息，实现人像实时布控，辅助站内管理。</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站内人像搜索算法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面向站区运营管理，针对站内特定事件，如儿童走失、不法人员定位、纠纷事件逃逸等需要还原特定人员路径的场景，在视频流人像结构化识别基础上，基于图像实时索引与搜索引擎，对人像结构化数据进行存储，并提供快速检索能力。</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过线人流量统计算法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面向站区运营管理客流监测业务，针对重点站区旅客密集、环境复杂、易发生客流聚集的特点，对进站口、出站口、车站通道等内部易于发生客流聚集的特殊位置进行实时视频流解析，在视频质量与场景满足识别要求条件下，在手动划定的管控区域内，统计一定时间内穿过预设线人流量，实时输出统计时间、点位信息、过线人数等结构化信息。</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扶梯事件监测算法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面向站内扶梯运行情况的实时视频流进行解析，当视频扶梯画面中出现异常事件（打架斗殴、人员跌倒、扶梯大客流）时，系统自动实时发出产出发生时间、点位信息、上报大小图等结构化信息，捕获事件信息，帮助站内管理人员快速发现处置。</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物品遗留监测算法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面向站内重点旅客区域进行实时视频流进行解析，当发现遗留物品长时间无人带走时，系统自动实时发出产出发生时间、点位信息、上报大小图等结构化信息，捕获事件信息，并截取物品主任信息，帮助站内管理人员快速发现，协助旅客找到物品。</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人员越界，拉横幅识别算法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对于站内外易于发生旅客越界，拉横幅事件的实时视频流进行解析，在手动划定的业务区域内，当旅客越界，拉横幅情况时，系统自动实时发出点位，检测置信度，上报大小图影像，事件发生时间等告警信息，实现对站内秩序治安的智能化管理。</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站内人数估计算法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面向西站站内外重点旅客区域等点位的实时视频流进行解析，在视频质量与合适场景要求满足时，在手动划定的业务区域内，实时统计区域内人数，产出时间、点位信息、人数等结构化信息，实现实时监测区域人数，降低大客流区域等踩踏拥堵等安全隐患。（包括打架斗殴、人员跌倒等识别）</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站内特定区域人员闯入识别算法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站内某些隐蔽区域禁止人员靠近或进入，通过视觉人工智能算法，赋予管理区域的摄像头智能巡查能能力，保证7*24小时不间断巡视，对划定区域的违禁闯入现象及时发现并上报，杜绝危险行为发生，降低安全事故发生率，保障人民的生命和财产安全。</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吸烟检测算法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基于视觉智能分析技术，面向站内外禁烟区域，对监控球/枪机点位的实时视频流进行解析，当发生人员抽烟情况时，产出发生时间、点位信息、上报大小图等结构化信息，实现实时捕获抽烟行为的智能化管理。</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站外广场人群聚集算法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对站外广场点位的实时视频流进行解析，在手动划定的业务区域内，当发生画面内总人数超过设定阈值时，系统自动实时发出点位，上报大小图影像，画面内总人数，事件发生时间等告警信息，实现实时监测大场景中高密人群的人数和密度，实现对密集人群的安全管控和综合治理，降低人群拥挤造成的安全隐患。</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明火烟雾识别算法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基于视觉智能分析技术，面向站内可能发生火灾事件的重点区域的实时视频流进行解析，在手动划定的业务区域内，当视频画面中出现清晰可见的明火和烟雾时，系统自动实时发出点位，明火烟雾位置，上报大小图影像，事件发生时间等告警信息。</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13</w:t>
            </w:r>
          </w:p>
        </w:tc>
        <w:tc>
          <w:tcPr>
            <w:tcW w:w="713" w:type="dxa"/>
            <w:vMerge w:val="restart"/>
            <w:tcBorders>
              <w:top w:val="single" w:color="auto" w:sz="4" w:space="0"/>
              <w:left w:val="nil"/>
              <w:right w:val="single" w:color="auto" w:sz="4" w:space="0"/>
            </w:tcBorders>
            <w:vAlign w:val="center"/>
          </w:tcPr>
          <w:p>
            <w:pPr>
              <w:adjustRightInd/>
              <w:rPr>
                <w:rFonts w:ascii="仿宋" w:hAnsi="仿宋" w:eastAsia="仿宋"/>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旅客滞留时间</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站体内各区域旅客滞留时间，平均滞留时间等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4</w:t>
            </w:r>
          </w:p>
        </w:tc>
        <w:tc>
          <w:tcPr>
            <w:tcW w:w="713" w:type="dxa"/>
            <w:vMerge w:val="continue"/>
            <w:tcBorders>
              <w:left w:val="nil"/>
              <w:right w:val="single" w:color="auto" w:sz="4" w:space="0"/>
            </w:tcBorders>
            <w:vAlign w:val="center"/>
          </w:tcPr>
          <w:p>
            <w:pPr>
              <w:adjustRightInd/>
              <w:rPr>
                <w:rFonts w:ascii="仿宋" w:hAnsi="仿宋" w:eastAsia="仿宋"/>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人员口罩识别</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当视频内发现人员未戴口罩，发布告警信息等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5</w:t>
            </w:r>
          </w:p>
        </w:tc>
        <w:tc>
          <w:tcPr>
            <w:tcW w:w="713" w:type="dxa"/>
            <w:vMerge w:val="continue"/>
            <w:tcBorders>
              <w:left w:val="nil"/>
              <w:right w:val="single" w:color="auto" w:sz="4" w:space="0"/>
            </w:tcBorders>
            <w:vAlign w:val="center"/>
          </w:tcPr>
          <w:p>
            <w:pPr>
              <w:adjustRightInd/>
              <w:rPr>
                <w:rFonts w:ascii="仿宋" w:hAnsi="仿宋" w:eastAsia="仿宋"/>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垂直电梯关人识别</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当视频内发现垂直电梯关人事件，发布告警信息等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6</w:t>
            </w:r>
          </w:p>
        </w:tc>
        <w:tc>
          <w:tcPr>
            <w:tcW w:w="713" w:type="dxa"/>
            <w:vMerge w:val="continue"/>
            <w:tcBorders>
              <w:left w:val="nil"/>
              <w:bottom w:val="single" w:color="auto" w:sz="4" w:space="0"/>
              <w:right w:val="single" w:color="auto" w:sz="4" w:space="0"/>
            </w:tcBorders>
            <w:vAlign w:val="center"/>
          </w:tcPr>
          <w:p>
            <w:pPr>
              <w:adjustRightInd/>
              <w:rPr>
                <w:rFonts w:ascii="仿宋" w:hAnsi="仿宋" w:eastAsia="仿宋"/>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宠物及流浪动物识别</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当视频内发现宠物及流浪动物时，发布告警信息等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bl>
    <w:p>
      <w:pPr>
        <w:widowControl/>
        <w:adjustRightInd/>
        <w:spacing w:line="360" w:lineRule="auto"/>
        <w:ind w:firstLine="480"/>
        <w:jc w:val="left"/>
        <w:rPr>
          <w:rFonts w:ascii="仿宋" w:hAnsi="仿宋" w:eastAsia="仿宋"/>
          <w:kern w:val="0"/>
          <w:sz w:val="24"/>
        </w:rPr>
      </w:pPr>
      <w:r>
        <w:rPr>
          <w:rFonts w:hint="eastAsia" w:ascii="仿宋" w:hAnsi="仿宋" w:eastAsia="仿宋"/>
          <w:kern w:val="0"/>
          <w:sz w:val="24"/>
        </w:rPr>
        <w:t xml:space="preserve"> 注：1、此功能与算法的硬件设备的相应点位应与前期、后续监控设备采购中点位对应，投标人需提供接入本项目的视频监控点位的详细方案。</w:t>
      </w:r>
    </w:p>
    <w:p>
      <w:pPr>
        <w:pStyle w:val="2"/>
        <w:ind w:left="0" w:firstLine="964" w:firstLineChars="400"/>
        <w:rPr>
          <w:rFonts w:eastAsia="仿宋"/>
          <w:highlight w:val="none"/>
          <w:lang w:val="en-US"/>
        </w:rPr>
      </w:pPr>
      <w:r>
        <w:rPr>
          <w:rFonts w:hint="eastAsia" w:ascii="仿宋" w:eastAsia="仿宋"/>
          <w:kern w:val="0"/>
          <w:sz w:val="24"/>
          <w:highlight w:val="none"/>
          <w:lang w:val="en-US"/>
        </w:rPr>
        <w:t>2、此次项目中涉及的算法必须上架区组件超市平台可供全区复用，在验收前必须提供第三方算法预测实效性能力评估作为支付依据。</w:t>
      </w:r>
    </w:p>
    <w:p>
      <w:pPr>
        <w:pStyle w:val="2"/>
      </w:pPr>
    </w:p>
    <w:p>
      <w:pPr>
        <w:widowControl/>
        <w:numPr>
          <w:ilvl w:val="0"/>
          <w:numId w:val="4"/>
        </w:numPr>
        <w:adjustRightInd/>
        <w:spacing w:line="360" w:lineRule="auto"/>
        <w:ind w:firstLine="480"/>
        <w:jc w:val="left"/>
        <w:rPr>
          <w:rFonts w:ascii="仿宋" w:hAnsi="仿宋" w:eastAsia="仿宋"/>
          <w:b/>
          <w:bCs/>
          <w:sz w:val="24"/>
        </w:rPr>
      </w:pPr>
      <w:r>
        <w:rPr>
          <w:rFonts w:hint="eastAsia" w:ascii="仿宋" w:hAnsi="仿宋" w:eastAsia="仿宋"/>
          <w:b/>
          <w:bCs/>
          <w:sz w:val="24"/>
        </w:rPr>
        <w:t>仿真分析算法</w:t>
      </w:r>
    </w:p>
    <w:p>
      <w:pPr>
        <w:widowControl/>
        <w:adjustRightInd/>
        <w:spacing w:line="360" w:lineRule="auto"/>
        <w:ind w:firstLine="420"/>
        <w:jc w:val="left"/>
        <w:rPr>
          <w:rFonts w:ascii="仿宋" w:hAnsi="仿宋" w:eastAsia="仿宋"/>
          <w:sz w:val="24"/>
        </w:rPr>
      </w:pPr>
      <w:r>
        <w:rPr>
          <w:rFonts w:hint="eastAsia" w:ascii="仿宋" w:hAnsi="仿宋" w:eastAsia="仿宋"/>
          <w:sz w:val="24"/>
        </w:rPr>
        <w:t>①仿真分析平台</w:t>
      </w:r>
    </w:p>
    <w:p>
      <w:pPr>
        <w:widowControl/>
        <w:adjustRightInd/>
        <w:spacing w:line="360" w:lineRule="auto"/>
        <w:ind w:firstLine="420"/>
        <w:jc w:val="left"/>
        <w:rPr>
          <w:rFonts w:ascii="仿宋" w:hAnsi="仿宋" w:eastAsia="仿宋"/>
          <w:sz w:val="24"/>
        </w:rPr>
      </w:pPr>
      <w:r>
        <w:rPr>
          <w:rFonts w:hint="eastAsia" w:ascii="仿宋" w:hAnsi="仿宋" w:eastAsia="仿宋"/>
          <w:sz w:val="24"/>
        </w:rPr>
        <w:t>投标人需提供一套仿真分析平台，以便提供大规模数据仿真计算调度、多源仿真模型的云化集成与统一服务、复杂场景联合仿真实验搭建、仿真生态构建等能力。仿真分析平台应包含下列功能：</w:t>
      </w:r>
    </w:p>
    <w:p>
      <w:pPr>
        <w:widowControl/>
        <w:adjustRightInd/>
        <w:spacing w:line="360" w:lineRule="auto"/>
        <w:jc w:val="left"/>
        <w:rPr>
          <w:rFonts w:ascii="仿宋" w:hAnsi="仿宋" w:eastAsia="仿宋"/>
          <w:sz w:val="24"/>
        </w:rPr>
      </w:pPr>
      <w:r>
        <w:rPr>
          <w:rFonts w:hint="eastAsia" w:ascii="仿宋" w:hAnsi="仿宋" w:eastAsia="仿宋"/>
          <w:sz w:val="24"/>
        </w:rPr>
        <w:t xml:space="preserve"> </w:t>
      </w:r>
    </w:p>
    <w:tbl>
      <w:tblPr>
        <w:tblStyle w:val="62"/>
        <w:tblW w:w="8047" w:type="dxa"/>
        <w:tblInd w:w="113" w:type="dxa"/>
        <w:tblLayout w:type="fixed"/>
        <w:tblCellMar>
          <w:top w:w="0" w:type="dxa"/>
          <w:left w:w="108" w:type="dxa"/>
          <w:bottom w:w="0" w:type="dxa"/>
          <w:right w:w="108" w:type="dxa"/>
        </w:tblCellMar>
      </w:tblPr>
      <w:tblGrid>
        <w:gridCol w:w="989"/>
        <w:gridCol w:w="713"/>
        <w:gridCol w:w="1133"/>
        <w:gridCol w:w="3637"/>
        <w:gridCol w:w="717"/>
        <w:gridCol w:w="858"/>
      </w:tblGrid>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序号</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采购细项</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数量</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仿真场景管理</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仿真场景创建</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面向不同仿真需求，支持后台仿真计算、实时交互仿真等类型的仿真场景创建，并可进行各类型仿真场景所需集群资源、模型、数据、软件、可视化等信息进行定义。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仿真流程设计</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通过可视化画布，进行仿真流程设计，在设计场景中拖、拉业务节点，对各节点进行模型、参数、软件、数据依赖、可视化进行配置，一个流程对应到一个仿真需求。</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仿真组件管理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该模块主要针对仿真场景编排画布页，左侧的组件列表进行管理，包括组件的注册、分类管理，组件类型包括系统组件、模型组件及自定义组件，其中系统组件包括数据类和参数率定等通用类组件，模型组件为仿真模型管理平台注册发布的模型，自定义组件为用户自定义上传的组件。</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仿真运行监控</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对构建完成的仿真场景，可进行各节点质量条件、需遵循的规则条件、计算参数进行配置，并对全局运行进行运算推演次数、时间段、仿真运算的触发方式和频率等参数配置。</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仿真场景服务</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构建完成的仿真场景，可封装为服务API，将场景中的数据、模型等进行服务化部署，支持基于API的调用和使用管理。</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场景模板管理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构建完成的仿真场景，可作为场景模板进行管理、发布，支持用户进行新的仿真场景创建时的引用、复制。</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7</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仿真模型管理</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模型注册</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根据仿真计算模型业务类型、计算特点、运行需求等，进行模型的创建、定义、算法包的上传、资源分配、版本信息、仿真软件配置、数字孪生实体关系映射、输入输出数据标准设计、运行参数模板设置等，并进行模型的自动化部署。</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模型调试</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支持不同来源仿真计算模型的参数、数据、运行环境、运行时间等设置，进行模型计算任务的启动、计算过程日志查看及问题定位、计算结果分析。</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模型发布</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针对调试运行通过的仿真计算模型，可进行模型的上架发布，并封装API接口，支持用户查看API接口文档、接口地址，进行模型调用服务。</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10</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仿真任务中心</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任务列表</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列表显示平台正在运行的仿真任务，包括场景运行、模型运行、API调用三种类型，并可对任务中心列表中的任务进行停止、删除、查看等操作。</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任务状态信息</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支持任务流程执行进度的监控，进度信息包括场景总节点数、目前完成节点情况、正在执行节点情况、耗时情况及任务执行成功与否等信息，并可提供详细的任务执行日志进行分析。</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任务结果查看</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支持仿真计算过程及结果的实时、在线化查看、评估，并通过专业化图形、报表方式进行结果分析，支持业务分析人员或仿真模型开发人员进行快速的问题发现、算法调整和流程变更。</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多任务结果对比</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支持多仿真任务结果的对比分析，并进行图形化展示，支撑业务分析人物对仿真推演的参数、流程进行决策。</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14</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仿真集群管理</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集群自动创建</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在云端自动创建和启动仿真计算集群来满足仿真业务需求。针对用户的不同仿真需求，提供多种类型的实例和操作系统。各实例中的 CPU、GPU、内存、硬盘节点数可以灵活调整，以满足仿真应用程序的资源需要。</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集群状态监控</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为运行中的集群提供多项监控指标，实时、分时段掌握集群的运行状况，保障集群稳定运行，并通过任务调度实现集群负载均衡。集群监控指标包括集群节点总数、CPU 总数、CPU 使用率、GPU总数、GPU使用率、内存总数、内存使用率、存储读写带宽、存储使用率等。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16</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仿真交互支撑引擎</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仿真交互能力创建</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仿真场景的创建支持生成所需场景和基底的数据服务，再通过简单的算法参数配置，再模拟对应的仿真场景。</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仿真交互要素配置</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仿真场景中，需要根据仿真的业务需求，进行特定的单体化仿真要素的添加，用于实现特定的仿真业务场景，支持对仿真要素的添加和属性设置。</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仿真渲染引擎器</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支持实时渲染效果，并支持流畅的三维场景交互</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bl>
    <w:p>
      <w:pPr>
        <w:widowControl/>
        <w:adjustRightInd/>
        <w:spacing w:line="360" w:lineRule="auto"/>
        <w:ind w:firstLine="480"/>
        <w:jc w:val="left"/>
        <w:rPr>
          <w:rFonts w:ascii="仿宋" w:hAnsi="仿宋" w:eastAsia="仿宋"/>
          <w:kern w:val="0"/>
          <w:sz w:val="24"/>
        </w:rPr>
      </w:pPr>
      <w:r>
        <w:rPr>
          <w:rFonts w:hint="eastAsia" w:ascii="仿宋" w:hAnsi="仿宋" w:eastAsia="仿宋"/>
          <w:kern w:val="0"/>
          <w:sz w:val="24"/>
        </w:rPr>
        <w:t xml:space="preserve"> </w:t>
      </w:r>
    </w:p>
    <w:p>
      <w:pPr>
        <w:widowControl/>
        <w:adjustRightInd/>
        <w:jc w:val="left"/>
        <w:rPr>
          <w:rFonts w:ascii="仿宋" w:hAnsi="仿宋" w:eastAsia="仿宋"/>
          <w:sz w:val="24"/>
        </w:rPr>
      </w:pPr>
      <w:r>
        <w:rPr>
          <w:rFonts w:hint="eastAsia" w:ascii="仿宋" w:hAnsi="仿宋" w:eastAsia="仿宋"/>
          <w:sz w:val="24"/>
        </w:rPr>
        <w:t>注：该平台需可作为仿真场景建设的基础设施提供给全区复用。</w:t>
      </w:r>
    </w:p>
    <w:p>
      <w:pPr>
        <w:widowControl/>
        <w:adjustRightInd/>
        <w:spacing w:line="360" w:lineRule="auto"/>
        <w:ind w:firstLine="480"/>
        <w:jc w:val="left"/>
        <w:rPr>
          <w:rFonts w:ascii="仿宋" w:hAnsi="仿宋" w:eastAsia="仿宋"/>
          <w:kern w:val="0"/>
          <w:sz w:val="24"/>
        </w:rPr>
      </w:pPr>
      <w:r>
        <w:rPr>
          <w:rFonts w:hint="eastAsia" w:ascii="仿宋" w:hAnsi="仿宋" w:eastAsia="仿宋"/>
          <w:kern w:val="0"/>
          <w:sz w:val="24"/>
        </w:rPr>
        <w:t xml:space="preserve"> </w:t>
      </w:r>
    </w:p>
    <w:p>
      <w:pPr>
        <w:widowControl/>
        <w:adjustRightInd/>
        <w:spacing w:line="360" w:lineRule="auto"/>
        <w:jc w:val="left"/>
        <w:rPr>
          <w:rFonts w:ascii="仿宋" w:hAnsi="仿宋" w:eastAsia="仿宋"/>
          <w:sz w:val="24"/>
        </w:rPr>
      </w:pPr>
      <w:r>
        <w:rPr>
          <w:rFonts w:hint="eastAsia" w:ascii="仿宋" w:hAnsi="仿宋" w:eastAsia="仿宋"/>
          <w:sz w:val="24"/>
        </w:rPr>
        <w:t>②仿真分析算法</w:t>
      </w:r>
    </w:p>
    <w:p>
      <w:pPr>
        <w:widowControl/>
        <w:adjustRightInd/>
        <w:spacing w:line="360" w:lineRule="auto"/>
        <w:ind w:firstLine="420"/>
        <w:jc w:val="left"/>
        <w:rPr>
          <w:rFonts w:ascii="仿宋" w:hAnsi="仿宋" w:eastAsia="仿宋"/>
          <w:sz w:val="24"/>
        </w:rPr>
      </w:pPr>
      <w:r>
        <w:rPr>
          <w:rFonts w:hint="eastAsia" w:ascii="仿宋" w:hAnsi="仿宋" w:eastAsia="仿宋"/>
          <w:sz w:val="24"/>
        </w:rPr>
        <w:t>根据杭州西站管理需求，投标人需在</w:t>
      </w:r>
      <w:r>
        <w:rPr>
          <w:rFonts w:hint="eastAsia" w:ascii="仿宋" w:hAnsi="仿宋" w:eastAsia="仿宋"/>
          <w:b/>
          <w:bCs/>
          <w:sz w:val="24"/>
        </w:rPr>
        <w:t>日常旅客运力保障、极端天气、火灾事故、大客流疏散、异常数据分析</w:t>
      </w:r>
      <w:r>
        <w:rPr>
          <w:rFonts w:hint="eastAsia" w:ascii="仿宋" w:hAnsi="仿宋" w:eastAsia="仿宋"/>
          <w:sz w:val="24"/>
        </w:rPr>
        <w:t>等场景中提供分析算法。并具备“仿真模式”，用户可手动输入所有相关数据，通过仿真算法，系统给出模拟画面及相应数据。</w:t>
      </w:r>
    </w:p>
    <w:p>
      <w:pPr>
        <w:widowControl/>
        <w:adjustRightInd/>
        <w:spacing w:line="360" w:lineRule="auto"/>
        <w:ind w:firstLine="480"/>
        <w:jc w:val="left"/>
        <w:rPr>
          <w:rFonts w:ascii="仿宋" w:hAnsi="仿宋" w:eastAsia="仿宋"/>
          <w:kern w:val="0"/>
          <w:sz w:val="24"/>
        </w:rPr>
      </w:pPr>
      <w:r>
        <w:rPr>
          <w:rFonts w:hint="eastAsia" w:ascii="仿宋" w:hAnsi="仿宋" w:eastAsia="仿宋"/>
          <w:kern w:val="0"/>
          <w:sz w:val="24"/>
        </w:rPr>
        <w:t xml:space="preserve"> </w:t>
      </w:r>
    </w:p>
    <w:tbl>
      <w:tblPr>
        <w:tblStyle w:val="62"/>
        <w:tblW w:w="8047" w:type="dxa"/>
        <w:tblInd w:w="113" w:type="dxa"/>
        <w:tblLayout w:type="fixed"/>
        <w:tblCellMar>
          <w:top w:w="0" w:type="dxa"/>
          <w:left w:w="108" w:type="dxa"/>
          <w:bottom w:w="0" w:type="dxa"/>
          <w:right w:w="108" w:type="dxa"/>
        </w:tblCellMar>
      </w:tblPr>
      <w:tblGrid>
        <w:gridCol w:w="989"/>
        <w:gridCol w:w="713"/>
        <w:gridCol w:w="1133"/>
        <w:gridCol w:w="3638"/>
        <w:gridCol w:w="717"/>
        <w:gridCol w:w="857"/>
      </w:tblGrid>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序号</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采购细项</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数量</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日常旅客运力保障推演</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客流运行监测</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接入包括视频AI、互联网分析客流、道路/闸道/停车场/落客平台等卡口数据，为客流监测指标提供数据支撑，实现对杭州西站枢纽客流的实时感知与预测预警，方便用户针对重大客流情况，提前部署人力、设备安排。提供包括客流实时感知、重点区域监测预警等场景。</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客流规律分析</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对西站抵达客流进行全量全模式分析，包括到站时间与客流分布、客流到站乘坐的交通方式、客流去向，对历史以及未来的客流规律进行分析预测。</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路况监测分析</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实时掌握杭州西站近站道路（46平方公里）的交通路况，方便客户及时进行交通疏导，分析常发拥堵路段，根据路况数据制定交通疏导措施，保证进站道路的通畅。</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道路交通流运行推演</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道路交通流宏观模型基于供给侧（OD）和需求侧（路网）的变化，基于采用点排队与空间排队交通流模型来进行动态网络加载和路径重分配，利用“流-密-速”关系来刻画车辆的状态，用来支撑全路网的交通运行仿真推演。</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出租车算法</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出租车接客时间预测算法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蓄车池排队调度算法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上客区车辆调度算法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出租车旅客人数感知算法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枢纽旅客等候时长预测算法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大型枢纽场站出租车管理算法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车流控制放行算法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呼车叫车算法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多源多维数据统计算法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设备告警规则算法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集散信息管理算法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集散综合监管算法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集散智能调度算法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网约车算法</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网约车乘客引导算法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网约车旅客人员感知算法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网约车通道感知算法</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极端天气仿真推演</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仿真模型构建</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内涝排水仿真推演模型，通过构建西站周边内涝点排水过程图，可精准预测每个内涝点的精确位置、联动道路、积水范围、最大积水深度、排水量、排水路径，为暴雨天排水应急工作提供辅助决策的依据。</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仿真业务流畅编排</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内涝仿真推演需要对高精度DEM数据进行解析，结合分析历史数据降雨数据，识别地势较低易形成积水点的位置。将上述关系式嵌入系统平台中，系统将结合天气预报以及地面积水等，自动评估排地面的积水风险，包括各积水点的风险程度，积水发生的位置，积水范围，积水深度等，并在图面上进行风险显示，方便用户直观查看。</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仿真结果调优</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实现极端天气仿真推演仿真结果调优</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仿真结果输出接口开发</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实现极端天气仿真推演仿真结果输出接口开发</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25</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火灾事故仿真推演</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仿真模型构建</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最优逃生路线仿真方案，立足于在火灾事故场景下，帮助不同区域的旅客设置最优逃生路线，为站内疏导员提供疏导指引，从而在最短时间内疏散旅客并最大限度减少因火灾事故发生造成的人员伤亡。</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仿真业务流畅编排</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通过建立一种基于网格网络的逃生系统，使西站中人在不同地点，跑向不同疏散出口进行疏散，让所有旅客通过最佳出口以尽快排空西站。</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仿真结果调优</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实现火灾事故仿真推演仿真结果调优</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仿真结果输出接口开发</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实现火灾事故仿真推演仿真结果输出接口开发</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29</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大客流疏散运行推演</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仿真模型构建</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针对节假日、重大活动等容易出现重大客流抵达情况的场景，提供客流出站模拟仿真，方便用户针对重大客流情况，提前部署人力、设备安排。</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r>
              <w:rPr>
                <w:rFonts w:ascii="仿宋" w:hAnsi="仿宋" w:eastAsia="仿宋" w:cs="宋体"/>
                <w:kern w:val="0"/>
                <w:sz w:val="24"/>
              </w:rPr>
              <w:t>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大客流仿真要求</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结合历史客流数据分摊比及算法模型，推演未来重点时期的客流预计数据及各类交通工具的需求量，工作人员及志愿者的需求数量；</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大客流仿真操作</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通过输入到达、出发旅客数量，进行大客流仿真，分别输出相关热力图，重点区域人流，相关交通设施分摊比等。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仿真业务流畅编排</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搭建模型场景，模拟杭州西站的场景，能够模拟旅客经过使用的关键设施，包括通道、出入口、扶梯、检票口等待区以及各个流程的设施，模型具有美观便捷的界面供用户使用。</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仿真结果调优</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实现大客流疏散运行推演的仿真结果调优</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仿真结果输出接口开发</w:t>
            </w: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实现大客流疏散运行推演的仿真结果输出接口开发</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33</w:t>
            </w:r>
          </w:p>
        </w:tc>
        <w:tc>
          <w:tcPr>
            <w:tcW w:w="713" w:type="dxa"/>
            <w:tcBorders>
              <w:top w:val="single" w:color="auto" w:sz="4" w:space="0"/>
              <w:left w:val="nil"/>
              <w:bottom w:val="single" w:color="auto" w:sz="4" w:space="0"/>
              <w:right w:val="single" w:color="auto" w:sz="4" w:space="0"/>
            </w:tcBorders>
            <w:vAlign w:val="center"/>
          </w:tcPr>
          <w:p>
            <w:pPr>
              <w:adjustRightInd/>
              <w:rPr>
                <w:rFonts w:ascii="仿宋" w:hAnsi="仿宋" w:eastAsia="仿宋" w:cs="宋体"/>
                <w:kern w:val="0"/>
                <w:sz w:val="24"/>
              </w:rPr>
            </w:pPr>
            <w:r>
              <w:rPr>
                <w:rFonts w:hint="eastAsia" w:ascii="仿宋" w:hAnsi="仿宋" w:eastAsia="仿宋" w:cs="宋体"/>
                <w:kern w:val="0"/>
                <w:sz w:val="24"/>
              </w:rPr>
              <w:t>异常数据分析</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监测各类接入系统的设备，并设定其阈值，一旦设备数据发生异常，即进行预警，并分析其出现原因。</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34</w:t>
            </w:r>
          </w:p>
        </w:tc>
        <w:tc>
          <w:tcPr>
            <w:tcW w:w="713" w:type="dxa"/>
            <w:tcBorders>
              <w:top w:val="single" w:color="auto" w:sz="4" w:space="0"/>
              <w:left w:val="nil"/>
              <w:bottom w:val="single" w:color="auto" w:sz="4" w:space="0"/>
              <w:right w:val="single" w:color="auto" w:sz="4" w:space="0"/>
            </w:tcBorders>
            <w:vAlign w:val="center"/>
          </w:tcPr>
          <w:p>
            <w:pPr>
              <w:adjustRightInd/>
              <w:rPr>
                <w:rFonts w:ascii="仿宋" w:hAnsi="仿宋" w:eastAsia="仿宋" w:cs="宋体"/>
                <w:kern w:val="0"/>
                <w:sz w:val="24"/>
              </w:rPr>
            </w:pPr>
            <w:r>
              <w:rPr>
                <w:rFonts w:hint="eastAsia" w:ascii="仿宋" w:hAnsi="仿宋" w:eastAsia="仿宋" w:cs="宋体"/>
                <w:kern w:val="0"/>
                <w:sz w:val="24"/>
              </w:rPr>
              <w:t>日常数据分析</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根据日常采集的人流、各交通工具运输量，分析得出交通工具运输分摊比、停车场停车数量、人流车流集中分布等信息。</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35</w:t>
            </w:r>
          </w:p>
        </w:tc>
        <w:tc>
          <w:tcPr>
            <w:tcW w:w="713" w:type="dxa"/>
            <w:tcBorders>
              <w:top w:val="single" w:color="auto" w:sz="4" w:space="0"/>
              <w:left w:val="nil"/>
              <w:bottom w:val="single" w:color="auto" w:sz="4" w:space="0"/>
              <w:right w:val="single" w:color="auto" w:sz="4" w:space="0"/>
            </w:tcBorders>
            <w:vAlign w:val="center"/>
          </w:tcPr>
          <w:p>
            <w:pPr>
              <w:adjustRightInd/>
              <w:rPr>
                <w:rFonts w:ascii="仿宋" w:hAnsi="仿宋" w:eastAsia="仿宋"/>
                <w:sz w:val="24"/>
              </w:rPr>
            </w:pPr>
            <w:r>
              <w:rPr>
                <w:rFonts w:hint="eastAsia" w:ascii="仿宋" w:hAnsi="仿宋" w:eastAsia="仿宋" w:cs="宋体"/>
                <w:kern w:val="0"/>
                <w:sz w:val="24"/>
              </w:rPr>
              <w:t>仿真模式</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p>
        </w:tc>
        <w:tc>
          <w:tcPr>
            <w:tcW w:w="3638"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在模型中，分别在日常旅客运力保障、极端天气、火灾事故、大客流疏散、异常数据分析等场景按用户需求切分为片区（如火灾事故中即为防火分区）。仿真模式使用过程中，用户选择场景-片区，可手工输入所有影响其输出结果的数据，确认后即进行仿真推演，并给出模拟画面和相应的数据。（如火灾事故中，包含输出火情扩散计算、人员疏散路径计算、人员轨迹计算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bl>
    <w:p>
      <w:pPr>
        <w:widowControl/>
        <w:autoSpaceDE w:val="0"/>
        <w:adjustRightInd/>
        <w:spacing w:line="276" w:lineRule="auto"/>
        <w:ind w:firstLine="420"/>
        <w:jc w:val="left"/>
        <w:rPr>
          <w:rFonts w:ascii="仿宋" w:hAnsi="仿宋" w:eastAsia="仿宋"/>
          <w:kern w:val="0"/>
          <w:sz w:val="24"/>
        </w:rPr>
      </w:pPr>
    </w:p>
    <w:p>
      <w:pPr>
        <w:widowControl/>
        <w:adjustRightInd/>
        <w:spacing w:line="360" w:lineRule="auto"/>
        <w:ind w:firstLine="480" w:firstLineChars="200"/>
        <w:jc w:val="left"/>
        <w:rPr>
          <w:rFonts w:ascii="仿宋" w:hAnsi="仿宋" w:eastAsia="仿宋"/>
          <w:kern w:val="0"/>
          <w:sz w:val="24"/>
        </w:rPr>
      </w:pPr>
      <w:r>
        <w:rPr>
          <w:rFonts w:hint="eastAsia" w:ascii="仿宋" w:eastAsia="仿宋"/>
          <w:kern w:val="0"/>
          <w:sz w:val="24"/>
        </w:rPr>
        <w:t>注：此次项目中涉及的算法必须上架区组件超市平台可供全区复用，在验收前必须提供第三方算法预测实效性能力评估作为支付依据。</w:t>
      </w:r>
    </w:p>
    <w:p>
      <w:pPr>
        <w:widowControl/>
        <w:numPr>
          <w:ilvl w:val="0"/>
          <w:numId w:val="3"/>
        </w:numPr>
        <w:adjustRightInd/>
        <w:spacing w:line="360" w:lineRule="auto"/>
        <w:ind w:firstLine="420"/>
        <w:jc w:val="left"/>
        <w:rPr>
          <w:rFonts w:ascii="仿宋" w:hAnsi="仿宋" w:eastAsia="仿宋"/>
          <w:b/>
          <w:bCs/>
          <w:sz w:val="24"/>
        </w:rPr>
      </w:pPr>
      <w:r>
        <w:rPr>
          <w:rFonts w:hint="eastAsia" w:ascii="仿宋" w:hAnsi="仿宋" w:eastAsia="仿宋"/>
          <w:b/>
          <w:bCs/>
          <w:sz w:val="24"/>
        </w:rPr>
        <w:t>辅助决策层</w:t>
      </w:r>
    </w:p>
    <w:p>
      <w:pPr>
        <w:widowControl/>
        <w:adjustRightInd/>
        <w:spacing w:line="360" w:lineRule="auto"/>
        <w:ind w:firstLine="420"/>
        <w:jc w:val="left"/>
        <w:rPr>
          <w:rFonts w:ascii="仿宋" w:hAnsi="仿宋" w:eastAsia="仿宋"/>
          <w:sz w:val="24"/>
        </w:rPr>
      </w:pPr>
      <w:r>
        <w:rPr>
          <w:rFonts w:hint="eastAsia" w:ascii="仿宋" w:hAnsi="仿宋" w:eastAsia="仿宋"/>
          <w:sz w:val="24"/>
        </w:rPr>
        <w:t>本系统通过模拟实验和动态分析预测，可为实体对象的指令下达和工作体系进一步优化，为应急预案的可行性提供决策依据，通过数据比对、优化来科学决策和可视化决策。</w:t>
      </w:r>
    </w:p>
    <w:p>
      <w:pPr>
        <w:numPr>
          <w:ilvl w:val="0"/>
          <w:numId w:val="5"/>
        </w:numPr>
        <w:adjustRightInd/>
        <w:spacing w:line="360" w:lineRule="auto"/>
        <w:ind w:firstLine="420"/>
        <w:rPr>
          <w:rFonts w:ascii="仿宋" w:hAnsi="仿宋" w:eastAsia="仿宋"/>
          <w:b/>
          <w:bCs/>
          <w:sz w:val="24"/>
        </w:rPr>
      </w:pPr>
      <w:r>
        <w:rPr>
          <w:rFonts w:hint="eastAsia" w:ascii="仿宋" w:hAnsi="仿宋" w:eastAsia="仿宋"/>
          <w:b/>
          <w:bCs/>
          <w:sz w:val="24"/>
        </w:rPr>
        <w:t>预案管理</w:t>
      </w:r>
    </w:p>
    <w:p>
      <w:pPr>
        <w:adjustRightInd/>
        <w:ind w:left="420"/>
        <w:rPr>
          <w:rFonts w:ascii="仿宋" w:hAnsi="仿宋" w:eastAsia="仿宋"/>
          <w:sz w:val="24"/>
        </w:rPr>
      </w:pPr>
      <w:r>
        <w:rPr>
          <w:rFonts w:hint="eastAsia" w:ascii="仿宋" w:hAnsi="仿宋" w:eastAsia="仿宋"/>
          <w:sz w:val="24"/>
        </w:rPr>
        <w:t xml:space="preserve"> </w:t>
      </w:r>
    </w:p>
    <w:tbl>
      <w:tblPr>
        <w:tblStyle w:val="62"/>
        <w:tblW w:w="8047" w:type="dxa"/>
        <w:tblInd w:w="113" w:type="dxa"/>
        <w:tblLayout w:type="fixed"/>
        <w:tblCellMar>
          <w:top w:w="0" w:type="dxa"/>
          <w:left w:w="108" w:type="dxa"/>
          <w:bottom w:w="0" w:type="dxa"/>
          <w:right w:w="108" w:type="dxa"/>
        </w:tblCellMar>
      </w:tblPr>
      <w:tblGrid>
        <w:gridCol w:w="989"/>
        <w:gridCol w:w="713"/>
        <w:gridCol w:w="1133"/>
        <w:gridCol w:w="3637"/>
        <w:gridCol w:w="717"/>
        <w:gridCol w:w="858"/>
      </w:tblGrid>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序号</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采购细项</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数量</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预案管理</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预案分类</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自定义应急预案分类方式。根据事件类型可分为极端天气、火灾事故、大客流等，根据级别可分为一级、二级、三级等级别，不同事件类型、不同级别对应不用应急预案。</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预案分区</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自定义应急预案区域，可自定义站内不同场景，不同功能区域，将其划分为应急区域并与应急预案进行关联。</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预案模板</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设置应急预案模板，利用模板可高效创建不同类型、不同事件的预案。录入预案基本信息，包括预案名称、事件类型、预案级别、上传预案附件、预案版本、录入人、录入时间等。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预案设置</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在系统内录入不同类型应急预案，可导入应急预案模板后进一步设置预案具体内容</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bl>
    <w:p>
      <w:pPr>
        <w:adjustRightInd/>
        <w:ind w:left="420"/>
        <w:rPr>
          <w:rFonts w:ascii="仿宋" w:hAnsi="仿宋" w:eastAsia="仿宋"/>
          <w:sz w:val="24"/>
        </w:rPr>
      </w:pPr>
      <w:r>
        <w:rPr>
          <w:rFonts w:hint="eastAsia" w:ascii="仿宋" w:hAnsi="仿宋" w:eastAsia="仿宋"/>
          <w:sz w:val="24"/>
        </w:rPr>
        <w:t xml:space="preserve"> </w:t>
      </w:r>
    </w:p>
    <w:p>
      <w:pPr>
        <w:numPr>
          <w:ilvl w:val="0"/>
          <w:numId w:val="5"/>
        </w:numPr>
        <w:adjustRightInd/>
        <w:ind w:firstLine="420"/>
        <w:rPr>
          <w:rFonts w:ascii="仿宋" w:hAnsi="仿宋" w:eastAsia="仿宋"/>
          <w:b/>
          <w:bCs/>
          <w:sz w:val="24"/>
        </w:rPr>
      </w:pPr>
      <w:r>
        <w:rPr>
          <w:rFonts w:hint="eastAsia" w:ascii="仿宋" w:hAnsi="仿宋" w:eastAsia="仿宋"/>
          <w:b/>
          <w:bCs/>
          <w:sz w:val="24"/>
        </w:rPr>
        <w:t>决策辅助</w:t>
      </w:r>
    </w:p>
    <w:p>
      <w:pPr>
        <w:adjustRightInd/>
        <w:ind w:left="420"/>
        <w:rPr>
          <w:rFonts w:ascii="仿宋" w:hAnsi="仿宋" w:eastAsia="仿宋"/>
          <w:b/>
          <w:bCs/>
          <w:sz w:val="24"/>
        </w:rPr>
      </w:pPr>
      <w:r>
        <w:rPr>
          <w:rFonts w:hint="eastAsia" w:ascii="仿宋" w:hAnsi="仿宋" w:eastAsia="仿宋"/>
          <w:b/>
          <w:bCs/>
          <w:sz w:val="24"/>
        </w:rPr>
        <w:t xml:space="preserve"> </w:t>
      </w:r>
    </w:p>
    <w:tbl>
      <w:tblPr>
        <w:tblStyle w:val="62"/>
        <w:tblW w:w="8047" w:type="dxa"/>
        <w:tblInd w:w="113" w:type="dxa"/>
        <w:tblLayout w:type="fixed"/>
        <w:tblCellMar>
          <w:top w:w="0" w:type="dxa"/>
          <w:left w:w="108" w:type="dxa"/>
          <w:bottom w:w="0" w:type="dxa"/>
          <w:right w:w="108" w:type="dxa"/>
        </w:tblCellMar>
      </w:tblPr>
      <w:tblGrid>
        <w:gridCol w:w="989"/>
        <w:gridCol w:w="713"/>
        <w:gridCol w:w="1133"/>
        <w:gridCol w:w="3637"/>
        <w:gridCol w:w="717"/>
        <w:gridCol w:w="858"/>
      </w:tblGrid>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序号</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采购细项</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数量</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决策辅助</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极端天气决策辅助</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发生极端天气事件时，在呈现端展示应急处置流程图，并给出相关提示建议。</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火灾事故决策辅助</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发生火灾事故时，在呈现端展示应急处置流程图，并给出相关提示建议。</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大客流决策辅助</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发生大客流事件时，在呈现端展示应急处置流程图，并给出相关提示建议。</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出租车智能调度</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蓄车场内排队调度：建设蓄车场内车辆排队智能调度模块，实时监测蓄车通道内车辆排队情况，依据前端分析采集的蓄车场的动态排队情况，实现对入场车辆的智能引导、合理调度，节约车辆入场等候时间，助力维护蓄车场内车辆通行秩序。</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上客区车辆智能调度：上客区内车辆调度是核心部分，只有保证探测数据的准确性和实时性，才能由后台调度管理系统进行合理的逻辑处理和车辆放行，从而保证整个出租车上客通道内的整体运行效率。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通道过车计数分析：实现对出租车通道的过车数的实时感知、智能计数分析。</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出租车旅客人数统计：实现对出租车候车旅客的智能感知、候车人数的实时分析，并通过与第三方调度平台进行对接，实现相关信息的同步发布。</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车流控制放行：本次在蓄车场通过红绿灯系统，对进出通道的车辆进行管控。红绿灯信号根据调度系统的信号进行红绿显示控制和逐道放行。</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智能调度预案场景：包含“车多人多”、“车少人多”、“车少人少”“车多人少”四种场景放行控制设定</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出租车公司调度：当车站内出现人多车少、人少车多的情况时，可以通过与出租车公司的呼车平台进行联动，向其发出增派车辆或减少车辆的请求，然后由出租车公司根据实际情况调配附近车辆进行增援。</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网约车智能引导</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分配车位控制：通过分配车位的方式，指引网约车司机停放到指定的停车位，如果网约车司机没有根据约定的车位进行停放，系统将根据车位相机识别到的车辆实际的停车位信息实时反馈给旅客。</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即停即走控制：针对网约车停车场车辆多，空余车位少的情况下，系统可分配的车位选择余地少，系统不分配指定车位，网约车驾驶员自行寻找剩余的空车位停放，车位相机检测到车辆位置后，将车位信息发送至网约车候车区信息显示屏</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bl>
    <w:p>
      <w:pPr>
        <w:widowControl/>
        <w:adjustRightInd/>
        <w:spacing w:line="360" w:lineRule="auto"/>
        <w:ind w:left="420"/>
        <w:jc w:val="left"/>
        <w:rPr>
          <w:rFonts w:ascii="仿宋" w:hAnsi="仿宋" w:eastAsia="仿宋"/>
          <w:b/>
          <w:bCs/>
          <w:sz w:val="24"/>
        </w:rPr>
      </w:pPr>
    </w:p>
    <w:p>
      <w:pPr>
        <w:numPr>
          <w:ilvl w:val="0"/>
          <w:numId w:val="6"/>
        </w:numPr>
        <w:adjustRightInd/>
        <w:rPr>
          <w:rFonts w:ascii="仿宋" w:hAnsi="仿宋" w:eastAsia="仿宋"/>
          <w:b/>
          <w:bCs/>
          <w:sz w:val="24"/>
        </w:rPr>
      </w:pPr>
      <w:r>
        <w:rPr>
          <w:rFonts w:hint="eastAsia" w:ascii="仿宋" w:hAnsi="仿宋" w:eastAsia="仿宋"/>
          <w:b/>
          <w:bCs/>
          <w:sz w:val="24"/>
        </w:rPr>
        <w:t>综合呈现层</w:t>
      </w:r>
    </w:p>
    <w:p>
      <w:pPr>
        <w:widowControl/>
        <w:adjustRightInd/>
        <w:ind w:firstLine="420"/>
        <w:jc w:val="left"/>
        <w:rPr>
          <w:rFonts w:ascii="仿宋" w:hAnsi="仿宋" w:eastAsia="仿宋"/>
          <w:sz w:val="24"/>
        </w:rPr>
      </w:pPr>
      <w:r>
        <w:rPr>
          <w:rFonts w:hint="eastAsia" w:ascii="仿宋" w:hAnsi="仿宋" w:eastAsia="仿宋"/>
          <w:sz w:val="24"/>
        </w:rPr>
        <w:t>结合呈现端展示，实现一个可以实时感知和管理的数字增强界面，全面掌握真实物理体实时状况、支持线下和线上联勤联动指挥协调，展示经过模拟推演产生的视频和动画，更直观地应对突发性事件发生。</w:t>
      </w:r>
    </w:p>
    <w:p>
      <w:pPr>
        <w:adjustRightInd/>
        <w:ind w:firstLine="420"/>
        <w:rPr>
          <w:rFonts w:ascii="仿宋" w:hAnsi="仿宋" w:eastAsia="仿宋"/>
          <w:sz w:val="24"/>
        </w:rPr>
      </w:pPr>
      <w:r>
        <w:rPr>
          <w:rFonts w:hint="eastAsia" w:ascii="仿宋" w:hAnsi="仿宋" w:eastAsia="仿宋"/>
          <w:sz w:val="24"/>
        </w:rPr>
        <w:t xml:space="preserve"> </w:t>
      </w:r>
    </w:p>
    <w:tbl>
      <w:tblPr>
        <w:tblStyle w:val="62"/>
        <w:tblW w:w="8045" w:type="dxa"/>
        <w:tblInd w:w="113" w:type="dxa"/>
        <w:tblLayout w:type="fixed"/>
        <w:tblCellMar>
          <w:top w:w="0" w:type="dxa"/>
          <w:left w:w="108" w:type="dxa"/>
          <w:bottom w:w="0" w:type="dxa"/>
          <w:right w:w="108" w:type="dxa"/>
        </w:tblCellMar>
      </w:tblPr>
      <w:tblGrid>
        <w:gridCol w:w="991"/>
        <w:gridCol w:w="716"/>
        <w:gridCol w:w="1135"/>
        <w:gridCol w:w="3625"/>
        <w:gridCol w:w="721"/>
        <w:gridCol w:w="857"/>
      </w:tblGrid>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序号</w:t>
            </w:r>
          </w:p>
        </w:tc>
        <w:tc>
          <w:tcPr>
            <w:tcW w:w="716"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113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采购细项</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数量</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6"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主场景展示</w:t>
            </w:r>
          </w:p>
        </w:tc>
        <w:tc>
          <w:tcPr>
            <w:tcW w:w="113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主体场景</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中部数字孪生场景区域，默认展示西站整体的场景模型，支持用户进行旋转、移动来实现场景浏览；支持点击模型，查看模型属性，包括设备属性、列车班次属性、消防设备属性等。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工具栏</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包括全图、摄像头、漫游、工作人员、事件、设备等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数据图表</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左侧西站整体现状看板，包括铁路运行概况、告警事件、运营管理资源概况等。</w:t>
            </w:r>
          </w:p>
        </w:tc>
        <w:tc>
          <w:tcPr>
            <w:tcW w:w="721"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右侧预测看板，包括气象预测、客流预测、应急事件预测等。</w:t>
            </w:r>
          </w:p>
        </w:tc>
        <w:tc>
          <w:tcPr>
            <w:tcW w:w="721"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5</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界面交互</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人员交互：在展示界面中可选择展示站内人员，不同岗位人员以不同图标展示，点击可展开人员详细信息包括人员职务、姓名、工龄、岗位、负责区域等。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6</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关键点位交互：在展示端中可选择展示站内特殊点位（绿化、宣传、志愿者服务点），点击可展开详细信息包括点位负责人，点位安置起始时间、点位用途等。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7</w:t>
            </w:r>
          </w:p>
        </w:tc>
        <w:tc>
          <w:tcPr>
            <w:tcW w:w="716"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智慧交通展示</w:t>
            </w:r>
          </w:p>
        </w:tc>
        <w:tc>
          <w:tcPr>
            <w:tcW w:w="113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交通关键场景</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点击智慧交通展示，分“综合展示”、“外围诱导区”、“核心管控区”、“落客平台”、“停车场”五个视角等。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8</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界面交互</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站内客流热力图：包括枢纽地图、人流数量在线、客流热力图、客流管控和客流事件等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9</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事故多发点：在数字孪生场景中可选择展示不同视角的事故多发点，点击事故多发点可查看详情，包括周月年事故发生数量，事故类型排序（追尾等），事故多发时段，点位负责人，实时视频监控等。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10</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易堵区域：在数字孪生场景中可选择展示不同视角的易堵区域，点击易堵区域可查看详情，包括周月年堵塞发生数量，堵塞级别，堵塞类型排序（事故），堵塞多发时段，区域负责人，实时视频监控，未来趋势折线图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11</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交通指挥点：在数字孪生场景中可选择展示不同视角的交通指挥点位，点击点位可查看详情，包括当前在岗人，在岗人联系方式，在岗人职务，在岗人工作时间段，点位负责人，实时视频监控，并且可远程与在岗人呼叫连线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12</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数据图表</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交通现状展示在左侧，由上至下分为“客流现状”、“交通态势现状”、“进站保障现状”、“出站保障现状”等。</w:t>
            </w:r>
          </w:p>
        </w:tc>
        <w:tc>
          <w:tcPr>
            <w:tcW w:w="721"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13</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右侧为未来情况预测，包含未来24小时/未来一周到发客流预测，未来半小时道路交通态势预测；进站保障情况预测以及未来1小时客流及运力预测等；</w:t>
            </w:r>
          </w:p>
        </w:tc>
        <w:tc>
          <w:tcPr>
            <w:tcW w:w="721"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14</w:t>
            </w:r>
          </w:p>
        </w:tc>
        <w:tc>
          <w:tcPr>
            <w:tcW w:w="716"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日常运管展示</w:t>
            </w:r>
          </w:p>
        </w:tc>
        <w:tc>
          <w:tcPr>
            <w:tcW w:w="113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运管关键场景</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进入展示端默认展示西站数字孪生场景模型等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15</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界面交互</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交互：在展示端中可选择展示站内设备，不同设备以不同图标展示，点击可展示设备基本信息、故障次数、预警报警次数，设备简介等，设备正常运行时以蓝色渐变光圈展示，设备未开放时使用灰色渐变光圈展示，设备预警时以黄色渐变光圈展示且展示端整体黄色闪烁，播放预警提示音和弹出预警提示；设备告警时以红色渐变光圈展示，播放告警提示音和弹出告警提示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16</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告警交互：在运营管理中如有预警告警，将会在展示端呈现，不同的预警告警配有不同的特效展示、告警提示声音、告警提示信息，点击展示端中告警提示信息、告警点位、告警查看将跳转至告警详情，包括，告警类型、告警级别、告警区域、告警负责人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7</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异常数据</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监测各类日常运管的数据，并设定其阈值，一旦数据发生异常，即进行预警。</w:t>
            </w:r>
          </w:p>
        </w:tc>
        <w:tc>
          <w:tcPr>
            <w:tcW w:w="721" w:type="dxa"/>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8</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数据图表</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（1）运管现状：西站常规事态概况看板，主要从当日、本周、本月三个时间维度展示西站各类日常事件（检查网约车、劝导占道堆物、广告检查、劝导流动摊贩、劝导非机动车违停、执法巡查等）处理数据等；</w:t>
            </w:r>
          </w:p>
        </w:tc>
        <w:tc>
          <w:tcPr>
            <w:tcW w:w="721"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ascii="仿宋" w:hAnsi="仿宋" w:eastAsia="仿宋" w:cs="宋体"/>
                <w:kern w:val="0"/>
                <w:sz w:val="24"/>
              </w:rPr>
              <w:t>19</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运营预测：运营事件趋势分析是根据当前和历史数据来预测下周各类运营事件（检查网约车、劝导占道堆物、广告检查、劝导流动摊贩、劝导非机动车违停、执法巡查等）发生数，以曲线图表示趋势线，同时在曲线图中展示历史数据和当前数据对应的预测数据，直观展示各类突发事件预测数和实际发生数的对比等；</w:t>
            </w:r>
          </w:p>
        </w:tc>
        <w:tc>
          <w:tcPr>
            <w:tcW w:w="721"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ascii="仿宋" w:hAnsi="仿宋" w:eastAsia="仿宋" w:cs="宋体"/>
                <w:kern w:val="0"/>
                <w:sz w:val="24"/>
              </w:rPr>
              <w:t>20</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（3）常规事件：主要展示今日事件上报数，点击事件上报数展示事件上报列表，点击具体的事件上报信息，可在场景中快速定位；点击该位置视频监控设备，可快速查看现场实时视频监控等。</w:t>
            </w:r>
          </w:p>
        </w:tc>
        <w:tc>
          <w:tcPr>
            <w:tcW w:w="721"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ascii="仿宋" w:hAnsi="仿宋" w:eastAsia="仿宋" w:cs="宋体"/>
                <w:kern w:val="0"/>
                <w:sz w:val="24"/>
              </w:rPr>
              <w:t>21</w:t>
            </w:r>
          </w:p>
        </w:tc>
        <w:tc>
          <w:tcPr>
            <w:tcW w:w="716"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应急事件展示</w:t>
            </w:r>
          </w:p>
        </w:tc>
        <w:tc>
          <w:tcPr>
            <w:tcW w:w="113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应急关键场景</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进入展示端时默认展示西站数字孪生场景模型。支持用户点击预设视角，快速浏览应急处突场景的特定区域情况。不同楼层展现每一层平面布局、消防相关设施设备。可查看易积水点、易积雪点等重要关注点，支持连接关注点附近的监控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2</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界面交互</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易聚集点：中部数字孪生场景区域，可选择展示站内易聚集点位，点击点位可查看点位详情，包括点位视频监控、点位负责人等。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3</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时间多发区域：中部数字孪生场景区域，可选择展示站内事件多发区域，点击区域可查看区域详情，包括周月年区域内事件数量，事件类型排序、区域视频监控、区域负责人等。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ascii="仿宋" w:hAnsi="仿宋" w:eastAsia="仿宋" w:cs="宋体"/>
                <w:kern w:val="0"/>
                <w:sz w:val="24"/>
              </w:rPr>
              <w:t>24</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易涝点易积水点：中部数字孪生场景区域，可选择展示站内外易涝点积水点，点击点位可查看点位详情，包括周月年区域内事件数量，点位负责人等。</w:t>
            </w:r>
          </w:p>
        </w:tc>
        <w:tc>
          <w:tcPr>
            <w:tcW w:w="721"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5</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应急事件仿真分析展示</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通过输入火灾、大客流、极端天气等应急事件的相关数据，在呈现端展示仿真分析结果，及相关场景的动画。</w:t>
            </w:r>
          </w:p>
        </w:tc>
        <w:tc>
          <w:tcPr>
            <w:tcW w:w="721" w:type="dxa"/>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p>
        </w:tc>
        <w:tc>
          <w:tcPr>
            <w:tcW w:w="857" w:type="dxa"/>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6</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应急事件预案展示</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发生火灾、大客流、极端天气等应急事件时，在呈现端展示应急处置流程图。在孪生体中以高亮、闪烁等形式显示应急事件涉及的区域等。</w:t>
            </w:r>
          </w:p>
        </w:tc>
        <w:tc>
          <w:tcPr>
            <w:tcW w:w="721" w:type="dxa"/>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p>
        </w:tc>
        <w:tc>
          <w:tcPr>
            <w:tcW w:w="857" w:type="dxa"/>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7</w:t>
            </w:r>
          </w:p>
        </w:tc>
        <w:tc>
          <w:tcPr>
            <w:tcW w:w="716" w:type="dxa"/>
            <w:vMerge w:val="continue"/>
            <w:tcBorders>
              <w:top w:val="single" w:color="auto" w:sz="4" w:space="0"/>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restart"/>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数据图表</w:t>
            </w: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（1）应急处突现状：西站应急处突事态概况看板，主要从当日、本周、本月三个时间维度展示西站各类应急事件（极端天气、火灾事故、大客流事件）发生和处理数据等；</w:t>
            </w:r>
          </w:p>
        </w:tc>
        <w:tc>
          <w:tcPr>
            <w:tcW w:w="721" w:type="dxa"/>
            <w:vMerge w:val="restart"/>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7" w:type="dxa"/>
            <w:vMerge w:val="restart"/>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8</w:t>
            </w:r>
          </w:p>
        </w:tc>
        <w:tc>
          <w:tcPr>
            <w:tcW w:w="716"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应急处突预测：应急突发事件趋势分析是根据当前和历史数据来预测未来各类应急突发事件（极端天气、火灾事故、大客流事件）发生数，以曲线图表示趋势线，同时在曲线图中展示历史数据和当前数据对应的预测数据，直观展示各类突发事件预测数和实际发生数的对比等；</w:t>
            </w:r>
          </w:p>
        </w:tc>
        <w:tc>
          <w:tcPr>
            <w:tcW w:w="721"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91"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9</w:t>
            </w:r>
          </w:p>
        </w:tc>
        <w:tc>
          <w:tcPr>
            <w:tcW w:w="716" w:type="dxa"/>
            <w:vMerge w:val="continue"/>
            <w:tcBorders>
              <w:top w:val="single" w:color="auto" w:sz="4" w:space="0"/>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5" w:type="dxa"/>
            <w:vMerge w:val="continue"/>
            <w:tcBorders>
              <w:top w:val="single" w:color="auto" w:sz="4" w:space="0"/>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25"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（3）应急事件：主要展示今日事件上报数，点击事件上报数展示事件上报列表，点击具体的事件上报信息，可在场景中快速定位；点击该位置视频监控设备，可快速查看现场实时视频监控等。</w:t>
            </w:r>
          </w:p>
        </w:tc>
        <w:tc>
          <w:tcPr>
            <w:tcW w:w="721"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bl>
    <w:p>
      <w:pPr>
        <w:widowControl/>
        <w:autoSpaceDE w:val="0"/>
        <w:adjustRightInd/>
        <w:spacing w:line="276" w:lineRule="auto"/>
        <w:ind w:firstLine="420"/>
        <w:jc w:val="left"/>
        <w:rPr>
          <w:rFonts w:ascii="仿宋" w:hAnsi="仿宋" w:eastAsia="仿宋"/>
          <w:sz w:val="24"/>
        </w:rPr>
      </w:pPr>
    </w:p>
    <w:p>
      <w:pPr>
        <w:adjustRightInd/>
        <w:ind w:firstLine="420"/>
        <w:rPr>
          <w:rFonts w:ascii="仿宋" w:hAnsi="仿宋" w:eastAsia="仿宋"/>
          <w:sz w:val="24"/>
        </w:rPr>
      </w:pPr>
    </w:p>
    <w:p>
      <w:pPr>
        <w:numPr>
          <w:ilvl w:val="0"/>
          <w:numId w:val="6"/>
        </w:numPr>
        <w:adjustRightInd/>
        <w:rPr>
          <w:rFonts w:ascii="仿宋" w:hAnsi="仿宋" w:eastAsia="仿宋"/>
          <w:b/>
          <w:bCs/>
          <w:sz w:val="24"/>
        </w:rPr>
      </w:pPr>
      <w:r>
        <w:rPr>
          <w:rFonts w:hint="eastAsia" w:ascii="仿宋" w:hAnsi="仿宋" w:eastAsia="仿宋"/>
          <w:b/>
          <w:bCs/>
          <w:sz w:val="24"/>
        </w:rPr>
        <w:t>出租车、网约车管理</w:t>
      </w:r>
    </w:p>
    <w:p>
      <w:pPr>
        <w:adjustRightInd/>
        <w:rPr>
          <w:rFonts w:ascii="仿宋" w:hAnsi="仿宋" w:eastAsia="仿宋"/>
          <w:b/>
          <w:bCs/>
          <w:sz w:val="24"/>
        </w:rPr>
      </w:pPr>
      <w:r>
        <w:rPr>
          <w:rFonts w:hint="eastAsia" w:ascii="仿宋" w:hAnsi="仿宋" w:eastAsia="仿宋"/>
          <w:b/>
          <w:bCs/>
          <w:sz w:val="24"/>
        </w:rPr>
        <w:t xml:space="preserve"> </w:t>
      </w:r>
    </w:p>
    <w:tbl>
      <w:tblPr>
        <w:tblStyle w:val="62"/>
        <w:tblW w:w="8047" w:type="dxa"/>
        <w:tblInd w:w="113" w:type="dxa"/>
        <w:tblLayout w:type="fixed"/>
        <w:tblCellMar>
          <w:top w:w="0" w:type="dxa"/>
          <w:left w:w="108" w:type="dxa"/>
          <w:bottom w:w="0" w:type="dxa"/>
          <w:right w:w="108" w:type="dxa"/>
        </w:tblCellMar>
      </w:tblPr>
      <w:tblGrid>
        <w:gridCol w:w="989"/>
        <w:gridCol w:w="713"/>
        <w:gridCol w:w="1133"/>
        <w:gridCol w:w="3637"/>
        <w:gridCol w:w="717"/>
        <w:gridCol w:w="858"/>
      </w:tblGrid>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序号</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采购细项</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数量</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运行监测</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出租车运行指标</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实现对西站出租车调度情况的运行感知，汇总接客时长、候车时长等出租车调度过程中关键指标，实现对出租车调度功能运转情况的全面掌握等。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旅客排队区诱导监控</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与旅客排队区电子信息屏的接入，可以实时查看诱导设备的接入情况、通道编码、通行状态、当前排队人数、当前排队车辆、预计等待时间、预期说明以及诱导屏设备的页面情况，实现对旅客排队情况全面、准确的了解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出租车设备管理服务</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设备模型</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系统具有将设备属性配置和显示图形一体化建模配置的功能，并可对设备原型的设备基础属性，报警条件配置、历史存储配置等进行管理配置等。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设备实例</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全生命周期管理支持设备实例化功能，设备实例是依据设备原型进行实例化得到的具体设备配置信息，一个原型支持实例化成多个设备实例，实例化后的设备实例继承设备原型所有配置信息。系统提供单设备实例化、批量设备实例化和模板文件导入批量实例化等多种设备实例化方式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5</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信息管理</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设备控制</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实现对视频设备、道闸设备、诱导屏、信号机、信号灯设备控制等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车道设施信息管理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支持将车道级周边设备接入出租车集散调度及旅客诱导疏散指引系统，支持查看车道设备明细，支持手动添加车道，支持编辑车道状态等。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信号方案管理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实现对蓄车池的信号配置方案进行预设，支持将预设的信号配置方案记录在系统中，为一键启动信号预案做支撑。支撑手动添加、编辑信号灯配置方案等。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8</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运行管理</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智能监控</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实现对道闸通行记录、车检器、微卡口、客流统计、车位统计的监控等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道闸管理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支持查看、配置道闸设备的开关状态。支持查看道闸设备的明细信息等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电子屏管理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包括信息发布、素材管理、预案配置、发屏日志等功能等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信号机管理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支持对信号机信号控制方案的查询与选择执行操作等。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12</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出租车设备日志服务</w:t>
            </w:r>
          </w:p>
        </w:tc>
        <w:tc>
          <w:tcPr>
            <w:tcW w:w="113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用户操作日志</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用户登录登出，记录用户在平台的登录、登出操作日志等。</w:t>
            </w:r>
          </w:p>
        </w:tc>
        <w:tc>
          <w:tcPr>
            <w:tcW w:w="717"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用户设备控制，记录用户针对物联设备的控制指令下发操作日志等。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用户报警处理，记录用户针对物联设备的报警事件处理日志等。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设备事件日志</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报警产生事件，记录设备产生报警事件日志等。</w:t>
            </w:r>
          </w:p>
        </w:tc>
        <w:tc>
          <w:tcPr>
            <w:tcW w:w="717"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报警消失事件，记录设备报警消失事件日志等。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设备变位事件，记录设备属性状态发生变化事件等。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设备控制事件，记录设备控制指令下发事件等。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服务接口调用日志</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接口调用日志，记录平台对外提供的接口被调用日志，以及调用结果等。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20</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报表统计</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流量统计报表</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支持统计客流量报表，支持按日、月去比对客流数据，并展示客流同比涨跌值等。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时长统计报表</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提供进出车流量的报表式查询等。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22</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设备告警管理</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视频设备报警</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查看视频设备报警信息，支持查看设备详情。支持查看该设备的历史报警记录等。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道闸设备报警</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支持查看道闸设备的报警信息，支持查看设备详情，支持查看该设备的历史报警记录等。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信号机设备报警</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支持查看信号机报警信息，历史信息，支持查看信号机设备详情信息，支持查看信号机历史报警信息等。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(四）</w:t>
            </w:r>
          </w:p>
        </w:tc>
        <w:tc>
          <w:tcPr>
            <w:tcW w:w="7058" w:type="dxa"/>
            <w:gridSpan w:val="5"/>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b/>
                <w:bCs/>
                <w:kern w:val="0"/>
                <w:sz w:val="24"/>
              </w:rPr>
            </w:pPr>
            <w:r>
              <w:rPr>
                <w:rFonts w:hint="eastAsia" w:ascii="仿宋" w:hAnsi="仿宋" w:eastAsia="仿宋" w:cs="宋体"/>
                <w:b/>
                <w:bCs/>
                <w:kern w:val="0"/>
                <w:sz w:val="24"/>
              </w:rPr>
              <w:t>网约车数字孪生管理</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网约车设备管理服务</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设备模型</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系统具有将设备属性配置和显示图形一体化建模配置的功能，并可对设备原型的设备基础属性，报警条件配置、历史存储配置等进行管理配置等。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设备实例</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全生命周期管理支持设备实例化功能，设备实例是依据设备原型进行实例化得到的具体设备配置信息，一个原型支持实例化成多个设备实例，实例化后的设备实例继承设备原型所有配置信息。系统提供单设备实例化、批量设备实例化和模板文件导入批量实例化等多种设备实例化方式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3</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网约车上客引导</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网约车候车管理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网约车候车区域由两个子模块组成：旅客信息发布模块及旅客人数统计模块等。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网约车上客引导</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网约车上客引导主要是通过与目前市场主流的网约车平台进行数据的接入，实现系统与网约车平台之间数据的互通等。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5</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网约车信息管理平台模块</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网约车出发人数</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通过对枢纽内的网约车的出发人数进行统计汇总，实时展示网约车出发人数指标等。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网约车乘客排队人数</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对网约车乘客排队人数的汇总展示，可以对枢纽内网约车数量进行复核等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网约车出发车辆</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通过对枢纽内网约车出发车辆的展示，可以对枢纽内网约车过车情况进行展示，让领导了解到枢纽内网约车出行情况等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网约车排队情况</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通过对枢纽内网约车专用停车场的占用情况进行汇总展示，实时展示网约车内的排队情况等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网约车过车分布</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通过对网约车过车分布展示，实现对网约车旅客、车辆之间的复核等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网约车接客等待时间分布</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通过对网约车接客等待时间分布规律研究，优化网约车的调度策略，降低网约车的接客时间，提高网约车专用停车场的周转率等。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11</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旅客等候区运行监测</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网约车候车旅客感知</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将相机拍摄的图像实时接入系统，实现对网约车候车旅客的实时感知等。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网约车候车人数分布</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运用图像分析算法对候车旅客人数进行实时分析，得出当前该候车区内的等候旅客的数量以及累计乘车人数等。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候车信息联动发布</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与第三方调度平台对接，实现候车区人员数量、网约车到场等信息在等候区LED显示屏上进行同步显示发布等。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14</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网约车服务区运行监测</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网约车专用停车场过车数量智能分析</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网约车通道计数将实现对网约车专用停车场的过车数的智能分析，旨在提高网约车专用通道内的网约车通行效率，防止私家车误闯占用网约车服务区资源等。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15</w:t>
            </w:r>
          </w:p>
        </w:tc>
        <w:tc>
          <w:tcPr>
            <w:tcW w:w="71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网约车设备日志服务</w:t>
            </w:r>
          </w:p>
        </w:tc>
        <w:tc>
          <w:tcPr>
            <w:tcW w:w="113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用户操作日志</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用户登录登出，记录用户在平台的登录、登出操作日志等。</w:t>
            </w:r>
          </w:p>
        </w:tc>
        <w:tc>
          <w:tcPr>
            <w:tcW w:w="717"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用户设备控制，记录用户针对物联设备的控制指令下发操作日志等。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用户报警处理，记录用户针对物联设备的报警事件处理日志等。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restart"/>
            <w:tcBorders>
              <w:top w:val="nil"/>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设备事件日志</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报警产生事件，记录设备产生报警事件日志等。</w:t>
            </w:r>
          </w:p>
        </w:tc>
        <w:tc>
          <w:tcPr>
            <w:tcW w:w="717"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vMerge w:val="restart"/>
            <w:tcBorders>
              <w:top w:val="nil"/>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报警消失事件，记录设备报警消失事件日志等。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设备变位事件，记录设备属性状态发生变化事件等。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设备控制事件，记录设备控制指令下发事件等。</w:t>
            </w:r>
          </w:p>
        </w:tc>
        <w:tc>
          <w:tcPr>
            <w:tcW w:w="717"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858"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22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服务接口调用日志</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接口调用日志，记录平台对外提供的接口被调用日志，以及调用结果等</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项</w:t>
            </w:r>
          </w:p>
        </w:tc>
      </w:tr>
    </w:tbl>
    <w:p>
      <w:pPr>
        <w:widowControl/>
        <w:autoSpaceDE w:val="0"/>
        <w:adjustRightInd/>
        <w:spacing w:line="276" w:lineRule="auto"/>
        <w:ind w:firstLine="420"/>
        <w:jc w:val="left"/>
        <w:rPr>
          <w:rFonts w:ascii="仿宋" w:hAnsi="仿宋" w:eastAsia="仿宋"/>
          <w:b/>
          <w:bCs/>
          <w:sz w:val="24"/>
        </w:rPr>
      </w:pPr>
    </w:p>
    <w:p>
      <w:pPr>
        <w:numPr>
          <w:ilvl w:val="0"/>
          <w:numId w:val="7"/>
        </w:numPr>
        <w:adjustRightInd/>
        <w:rPr>
          <w:rFonts w:ascii="仿宋" w:hAnsi="仿宋" w:eastAsia="仿宋"/>
          <w:b/>
          <w:bCs/>
          <w:sz w:val="24"/>
        </w:rPr>
      </w:pPr>
      <w:r>
        <w:rPr>
          <w:rFonts w:hint="eastAsia" w:ascii="仿宋" w:hAnsi="仿宋" w:eastAsia="仿宋"/>
          <w:b/>
          <w:bCs/>
          <w:sz w:val="24"/>
        </w:rPr>
        <w:t>基础设施</w:t>
      </w:r>
    </w:p>
    <w:tbl>
      <w:tblPr>
        <w:tblStyle w:val="62"/>
        <w:tblW w:w="8047" w:type="dxa"/>
        <w:tblInd w:w="113" w:type="dxa"/>
        <w:tblLayout w:type="fixed"/>
        <w:tblCellMar>
          <w:top w:w="0" w:type="dxa"/>
          <w:left w:w="108" w:type="dxa"/>
          <w:bottom w:w="0" w:type="dxa"/>
          <w:right w:w="108" w:type="dxa"/>
        </w:tblCellMar>
      </w:tblPr>
      <w:tblGrid>
        <w:gridCol w:w="989"/>
        <w:gridCol w:w="713"/>
        <w:gridCol w:w="1133"/>
        <w:gridCol w:w="3637"/>
        <w:gridCol w:w="717"/>
        <w:gridCol w:w="858"/>
      </w:tblGrid>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仿宋" w:hAnsi="仿宋" w:eastAsia="仿宋"/>
                <w:kern w:val="0"/>
                <w:sz w:val="24"/>
              </w:rPr>
            </w:pPr>
            <w:r>
              <w:rPr>
                <w:rFonts w:hint="eastAsia" w:ascii="仿宋" w:hAnsi="仿宋" w:eastAsia="仿宋" w:cs="宋体"/>
                <w:kern w:val="0"/>
                <w:sz w:val="24"/>
              </w:rPr>
              <w:t>序号</w:t>
            </w:r>
          </w:p>
        </w:tc>
        <w:tc>
          <w:tcPr>
            <w:tcW w:w="71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kern w:val="0"/>
                <w:sz w:val="24"/>
              </w:rPr>
            </w:pPr>
            <w:r>
              <w:rPr>
                <w:rFonts w:hint="eastAsia" w:ascii="仿宋" w:hAnsi="仿宋" w:eastAsia="仿宋" w:cs="宋体"/>
                <w:kern w:val="0"/>
                <w:sz w:val="24"/>
              </w:rPr>
              <w:t>采购内容</w:t>
            </w:r>
          </w:p>
        </w:tc>
        <w:tc>
          <w:tcPr>
            <w:tcW w:w="1133"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kern w:val="0"/>
                <w:sz w:val="24"/>
              </w:rPr>
            </w:pPr>
            <w:r>
              <w:rPr>
                <w:rFonts w:hint="eastAsia" w:ascii="仿宋" w:hAnsi="仿宋" w:eastAsia="仿宋" w:cs="宋体"/>
                <w:kern w:val="0"/>
                <w:sz w:val="24"/>
              </w:rPr>
              <w:t>采购细项</w:t>
            </w:r>
          </w:p>
        </w:tc>
        <w:tc>
          <w:tcPr>
            <w:tcW w:w="363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kern w:val="0"/>
                <w:sz w:val="24"/>
              </w:rPr>
            </w:pPr>
            <w:r>
              <w:rPr>
                <w:rFonts w:hint="eastAsia" w:ascii="仿宋" w:hAnsi="仿宋" w:eastAsia="仿宋" w:cs="宋体"/>
                <w:kern w:val="0"/>
                <w:sz w:val="24"/>
              </w:rPr>
              <w:t>主要性能指标</w:t>
            </w:r>
          </w:p>
        </w:tc>
        <w:tc>
          <w:tcPr>
            <w:tcW w:w="71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kern w:val="0"/>
                <w:sz w:val="24"/>
              </w:rPr>
            </w:pPr>
            <w:r>
              <w:rPr>
                <w:rFonts w:hint="eastAsia" w:ascii="仿宋" w:hAnsi="仿宋" w:eastAsia="仿宋" w:cs="宋体"/>
                <w:kern w:val="0"/>
                <w:sz w:val="24"/>
              </w:rPr>
              <w:t>数量</w:t>
            </w:r>
          </w:p>
        </w:tc>
        <w:tc>
          <w:tcPr>
            <w:tcW w:w="858"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kern w:val="0"/>
                <w:sz w:val="24"/>
              </w:rPr>
            </w:pPr>
            <w:r>
              <w:rPr>
                <w:rFonts w:hint="eastAsia" w:ascii="仿宋" w:hAnsi="仿宋" w:eastAsia="仿宋" w:cs="宋体"/>
                <w:kern w:val="0"/>
                <w:sz w:val="24"/>
              </w:rPr>
              <w:t>单位</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1</w:t>
            </w:r>
          </w:p>
        </w:tc>
        <w:tc>
          <w:tcPr>
            <w:tcW w:w="713"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kern w:val="0"/>
                <w:sz w:val="24"/>
              </w:rPr>
              <w:t>网络设备</w:t>
            </w:r>
          </w:p>
        </w:tc>
        <w:tc>
          <w:tcPr>
            <w:tcW w:w="113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kern w:val="0"/>
                <w:sz w:val="24"/>
              </w:rPr>
              <w:t>核心交换机</w:t>
            </w:r>
          </w:p>
        </w:tc>
        <w:tc>
          <w:tcPr>
            <w:tcW w:w="36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1、硬件架构：主控槽位1+1冗余备份，业务槽位数≥3个，要求主控、电源、业务板卡、风扇、网板等关键部件可热插拔。</w:t>
            </w:r>
          </w:p>
          <w:p>
            <w:pPr>
              <w:widowControl/>
              <w:jc w:val="center"/>
              <w:rPr>
                <w:rFonts w:ascii="仿宋" w:hAnsi="仿宋" w:eastAsia="仿宋"/>
                <w:kern w:val="0"/>
                <w:sz w:val="24"/>
              </w:rPr>
            </w:pPr>
            <w:r>
              <w:rPr>
                <w:rFonts w:hint="eastAsia" w:ascii="仿宋" w:hAnsi="仿宋" w:eastAsia="仿宋"/>
                <w:kern w:val="0"/>
                <w:sz w:val="24"/>
              </w:rPr>
              <w:t>2、硬件性能：交换容量≥31.1Tbps/153.6Tbps;IPv4包转发率≥5760Mpps/36000 Mpps;</w:t>
            </w:r>
          </w:p>
          <w:p>
            <w:pPr>
              <w:widowControl/>
              <w:jc w:val="center"/>
              <w:rPr>
                <w:rFonts w:ascii="仿宋" w:hAnsi="仿宋" w:eastAsia="仿宋"/>
                <w:kern w:val="0"/>
                <w:sz w:val="24"/>
              </w:rPr>
            </w:pPr>
            <w:r>
              <w:rPr>
                <w:rFonts w:hint="eastAsia" w:ascii="仿宋" w:hAnsi="仿宋" w:eastAsia="仿宋"/>
                <w:kern w:val="0"/>
                <w:sz w:val="24"/>
              </w:rPr>
              <w:t>3、单台配置：主控≥2个，万兆光口≥16个，千兆电口≥96个，冗余风扇电源。</w:t>
            </w:r>
          </w:p>
          <w:p>
            <w:pPr>
              <w:widowControl/>
              <w:jc w:val="center"/>
              <w:rPr>
                <w:rFonts w:ascii="仿宋" w:hAnsi="仿宋" w:eastAsia="仿宋"/>
                <w:kern w:val="0"/>
                <w:sz w:val="24"/>
              </w:rPr>
            </w:pPr>
            <w:r>
              <w:rPr>
                <w:rFonts w:hint="eastAsia" w:ascii="仿宋" w:hAnsi="仿宋" w:eastAsia="仿宋"/>
                <w:kern w:val="0"/>
                <w:sz w:val="24"/>
              </w:rPr>
              <w:t>4、支持RIPng、OSPFv3、BGP4+、IS-ISv6协议；支持IPv6策略路由，支持IPv4/IPv6的VRRP功能。</w:t>
            </w:r>
          </w:p>
          <w:p>
            <w:pPr>
              <w:widowControl/>
              <w:jc w:val="center"/>
              <w:rPr>
                <w:rFonts w:ascii="仿宋" w:hAnsi="仿宋" w:eastAsia="仿宋"/>
                <w:kern w:val="0"/>
                <w:sz w:val="24"/>
              </w:rPr>
            </w:pPr>
            <w:r>
              <w:rPr>
                <w:rFonts w:hint="eastAsia" w:ascii="仿宋" w:hAnsi="仿宋" w:eastAsia="仿宋"/>
                <w:kern w:val="0"/>
                <w:sz w:val="24"/>
              </w:rPr>
              <w:t>5、支持VXLAN，能够实现VXLAN二三层互通；支持静态、动态链路聚合功能。</w:t>
            </w:r>
          </w:p>
          <w:p>
            <w:pPr>
              <w:widowControl/>
              <w:jc w:val="center"/>
              <w:rPr>
                <w:rFonts w:ascii="仿宋" w:hAnsi="仿宋" w:eastAsia="仿宋"/>
                <w:kern w:val="0"/>
                <w:sz w:val="24"/>
              </w:rPr>
            </w:pPr>
            <w:r>
              <w:rPr>
                <w:rFonts w:hint="eastAsia" w:ascii="仿宋" w:hAnsi="仿宋" w:eastAsia="仿宋"/>
                <w:kern w:val="0"/>
                <w:sz w:val="24"/>
              </w:rPr>
              <w:t>6、支持RRPP功能，支持ERPS环网技术，支持BFD功能，能够实现与OSPF联动，支持MACsec加密技术；支持sFlow、Netstream流量统计和分析功能。</w:t>
            </w:r>
          </w:p>
          <w:p>
            <w:pPr>
              <w:widowControl/>
              <w:jc w:val="center"/>
              <w:rPr>
                <w:rFonts w:ascii="仿宋" w:hAnsi="仿宋" w:eastAsia="仿宋"/>
                <w:kern w:val="0"/>
                <w:sz w:val="24"/>
              </w:rPr>
            </w:pPr>
            <w:r>
              <w:rPr>
                <w:rFonts w:hint="eastAsia" w:ascii="仿宋" w:hAnsi="仿宋" w:eastAsia="仿宋"/>
                <w:kern w:val="0"/>
                <w:sz w:val="24"/>
              </w:rPr>
              <w:t>7、支持C</w:t>
            </w:r>
            <w:r>
              <w:rPr>
                <w:rFonts w:ascii="仿宋" w:hAnsi="仿宋" w:eastAsia="仿宋"/>
                <w:kern w:val="0"/>
                <w:sz w:val="24"/>
              </w:rPr>
              <w:t>PU</w:t>
            </w:r>
            <w:r>
              <w:rPr>
                <w:rFonts w:hint="eastAsia" w:ascii="仿宋" w:hAnsi="仿宋" w:eastAsia="仿宋"/>
                <w:kern w:val="0"/>
                <w:sz w:val="24"/>
              </w:rPr>
              <w:t>保护功能，设备支持C</w:t>
            </w:r>
            <w:r>
              <w:rPr>
                <w:rFonts w:ascii="仿宋" w:hAnsi="仿宋" w:eastAsia="仿宋"/>
                <w:kern w:val="0"/>
                <w:sz w:val="24"/>
              </w:rPr>
              <w:t>PU</w:t>
            </w:r>
            <w:r>
              <w:rPr>
                <w:rFonts w:hint="eastAsia" w:ascii="仿宋" w:hAnsi="仿宋" w:eastAsia="仿宋"/>
                <w:kern w:val="0"/>
                <w:sz w:val="24"/>
              </w:rPr>
              <w:t>防攻击功能，支持对协议攻击报文的识别和拦截，保证</w:t>
            </w:r>
            <w:r>
              <w:rPr>
                <w:rFonts w:ascii="仿宋" w:hAnsi="仿宋" w:eastAsia="仿宋"/>
                <w:kern w:val="0"/>
                <w:sz w:val="24"/>
              </w:rPr>
              <w:t>CPU</w:t>
            </w:r>
            <w:r>
              <w:rPr>
                <w:rFonts w:hint="eastAsia" w:ascii="仿宋" w:hAnsi="仿宋" w:eastAsia="仿宋"/>
                <w:kern w:val="0"/>
                <w:sz w:val="24"/>
              </w:rPr>
              <w:t>的正常工作。</w:t>
            </w:r>
            <w:r>
              <w:rPr>
                <w:rFonts w:hint="eastAsia" w:ascii="仿宋" w:hAnsi="仿宋" w:eastAsia="仿宋" w:cs="宋体"/>
                <w:b/>
                <w:bCs/>
                <w:kern w:val="0"/>
                <w:sz w:val="24"/>
              </w:rPr>
              <w:t>（需提供第三方专业检测机构检测报告复印件或扫描件并加盖公章）</w:t>
            </w:r>
          </w:p>
          <w:p>
            <w:pPr>
              <w:widowControl/>
              <w:jc w:val="center"/>
              <w:rPr>
                <w:rFonts w:ascii="仿宋" w:hAnsi="仿宋" w:eastAsia="仿宋"/>
                <w:kern w:val="0"/>
                <w:sz w:val="24"/>
              </w:rPr>
            </w:pPr>
            <w:r>
              <w:rPr>
                <w:rFonts w:hint="eastAsia" w:ascii="仿宋" w:hAnsi="仿宋" w:eastAsia="仿宋"/>
                <w:kern w:val="0"/>
                <w:sz w:val="24"/>
              </w:rPr>
              <w:t>8、支持主控板冗余，倒换时间为0ms，支持主控交换卡、电源、接口模块、风扇、网板等关键部件可热插拔。</w:t>
            </w:r>
          </w:p>
          <w:p>
            <w:pPr>
              <w:widowControl/>
              <w:jc w:val="center"/>
              <w:rPr>
                <w:rFonts w:ascii="仿宋" w:hAnsi="仿宋" w:eastAsia="仿宋"/>
                <w:kern w:val="0"/>
                <w:sz w:val="24"/>
              </w:rPr>
            </w:pPr>
            <w:r>
              <w:rPr>
                <w:rFonts w:hint="eastAsia" w:ascii="仿宋" w:hAnsi="仿宋" w:eastAsia="仿宋"/>
                <w:kern w:val="0"/>
                <w:sz w:val="24"/>
              </w:rPr>
              <w:t>9、支持千兆电口，千兆光口，万兆光口、万兆电，25G端口、40G端口、100G端口；支持单槽位40G端口密度≥24个。</w:t>
            </w:r>
          </w:p>
          <w:p>
            <w:pPr>
              <w:widowControl/>
              <w:jc w:val="center"/>
              <w:rPr>
                <w:rFonts w:ascii="仿宋" w:hAnsi="仿宋" w:eastAsia="仿宋" w:cs="宋体"/>
                <w:kern w:val="0"/>
                <w:sz w:val="24"/>
              </w:rPr>
            </w:pPr>
            <w:r>
              <w:rPr>
                <w:rFonts w:hint="eastAsia" w:ascii="仿宋" w:hAnsi="仿宋" w:eastAsia="仿宋"/>
                <w:kern w:val="0"/>
                <w:sz w:val="24"/>
              </w:rPr>
              <w:t>10、所投设备支持独立的硬件防火墙插卡，入侵防御插卡，无线控制器插卡。</w:t>
            </w:r>
          </w:p>
        </w:tc>
        <w:tc>
          <w:tcPr>
            <w:tcW w:w="71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kern w:val="0"/>
                <w:sz w:val="24"/>
              </w:rPr>
              <w:t>汇聚交换机</w:t>
            </w:r>
          </w:p>
        </w:tc>
        <w:tc>
          <w:tcPr>
            <w:tcW w:w="36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kern w:val="0"/>
                <w:sz w:val="24"/>
              </w:rPr>
              <w:t>1、交换容量23.04Tbps/64Tbps；包转发率2880Mpps/22500Mpps；主控板冗余备份；16端口千兆以太网电接口(RJ45)+12端口万兆以太网光接口(SFP+,LC，含12个万兆模块)引擎板卡2块。</w:t>
            </w:r>
          </w:p>
        </w:tc>
        <w:tc>
          <w:tcPr>
            <w:tcW w:w="71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1</w:t>
            </w:r>
          </w:p>
        </w:tc>
        <w:tc>
          <w:tcPr>
            <w:tcW w:w="85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网络交换机（含机柜、含配套光模块）</w:t>
            </w:r>
          </w:p>
        </w:tc>
        <w:tc>
          <w:tcPr>
            <w:tcW w:w="36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kern w:val="0"/>
                <w:sz w:val="24"/>
              </w:rPr>
              <w:t>48口安防网络接入交换机48个千兆电口，4个千兆光口，含配套光模块</w:t>
            </w:r>
          </w:p>
        </w:tc>
        <w:tc>
          <w:tcPr>
            <w:tcW w:w="71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5</w:t>
            </w:r>
          </w:p>
        </w:tc>
        <w:tc>
          <w:tcPr>
            <w:tcW w:w="85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4</w:t>
            </w:r>
          </w:p>
        </w:tc>
        <w:tc>
          <w:tcPr>
            <w:tcW w:w="713" w:type="dxa"/>
            <w:vMerge w:val="restart"/>
            <w:tcBorders>
              <w:top w:val="nil"/>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服务器和计算机设备</w:t>
            </w: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智能视觉处理服务器</w:t>
            </w:r>
          </w:p>
        </w:tc>
        <w:tc>
          <w:tcPr>
            <w:tcW w:w="36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1、CPU：5318Y*2颗(24核，主频2.1GHZ）</w:t>
            </w:r>
          </w:p>
          <w:p>
            <w:pPr>
              <w:widowControl/>
              <w:jc w:val="center"/>
              <w:rPr>
                <w:rFonts w:ascii="仿宋" w:hAnsi="仿宋" w:eastAsia="仿宋"/>
                <w:kern w:val="0"/>
                <w:sz w:val="24"/>
              </w:rPr>
            </w:pPr>
            <w:r>
              <w:rPr>
                <w:rFonts w:hint="eastAsia" w:ascii="仿宋" w:hAnsi="仿宋" w:eastAsia="仿宋"/>
                <w:kern w:val="0"/>
                <w:sz w:val="24"/>
              </w:rPr>
              <w:t>2、内存：512 GB（32GB*16）;</w:t>
            </w:r>
          </w:p>
          <w:p>
            <w:pPr>
              <w:widowControl/>
              <w:jc w:val="center"/>
              <w:rPr>
                <w:rFonts w:ascii="仿宋" w:hAnsi="仿宋" w:eastAsia="仿宋"/>
                <w:kern w:val="0"/>
                <w:sz w:val="24"/>
              </w:rPr>
            </w:pPr>
            <w:r>
              <w:rPr>
                <w:rFonts w:hint="eastAsia" w:ascii="仿宋" w:hAnsi="仿宋" w:eastAsia="仿宋"/>
                <w:kern w:val="0"/>
                <w:sz w:val="24"/>
              </w:rPr>
              <w:t>3、硬盘：系统盘480GB SATA SSD * 2，数据盘3.84T SSD * 2，带RAID卡×1</w:t>
            </w:r>
          </w:p>
          <w:p>
            <w:pPr>
              <w:widowControl/>
              <w:jc w:val="center"/>
              <w:rPr>
                <w:rFonts w:ascii="仿宋" w:hAnsi="仿宋" w:eastAsia="仿宋"/>
                <w:kern w:val="0"/>
                <w:sz w:val="24"/>
              </w:rPr>
            </w:pPr>
            <w:r>
              <w:rPr>
                <w:rFonts w:hint="eastAsia" w:ascii="仿宋" w:hAnsi="仿宋" w:eastAsia="仿宋"/>
                <w:kern w:val="0"/>
                <w:sz w:val="24"/>
              </w:rPr>
              <w:t>4、显卡： Tesla T4 x8</w:t>
            </w:r>
          </w:p>
          <w:p>
            <w:pPr>
              <w:widowControl/>
              <w:jc w:val="center"/>
              <w:rPr>
                <w:rFonts w:ascii="仿宋" w:hAnsi="仿宋" w:eastAsia="仿宋"/>
                <w:kern w:val="0"/>
                <w:sz w:val="24"/>
              </w:rPr>
            </w:pPr>
            <w:r>
              <w:rPr>
                <w:rFonts w:hint="eastAsia" w:ascii="仿宋" w:hAnsi="仿宋" w:eastAsia="仿宋"/>
                <w:kern w:val="0"/>
                <w:sz w:val="24"/>
              </w:rPr>
              <w:t>5、网卡：双口万兆*1/双口千兆*1</w:t>
            </w:r>
          </w:p>
          <w:p>
            <w:pPr>
              <w:widowControl/>
              <w:jc w:val="center"/>
              <w:rPr>
                <w:rFonts w:ascii="仿宋" w:hAnsi="仿宋" w:eastAsia="仿宋" w:cs="宋体"/>
                <w:kern w:val="0"/>
                <w:sz w:val="24"/>
              </w:rPr>
            </w:pPr>
            <w:r>
              <w:rPr>
                <w:rFonts w:hint="eastAsia" w:ascii="仿宋" w:hAnsi="仿宋" w:eastAsia="仿宋"/>
                <w:kern w:val="0"/>
                <w:sz w:val="24"/>
              </w:rPr>
              <w:t>6、电源：冗余电源</w:t>
            </w:r>
          </w:p>
        </w:tc>
        <w:tc>
          <w:tcPr>
            <w:tcW w:w="71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2</w:t>
            </w:r>
          </w:p>
        </w:tc>
        <w:tc>
          <w:tcPr>
            <w:tcW w:w="85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kern w:val="0"/>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智能视觉应用计算核心</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CPU芯片/BIOS固件  C86 7280 主频 2.0GHz 核数：32 路数：2</w:t>
            </w:r>
          </w:p>
          <w:p>
            <w:pPr>
              <w:snapToGrid w:val="0"/>
              <w:jc w:val="center"/>
              <w:rPr>
                <w:rFonts w:ascii="仿宋" w:hAnsi="仿宋" w:eastAsia="仿宋" w:cs="宋体"/>
                <w:sz w:val="24"/>
              </w:rPr>
            </w:pPr>
            <w:r>
              <w:rPr>
                <w:rFonts w:hint="eastAsia" w:ascii="仿宋" w:hAnsi="仿宋" w:eastAsia="仿宋" w:cs="宋体"/>
                <w:sz w:val="24"/>
              </w:rPr>
              <w:t xml:space="preserve"> 容量：128GB 扩展：最大支持2048GB</w:t>
            </w:r>
          </w:p>
          <w:p>
            <w:pPr>
              <w:snapToGrid w:val="0"/>
              <w:jc w:val="center"/>
              <w:rPr>
                <w:rFonts w:ascii="仿宋" w:hAnsi="仿宋" w:eastAsia="仿宋" w:cs="宋体"/>
                <w:kern w:val="0"/>
                <w:sz w:val="24"/>
              </w:rPr>
            </w:pPr>
            <w:r>
              <w:rPr>
                <w:rFonts w:hint="eastAsia" w:ascii="仿宋" w:hAnsi="仿宋" w:eastAsia="仿宋" w:cs="宋体"/>
                <w:sz w:val="24"/>
              </w:rPr>
              <w:t>硬盘：标配240GB*1+2T*3 扩展：整机规格：尺寸：2U 电源功率：550Wx2</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4</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云渲染服务器</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机架式服务器2U</w:t>
            </w:r>
          </w:p>
          <w:p>
            <w:pPr>
              <w:snapToGrid w:val="0"/>
              <w:jc w:val="center"/>
              <w:rPr>
                <w:rFonts w:ascii="仿宋" w:hAnsi="仿宋" w:eastAsia="仿宋" w:cs="宋体"/>
                <w:sz w:val="24"/>
              </w:rPr>
            </w:pPr>
            <w:r>
              <w:rPr>
                <w:rFonts w:hint="eastAsia" w:ascii="仿宋" w:hAnsi="仿宋" w:eastAsia="仿宋" w:cs="宋体"/>
                <w:sz w:val="24"/>
              </w:rPr>
              <w:t>CPU单颗8核16线程，主频3.0GHz，2颗</w:t>
            </w:r>
          </w:p>
          <w:p>
            <w:pPr>
              <w:snapToGrid w:val="0"/>
              <w:jc w:val="center"/>
              <w:rPr>
                <w:rFonts w:ascii="仿宋" w:hAnsi="仿宋" w:eastAsia="仿宋" w:cs="宋体"/>
                <w:sz w:val="24"/>
              </w:rPr>
            </w:pPr>
            <w:r>
              <w:rPr>
                <w:rFonts w:hint="eastAsia" w:ascii="仿宋" w:hAnsi="仿宋" w:eastAsia="仿宋" w:cs="宋体"/>
                <w:sz w:val="24"/>
              </w:rPr>
              <w:t>GPU， RTX A5000 24GB，3块</w:t>
            </w:r>
          </w:p>
          <w:p>
            <w:pPr>
              <w:snapToGrid w:val="0"/>
              <w:jc w:val="center"/>
              <w:rPr>
                <w:rFonts w:ascii="仿宋" w:hAnsi="仿宋" w:eastAsia="仿宋" w:cs="宋体"/>
                <w:sz w:val="24"/>
              </w:rPr>
            </w:pPr>
            <w:r>
              <w:rPr>
                <w:rFonts w:hint="eastAsia" w:ascii="仿宋" w:hAnsi="仿宋" w:eastAsia="仿宋" w:cs="宋体"/>
                <w:sz w:val="24"/>
              </w:rPr>
              <w:t>内存，32GB DDR4，3条</w:t>
            </w:r>
          </w:p>
          <w:p>
            <w:pPr>
              <w:snapToGrid w:val="0"/>
              <w:jc w:val="center"/>
              <w:rPr>
                <w:rFonts w:ascii="仿宋" w:hAnsi="仿宋" w:eastAsia="仿宋" w:cs="宋体"/>
                <w:sz w:val="24"/>
              </w:rPr>
            </w:pPr>
            <w:r>
              <w:rPr>
                <w:rFonts w:hint="eastAsia" w:ascii="仿宋" w:hAnsi="仿宋" w:eastAsia="仿宋" w:cs="宋体"/>
                <w:sz w:val="24"/>
              </w:rPr>
              <w:t>硬盘，SSD 1TB，2块</w:t>
            </w:r>
          </w:p>
          <w:p>
            <w:pPr>
              <w:snapToGrid w:val="0"/>
              <w:jc w:val="center"/>
              <w:rPr>
                <w:rFonts w:ascii="仿宋" w:hAnsi="仿宋" w:eastAsia="仿宋" w:cs="宋体"/>
                <w:kern w:val="0"/>
                <w:sz w:val="24"/>
              </w:rPr>
            </w:pPr>
            <w:r>
              <w:rPr>
                <w:rFonts w:hint="eastAsia" w:ascii="仿宋" w:hAnsi="仿宋" w:eastAsia="仿宋" w:cs="宋体"/>
                <w:sz w:val="24"/>
              </w:rPr>
              <w:t>100M带宽或以上</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图形处理终端服务器</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服务器CPU类型 至强E5 v3*2CPU频率 2.4GHz智能加速主频 3.2GHz标配CPU数量 1颗最大CPU数量 2颗制程工艺 22nm三级缓存 20MB总线规格 QPI 8GT/sCPU核心 八核CPU线程数 十六线程主板主板芯片组 C610扩展槽 Riser含2个x16 PCIe Gen3 LP插槽(x16 PCIe lanes)内存类型 RDIMM内存容量 128GB内存描述 16GB*2 RDIMM 2133MT/s，双列，x4带宽纠错</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4</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图形处理器</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CPU：12核心20线程</w:t>
            </w:r>
          </w:p>
          <w:p>
            <w:pPr>
              <w:snapToGrid w:val="0"/>
              <w:jc w:val="center"/>
              <w:rPr>
                <w:rFonts w:ascii="仿宋" w:hAnsi="仿宋" w:eastAsia="仿宋" w:cs="宋体"/>
                <w:sz w:val="24"/>
              </w:rPr>
            </w:pPr>
            <w:r>
              <w:rPr>
                <w:rFonts w:hint="eastAsia" w:ascii="仿宋" w:hAnsi="仿宋" w:eastAsia="仿宋" w:cs="宋体"/>
                <w:sz w:val="24"/>
              </w:rPr>
              <w:t>GPU:3080</w:t>
            </w:r>
          </w:p>
          <w:p>
            <w:pPr>
              <w:snapToGrid w:val="0"/>
              <w:jc w:val="center"/>
              <w:rPr>
                <w:rFonts w:ascii="仿宋" w:hAnsi="仿宋" w:eastAsia="仿宋" w:cs="宋体"/>
                <w:sz w:val="24"/>
              </w:rPr>
            </w:pPr>
            <w:r>
              <w:rPr>
                <w:rFonts w:hint="eastAsia" w:ascii="仿宋" w:hAnsi="仿宋" w:eastAsia="仿宋" w:cs="宋体"/>
                <w:sz w:val="24"/>
              </w:rPr>
              <w:t>内存：32G</w:t>
            </w:r>
          </w:p>
          <w:p>
            <w:pPr>
              <w:snapToGrid w:val="0"/>
              <w:jc w:val="center"/>
              <w:rPr>
                <w:rFonts w:ascii="仿宋" w:hAnsi="仿宋" w:eastAsia="仿宋" w:cs="宋体"/>
                <w:sz w:val="24"/>
              </w:rPr>
            </w:pPr>
            <w:r>
              <w:rPr>
                <w:rFonts w:hint="eastAsia" w:ascii="仿宋" w:hAnsi="仿宋" w:eastAsia="仿宋" w:cs="宋体"/>
                <w:sz w:val="24"/>
              </w:rPr>
              <w:t>存储：1T</w:t>
            </w:r>
          </w:p>
          <w:p>
            <w:pPr>
              <w:snapToGrid w:val="0"/>
              <w:jc w:val="center"/>
              <w:rPr>
                <w:rFonts w:ascii="仿宋" w:hAnsi="仿宋" w:eastAsia="仿宋" w:cs="宋体"/>
                <w:sz w:val="24"/>
              </w:rPr>
            </w:pPr>
            <w:r>
              <w:rPr>
                <w:rFonts w:hint="eastAsia" w:ascii="仿宋" w:hAnsi="仿宋" w:eastAsia="仿宋" w:cs="宋体"/>
                <w:sz w:val="24"/>
              </w:rPr>
              <w:t>含4K显示器</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移动图形工作站</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处理器：第13代</w:t>
            </w:r>
          </w:p>
          <w:p>
            <w:pPr>
              <w:snapToGrid w:val="0"/>
              <w:jc w:val="center"/>
              <w:rPr>
                <w:rFonts w:ascii="仿宋" w:hAnsi="仿宋" w:eastAsia="仿宋" w:cs="宋体"/>
                <w:sz w:val="24"/>
              </w:rPr>
            </w:pPr>
            <w:r>
              <w:rPr>
                <w:rFonts w:hint="eastAsia" w:ascii="仿宋" w:hAnsi="仿宋" w:eastAsia="仿宋" w:cs="宋体"/>
                <w:sz w:val="24"/>
              </w:rPr>
              <w:t>i9、显卡RTX4090、 2.5K屏、</w:t>
            </w:r>
          </w:p>
          <w:p>
            <w:pPr>
              <w:snapToGrid w:val="0"/>
              <w:jc w:val="center"/>
              <w:rPr>
                <w:rFonts w:ascii="仿宋" w:hAnsi="仿宋" w:eastAsia="仿宋" w:cs="宋体"/>
                <w:sz w:val="24"/>
              </w:rPr>
            </w:pPr>
            <w:r>
              <w:rPr>
                <w:rFonts w:hint="eastAsia" w:ascii="仿宋" w:hAnsi="仿宋" w:eastAsia="仿宋" w:cs="宋体"/>
                <w:sz w:val="24"/>
              </w:rPr>
              <w:t>64G内存、1T存储</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移动图形工作站</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15.6英寸</w:t>
            </w:r>
          </w:p>
          <w:p>
            <w:pPr>
              <w:snapToGrid w:val="0"/>
              <w:jc w:val="center"/>
              <w:rPr>
                <w:rFonts w:ascii="仿宋" w:hAnsi="仿宋" w:eastAsia="仿宋" w:cs="宋体"/>
                <w:sz w:val="24"/>
              </w:rPr>
            </w:pPr>
            <w:r>
              <w:rPr>
                <w:rFonts w:hint="eastAsia" w:ascii="仿宋" w:hAnsi="仿宋" w:eastAsia="仿宋" w:cs="宋体"/>
                <w:sz w:val="24"/>
              </w:rPr>
              <w:t>处理器： i5</w:t>
            </w:r>
          </w:p>
          <w:p>
            <w:pPr>
              <w:snapToGrid w:val="0"/>
              <w:jc w:val="center"/>
              <w:rPr>
                <w:rFonts w:ascii="仿宋" w:hAnsi="仿宋" w:eastAsia="仿宋" w:cs="宋体"/>
                <w:sz w:val="24"/>
              </w:rPr>
            </w:pPr>
            <w:r>
              <w:rPr>
                <w:rFonts w:hint="eastAsia" w:ascii="仿宋" w:hAnsi="仿宋" w:eastAsia="仿宋" w:cs="宋体"/>
                <w:sz w:val="24"/>
              </w:rPr>
              <w:t>内存：16G</w:t>
            </w:r>
          </w:p>
          <w:p>
            <w:pPr>
              <w:snapToGrid w:val="0"/>
              <w:jc w:val="center"/>
              <w:rPr>
                <w:rFonts w:ascii="仿宋" w:hAnsi="仿宋" w:eastAsia="仿宋" w:cs="宋体"/>
                <w:sz w:val="24"/>
              </w:rPr>
            </w:pPr>
            <w:r>
              <w:rPr>
                <w:rFonts w:hint="eastAsia" w:ascii="仿宋" w:hAnsi="仿宋" w:eastAsia="仿宋" w:cs="宋体"/>
                <w:sz w:val="24"/>
              </w:rPr>
              <w:t xml:space="preserve"> 固态硬盘（SSD）：512GB</w:t>
            </w:r>
          </w:p>
          <w:p>
            <w:pPr>
              <w:snapToGrid w:val="0"/>
              <w:jc w:val="center"/>
              <w:rPr>
                <w:rFonts w:ascii="仿宋" w:hAnsi="仿宋" w:eastAsia="仿宋" w:cs="宋体"/>
                <w:sz w:val="24"/>
              </w:rPr>
            </w:pPr>
            <w:r>
              <w:rPr>
                <w:rFonts w:hint="eastAsia" w:ascii="仿宋" w:hAnsi="仿宋" w:eastAsia="仿宋" w:cs="宋体"/>
                <w:sz w:val="24"/>
              </w:rPr>
              <w:t>护眼全面屏</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大屏控制PAD</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CPU核心数：八核</w:t>
            </w:r>
          </w:p>
          <w:p>
            <w:pPr>
              <w:snapToGrid w:val="0"/>
              <w:jc w:val="center"/>
              <w:rPr>
                <w:rFonts w:ascii="仿宋" w:hAnsi="仿宋" w:eastAsia="仿宋" w:cs="宋体"/>
                <w:sz w:val="24"/>
              </w:rPr>
            </w:pPr>
            <w:r>
              <w:rPr>
                <w:rFonts w:hint="eastAsia" w:ascii="仿宋" w:hAnsi="仿宋" w:eastAsia="仿宋" w:cs="宋体"/>
                <w:sz w:val="24"/>
              </w:rPr>
              <w:t>内存容量：128GB</w:t>
            </w:r>
          </w:p>
          <w:p>
            <w:pPr>
              <w:snapToGrid w:val="0"/>
              <w:jc w:val="center"/>
              <w:rPr>
                <w:rFonts w:ascii="仿宋" w:hAnsi="仿宋" w:eastAsia="仿宋" w:cs="宋体"/>
                <w:sz w:val="24"/>
              </w:rPr>
            </w:pPr>
            <w:r>
              <w:rPr>
                <w:rFonts w:hint="eastAsia" w:ascii="仿宋" w:hAnsi="仿宋" w:eastAsia="仿宋" w:cs="宋体"/>
                <w:sz w:val="24"/>
              </w:rPr>
              <w:t>运行内存：6GB</w:t>
            </w:r>
          </w:p>
          <w:p>
            <w:pPr>
              <w:snapToGrid w:val="0"/>
              <w:jc w:val="center"/>
              <w:rPr>
                <w:rFonts w:ascii="仿宋" w:hAnsi="仿宋" w:eastAsia="仿宋" w:cs="宋体"/>
                <w:sz w:val="24"/>
              </w:rPr>
            </w:pPr>
            <w:r>
              <w:rPr>
                <w:rFonts w:hint="eastAsia" w:ascii="仿宋" w:hAnsi="仿宋" w:eastAsia="仿宋" w:cs="宋体"/>
                <w:sz w:val="24"/>
              </w:rPr>
              <w:t>屏幕尺寸：10.95英寸</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安防融合一体机</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软件功能：</w:t>
            </w:r>
          </w:p>
          <w:p>
            <w:pPr>
              <w:snapToGrid w:val="0"/>
              <w:jc w:val="center"/>
              <w:rPr>
                <w:rFonts w:ascii="仿宋" w:hAnsi="仿宋" w:eastAsia="仿宋" w:cs="宋体"/>
                <w:sz w:val="24"/>
              </w:rPr>
            </w:pPr>
            <w:r>
              <w:rPr>
                <w:rFonts w:hint="eastAsia" w:ascii="仿宋" w:hAnsi="仿宋" w:eastAsia="仿宋" w:cs="宋体"/>
                <w:sz w:val="24"/>
              </w:rPr>
              <w:t>1、接入事件检测数据、图片与视频</w:t>
            </w:r>
          </w:p>
          <w:p>
            <w:pPr>
              <w:snapToGrid w:val="0"/>
              <w:jc w:val="center"/>
              <w:rPr>
                <w:rFonts w:ascii="仿宋" w:hAnsi="仿宋" w:eastAsia="仿宋" w:cs="宋体"/>
                <w:sz w:val="24"/>
              </w:rPr>
            </w:pPr>
            <w:r>
              <w:rPr>
                <w:rFonts w:hint="eastAsia" w:ascii="仿宋" w:hAnsi="仿宋" w:eastAsia="仿宋" w:cs="宋体"/>
                <w:sz w:val="24"/>
              </w:rPr>
              <w:t>2、管理功能：设备管理、组织管理、角色管理、部门管理、用户管理、录像计划、报警预案、级联管理等基础功能；</w:t>
            </w:r>
          </w:p>
          <w:p>
            <w:pPr>
              <w:snapToGrid w:val="0"/>
              <w:jc w:val="center"/>
              <w:rPr>
                <w:rFonts w:ascii="仿宋" w:hAnsi="仿宋" w:eastAsia="仿宋" w:cs="宋体"/>
                <w:sz w:val="24"/>
              </w:rPr>
            </w:pPr>
            <w:r>
              <w:rPr>
                <w:rFonts w:hint="eastAsia" w:ascii="仿宋" w:hAnsi="仿宋" w:eastAsia="仿宋" w:cs="宋体"/>
                <w:sz w:val="24"/>
              </w:rPr>
              <w:t>3、平台运维功能：支持物理设备运维管理，服务运维管理，业务运维管理</w:t>
            </w:r>
          </w:p>
          <w:p>
            <w:pPr>
              <w:snapToGrid w:val="0"/>
              <w:jc w:val="center"/>
              <w:rPr>
                <w:rFonts w:ascii="仿宋" w:hAnsi="仿宋" w:eastAsia="仿宋" w:cs="宋体"/>
                <w:sz w:val="24"/>
              </w:rPr>
            </w:pPr>
            <w:r>
              <w:rPr>
                <w:rFonts w:hint="eastAsia" w:ascii="仿宋" w:hAnsi="仿宋" w:eastAsia="仿宋" w:cs="宋体"/>
                <w:sz w:val="24"/>
              </w:rPr>
              <w:t>4、统一门户：统一鉴权、统一门户登录功能；</w:t>
            </w:r>
          </w:p>
          <w:p>
            <w:pPr>
              <w:snapToGrid w:val="0"/>
              <w:jc w:val="center"/>
              <w:rPr>
                <w:rFonts w:ascii="仿宋" w:hAnsi="仿宋" w:eastAsia="仿宋" w:cs="宋体"/>
                <w:sz w:val="24"/>
              </w:rPr>
            </w:pPr>
            <w:r>
              <w:rPr>
                <w:rFonts w:hint="eastAsia" w:ascii="仿宋" w:hAnsi="仿宋" w:eastAsia="仿宋" w:cs="宋体"/>
                <w:sz w:val="24"/>
              </w:rPr>
              <w:t>图片存储能力：</w:t>
            </w:r>
          </w:p>
          <w:p>
            <w:pPr>
              <w:snapToGrid w:val="0"/>
              <w:jc w:val="center"/>
              <w:rPr>
                <w:rFonts w:ascii="仿宋" w:hAnsi="仿宋" w:eastAsia="仿宋" w:cs="宋体"/>
                <w:sz w:val="24"/>
              </w:rPr>
            </w:pPr>
            <w:r>
              <w:rPr>
                <w:rFonts w:hint="eastAsia" w:ascii="仿宋" w:hAnsi="仿宋" w:eastAsia="仿宋" w:cs="宋体"/>
                <w:sz w:val="24"/>
              </w:rPr>
              <w:t>1、不低于15TB图片存储空间</w:t>
            </w:r>
          </w:p>
          <w:p>
            <w:pPr>
              <w:snapToGrid w:val="0"/>
              <w:jc w:val="center"/>
              <w:rPr>
                <w:rFonts w:ascii="仿宋" w:hAnsi="仿宋" w:eastAsia="仿宋" w:cs="宋体"/>
                <w:sz w:val="24"/>
              </w:rPr>
            </w:pPr>
            <w:r>
              <w:rPr>
                <w:rFonts w:hint="eastAsia" w:ascii="仿宋" w:hAnsi="仿宋" w:eastAsia="仿宋" w:cs="宋体"/>
                <w:sz w:val="24"/>
              </w:rPr>
              <w:t>数据存储功能：</w:t>
            </w:r>
          </w:p>
          <w:p>
            <w:pPr>
              <w:snapToGrid w:val="0"/>
              <w:jc w:val="center"/>
              <w:rPr>
                <w:rFonts w:ascii="仿宋" w:hAnsi="仿宋" w:eastAsia="仿宋" w:cs="宋体"/>
                <w:sz w:val="24"/>
              </w:rPr>
            </w:pPr>
            <w:r>
              <w:rPr>
                <w:rFonts w:hint="eastAsia" w:ascii="仿宋" w:hAnsi="仿宋" w:eastAsia="仿宋" w:cs="宋体"/>
                <w:sz w:val="24"/>
              </w:rPr>
              <w:t>数据生命周期管理模块：支持接入的数据提供生命周期的管理；；</w:t>
            </w:r>
          </w:p>
          <w:p>
            <w:pPr>
              <w:snapToGrid w:val="0"/>
              <w:jc w:val="center"/>
              <w:rPr>
                <w:rFonts w:ascii="仿宋" w:hAnsi="仿宋" w:eastAsia="仿宋" w:cs="宋体"/>
                <w:sz w:val="24"/>
              </w:rPr>
            </w:pPr>
            <w:r>
              <w:rPr>
                <w:rFonts w:hint="eastAsia" w:ascii="仿宋" w:hAnsi="仿宋" w:eastAsia="仿宋" w:cs="宋体"/>
                <w:sz w:val="24"/>
              </w:rPr>
              <w:t>数据接入模块：针对实时流数据提供安全，可靠，可弹性扩展的数据传输平台，以消息流方式接入其他结构化数据；；</w:t>
            </w:r>
          </w:p>
          <w:p>
            <w:pPr>
              <w:snapToGrid w:val="0"/>
              <w:jc w:val="center"/>
              <w:rPr>
                <w:rFonts w:ascii="仿宋" w:hAnsi="仿宋" w:eastAsia="仿宋" w:cs="宋体"/>
                <w:sz w:val="24"/>
              </w:rPr>
            </w:pPr>
            <w:r>
              <w:rPr>
                <w:rFonts w:hint="eastAsia" w:ascii="仿宋" w:hAnsi="仿宋" w:eastAsia="仿宋" w:cs="宋体"/>
                <w:sz w:val="24"/>
              </w:rPr>
              <w:t>数据备份模块：支持对数据进行远程的备份功能;；</w:t>
            </w:r>
          </w:p>
          <w:p>
            <w:pPr>
              <w:snapToGrid w:val="0"/>
              <w:jc w:val="center"/>
              <w:rPr>
                <w:rFonts w:ascii="仿宋" w:hAnsi="仿宋" w:eastAsia="仿宋" w:cs="宋体"/>
                <w:sz w:val="24"/>
              </w:rPr>
            </w:pPr>
            <w:r>
              <w:rPr>
                <w:rFonts w:hint="eastAsia" w:ascii="仿宋" w:hAnsi="仿宋" w:eastAsia="仿宋" w:cs="宋体"/>
                <w:sz w:val="24"/>
              </w:rPr>
              <w:t>数据流量统计模块：支持对接入的数据进行流量统计，包括正常入库数据和异常入库数据等；；</w:t>
            </w:r>
          </w:p>
          <w:p>
            <w:pPr>
              <w:snapToGrid w:val="0"/>
              <w:jc w:val="center"/>
              <w:rPr>
                <w:rFonts w:ascii="仿宋" w:hAnsi="仿宋" w:eastAsia="仿宋" w:cs="宋体"/>
                <w:sz w:val="24"/>
              </w:rPr>
            </w:pPr>
            <w:r>
              <w:rPr>
                <w:rFonts w:hint="eastAsia" w:ascii="仿宋" w:hAnsi="仿宋" w:eastAsia="仿宋" w:cs="宋体"/>
                <w:sz w:val="24"/>
              </w:rPr>
              <w:t>数据实时接入模块：支持车辆、人像、Mac、RFID、交通业务等数据实时接入，支持数据入库前运维上自动建表；；</w:t>
            </w:r>
          </w:p>
          <w:p>
            <w:pPr>
              <w:snapToGrid w:val="0"/>
              <w:jc w:val="center"/>
              <w:rPr>
                <w:rFonts w:ascii="仿宋" w:hAnsi="仿宋" w:eastAsia="仿宋" w:cs="宋体"/>
                <w:sz w:val="24"/>
              </w:rPr>
            </w:pPr>
            <w:r>
              <w:rPr>
                <w:rFonts w:hint="eastAsia" w:ascii="仿宋" w:hAnsi="仿宋" w:eastAsia="仿宋" w:cs="宋体"/>
                <w:sz w:val="24"/>
              </w:rPr>
              <w:t>数据查询模块：数据查询服务是为上层服务提供统一REST接口，支持数据记录模糊查询、精确查询、关联查询；；</w:t>
            </w:r>
          </w:p>
          <w:p>
            <w:pPr>
              <w:snapToGrid w:val="0"/>
              <w:jc w:val="center"/>
              <w:rPr>
                <w:rFonts w:ascii="仿宋" w:hAnsi="仿宋" w:eastAsia="仿宋" w:cs="宋体"/>
                <w:sz w:val="24"/>
              </w:rPr>
            </w:pPr>
            <w:r>
              <w:rPr>
                <w:rFonts w:hint="eastAsia" w:ascii="仿宋" w:hAnsi="仿宋" w:eastAsia="仿宋" w:cs="宋体"/>
                <w:sz w:val="24"/>
              </w:rPr>
              <w:t>存储规格不低于：5亿规格数据库。</w:t>
            </w:r>
          </w:p>
          <w:p>
            <w:pPr>
              <w:snapToGrid w:val="0"/>
              <w:jc w:val="center"/>
              <w:rPr>
                <w:rFonts w:ascii="仿宋" w:hAnsi="仿宋" w:eastAsia="仿宋" w:cs="宋体"/>
                <w:sz w:val="24"/>
              </w:rPr>
            </w:pPr>
            <w:r>
              <w:rPr>
                <w:rFonts w:hint="eastAsia" w:ascii="仿宋" w:hAnsi="仿宋" w:eastAsia="仿宋" w:cs="宋体"/>
                <w:sz w:val="24"/>
              </w:rPr>
              <w:t>硬件参数不低于：</w:t>
            </w:r>
          </w:p>
          <w:p>
            <w:pPr>
              <w:snapToGrid w:val="0"/>
              <w:jc w:val="center"/>
              <w:rPr>
                <w:rFonts w:ascii="仿宋" w:hAnsi="仿宋" w:eastAsia="仿宋" w:cs="宋体"/>
                <w:kern w:val="0"/>
                <w:sz w:val="24"/>
              </w:rPr>
            </w:pPr>
            <w:r>
              <w:rPr>
                <w:rFonts w:hint="eastAsia" w:ascii="仿宋" w:hAnsi="仿宋" w:eastAsia="仿宋" w:cs="宋体"/>
                <w:sz w:val="24"/>
              </w:rPr>
              <w:t>CPU： 2* 24C/2.1GGPU ：3张智能卡内存：DDR4 32G*16 硬盘：2块2T 3.5吋 7.2K 6GbSATA热插拔硬盘；3块10T 3.5吋 7.2K 6GbSATA热插拔硬盘；5块960G 2.5吋 6GbSSD热插拔硬盘；网络接口 4个千兆网口硬盘接口 支持12个3.5寸 SAS/sataUSB接口 USB3.0 接口 4个VGA接口 2个VGA接口</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视频国标网关</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支持Web方式访问、配置、管理网关设备。</w:t>
            </w:r>
          </w:p>
          <w:p>
            <w:pPr>
              <w:snapToGrid w:val="0"/>
              <w:jc w:val="center"/>
              <w:rPr>
                <w:rFonts w:ascii="仿宋" w:hAnsi="仿宋" w:eastAsia="仿宋" w:cs="宋体"/>
                <w:sz w:val="24"/>
              </w:rPr>
            </w:pPr>
            <w:r>
              <w:rPr>
                <w:rFonts w:hint="eastAsia" w:ascii="仿宋" w:hAnsi="仿宋" w:eastAsia="仿宋" w:cs="宋体"/>
                <w:sz w:val="24"/>
              </w:rPr>
              <w:t>支持多平台多层次级联，跨域互联互通与资源共享。</w:t>
            </w:r>
          </w:p>
          <w:p>
            <w:pPr>
              <w:snapToGrid w:val="0"/>
              <w:jc w:val="center"/>
              <w:rPr>
                <w:rFonts w:ascii="仿宋" w:hAnsi="仿宋" w:eastAsia="仿宋" w:cs="宋体"/>
                <w:sz w:val="24"/>
              </w:rPr>
            </w:pPr>
            <w:r>
              <w:rPr>
                <w:rFonts w:hint="eastAsia" w:ascii="仿宋" w:hAnsi="仿宋" w:eastAsia="仿宋" w:cs="宋体"/>
                <w:sz w:val="24"/>
              </w:rPr>
              <w:t>支持联网标准协议GB/T 28181，具备符合上述协议的快速接入能力。</w:t>
            </w:r>
          </w:p>
          <w:p>
            <w:pPr>
              <w:snapToGrid w:val="0"/>
              <w:jc w:val="center"/>
              <w:rPr>
                <w:rFonts w:ascii="仿宋" w:hAnsi="仿宋" w:eastAsia="仿宋" w:cs="宋体"/>
                <w:sz w:val="24"/>
              </w:rPr>
            </w:pPr>
            <w:r>
              <w:rPr>
                <w:rFonts w:hint="eastAsia" w:ascii="仿宋" w:hAnsi="仿宋" w:eastAsia="仿宋" w:cs="宋体"/>
                <w:sz w:val="24"/>
              </w:rPr>
              <w:t>符合GB/T 28181-2011/GB/T 28181-2016、公安机关视频监控系统联网标准符合性检测要求。</w:t>
            </w:r>
          </w:p>
          <w:p>
            <w:pPr>
              <w:snapToGrid w:val="0"/>
              <w:jc w:val="center"/>
              <w:rPr>
                <w:rFonts w:ascii="仿宋" w:hAnsi="仿宋" w:eastAsia="仿宋" w:cs="宋体"/>
                <w:sz w:val="24"/>
              </w:rPr>
            </w:pPr>
            <w:r>
              <w:rPr>
                <w:rFonts w:hint="eastAsia" w:ascii="仿宋" w:hAnsi="仿宋" w:eastAsia="仿宋" w:cs="宋体"/>
                <w:sz w:val="24"/>
              </w:rPr>
              <w:t>支持平台联网管理基本功能，资源共享与同步、实时预览、云台控制、录像检索/回放/下载、设备控制、报警处理等。</w:t>
            </w:r>
          </w:p>
          <w:p>
            <w:pPr>
              <w:snapToGrid w:val="0"/>
              <w:jc w:val="center"/>
              <w:rPr>
                <w:rFonts w:ascii="仿宋" w:hAnsi="仿宋" w:eastAsia="仿宋" w:cs="宋体"/>
                <w:sz w:val="24"/>
              </w:rPr>
            </w:pPr>
            <w:r>
              <w:rPr>
                <w:rFonts w:hint="eastAsia" w:ascii="仿宋" w:hAnsi="仿宋" w:eastAsia="仿宋" w:cs="宋体"/>
                <w:sz w:val="24"/>
              </w:rPr>
              <w:t>支持至少3级级联部署，最大可支持16个外域的接入。</w:t>
            </w:r>
          </w:p>
          <w:p>
            <w:pPr>
              <w:snapToGrid w:val="0"/>
              <w:jc w:val="center"/>
              <w:rPr>
                <w:rFonts w:ascii="仿宋" w:hAnsi="仿宋" w:eastAsia="仿宋" w:cs="宋体"/>
                <w:sz w:val="24"/>
              </w:rPr>
            </w:pPr>
            <w:r>
              <w:rPr>
                <w:rFonts w:hint="eastAsia" w:ascii="仿宋" w:hAnsi="仿宋" w:eastAsia="仿宋" w:cs="宋体"/>
                <w:sz w:val="24"/>
              </w:rPr>
              <w:t>项目部署中具备高度的开放性与兼容性，支持国内主流厂商（包括海康、科达、宇视、天地伟业等）视频监控系统的接入。</w:t>
            </w:r>
          </w:p>
          <w:p>
            <w:pPr>
              <w:snapToGrid w:val="0"/>
              <w:jc w:val="center"/>
              <w:rPr>
                <w:rFonts w:ascii="仿宋" w:hAnsi="仿宋" w:eastAsia="仿宋" w:cs="宋体"/>
                <w:kern w:val="0"/>
                <w:sz w:val="24"/>
              </w:rPr>
            </w:pPr>
            <w:r>
              <w:rPr>
                <w:rFonts w:hint="eastAsia" w:ascii="仿宋" w:hAnsi="仿宋" w:eastAsia="仿宋" w:cs="宋体"/>
                <w:sz w:val="24"/>
              </w:rPr>
              <w:t>支持2万路视频级联和汇聚</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客流分析服务器</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1、处理器：高性能X86架构处理器*1（8C/2.8GHz）；</w:t>
            </w:r>
          </w:p>
          <w:p>
            <w:pPr>
              <w:snapToGrid w:val="0"/>
              <w:jc w:val="center"/>
              <w:rPr>
                <w:rFonts w:ascii="仿宋" w:hAnsi="仿宋" w:eastAsia="仿宋" w:cs="宋体"/>
                <w:sz w:val="24"/>
              </w:rPr>
            </w:pPr>
            <w:r>
              <w:rPr>
                <w:rFonts w:hint="eastAsia" w:ascii="仿宋" w:hAnsi="仿宋" w:eastAsia="仿宋" w:cs="宋体"/>
                <w:sz w:val="24"/>
              </w:rPr>
              <w:t>2、GPU：4张高性能GPU卡；单卡提供64TOPS INT8算力；（整机16颗引擎）</w:t>
            </w:r>
          </w:p>
          <w:p>
            <w:pPr>
              <w:snapToGrid w:val="0"/>
              <w:jc w:val="center"/>
              <w:rPr>
                <w:rFonts w:ascii="仿宋" w:hAnsi="仿宋" w:eastAsia="仿宋" w:cs="宋体"/>
                <w:sz w:val="24"/>
              </w:rPr>
            </w:pPr>
            <w:r>
              <w:rPr>
                <w:rFonts w:hint="eastAsia" w:ascii="仿宋" w:hAnsi="仿宋" w:eastAsia="仿宋" w:cs="宋体"/>
                <w:sz w:val="24"/>
              </w:rPr>
              <w:t>3、内存： 16G DDR4；</w:t>
            </w:r>
          </w:p>
          <w:p>
            <w:pPr>
              <w:snapToGrid w:val="0"/>
              <w:jc w:val="center"/>
              <w:rPr>
                <w:rFonts w:ascii="仿宋" w:hAnsi="仿宋" w:eastAsia="仿宋" w:cs="宋体"/>
                <w:sz w:val="24"/>
              </w:rPr>
            </w:pPr>
            <w:r>
              <w:rPr>
                <w:rFonts w:hint="eastAsia" w:ascii="仿宋" w:hAnsi="仿宋" w:eastAsia="仿宋" w:cs="宋体"/>
                <w:sz w:val="24"/>
              </w:rPr>
              <w:t>4、硬盘：240GB SSD × 2；</w:t>
            </w:r>
          </w:p>
          <w:p>
            <w:pPr>
              <w:snapToGrid w:val="0"/>
              <w:jc w:val="center"/>
              <w:rPr>
                <w:rFonts w:ascii="仿宋" w:hAnsi="仿宋" w:eastAsia="仿宋" w:cs="宋体"/>
                <w:sz w:val="24"/>
              </w:rPr>
            </w:pPr>
            <w:r>
              <w:rPr>
                <w:rFonts w:hint="eastAsia" w:ascii="仿宋" w:hAnsi="仿宋" w:eastAsia="仿宋" w:cs="宋体"/>
                <w:sz w:val="24"/>
              </w:rPr>
              <w:t>5、数据接口：4个千兆自适应网口，6个USB接口，1个VGA接口；</w:t>
            </w:r>
          </w:p>
          <w:p>
            <w:pPr>
              <w:snapToGrid w:val="0"/>
              <w:jc w:val="center"/>
              <w:rPr>
                <w:rFonts w:ascii="仿宋" w:hAnsi="仿宋" w:eastAsia="仿宋" w:cs="宋体"/>
                <w:b/>
                <w:bCs/>
                <w:kern w:val="0"/>
                <w:sz w:val="24"/>
              </w:rPr>
            </w:pPr>
            <w:r>
              <w:rPr>
                <w:rFonts w:hint="eastAsia" w:ascii="仿宋" w:hAnsi="仿宋" w:eastAsia="仿宋" w:cs="宋体"/>
                <w:b/>
                <w:bCs/>
                <w:kern w:val="0"/>
                <w:sz w:val="24"/>
              </w:rPr>
              <w:t>6、支持通过客户端对周界、室内、街面及态势行为等场景下的智能规则进行配置，实现实时监测并在触发异常行为时产生报警（需提供第三方专业检测机构检测报告复印件或扫描件并加盖公章）；</w:t>
            </w:r>
          </w:p>
          <w:p>
            <w:pPr>
              <w:snapToGrid w:val="0"/>
              <w:jc w:val="center"/>
              <w:rPr>
                <w:rFonts w:ascii="仿宋" w:hAnsi="仿宋" w:eastAsia="仿宋" w:cs="宋体"/>
                <w:sz w:val="24"/>
              </w:rPr>
            </w:pPr>
            <w:r>
              <w:rPr>
                <w:rFonts w:hint="eastAsia" w:ascii="仿宋" w:hAnsi="仿宋" w:eastAsia="仿宋" w:cs="宋体"/>
                <w:sz w:val="24"/>
              </w:rPr>
              <w:t>7、支持设置异常事件侦测区域，可设置为封闭正方形、长方形、三角形和多边形等区域，封闭多边形最多边数不少于16个，也可设置为一条具有方向的布控线；</w:t>
            </w:r>
          </w:p>
          <w:p>
            <w:pPr>
              <w:snapToGrid w:val="0"/>
              <w:jc w:val="center"/>
              <w:rPr>
                <w:rFonts w:ascii="仿宋" w:hAnsi="仿宋" w:eastAsia="仿宋" w:cs="宋体"/>
                <w:b/>
                <w:bCs/>
                <w:kern w:val="0"/>
                <w:sz w:val="24"/>
              </w:rPr>
            </w:pPr>
            <w:r>
              <w:rPr>
                <w:rFonts w:hint="eastAsia" w:ascii="仿宋" w:hAnsi="仿宋" w:eastAsia="仿宋" w:cs="宋体"/>
                <w:b/>
                <w:bCs/>
                <w:kern w:val="0"/>
                <w:sz w:val="24"/>
              </w:rPr>
              <w:t>8、支持不同用户按需可视化设置布防规则，包括异常事件侦测报警种类、报警阈值、布防启动时间和撤防时间，并可按小时、日、周设定重复周期（需提供第三方专业检测机构检测报告复印件或扫描件并加盖公章）；</w:t>
            </w:r>
          </w:p>
          <w:p>
            <w:pPr>
              <w:snapToGrid w:val="0"/>
              <w:jc w:val="center"/>
              <w:rPr>
                <w:rFonts w:ascii="仿宋" w:hAnsi="仿宋" w:eastAsia="仿宋" w:cs="宋体"/>
                <w:sz w:val="24"/>
              </w:rPr>
            </w:pPr>
            <w:r>
              <w:rPr>
                <w:rFonts w:hint="eastAsia" w:ascii="仿宋" w:hAnsi="仿宋" w:eastAsia="仿宋" w:cs="宋体"/>
                <w:sz w:val="24"/>
              </w:rPr>
              <w:t>9、规则配置检查：支持通过客户端对剧烈运动、重点人员起身、人员攀高、超时滞留、声强突变、人数异常、人员站立、人员静坐、区域人数检测等智能规则进行配置；</w:t>
            </w:r>
          </w:p>
          <w:p>
            <w:pPr>
              <w:snapToGrid w:val="0"/>
              <w:jc w:val="center"/>
              <w:rPr>
                <w:rFonts w:ascii="仿宋" w:hAnsi="仿宋" w:eastAsia="仿宋" w:cs="宋体"/>
                <w:sz w:val="24"/>
              </w:rPr>
            </w:pPr>
            <w:r>
              <w:rPr>
                <w:rFonts w:hint="eastAsia" w:ascii="仿宋" w:hAnsi="仿宋" w:eastAsia="仿宋" w:cs="宋体"/>
                <w:sz w:val="24"/>
              </w:rPr>
              <w:t>10、客流统计：支持对检测区域内经过的客流进行分析统计并输出实时的客流信息（进入区域人数、离开区域人数）；</w:t>
            </w:r>
          </w:p>
          <w:p>
            <w:pPr>
              <w:snapToGrid w:val="0"/>
              <w:jc w:val="center"/>
              <w:rPr>
                <w:rFonts w:ascii="仿宋" w:hAnsi="仿宋" w:eastAsia="仿宋" w:cs="宋体"/>
                <w:sz w:val="24"/>
              </w:rPr>
            </w:pPr>
            <w:r>
              <w:rPr>
                <w:rFonts w:hint="eastAsia" w:ascii="仿宋" w:hAnsi="仿宋" w:eastAsia="仿宋" w:cs="宋体"/>
                <w:sz w:val="24"/>
              </w:rPr>
              <w:t>11、超时滞留报警：支持在设定区域范围内，人员滞留时间超过设定值时自动侦测并支持触发报警、上传报警抓拍图片等功能；</w:t>
            </w:r>
          </w:p>
          <w:p>
            <w:pPr>
              <w:snapToGrid w:val="0"/>
              <w:jc w:val="center"/>
              <w:rPr>
                <w:rFonts w:ascii="仿宋" w:hAnsi="仿宋" w:eastAsia="仿宋" w:cs="宋体"/>
                <w:b/>
                <w:bCs/>
                <w:kern w:val="0"/>
                <w:sz w:val="24"/>
              </w:rPr>
            </w:pPr>
            <w:r>
              <w:rPr>
                <w:rFonts w:hint="eastAsia" w:ascii="仿宋" w:hAnsi="仿宋" w:eastAsia="仿宋" w:cs="宋体"/>
                <w:b/>
                <w:bCs/>
                <w:kern w:val="0"/>
                <w:sz w:val="24"/>
              </w:rPr>
              <w:t>12、人数异常报警：支持对检测区域人数大于、等于、小于、不等于某一设定人数且持续时间超过设定值时产生告警事件并抓拍图片（需提供第三方专业检测机构检测报告复印件或扫描件并加盖公章）；</w:t>
            </w:r>
          </w:p>
          <w:p>
            <w:pPr>
              <w:snapToGrid w:val="0"/>
              <w:jc w:val="center"/>
              <w:rPr>
                <w:rFonts w:ascii="仿宋" w:hAnsi="仿宋" w:eastAsia="仿宋" w:cs="宋体"/>
                <w:sz w:val="24"/>
              </w:rPr>
            </w:pPr>
            <w:r>
              <w:rPr>
                <w:rFonts w:hint="eastAsia" w:ascii="仿宋" w:hAnsi="仿宋" w:eastAsia="仿宋" w:cs="宋体"/>
                <w:sz w:val="24"/>
              </w:rPr>
              <w:t>13、区域人数检测：对划定区域内的人数进行统计并支持配置固定时间上报；</w:t>
            </w:r>
          </w:p>
          <w:p>
            <w:pPr>
              <w:snapToGrid w:val="0"/>
              <w:jc w:val="center"/>
              <w:rPr>
                <w:rFonts w:ascii="仿宋" w:hAnsi="仿宋" w:eastAsia="仿宋" w:cs="宋体"/>
                <w:sz w:val="24"/>
              </w:rPr>
            </w:pPr>
            <w:r>
              <w:rPr>
                <w:rFonts w:hint="eastAsia" w:ascii="仿宋" w:hAnsi="仿宋" w:eastAsia="仿宋" w:cs="宋体"/>
                <w:sz w:val="24"/>
              </w:rPr>
              <w:t>14、人员聚集报警：支持对检测区域内的人员聚集行为进行检测触发报警，支持配置聚集人数，并可上传出抓拍报警图片等功能；</w:t>
            </w:r>
          </w:p>
          <w:p>
            <w:pPr>
              <w:snapToGrid w:val="0"/>
              <w:jc w:val="center"/>
              <w:rPr>
                <w:rFonts w:ascii="仿宋" w:hAnsi="仿宋" w:eastAsia="仿宋" w:cs="宋体"/>
                <w:sz w:val="24"/>
              </w:rPr>
            </w:pPr>
            <w:r>
              <w:rPr>
                <w:rFonts w:hint="eastAsia" w:ascii="仿宋" w:hAnsi="仿宋" w:eastAsia="仿宋" w:cs="宋体"/>
                <w:sz w:val="24"/>
              </w:rPr>
              <w:t>15、人员倒地报警：支持对室外检测区域内有人员倒地不起，且持续超过设定时间后触发报警并上传报警抓拍图片；</w:t>
            </w:r>
          </w:p>
          <w:p>
            <w:pPr>
              <w:snapToGrid w:val="0"/>
              <w:jc w:val="center"/>
              <w:rPr>
                <w:rFonts w:ascii="仿宋" w:hAnsi="仿宋" w:eastAsia="仿宋" w:cs="宋体"/>
                <w:b/>
                <w:bCs/>
                <w:kern w:val="0"/>
                <w:sz w:val="24"/>
              </w:rPr>
            </w:pPr>
            <w:r>
              <w:rPr>
                <w:rFonts w:hint="eastAsia" w:ascii="仿宋" w:hAnsi="仿宋" w:eastAsia="仿宋" w:cs="宋体"/>
                <w:b/>
                <w:bCs/>
                <w:kern w:val="0"/>
                <w:sz w:val="24"/>
              </w:rPr>
              <w:t>16、支持对场景进行全帧率人数实时统计，绘制出人群热度图并实时展示（需提供第三方专业检测机构检测报告复印件或扫描件并加盖公章）；</w:t>
            </w:r>
          </w:p>
          <w:p>
            <w:pPr>
              <w:snapToGrid w:val="0"/>
              <w:jc w:val="center"/>
              <w:rPr>
                <w:rFonts w:ascii="仿宋" w:hAnsi="仿宋" w:eastAsia="仿宋" w:cs="宋体"/>
                <w:sz w:val="24"/>
              </w:rPr>
            </w:pPr>
            <w:r>
              <w:rPr>
                <w:rFonts w:hint="eastAsia" w:ascii="仿宋" w:hAnsi="仿宋" w:eastAsia="仿宋" w:cs="宋体"/>
                <w:sz w:val="24"/>
              </w:rPr>
              <w:t>17、区域人数：支持对区域内的精确人数进行统计分析并实时输出人数信息（画面中行为分析对象需漏出头肩）；</w:t>
            </w:r>
          </w:p>
          <w:p>
            <w:pPr>
              <w:snapToGrid w:val="0"/>
              <w:jc w:val="center"/>
              <w:rPr>
                <w:rFonts w:ascii="仿宋" w:hAnsi="仿宋" w:eastAsia="仿宋" w:cs="宋体"/>
                <w:sz w:val="24"/>
              </w:rPr>
            </w:pPr>
            <w:r>
              <w:rPr>
                <w:rFonts w:hint="eastAsia" w:ascii="仿宋" w:hAnsi="仿宋" w:eastAsia="仿宋" w:cs="宋体"/>
                <w:sz w:val="24"/>
              </w:rPr>
              <w:t>18、支持对单台设备或者集群内GPU芯片的使用及运行状态进行检查，出现异常时进行提醒；</w:t>
            </w:r>
          </w:p>
          <w:p>
            <w:pPr>
              <w:snapToGrid w:val="0"/>
              <w:jc w:val="center"/>
              <w:rPr>
                <w:rFonts w:ascii="仿宋" w:hAnsi="仿宋" w:eastAsia="仿宋" w:cs="宋体"/>
                <w:kern w:val="0"/>
                <w:sz w:val="24"/>
              </w:rPr>
            </w:pPr>
            <w:r>
              <w:rPr>
                <w:rFonts w:hint="eastAsia" w:ascii="仿宋" w:hAnsi="仿宋" w:eastAsia="仿宋" w:cs="宋体"/>
                <w:sz w:val="24"/>
              </w:rPr>
              <w:t>19、支持AI模型进行增加、删除、查询管理操作，支持新增上传不少于32个模型；</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通用服务器（安可）</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CPU芯片/BIOS固件 海光 C86 5280 主频 2.5GHz 核数：16 路数：2</w:t>
            </w:r>
          </w:p>
          <w:p>
            <w:pPr>
              <w:snapToGrid w:val="0"/>
              <w:jc w:val="center"/>
              <w:rPr>
                <w:rFonts w:ascii="仿宋" w:hAnsi="仿宋" w:eastAsia="仿宋" w:cs="宋体"/>
                <w:sz w:val="24"/>
              </w:rPr>
            </w:pPr>
            <w:r>
              <w:rPr>
                <w:rFonts w:hint="eastAsia" w:ascii="仿宋" w:hAnsi="仿宋" w:eastAsia="仿宋" w:cs="宋体"/>
                <w:sz w:val="24"/>
              </w:rPr>
              <w:t>容量：128GB 扩展：最大支持2048GB</w:t>
            </w:r>
          </w:p>
          <w:p>
            <w:pPr>
              <w:snapToGrid w:val="0"/>
              <w:jc w:val="center"/>
              <w:rPr>
                <w:rFonts w:ascii="仿宋" w:hAnsi="仿宋" w:eastAsia="仿宋" w:cs="宋体"/>
                <w:kern w:val="0"/>
                <w:sz w:val="24"/>
              </w:rPr>
            </w:pPr>
            <w:r>
              <w:rPr>
                <w:rFonts w:hint="eastAsia" w:ascii="仿宋" w:hAnsi="仿宋" w:eastAsia="仿宋" w:cs="宋体"/>
                <w:sz w:val="24"/>
              </w:rPr>
              <w:t>类型：SATA SSD+SATA HDD 容量：480GB*1+2T*4 扩展：支持18个（12个2.5/3.5寸，4个2.5寸，2个M.2）盘位。</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16</w:t>
            </w:r>
          </w:p>
        </w:tc>
        <w:tc>
          <w:tcPr>
            <w:tcW w:w="713" w:type="dxa"/>
            <w:vMerge w:val="restart"/>
            <w:tcBorders>
              <w:top w:val="nil"/>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其他设备</w:t>
            </w: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一体化车辆道闸</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高度集成：快速道闸、智能抓拍机、补光灯、LCD屏、防砸雷达、求助按钮、语音播报、语音对讲于一体</w:t>
            </w:r>
          </w:p>
          <w:p>
            <w:pPr>
              <w:snapToGrid w:val="0"/>
              <w:jc w:val="center"/>
              <w:rPr>
                <w:rFonts w:ascii="仿宋" w:hAnsi="仿宋" w:eastAsia="仿宋" w:cs="宋体"/>
                <w:sz w:val="24"/>
              </w:rPr>
            </w:pPr>
            <w:r>
              <w:rPr>
                <w:rFonts w:hint="eastAsia" w:ascii="仿宋" w:hAnsi="仿宋" w:eastAsia="仿宋" w:cs="宋体"/>
                <w:sz w:val="24"/>
              </w:rPr>
              <w:t>高清晰：400万像素高清摄像机，最大分辨率可达2688*1520，帧率高达25fps；</w:t>
            </w:r>
          </w:p>
          <w:p>
            <w:pPr>
              <w:snapToGrid w:val="0"/>
              <w:jc w:val="center"/>
              <w:rPr>
                <w:rFonts w:ascii="仿宋" w:hAnsi="仿宋" w:eastAsia="仿宋" w:cs="宋体"/>
                <w:sz w:val="24"/>
              </w:rPr>
            </w:pPr>
            <w:r>
              <w:rPr>
                <w:rFonts w:hint="eastAsia" w:ascii="仿宋" w:hAnsi="仿宋" w:eastAsia="仿宋" w:cs="宋体"/>
                <w:sz w:val="24"/>
              </w:rPr>
              <w:t>支持本地存储黑名单，数据可达100000条。</w:t>
            </w:r>
          </w:p>
          <w:p>
            <w:pPr>
              <w:snapToGrid w:val="0"/>
              <w:jc w:val="center"/>
              <w:rPr>
                <w:rFonts w:ascii="仿宋" w:hAnsi="仿宋" w:eastAsia="仿宋" w:cs="宋体"/>
                <w:sz w:val="24"/>
              </w:rPr>
            </w:pPr>
            <w:r>
              <w:rPr>
                <w:rFonts w:hint="eastAsia" w:ascii="仿宋" w:hAnsi="仿宋" w:eastAsia="仿宋" w:cs="宋体"/>
                <w:sz w:val="24"/>
              </w:rPr>
              <w:t>可通过数码管显示当前运行状态，故障时显示故障代码，并可显示参数设置菜单。</w:t>
            </w:r>
          </w:p>
          <w:p>
            <w:pPr>
              <w:snapToGrid w:val="0"/>
              <w:jc w:val="center"/>
              <w:rPr>
                <w:rFonts w:ascii="仿宋" w:hAnsi="仿宋" w:eastAsia="仿宋" w:cs="宋体"/>
                <w:sz w:val="24"/>
              </w:rPr>
            </w:pPr>
            <w:r>
              <w:rPr>
                <w:rFonts w:hint="eastAsia" w:ascii="仿宋" w:hAnsi="仿宋" w:eastAsia="仿宋" w:cs="宋体"/>
                <w:sz w:val="24"/>
              </w:rPr>
              <w:t>防跟车模式：支持视频防跟车、雷达/线圈防跟车两种模式，对于连续过车的场景，可实现跟车不落杆，有效解决拥堵问题；</w:t>
            </w:r>
          </w:p>
          <w:p>
            <w:pPr>
              <w:snapToGrid w:val="0"/>
              <w:jc w:val="center"/>
              <w:rPr>
                <w:rFonts w:ascii="仿宋" w:hAnsi="仿宋" w:eastAsia="仿宋" w:cs="宋体"/>
                <w:sz w:val="24"/>
              </w:rPr>
            </w:pPr>
            <w:r>
              <w:rPr>
                <w:rFonts w:hint="eastAsia" w:ascii="仿宋" w:hAnsi="仿宋" w:eastAsia="仿宋" w:cs="宋体"/>
                <w:sz w:val="24"/>
              </w:rPr>
              <w:t>传感器类型：1/3" Progressive Scan CMOS</w:t>
            </w:r>
          </w:p>
          <w:p>
            <w:pPr>
              <w:snapToGrid w:val="0"/>
              <w:jc w:val="center"/>
              <w:rPr>
                <w:rFonts w:ascii="仿宋" w:hAnsi="仿宋" w:eastAsia="仿宋" w:cs="宋体"/>
                <w:sz w:val="24"/>
              </w:rPr>
            </w:pPr>
            <w:r>
              <w:rPr>
                <w:rFonts w:hint="eastAsia" w:ascii="仿宋" w:hAnsi="仿宋" w:eastAsia="仿宋" w:cs="宋体"/>
                <w:sz w:val="24"/>
              </w:rPr>
              <w:t>最低照度：0.002lx（F=1.5，AGC ON，彩色模式），能基本分辨被摄目标的轮廓特征和色彩。0.0002lx（F=1.5，AGC ON，黑白模式），能基本分辨被摄目标的轮廓特征。</w:t>
            </w:r>
          </w:p>
          <w:p>
            <w:pPr>
              <w:snapToGrid w:val="0"/>
              <w:jc w:val="center"/>
              <w:rPr>
                <w:rFonts w:ascii="仿宋" w:hAnsi="仿宋" w:eastAsia="仿宋" w:cs="宋体"/>
                <w:sz w:val="24"/>
              </w:rPr>
            </w:pPr>
            <w:r>
              <w:rPr>
                <w:rFonts w:hint="eastAsia" w:ascii="仿宋" w:hAnsi="仿宋" w:eastAsia="仿宋" w:cs="宋体"/>
                <w:sz w:val="24"/>
              </w:rPr>
              <w:t>断网下事件记录数最大为100000条，用户数最大为15000条。</w:t>
            </w:r>
          </w:p>
          <w:p>
            <w:pPr>
              <w:snapToGrid w:val="0"/>
              <w:jc w:val="center"/>
              <w:rPr>
                <w:rFonts w:ascii="仿宋" w:hAnsi="仿宋" w:eastAsia="仿宋" w:cs="宋体"/>
                <w:sz w:val="24"/>
              </w:rPr>
            </w:pPr>
            <w:r>
              <w:rPr>
                <w:rFonts w:hint="eastAsia" w:ascii="仿宋" w:hAnsi="仿宋" w:eastAsia="仿宋" w:cs="宋体"/>
                <w:sz w:val="24"/>
              </w:rPr>
              <w:t>快门：1/30秒至1/100,000秒</w:t>
            </w:r>
          </w:p>
          <w:p>
            <w:pPr>
              <w:snapToGrid w:val="0"/>
              <w:jc w:val="center"/>
              <w:rPr>
                <w:rFonts w:ascii="仿宋" w:hAnsi="仿宋" w:eastAsia="仿宋" w:cs="宋体"/>
                <w:sz w:val="24"/>
              </w:rPr>
            </w:pPr>
            <w:r>
              <w:rPr>
                <w:rFonts w:hint="eastAsia" w:ascii="仿宋" w:hAnsi="仿宋" w:eastAsia="仿宋" w:cs="宋体"/>
                <w:sz w:val="24"/>
              </w:rPr>
              <w:t>镜头：3.1～6mm电动变焦镜头</w:t>
            </w:r>
          </w:p>
          <w:p>
            <w:pPr>
              <w:snapToGrid w:val="0"/>
              <w:jc w:val="center"/>
              <w:rPr>
                <w:rFonts w:ascii="仿宋" w:hAnsi="仿宋" w:eastAsia="仿宋" w:cs="宋体"/>
                <w:sz w:val="24"/>
              </w:rPr>
            </w:pPr>
            <w:r>
              <w:rPr>
                <w:rFonts w:hint="eastAsia" w:ascii="仿宋" w:hAnsi="仿宋" w:eastAsia="仿宋" w:cs="宋体"/>
                <w:sz w:val="24"/>
              </w:rPr>
              <w:t>日夜转换模式：ICR红外滤片式</w:t>
            </w:r>
          </w:p>
          <w:p>
            <w:pPr>
              <w:snapToGrid w:val="0"/>
              <w:jc w:val="center"/>
              <w:rPr>
                <w:rFonts w:ascii="仿宋" w:hAnsi="仿宋" w:eastAsia="仿宋" w:cs="宋体"/>
                <w:sz w:val="24"/>
              </w:rPr>
            </w:pPr>
            <w:r>
              <w:rPr>
                <w:rFonts w:hint="eastAsia" w:ascii="仿宋" w:hAnsi="仿宋" w:eastAsia="仿宋" w:cs="宋体"/>
                <w:sz w:val="24"/>
              </w:rPr>
              <w:t>支持对打印车牌、单独车牌照片和单独车牌等虚假车牌进行过滤。</w:t>
            </w:r>
          </w:p>
          <w:p>
            <w:pPr>
              <w:snapToGrid w:val="0"/>
              <w:jc w:val="center"/>
              <w:rPr>
                <w:rFonts w:ascii="仿宋" w:hAnsi="仿宋" w:eastAsia="仿宋" w:cs="宋体"/>
                <w:sz w:val="24"/>
              </w:rPr>
            </w:pPr>
            <w:r>
              <w:rPr>
                <w:rFonts w:hint="eastAsia" w:ascii="仿宋" w:hAnsi="仿宋" w:eastAsia="仿宋" w:cs="宋体"/>
                <w:sz w:val="24"/>
              </w:rPr>
              <w:t>支持增加、编辑、删除用户。支持设置用户权限。</w:t>
            </w:r>
          </w:p>
          <w:p>
            <w:pPr>
              <w:snapToGrid w:val="0"/>
              <w:jc w:val="center"/>
              <w:rPr>
                <w:rFonts w:ascii="仿宋" w:hAnsi="仿宋" w:eastAsia="仿宋" w:cs="宋体"/>
                <w:sz w:val="24"/>
              </w:rPr>
            </w:pPr>
            <w:r>
              <w:rPr>
                <w:rFonts w:hint="eastAsia" w:ascii="仿宋" w:hAnsi="仿宋" w:eastAsia="仿宋" w:cs="宋体"/>
                <w:sz w:val="24"/>
              </w:rPr>
              <w:t>最大图像尺寸：2688*1520</w:t>
            </w:r>
          </w:p>
          <w:p>
            <w:pPr>
              <w:snapToGrid w:val="0"/>
              <w:jc w:val="center"/>
              <w:rPr>
                <w:rFonts w:ascii="仿宋" w:hAnsi="仿宋" w:eastAsia="仿宋" w:cs="宋体"/>
                <w:sz w:val="24"/>
              </w:rPr>
            </w:pPr>
            <w:r>
              <w:rPr>
                <w:rFonts w:hint="eastAsia" w:ascii="仿宋" w:hAnsi="仿宋" w:eastAsia="仿宋" w:cs="宋体"/>
                <w:sz w:val="24"/>
              </w:rPr>
              <w:t>帧率：25fps(2688*1520)</w:t>
            </w:r>
          </w:p>
          <w:p>
            <w:pPr>
              <w:snapToGrid w:val="0"/>
              <w:jc w:val="center"/>
              <w:rPr>
                <w:rFonts w:ascii="仿宋" w:hAnsi="仿宋" w:eastAsia="仿宋" w:cs="宋体"/>
                <w:sz w:val="24"/>
              </w:rPr>
            </w:pPr>
            <w:r>
              <w:rPr>
                <w:rFonts w:hint="eastAsia" w:ascii="仿宋" w:hAnsi="仿宋" w:eastAsia="仿宋" w:cs="宋体"/>
                <w:sz w:val="24"/>
              </w:rPr>
              <w:t>图像设置：饱和度,亮度,对比度,白平衡,增益,3D降噪通过软件可调</w:t>
            </w:r>
          </w:p>
          <w:p>
            <w:pPr>
              <w:snapToGrid w:val="0"/>
              <w:jc w:val="center"/>
              <w:rPr>
                <w:rFonts w:ascii="仿宋" w:hAnsi="仿宋" w:eastAsia="仿宋" w:cs="宋体"/>
                <w:sz w:val="24"/>
              </w:rPr>
            </w:pPr>
            <w:r>
              <w:rPr>
                <w:rFonts w:hint="eastAsia" w:ascii="仿宋" w:hAnsi="仿宋" w:eastAsia="仿宋" w:cs="宋体"/>
                <w:sz w:val="24"/>
              </w:rPr>
              <w:t>智能识别：车牌识别、车型识别、车标识别、车辆子品牌，车身颜色识别</w:t>
            </w:r>
          </w:p>
          <w:p>
            <w:pPr>
              <w:snapToGrid w:val="0"/>
              <w:jc w:val="center"/>
              <w:rPr>
                <w:rFonts w:ascii="仿宋" w:hAnsi="仿宋" w:eastAsia="仿宋" w:cs="宋体"/>
                <w:sz w:val="24"/>
              </w:rPr>
            </w:pPr>
            <w:r>
              <w:rPr>
                <w:rFonts w:hint="eastAsia" w:ascii="仿宋" w:hAnsi="仿宋" w:eastAsia="仿宋" w:cs="宋体"/>
                <w:sz w:val="24"/>
              </w:rPr>
              <w:t>补光灯控制：补光灯自动光控、时控可选；</w:t>
            </w:r>
          </w:p>
          <w:p>
            <w:pPr>
              <w:snapToGrid w:val="0"/>
              <w:jc w:val="center"/>
              <w:rPr>
                <w:rFonts w:ascii="仿宋" w:hAnsi="仿宋" w:eastAsia="仿宋" w:cs="宋体"/>
                <w:sz w:val="24"/>
              </w:rPr>
            </w:pPr>
            <w:r>
              <w:rPr>
                <w:rFonts w:hint="eastAsia" w:ascii="仿宋" w:hAnsi="仿宋" w:eastAsia="仿宋" w:cs="宋体"/>
                <w:sz w:val="24"/>
              </w:rPr>
              <w:t>杆子类型：曲臂</w:t>
            </w:r>
          </w:p>
          <w:p>
            <w:pPr>
              <w:snapToGrid w:val="0"/>
              <w:jc w:val="center"/>
              <w:rPr>
                <w:rFonts w:ascii="仿宋" w:hAnsi="仿宋" w:eastAsia="仿宋" w:cs="宋体"/>
                <w:sz w:val="24"/>
              </w:rPr>
            </w:pPr>
            <w:r>
              <w:rPr>
                <w:rFonts w:hint="eastAsia" w:ascii="仿宋" w:hAnsi="仿宋" w:eastAsia="仿宋" w:cs="宋体"/>
                <w:sz w:val="24"/>
              </w:rPr>
              <w:t>杆子长度：1.5+1.5米</w:t>
            </w:r>
          </w:p>
          <w:p>
            <w:pPr>
              <w:snapToGrid w:val="0"/>
              <w:jc w:val="center"/>
              <w:rPr>
                <w:rFonts w:ascii="仿宋" w:hAnsi="仿宋" w:eastAsia="仿宋" w:cs="宋体"/>
                <w:sz w:val="24"/>
              </w:rPr>
            </w:pPr>
            <w:r>
              <w:rPr>
                <w:rFonts w:hint="eastAsia" w:ascii="仿宋" w:hAnsi="仿宋" w:eastAsia="仿宋" w:cs="宋体"/>
                <w:sz w:val="24"/>
              </w:rPr>
              <w:t>道闸方向：左向</w:t>
            </w:r>
          </w:p>
          <w:p>
            <w:pPr>
              <w:snapToGrid w:val="0"/>
              <w:jc w:val="center"/>
              <w:rPr>
                <w:rFonts w:ascii="仿宋" w:hAnsi="仿宋" w:eastAsia="仿宋" w:cs="宋体"/>
                <w:sz w:val="24"/>
              </w:rPr>
            </w:pPr>
            <w:r>
              <w:rPr>
                <w:rFonts w:hint="eastAsia" w:ascii="仿宋" w:hAnsi="仿宋" w:eastAsia="仿宋" w:cs="宋体"/>
                <w:sz w:val="24"/>
              </w:rPr>
              <w:t>运行速度： 0.9s、1.2s、2s</w:t>
            </w:r>
          </w:p>
          <w:p>
            <w:pPr>
              <w:snapToGrid w:val="0"/>
              <w:jc w:val="center"/>
              <w:rPr>
                <w:rFonts w:ascii="仿宋" w:hAnsi="仿宋" w:eastAsia="仿宋" w:cs="宋体"/>
                <w:sz w:val="24"/>
              </w:rPr>
            </w:pPr>
            <w:r>
              <w:rPr>
                <w:rFonts w:hint="eastAsia" w:ascii="仿宋" w:hAnsi="仿宋" w:eastAsia="仿宋" w:cs="宋体"/>
                <w:sz w:val="24"/>
              </w:rPr>
              <w:t>寿命：500W次</w:t>
            </w:r>
          </w:p>
          <w:p>
            <w:pPr>
              <w:snapToGrid w:val="0"/>
              <w:jc w:val="center"/>
              <w:rPr>
                <w:rFonts w:ascii="仿宋" w:hAnsi="仿宋" w:eastAsia="仿宋" w:cs="宋体"/>
                <w:sz w:val="24"/>
              </w:rPr>
            </w:pPr>
            <w:r>
              <w:rPr>
                <w:rFonts w:hint="eastAsia" w:ascii="仿宋" w:hAnsi="仿宋" w:eastAsia="仿宋" w:cs="宋体"/>
                <w:sz w:val="24"/>
              </w:rPr>
              <w:t>显示分辨率：分辨率1080P</w:t>
            </w:r>
          </w:p>
          <w:p>
            <w:pPr>
              <w:snapToGrid w:val="0"/>
              <w:jc w:val="center"/>
              <w:rPr>
                <w:rFonts w:ascii="仿宋" w:hAnsi="仿宋" w:eastAsia="仿宋" w:cs="宋体"/>
                <w:sz w:val="24"/>
              </w:rPr>
            </w:pPr>
            <w:r>
              <w:rPr>
                <w:rFonts w:hint="eastAsia" w:ascii="仿宋" w:hAnsi="仿宋" w:eastAsia="仿宋" w:cs="宋体"/>
                <w:sz w:val="24"/>
              </w:rPr>
              <w:t>显示亮度：最大1500cd/m2</w:t>
            </w:r>
          </w:p>
          <w:p>
            <w:pPr>
              <w:snapToGrid w:val="0"/>
              <w:jc w:val="center"/>
              <w:rPr>
                <w:rFonts w:ascii="仿宋" w:hAnsi="仿宋" w:eastAsia="仿宋" w:cs="宋体"/>
                <w:sz w:val="24"/>
              </w:rPr>
            </w:pPr>
            <w:r>
              <w:rPr>
                <w:rFonts w:hint="eastAsia" w:ascii="仿宋" w:hAnsi="仿宋" w:eastAsia="仿宋" w:cs="宋体"/>
                <w:sz w:val="24"/>
              </w:rPr>
              <w:t>屏幕类型：LCD</w:t>
            </w:r>
          </w:p>
          <w:p>
            <w:pPr>
              <w:snapToGrid w:val="0"/>
              <w:jc w:val="center"/>
              <w:rPr>
                <w:rFonts w:ascii="仿宋" w:hAnsi="仿宋" w:eastAsia="仿宋" w:cs="宋体"/>
                <w:sz w:val="24"/>
              </w:rPr>
            </w:pPr>
            <w:r>
              <w:rPr>
                <w:rFonts w:hint="eastAsia" w:ascii="仿宋" w:hAnsi="仿宋" w:eastAsia="仿宋" w:cs="宋体"/>
                <w:sz w:val="24"/>
              </w:rPr>
              <w:t>显示屏尺寸：21.5寸</w:t>
            </w:r>
          </w:p>
          <w:p>
            <w:pPr>
              <w:snapToGrid w:val="0"/>
              <w:jc w:val="center"/>
              <w:rPr>
                <w:rFonts w:ascii="仿宋" w:hAnsi="仿宋" w:eastAsia="仿宋" w:cs="宋体"/>
                <w:sz w:val="24"/>
              </w:rPr>
            </w:pPr>
            <w:r>
              <w:rPr>
                <w:rFonts w:hint="eastAsia" w:ascii="仿宋" w:hAnsi="仿宋" w:eastAsia="仿宋" w:cs="宋体"/>
                <w:sz w:val="24"/>
              </w:rPr>
              <w:t>报警功能：发生以下情况之一时应产生本地报警或异地传输报警：（1）当识读到未授权的车辆标识时。（2）当识读到已设定须提示的车辆标识时。（3）当未经正常操作而使出入口挡车器开启时。（4）当通讯发生故障时。</w:t>
            </w:r>
          </w:p>
          <w:p>
            <w:pPr>
              <w:snapToGrid w:val="0"/>
              <w:jc w:val="center"/>
              <w:rPr>
                <w:rFonts w:ascii="仿宋" w:hAnsi="仿宋" w:eastAsia="仿宋" w:cs="宋体"/>
                <w:kern w:val="0"/>
                <w:sz w:val="24"/>
              </w:rPr>
            </w:pPr>
            <w:r>
              <w:rPr>
                <w:rFonts w:hint="eastAsia" w:ascii="仿宋" w:hAnsi="仿宋" w:eastAsia="仿宋" w:cs="宋体"/>
                <w:sz w:val="24"/>
              </w:rPr>
              <w:t>通过开关到位信号进行到位判定。</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车辆道闸</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400万智能抓拍显示道闸一体机</w:t>
            </w:r>
          </w:p>
          <w:p>
            <w:pPr>
              <w:snapToGrid w:val="0"/>
              <w:jc w:val="center"/>
              <w:rPr>
                <w:rFonts w:ascii="仿宋" w:hAnsi="仿宋" w:eastAsia="仿宋" w:cs="宋体"/>
                <w:sz w:val="24"/>
              </w:rPr>
            </w:pPr>
            <w:r>
              <w:rPr>
                <w:rFonts w:hint="eastAsia" w:ascii="仿宋" w:hAnsi="仿宋" w:eastAsia="仿宋" w:cs="宋体"/>
                <w:sz w:val="24"/>
              </w:rPr>
              <w:t>高度集成：快速道闸、智能抓拍机、补光灯、LED屏/LCD屏、防砸雷达、求助按钮、语音播报、语音对讲于一体；</w:t>
            </w:r>
          </w:p>
          <w:p>
            <w:pPr>
              <w:snapToGrid w:val="0"/>
              <w:jc w:val="center"/>
              <w:rPr>
                <w:rFonts w:ascii="仿宋" w:hAnsi="仿宋" w:eastAsia="仿宋" w:cs="宋体"/>
                <w:sz w:val="24"/>
              </w:rPr>
            </w:pPr>
            <w:r>
              <w:rPr>
                <w:rFonts w:hint="eastAsia" w:ascii="仿宋" w:hAnsi="仿宋" w:eastAsia="仿宋" w:cs="宋体"/>
                <w:sz w:val="24"/>
              </w:rPr>
              <w:t>高清晰：400万像素高清摄像机，最大分辨率可达2688*1520，帧率高达25fps；</w:t>
            </w:r>
          </w:p>
          <w:p>
            <w:pPr>
              <w:snapToGrid w:val="0"/>
              <w:jc w:val="center"/>
              <w:rPr>
                <w:rFonts w:ascii="仿宋" w:hAnsi="仿宋" w:eastAsia="仿宋" w:cs="宋体"/>
                <w:sz w:val="24"/>
              </w:rPr>
            </w:pPr>
            <w:r>
              <w:rPr>
                <w:rFonts w:hint="eastAsia" w:ascii="仿宋" w:hAnsi="仿宋" w:eastAsia="仿宋" w:cs="宋体"/>
                <w:sz w:val="24"/>
              </w:rPr>
              <w:t>低照度：1/1.8"逐行扫描CMOS；</w:t>
            </w:r>
          </w:p>
          <w:p>
            <w:pPr>
              <w:snapToGrid w:val="0"/>
              <w:jc w:val="center"/>
              <w:rPr>
                <w:rFonts w:ascii="仿宋" w:hAnsi="仿宋" w:eastAsia="仿宋" w:cs="宋体"/>
                <w:sz w:val="24"/>
              </w:rPr>
            </w:pPr>
            <w:r>
              <w:rPr>
                <w:rFonts w:hint="eastAsia" w:ascii="仿宋" w:hAnsi="仿宋" w:eastAsia="仿宋" w:cs="宋体"/>
                <w:sz w:val="24"/>
              </w:rPr>
              <w:t>LED版：支持四行四字三色LED屏，显示内容可灵活配置；</w:t>
            </w:r>
          </w:p>
          <w:p>
            <w:pPr>
              <w:snapToGrid w:val="0"/>
              <w:jc w:val="center"/>
              <w:rPr>
                <w:rFonts w:ascii="仿宋" w:hAnsi="仿宋" w:eastAsia="仿宋" w:cs="宋体"/>
                <w:sz w:val="24"/>
              </w:rPr>
            </w:pPr>
            <w:r>
              <w:rPr>
                <w:rFonts w:hint="eastAsia" w:ascii="仿宋" w:hAnsi="仿宋" w:eastAsia="仿宋" w:cs="宋体"/>
                <w:sz w:val="24"/>
              </w:rPr>
              <w:t>支持本地存储黑名单，数据可达100000条</w:t>
            </w:r>
          </w:p>
          <w:p>
            <w:pPr>
              <w:snapToGrid w:val="0"/>
              <w:jc w:val="center"/>
              <w:rPr>
                <w:rFonts w:ascii="仿宋" w:hAnsi="仿宋" w:eastAsia="仿宋" w:cs="宋体"/>
                <w:sz w:val="24"/>
              </w:rPr>
            </w:pPr>
            <w:r>
              <w:rPr>
                <w:rFonts w:hint="eastAsia" w:ascii="仿宋" w:hAnsi="仿宋" w:eastAsia="仿宋" w:cs="宋体"/>
                <w:sz w:val="24"/>
              </w:rPr>
              <w:t>可通过数码管显示当前运行状态，故障时显示故障代码，并可显示参数设置菜单。</w:t>
            </w:r>
          </w:p>
          <w:p>
            <w:pPr>
              <w:snapToGrid w:val="0"/>
              <w:jc w:val="center"/>
              <w:rPr>
                <w:rFonts w:ascii="仿宋" w:hAnsi="仿宋" w:eastAsia="仿宋" w:cs="宋体"/>
                <w:sz w:val="24"/>
              </w:rPr>
            </w:pPr>
            <w:r>
              <w:rPr>
                <w:rFonts w:hint="eastAsia" w:ascii="仿宋" w:hAnsi="仿宋" w:eastAsia="仿宋" w:cs="宋体"/>
                <w:sz w:val="24"/>
              </w:rPr>
              <w:t>支持对打印车牌、单独车牌照片和单独车牌等虚假车牌进行过滤。</w:t>
            </w:r>
          </w:p>
          <w:p>
            <w:pPr>
              <w:snapToGrid w:val="0"/>
              <w:jc w:val="center"/>
              <w:rPr>
                <w:rFonts w:ascii="仿宋" w:hAnsi="仿宋" w:eastAsia="仿宋" w:cs="宋体"/>
                <w:sz w:val="24"/>
              </w:rPr>
            </w:pPr>
            <w:r>
              <w:rPr>
                <w:rFonts w:hint="eastAsia" w:ascii="仿宋" w:hAnsi="仿宋" w:eastAsia="仿宋" w:cs="宋体"/>
                <w:sz w:val="24"/>
              </w:rPr>
              <w:t>支持增加、编辑、删除用户。支持设置用户权限。</w:t>
            </w:r>
          </w:p>
          <w:p>
            <w:pPr>
              <w:snapToGrid w:val="0"/>
              <w:jc w:val="center"/>
              <w:rPr>
                <w:rFonts w:ascii="仿宋" w:hAnsi="仿宋" w:eastAsia="仿宋" w:cs="宋体"/>
                <w:sz w:val="24"/>
              </w:rPr>
            </w:pPr>
            <w:r>
              <w:rPr>
                <w:rFonts w:hint="eastAsia" w:ascii="仿宋" w:hAnsi="仿宋" w:eastAsia="仿宋" w:cs="宋体"/>
                <w:sz w:val="24"/>
              </w:rPr>
              <w:t>支持对污损以及遮挡面积不超过1/3的车牌进行检测和识别。</w:t>
            </w:r>
          </w:p>
          <w:p>
            <w:pPr>
              <w:snapToGrid w:val="0"/>
              <w:jc w:val="center"/>
              <w:rPr>
                <w:rFonts w:ascii="仿宋" w:hAnsi="仿宋" w:eastAsia="仿宋" w:cs="宋体"/>
                <w:sz w:val="24"/>
              </w:rPr>
            </w:pPr>
            <w:r>
              <w:rPr>
                <w:rFonts w:hint="eastAsia" w:ascii="仿宋" w:hAnsi="仿宋" w:eastAsia="仿宋" w:cs="宋体"/>
                <w:sz w:val="24"/>
              </w:rPr>
              <w:t>通过开关到位信号进行到位判定。最低照度：0.002lx（F=1.5，AGC ON，彩色模式），能基本分辨被摄目标的轮廓特征和色彩。0.0002lx（F=1.5，AGC ON，黑白模式），能基本分辨被摄目标的轮廓特征。</w:t>
            </w:r>
          </w:p>
          <w:p>
            <w:pPr>
              <w:snapToGrid w:val="0"/>
              <w:jc w:val="center"/>
              <w:rPr>
                <w:rFonts w:ascii="仿宋" w:hAnsi="仿宋" w:eastAsia="仿宋" w:cs="宋体"/>
                <w:sz w:val="24"/>
              </w:rPr>
            </w:pPr>
            <w:r>
              <w:rPr>
                <w:rFonts w:hint="eastAsia" w:ascii="仿宋" w:hAnsi="仿宋" w:eastAsia="仿宋" w:cs="宋体"/>
                <w:sz w:val="24"/>
              </w:rPr>
              <w:t>断网下事件记录数最大为100000条，用户数最大为15000条。</w:t>
            </w:r>
          </w:p>
          <w:p>
            <w:pPr>
              <w:snapToGrid w:val="0"/>
              <w:jc w:val="center"/>
              <w:rPr>
                <w:rFonts w:ascii="仿宋" w:hAnsi="仿宋" w:eastAsia="仿宋" w:cs="宋体"/>
                <w:sz w:val="24"/>
              </w:rPr>
            </w:pPr>
            <w:r>
              <w:rPr>
                <w:rFonts w:hint="eastAsia" w:ascii="仿宋" w:hAnsi="仿宋" w:eastAsia="仿宋" w:cs="宋体"/>
                <w:sz w:val="24"/>
              </w:rPr>
              <w:t>补光灯：内置16颗高亮LED灯，智能补光技术，支持时控和光控；</w:t>
            </w:r>
          </w:p>
          <w:p>
            <w:pPr>
              <w:snapToGrid w:val="0"/>
              <w:jc w:val="center"/>
              <w:rPr>
                <w:rFonts w:ascii="仿宋" w:hAnsi="仿宋" w:eastAsia="仿宋" w:cs="宋体"/>
                <w:sz w:val="24"/>
              </w:rPr>
            </w:pPr>
            <w:r>
              <w:rPr>
                <w:rFonts w:hint="eastAsia" w:ascii="仿宋" w:hAnsi="仿宋" w:eastAsia="仿宋" w:cs="宋体"/>
                <w:sz w:val="24"/>
              </w:rPr>
              <w:t>防跟车模式：支持视频防跟车、雷达/线圈防跟车两种模式，对于连续过车的场景，可实现跟车不落杆，有效解决拥堵问题。</w:t>
            </w:r>
          </w:p>
          <w:p>
            <w:pPr>
              <w:snapToGrid w:val="0"/>
              <w:jc w:val="center"/>
              <w:rPr>
                <w:rFonts w:ascii="仿宋" w:hAnsi="仿宋" w:eastAsia="仿宋" w:cs="宋体"/>
                <w:sz w:val="24"/>
              </w:rPr>
            </w:pPr>
            <w:r>
              <w:rPr>
                <w:rFonts w:hint="eastAsia" w:ascii="仿宋" w:hAnsi="仿宋" w:eastAsia="仿宋" w:cs="宋体"/>
                <w:sz w:val="24"/>
              </w:rPr>
              <w:t>摄像机</w:t>
            </w:r>
          </w:p>
          <w:p>
            <w:pPr>
              <w:snapToGrid w:val="0"/>
              <w:jc w:val="center"/>
              <w:rPr>
                <w:rFonts w:ascii="仿宋" w:hAnsi="仿宋" w:eastAsia="仿宋" w:cs="宋体"/>
                <w:sz w:val="24"/>
              </w:rPr>
            </w:pPr>
            <w:r>
              <w:rPr>
                <w:rFonts w:hint="eastAsia" w:ascii="仿宋" w:hAnsi="仿宋" w:eastAsia="仿宋" w:cs="宋体"/>
                <w:sz w:val="24"/>
              </w:rPr>
              <w:t>最低照度：0.002lx（F=1.5，AGC ON，彩色模式）， 0.0002lx（F=1.5，AGC ON，黑白模式）</w:t>
            </w:r>
          </w:p>
          <w:p>
            <w:pPr>
              <w:snapToGrid w:val="0"/>
              <w:jc w:val="center"/>
              <w:rPr>
                <w:rFonts w:ascii="仿宋" w:hAnsi="仿宋" w:eastAsia="仿宋" w:cs="宋体"/>
                <w:sz w:val="24"/>
              </w:rPr>
            </w:pPr>
            <w:r>
              <w:rPr>
                <w:rFonts w:hint="eastAsia" w:ascii="仿宋" w:hAnsi="仿宋" w:eastAsia="仿宋" w:cs="宋体"/>
                <w:sz w:val="24"/>
              </w:rPr>
              <w:t>快门：1/30秒至1/100,000秒</w:t>
            </w:r>
          </w:p>
          <w:p>
            <w:pPr>
              <w:snapToGrid w:val="0"/>
              <w:jc w:val="center"/>
              <w:rPr>
                <w:rFonts w:ascii="仿宋" w:hAnsi="仿宋" w:eastAsia="仿宋" w:cs="宋体"/>
                <w:sz w:val="24"/>
              </w:rPr>
            </w:pPr>
            <w:r>
              <w:rPr>
                <w:rFonts w:hint="eastAsia" w:ascii="仿宋" w:hAnsi="仿宋" w:eastAsia="仿宋" w:cs="宋体"/>
                <w:sz w:val="24"/>
              </w:rPr>
              <w:t>镜头：4～15mm手动变焦镜头</w:t>
            </w:r>
          </w:p>
          <w:p>
            <w:pPr>
              <w:snapToGrid w:val="0"/>
              <w:jc w:val="center"/>
              <w:rPr>
                <w:rFonts w:ascii="仿宋" w:hAnsi="仿宋" w:eastAsia="仿宋" w:cs="宋体"/>
                <w:sz w:val="24"/>
              </w:rPr>
            </w:pPr>
            <w:r>
              <w:rPr>
                <w:rFonts w:hint="eastAsia" w:ascii="仿宋" w:hAnsi="仿宋" w:eastAsia="仿宋" w:cs="宋体"/>
                <w:sz w:val="24"/>
              </w:rPr>
              <w:t>日夜转换模式：ICR红外滤片式</w:t>
            </w:r>
          </w:p>
          <w:p>
            <w:pPr>
              <w:snapToGrid w:val="0"/>
              <w:jc w:val="center"/>
              <w:rPr>
                <w:rFonts w:ascii="仿宋" w:hAnsi="仿宋" w:eastAsia="仿宋" w:cs="宋体"/>
                <w:sz w:val="24"/>
              </w:rPr>
            </w:pPr>
            <w:r>
              <w:rPr>
                <w:rFonts w:hint="eastAsia" w:ascii="仿宋" w:hAnsi="仿宋" w:eastAsia="仿宋" w:cs="宋体"/>
                <w:sz w:val="24"/>
              </w:rPr>
              <w:t>智能识别：车牌识别、车型识别、车标识别、车辆子品牌，车身颜色识别</w:t>
            </w:r>
          </w:p>
          <w:p>
            <w:pPr>
              <w:snapToGrid w:val="0"/>
              <w:jc w:val="center"/>
              <w:rPr>
                <w:rFonts w:ascii="仿宋" w:hAnsi="仿宋" w:eastAsia="仿宋" w:cs="宋体"/>
                <w:sz w:val="24"/>
              </w:rPr>
            </w:pPr>
            <w:r>
              <w:rPr>
                <w:rFonts w:hint="eastAsia" w:ascii="仿宋" w:hAnsi="仿宋" w:eastAsia="仿宋" w:cs="宋体"/>
                <w:sz w:val="24"/>
              </w:rPr>
              <w:t>一般规范</w:t>
            </w:r>
          </w:p>
          <w:p>
            <w:pPr>
              <w:snapToGrid w:val="0"/>
              <w:jc w:val="center"/>
              <w:rPr>
                <w:rFonts w:ascii="仿宋" w:hAnsi="仿宋" w:eastAsia="仿宋" w:cs="宋体"/>
                <w:sz w:val="24"/>
              </w:rPr>
            </w:pPr>
            <w:r>
              <w:rPr>
                <w:rFonts w:hint="eastAsia" w:ascii="仿宋" w:hAnsi="仿宋" w:eastAsia="仿宋" w:cs="宋体"/>
                <w:sz w:val="24"/>
              </w:rPr>
              <w:t>防护等级：IP54</w:t>
            </w:r>
          </w:p>
          <w:p>
            <w:pPr>
              <w:snapToGrid w:val="0"/>
              <w:jc w:val="center"/>
              <w:rPr>
                <w:rFonts w:ascii="仿宋" w:hAnsi="仿宋" w:eastAsia="仿宋" w:cs="宋体"/>
                <w:sz w:val="24"/>
              </w:rPr>
            </w:pPr>
            <w:r>
              <w:rPr>
                <w:rFonts w:hint="eastAsia" w:ascii="仿宋" w:hAnsi="仿宋" w:eastAsia="仿宋" w:cs="宋体"/>
                <w:sz w:val="24"/>
              </w:rPr>
              <w:t>道闸参数</w:t>
            </w:r>
          </w:p>
          <w:p>
            <w:pPr>
              <w:snapToGrid w:val="0"/>
              <w:jc w:val="center"/>
              <w:rPr>
                <w:rFonts w:ascii="仿宋" w:hAnsi="仿宋" w:eastAsia="仿宋" w:cs="宋体"/>
                <w:sz w:val="24"/>
              </w:rPr>
            </w:pPr>
            <w:r>
              <w:rPr>
                <w:rFonts w:hint="eastAsia" w:ascii="仿宋" w:hAnsi="仿宋" w:eastAsia="仿宋" w:cs="宋体"/>
                <w:sz w:val="24"/>
              </w:rPr>
              <w:t>杆子类型：直杆</w:t>
            </w:r>
          </w:p>
          <w:p>
            <w:pPr>
              <w:snapToGrid w:val="0"/>
              <w:jc w:val="center"/>
              <w:rPr>
                <w:rFonts w:ascii="仿宋" w:hAnsi="仿宋" w:eastAsia="仿宋" w:cs="宋体"/>
                <w:sz w:val="24"/>
              </w:rPr>
            </w:pPr>
            <w:r>
              <w:rPr>
                <w:rFonts w:hint="eastAsia" w:ascii="仿宋" w:hAnsi="仿宋" w:eastAsia="仿宋" w:cs="宋体"/>
                <w:sz w:val="24"/>
              </w:rPr>
              <w:t>遥控距离：40米内</w:t>
            </w:r>
          </w:p>
          <w:p>
            <w:pPr>
              <w:snapToGrid w:val="0"/>
              <w:jc w:val="center"/>
              <w:rPr>
                <w:rFonts w:ascii="仿宋" w:hAnsi="仿宋" w:eastAsia="仿宋" w:cs="宋体"/>
                <w:sz w:val="24"/>
              </w:rPr>
            </w:pPr>
            <w:r>
              <w:rPr>
                <w:rFonts w:hint="eastAsia" w:ascii="仿宋" w:hAnsi="仿宋" w:eastAsia="仿宋" w:cs="宋体"/>
                <w:sz w:val="24"/>
              </w:rPr>
              <w:t>杆子长度：4米</w:t>
            </w:r>
          </w:p>
          <w:p>
            <w:pPr>
              <w:snapToGrid w:val="0"/>
              <w:jc w:val="center"/>
              <w:rPr>
                <w:rFonts w:ascii="仿宋" w:hAnsi="仿宋" w:eastAsia="仿宋" w:cs="宋体"/>
                <w:sz w:val="24"/>
              </w:rPr>
            </w:pPr>
            <w:r>
              <w:rPr>
                <w:rFonts w:hint="eastAsia" w:ascii="仿宋" w:hAnsi="仿宋" w:eastAsia="仿宋" w:cs="宋体"/>
                <w:sz w:val="24"/>
              </w:rPr>
              <w:t>道闸方向：右向</w:t>
            </w:r>
          </w:p>
          <w:p>
            <w:pPr>
              <w:snapToGrid w:val="0"/>
              <w:jc w:val="center"/>
              <w:rPr>
                <w:rFonts w:ascii="仿宋" w:hAnsi="仿宋" w:eastAsia="仿宋" w:cs="宋体"/>
                <w:sz w:val="24"/>
              </w:rPr>
            </w:pPr>
            <w:r>
              <w:rPr>
                <w:rFonts w:hint="eastAsia" w:ascii="仿宋" w:hAnsi="仿宋" w:eastAsia="仿宋" w:cs="宋体"/>
                <w:sz w:val="24"/>
              </w:rPr>
              <w:t>寿命：500W次</w:t>
            </w:r>
          </w:p>
          <w:p>
            <w:pPr>
              <w:snapToGrid w:val="0"/>
              <w:jc w:val="center"/>
              <w:rPr>
                <w:rFonts w:ascii="仿宋" w:hAnsi="仿宋" w:eastAsia="仿宋" w:cs="宋体"/>
                <w:sz w:val="24"/>
              </w:rPr>
            </w:pPr>
            <w:r>
              <w:rPr>
                <w:rFonts w:hint="eastAsia" w:ascii="仿宋" w:hAnsi="仿宋" w:eastAsia="仿宋" w:cs="宋体"/>
                <w:sz w:val="24"/>
              </w:rPr>
              <w:t>显示屏参数</w:t>
            </w:r>
          </w:p>
          <w:p>
            <w:pPr>
              <w:snapToGrid w:val="0"/>
              <w:jc w:val="center"/>
              <w:rPr>
                <w:rFonts w:ascii="仿宋" w:hAnsi="仿宋" w:eastAsia="仿宋" w:cs="宋体"/>
                <w:sz w:val="24"/>
              </w:rPr>
            </w:pPr>
            <w:r>
              <w:rPr>
                <w:rFonts w:hint="eastAsia" w:ascii="仿宋" w:hAnsi="仿宋" w:eastAsia="仿宋" w:cs="宋体"/>
                <w:sz w:val="24"/>
              </w:rPr>
              <w:t>显示分辨率：分辨率128*64</w:t>
            </w:r>
          </w:p>
          <w:p>
            <w:pPr>
              <w:snapToGrid w:val="0"/>
              <w:jc w:val="center"/>
              <w:rPr>
                <w:rFonts w:ascii="仿宋" w:hAnsi="仿宋" w:eastAsia="仿宋" w:cs="宋体"/>
                <w:sz w:val="24"/>
              </w:rPr>
            </w:pPr>
            <w:r>
              <w:rPr>
                <w:rFonts w:hint="eastAsia" w:ascii="仿宋" w:hAnsi="仿宋" w:eastAsia="仿宋" w:cs="宋体"/>
                <w:sz w:val="24"/>
              </w:rPr>
              <w:t>显示亮度：最大1500cd/m</w:t>
            </w:r>
            <w:r>
              <w:rPr>
                <w:rFonts w:ascii="Calibri" w:hAnsi="Calibri" w:eastAsia="仿宋" w:cs="Calibri"/>
                <w:sz w:val="24"/>
              </w:rPr>
              <w:t>²</w:t>
            </w:r>
          </w:p>
          <w:p>
            <w:pPr>
              <w:snapToGrid w:val="0"/>
              <w:jc w:val="center"/>
              <w:rPr>
                <w:rFonts w:ascii="仿宋" w:hAnsi="仿宋" w:eastAsia="仿宋" w:cs="宋体"/>
                <w:kern w:val="0"/>
                <w:sz w:val="24"/>
              </w:rPr>
            </w:pPr>
            <w:r>
              <w:rPr>
                <w:rFonts w:hint="eastAsia" w:ascii="仿宋" w:hAnsi="仿宋" w:eastAsia="仿宋" w:cs="宋体"/>
                <w:sz w:val="24"/>
              </w:rPr>
              <w:t>屏幕类型：LED</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出入口车辆抓拍机</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集成度高：集摄像机、护罩、LED补光灯、镜头于一体；</w:t>
            </w:r>
          </w:p>
          <w:p>
            <w:pPr>
              <w:snapToGrid w:val="0"/>
              <w:jc w:val="center"/>
              <w:rPr>
                <w:rFonts w:ascii="仿宋" w:hAnsi="仿宋" w:eastAsia="仿宋" w:cs="宋体"/>
                <w:sz w:val="24"/>
              </w:rPr>
            </w:pPr>
            <w:r>
              <w:rPr>
                <w:rFonts w:hint="eastAsia" w:ascii="仿宋" w:hAnsi="仿宋" w:eastAsia="仿宋" w:cs="宋体"/>
                <w:sz w:val="24"/>
              </w:rPr>
              <w:t>调试方便：采用3.1-6mm电动变焦镜头，支持软件自动调焦，调试更加方便，场景适应性更广</w:t>
            </w:r>
          </w:p>
          <w:p>
            <w:pPr>
              <w:snapToGrid w:val="0"/>
              <w:jc w:val="center"/>
              <w:rPr>
                <w:rFonts w:ascii="仿宋" w:hAnsi="仿宋" w:eastAsia="仿宋" w:cs="宋体"/>
                <w:sz w:val="24"/>
              </w:rPr>
            </w:pPr>
            <w:r>
              <w:rPr>
                <w:rFonts w:hint="eastAsia" w:ascii="仿宋" w:hAnsi="仿宋" w:eastAsia="仿宋" w:cs="宋体"/>
                <w:sz w:val="24"/>
              </w:rPr>
              <w:t>接口丰富：丰富的控制接口，可直接控制道闸开/关，支持外接报警设备、LED显示屏、音频输入输出等</w:t>
            </w:r>
          </w:p>
          <w:p>
            <w:pPr>
              <w:snapToGrid w:val="0"/>
              <w:jc w:val="center"/>
              <w:rPr>
                <w:rFonts w:ascii="仿宋" w:hAnsi="仿宋" w:eastAsia="仿宋" w:cs="宋体"/>
                <w:sz w:val="24"/>
              </w:rPr>
            </w:pPr>
            <w:r>
              <w:rPr>
                <w:rFonts w:hint="eastAsia" w:ascii="仿宋" w:hAnsi="仿宋" w:eastAsia="仿宋" w:cs="宋体"/>
                <w:sz w:val="24"/>
              </w:rPr>
              <w:t>识别车牌种类多：能够识别民用车牌（除5小车辆），新能源车牌，警用车牌，2012式新军用车牌，2012式武警车牌等</w:t>
            </w:r>
          </w:p>
          <w:p>
            <w:pPr>
              <w:snapToGrid w:val="0"/>
              <w:jc w:val="center"/>
              <w:rPr>
                <w:rFonts w:ascii="仿宋" w:hAnsi="仿宋" w:eastAsia="仿宋" w:cs="宋体"/>
                <w:sz w:val="24"/>
              </w:rPr>
            </w:pPr>
            <w:r>
              <w:rPr>
                <w:rFonts w:hint="eastAsia" w:ascii="仿宋" w:hAnsi="仿宋" w:eastAsia="仿宋" w:cs="宋体"/>
                <w:sz w:val="24"/>
              </w:rPr>
              <w:t>智能识别算法：深度智能识别算法，支持8种车型，11种车身颜色，220种车标，3000种子品牌等特征识别</w:t>
            </w:r>
          </w:p>
          <w:p>
            <w:pPr>
              <w:snapToGrid w:val="0"/>
              <w:jc w:val="center"/>
              <w:rPr>
                <w:rFonts w:ascii="仿宋" w:hAnsi="仿宋" w:eastAsia="仿宋" w:cs="宋体"/>
                <w:sz w:val="24"/>
              </w:rPr>
            </w:pPr>
            <w:r>
              <w:rPr>
                <w:rFonts w:hint="eastAsia" w:ascii="仿宋" w:hAnsi="仿宋" w:eastAsia="仿宋" w:cs="宋体"/>
                <w:sz w:val="24"/>
              </w:rPr>
              <w:t>黑白名单控制：可选配TF卡，支持黑、白名单的导入及对比，可直接联动道闸开闸，支持脱机运行</w:t>
            </w:r>
          </w:p>
          <w:p>
            <w:pPr>
              <w:snapToGrid w:val="0"/>
              <w:jc w:val="center"/>
              <w:rPr>
                <w:rFonts w:ascii="仿宋" w:hAnsi="仿宋" w:eastAsia="仿宋" w:cs="宋体"/>
                <w:sz w:val="24"/>
              </w:rPr>
            </w:pPr>
            <w:r>
              <w:rPr>
                <w:rFonts w:hint="eastAsia" w:ascii="仿宋" w:hAnsi="仿宋" w:eastAsia="仿宋" w:cs="宋体"/>
                <w:sz w:val="24"/>
              </w:rPr>
              <w:t>多种触发模式：支持线圈触发、视频触发等多种触发模式；捕获率高，纯视频识别，纯视频抓拍时可捕获无车牌，捕获率99.5%以上</w:t>
            </w:r>
          </w:p>
          <w:p>
            <w:pPr>
              <w:snapToGrid w:val="0"/>
              <w:jc w:val="center"/>
              <w:rPr>
                <w:rFonts w:ascii="仿宋" w:hAnsi="仿宋" w:eastAsia="仿宋" w:cs="宋体"/>
                <w:sz w:val="24"/>
              </w:rPr>
            </w:pPr>
            <w:r>
              <w:rPr>
                <w:rFonts w:hint="eastAsia" w:ascii="仿宋" w:hAnsi="仿宋" w:eastAsia="仿宋" w:cs="宋体"/>
                <w:sz w:val="24"/>
              </w:rPr>
              <w:t>双灯一体化：内置红外白光一体化灯珠，有效满足不同的场景需求</w:t>
            </w:r>
          </w:p>
          <w:p>
            <w:pPr>
              <w:snapToGrid w:val="0"/>
              <w:jc w:val="center"/>
              <w:rPr>
                <w:rFonts w:ascii="仿宋" w:hAnsi="仿宋" w:eastAsia="仿宋" w:cs="宋体"/>
                <w:sz w:val="24"/>
              </w:rPr>
            </w:pPr>
            <w:r>
              <w:rPr>
                <w:rFonts w:hint="eastAsia" w:ascii="仿宋" w:hAnsi="仿宋" w:eastAsia="仿宋" w:cs="宋体"/>
                <w:sz w:val="24"/>
              </w:rPr>
              <w:t>最低照度：彩色0.022Lux@(F1.2,AGC ON)</w:t>
            </w:r>
          </w:p>
          <w:p>
            <w:pPr>
              <w:snapToGrid w:val="0"/>
              <w:jc w:val="center"/>
              <w:rPr>
                <w:rFonts w:ascii="仿宋" w:hAnsi="仿宋" w:eastAsia="仿宋" w:cs="宋体"/>
                <w:sz w:val="24"/>
              </w:rPr>
            </w:pPr>
            <w:r>
              <w:rPr>
                <w:rFonts w:hint="eastAsia" w:ascii="仿宋" w:hAnsi="仿宋" w:eastAsia="仿宋" w:cs="宋体"/>
                <w:sz w:val="24"/>
              </w:rPr>
              <w:t>黑白0.011Lux @(F1.2,AGC ON)</w:t>
            </w:r>
          </w:p>
          <w:p>
            <w:pPr>
              <w:snapToGrid w:val="0"/>
              <w:jc w:val="center"/>
              <w:rPr>
                <w:rFonts w:ascii="仿宋" w:hAnsi="仿宋" w:eastAsia="仿宋" w:cs="宋体"/>
                <w:sz w:val="24"/>
              </w:rPr>
            </w:pPr>
            <w:r>
              <w:rPr>
                <w:rFonts w:hint="eastAsia" w:ascii="仿宋" w:hAnsi="仿宋" w:eastAsia="仿宋" w:cs="宋体"/>
                <w:sz w:val="24"/>
              </w:rPr>
              <w:t>快门：1/30秒至1/100,000秒</w:t>
            </w:r>
          </w:p>
          <w:p>
            <w:pPr>
              <w:snapToGrid w:val="0"/>
              <w:jc w:val="center"/>
              <w:rPr>
                <w:rFonts w:ascii="仿宋" w:hAnsi="仿宋" w:eastAsia="仿宋" w:cs="宋体"/>
                <w:sz w:val="24"/>
              </w:rPr>
            </w:pPr>
            <w:r>
              <w:rPr>
                <w:rFonts w:hint="eastAsia" w:ascii="仿宋" w:hAnsi="仿宋" w:eastAsia="仿宋" w:cs="宋体"/>
                <w:sz w:val="24"/>
              </w:rPr>
              <w:t>ICR切换：支持</w:t>
            </w:r>
          </w:p>
          <w:p>
            <w:pPr>
              <w:snapToGrid w:val="0"/>
              <w:jc w:val="center"/>
              <w:rPr>
                <w:rFonts w:ascii="仿宋" w:hAnsi="仿宋" w:eastAsia="仿宋" w:cs="宋体"/>
                <w:sz w:val="24"/>
              </w:rPr>
            </w:pPr>
            <w:r>
              <w:rPr>
                <w:rFonts w:hint="eastAsia" w:ascii="仿宋" w:hAnsi="仿宋" w:eastAsia="仿宋" w:cs="宋体"/>
                <w:sz w:val="24"/>
              </w:rPr>
              <w:t>镜头：电动镜头3.1-6mm</w:t>
            </w:r>
          </w:p>
          <w:p>
            <w:pPr>
              <w:snapToGrid w:val="0"/>
              <w:jc w:val="center"/>
              <w:rPr>
                <w:rFonts w:ascii="仿宋" w:hAnsi="仿宋" w:eastAsia="仿宋" w:cs="宋体"/>
                <w:sz w:val="24"/>
              </w:rPr>
            </w:pPr>
            <w:r>
              <w:rPr>
                <w:rFonts w:hint="eastAsia" w:ascii="仿宋" w:hAnsi="仿宋" w:eastAsia="仿宋" w:cs="宋体"/>
                <w:sz w:val="24"/>
              </w:rPr>
              <w:t>日夜转换模式：ICR红外滤片式</w:t>
            </w:r>
          </w:p>
          <w:p>
            <w:pPr>
              <w:snapToGrid w:val="0"/>
              <w:jc w:val="center"/>
              <w:rPr>
                <w:rFonts w:ascii="仿宋" w:hAnsi="仿宋" w:eastAsia="仿宋" w:cs="宋体"/>
                <w:sz w:val="24"/>
              </w:rPr>
            </w:pPr>
            <w:r>
              <w:rPr>
                <w:rFonts w:hint="eastAsia" w:ascii="仿宋" w:hAnsi="仿宋" w:eastAsia="仿宋" w:cs="宋体"/>
                <w:sz w:val="24"/>
              </w:rPr>
              <w:t>数字降噪：3D数字降噪</w:t>
            </w:r>
          </w:p>
          <w:p>
            <w:pPr>
              <w:snapToGrid w:val="0"/>
              <w:jc w:val="center"/>
              <w:rPr>
                <w:rFonts w:ascii="仿宋" w:hAnsi="仿宋" w:eastAsia="仿宋" w:cs="宋体"/>
                <w:kern w:val="0"/>
                <w:sz w:val="24"/>
              </w:rPr>
            </w:pPr>
            <w:r>
              <w:rPr>
                <w:rFonts w:hint="eastAsia" w:ascii="仿宋" w:hAnsi="仿宋" w:eastAsia="仿宋" w:cs="宋体"/>
                <w:sz w:val="24"/>
              </w:rPr>
              <w:t>最大图像尺寸：1920*1200</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4</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出入口控制终端</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工业化设计，可用于-30°到70°场景，适应性强</w:t>
            </w:r>
          </w:p>
          <w:p>
            <w:pPr>
              <w:snapToGrid w:val="0"/>
              <w:jc w:val="center"/>
              <w:rPr>
                <w:rFonts w:ascii="仿宋" w:hAnsi="仿宋" w:eastAsia="仿宋" w:cs="宋体"/>
                <w:sz w:val="24"/>
              </w:rPr>
            </w:pPr>
            <w:r>
              <w:rPr>
                <w:rFonts w:hint="eastAsia" w:ascii="仿宋" w:hAnsi="仿宋" w:eastAsia="仿宋" w:cs="宋体"/>
                <w:sz w:val="24"/>
              </w:rPr>
              <w:t>坚固紧凑无风扇设计，体积小巧，适合在路边机柜及抱杆机柜使用</w:t>
            </w:r>
          </w:p>
          <w:p>
            <w:pPr>
              <w:snapToGrid w:val="0"/>
              <w:jc w:val="center"/>
              <w:rPr>
                <w:rFonts w:ascii="仿宋" w:hAnsi="仿宋" w:eastAsia="仿宋" w:cs="宋体"/>
                <w:sz w:val="24"/>
              </w:rPr>
            </w:pPr>
            <w:r>
              <w:rPr>
                <w:rFonts w:hint="eastAsia" w:ascii="仿宋" w:hAnsi="仿宋" w:eastAsia="仿宋" w:cs="宋体"/>
                <w:sz w:val="24"/>
              </w:rPr>
              <w:t>标配2TB硬盘，最大支持6TB硬盘存储，图片与录像可设置配额</w:t>
            </w:r>
          </w:p>
          <w:p>
            <w:pPr>
              <w:snapToGrid w:val="0"/>
              <w:jc w:val="center"/>
              <w:rPr>
                <w:rFonts w:ascii="仿宋" w:hAnsi="仿宋" w:eastAsia="仿宋" w:cs="宋体"/>
                <w:sz w:val="24"/>
              </w:rPr>
            </w:pPr>
            <w:r>
              <w:rPr>
                <w:rFonts w:hint="eastAsia" w:ascii="仿宋" w:hAnsi="仿宋" w:eastAsia="仿宋" w:cs="宋体"/>
                <w:sz w:val="24"/>
              </w:rPr>
              <w:t>支持机柜门打开后声音报警及报警上传功能</w:t>
            </w:r>
          </w:p>
          <w:p>
            <w:pPr>
              <w:snapToGrid w:val="0"/>
              <w:jc w:val="center"/>
              <w:rPr>
                <w:rFonts w:ascii="仿宋" w:hAnsi="仿宋" w:eastAsia="仿宋" w:cs="宋体"/>
                <w:sz w:val="24"/>
              </w:rPr>
            </w:pPr>
            <w:r>
              <w:rPr>
                <w:rFonts w:hint="eastAsia" w:ascii="仿宋" w:hAnsi="仿宋" w:eastAsia="仿宋" w:cs="宋体"/>
                <w:sz w:val="24"/>
              </w:rPr>
              <w:t>Web操作，完善的SDK支持</w:t>
            </w:r>
          </w:p>
          <w:p>
            <w:pPr>
              <w:snapToGrid w:val="0"/>
              <w:jc w:val="center"/>
              <w:rPr>
                <w:rFonts w:ascii="仿宋" w:hAnsi="仿宋" w:eastAsia="仿宋" w:cs="宋体"/>
                <w:sz w:val="24"/>
              </w:rPr>
            </w:pPr>
            <w:r>
              <w:rPr>
                <w:rFonts w:hint="eastAsia" w:ascii="仿宋" w:hAnsi="仿宋" w:eastAsia="仿宋" w:cs="宋体"/>
                <w:sz w:val="24"/>
              </w:rPr>
              <w:t>单面接口设计，更便于施工操作</w:t>
            </w:r>
          </w:p>
          <w:p>
            <w:pPr>
              <w:snapToGrid w:val="0"/>
              <w:jc w:val="center"/>
              <w:rPr>
                <w:rFonts w:ascii="仿宋" w:hAnsi="仿宋" w:eastAsia="仿宋" w:cs="宋体"/>
                <w:sz w:val="24"/>
              </w:rPr>
            </w:pPr>
            <w:r>
              <w:rPr>
                <w:rFonts w:hint="eastAsia" w:ascii="仿宋" w:hAnsi="仿宋" w:eastAsia="仿宋" w:cs="宋体"/>
                <w:sz w:val="24"/>
              </w:rPr>
              <w:t>适用于城市路边泊位管理。</w:t>
            </w:r>
          </w:p>
          <w:p>
            <w:pPr>
              <w:snapToGrid w:val="0"/>
              <w:jc w:val="center"/>
              <w:rPr>
                <w:rFonts w:ascii="仿宋" w:hAnsi="仿宋" w:eastAsia="仿宋" w:cs="宋体"/>
                <w:sz w:val="24"/>
              </w:rPr>
            </w:pPr>
            <w:r>
              <w:rPr>
                <w:rFonts w:hint="eastAsia" w:ascii="仿宋" w:hAnsi="仿宋" w:eastAsia="仿宋" w:cs="宋体"/>
                <w:sz w:val="24"/>
              </w:rPr>
              <w:t>存储功能：标配2T</w:t>
            </w:r>
          </w:p>
          <w:p>
            <w:pPr>
              <w:snapToGrid w:val="0"/>
              <w:jc w:val="center"/>
              <w:rPr>
                <w:rFonts w:ascii="仿宋" w:hAnsi="仿宋" w:eastAsia="仿宋" w:cs="宋体"/>
                <w:sz w:val="24"/>
              </w:rPr>
            </w:pPr>
            <w:r>
              <w:rPr>
                <w:rFonts w:hint="eastAsia" w:ascii="仿宋" w:hAnsi="仿宋" w:eastAsia="仿宋" w:cs="宋体"/>
                <w:sz w:val="24"/>
              </w:rPr>
              <w:t>尺寸(mm)：245mm（宽）×175mm（深）×60mm（高）</w:t>
            </w:r>
          </w:p>
          <w:p>
            <w:pPr>
              <w:snapToGrid w:val="0"/>
              <w:jc w:val="center"/>
              <w:rPr>
                <w:rFonts w:ascii="仿宋" w:hAnsi="仿宋" w:eastAsia="仿宋" w:cs="宋体"/>
                <w:sz w:val="24"/>
              </w:rPr>
            </w:pPr>
            <w:r>
              <w:rPr>
                <w:rFonts w:hint="eastAsia" w:ascii="仿宋" w:hAnsi="仿宋" w:eastAsia="仿宋" w:cs="宋体"/>
                <w:sz w:val="24"/>
              </w:rPr>
              <w:t>工作温度和湿度：工作温度-30℃～70℃、工作湿度10%～90%</w:t>
            </w:r>
          </w:p>
          <w:p>
            <w:pPr>
              <w:snapToGrid w:val="0"/>
              <w:jc w:val="center"/>
              <w:rPr>
                <w:rFonts w:ascii="仿宋" w:hAnsi="仿宋" w:eastAsia="仿宋" w:cs="宋体"/>
                <w:sz w:val="24"/>
              </w:rPr>
            </w:pPr>
            <w:r>
              <w:rPr>
                <w:rFonts w:hint="eastAsia" w:ascii="仿宋" w:hAnsi="仿宋" w:eastAsia="仿宋" w:cs="宋体"/>
                <w:sz w:val="24"/>
              </w:rPr>
              <w:t>电源供应：DC12/5A</w:t>
            </w:r>
          </w:p>
          <w:p>
            <w:pPr>
              <w:snapToGrid w:val="0"/>
              <w:jc w:val="center"/>
              <w:rPr>
                <w:rFonts w:ascii="仿宋" w:hAnsi="仿宋" w:eastAsia="仿宋" w:cs="宋体"/>
                <w:sz w:val="24"/>
              </w:rPr>
            </w:pPr>
            <w:r>
              <w:rPr>
                <w:rFonts w:hint="eastAsia" w:ascii="仿宋" w:hAnsi="仿宋" w:eastAsia="仿宋" w:cs="宋体"/>
                <w:sz w:val="24"/>
              </w:rPr>
              <w:t>功耗：20W max</w:t>
            </w:r>
          </w:p>
          <w:p>
            <w:pPr>
              <w:snapToGrid w:val="0"/>
              <w:jc w:val="center"/>
              <w:rPr>
                <w:rFonts w:ascii="仿宋" w:hAnsi="仿宋" w:eastAsia="仿宋" w:cs="宋体"/>
                <w:sz w:val="24"/>
              </w:rPr>
            </w:pPr>
            <w:r>
              <w:rPr>
                <w:rFonts w:hint="eastAsia" w:ascii="仿宋" w:hAnsi="仿宋" w:eastAsia="仿宋" w:cs="宋体"/>
                <w:sz w:val="24"/>
              </w:rPr>
              <w:t>操作系统：嵌入式Linux操作系统，支持WEB操作</w:t>
            </w:r>
          </w:p>
          <w:p>
            <w:pPr>
              <w:snapToGrid w:val="0"/>
              <w:jc w:val="center"/>
              <w:rPr>
                <w:rFonts w:ascii="仿宋" w:hAnsi="仿宋" w:eastAsia="仿宋" w:cs="宋体"/>
                <w:sz w:val="24"/>
              </w:rPr>
            </w:pPr>
            <w:r>
              <w:rPr>
                <w:rFonts w:hint="eastAsia" w:ascii="仿宋" w:hAnsi="仿宋" w:eastAsia="仿宋" w:cs="宋体"/>
                <w:sz w:val="24"/>
              </w:rPr>
              <w:t>报警输出：1个开关量报警输出接口</w:t>
            </w:r>
          </w:p>
          <w:p>
            <w:pPr>
              <w:snapToGrid w:val="0"/>
              <w:jc w:val="center"/>
              <w:rPr>
                <w:rFonts w:ascii="仿宋" w:hAnsi="仿宋" w:eastAsia="仿宋" w:cs="宋体"/>
                <w:sz w:val="24"/>
              </w:rPr>
            </w:pPr>
            <w:r>
              <w:rPr>
                <w:rFonts w:hint="eastAsia" w:ascii="仿宋" w:hAnsi="仿宋" w:eastAsia="仿宋" w:cs="宋体"/>
                <w:sz w:val="24"/>
              </w:rPr>
              <w:t>报警输入：1个开关量报警输入接口</w:t>
            </w:r>
          </w:p>
          <w:p>
            <w:pPr>
              <w:snapToGrid w:val="0"/>
              <w:jc w:val="center"/>
              <w:rPr>
                <w:rFonts w:ascii="仿宋" w:hAnsi="仿宋" w:eastAsia="仿宋" w:cs="宋体"/>
                <w:sz w:val="24"/>
              </w:rPr>
            </w:pPr>
            <w:r>
              <w:rPr>
                <w:rFonts w:hint="eastAsia" w:ascii="仿宋" w:hAnsi="仿宋" w:eastAsia="仿宋" w:cs="宋体"/>
                <w:sz w:val="24"/>
              </w:rPr>
              <w:t>RS232接口：2个RS232接口</w:t>
            </w:r>
          </w:p>
          <w:p>
            <w:pPr>
              <w:snapToGrid w:val="0"/>
              <w:jc w:val="center"/>
              <w:rPr>
                <w:rFonts w:ascii="仿宋" w:hAnsi="仿宋" w:eastAsia="仿宋" w:cs="宋体"/>
                <w:sz w:val="24"/>
              </w:rPr>
            </w:pPr>
            <w:r>
              <w:rPr>
                <w:rFonts w:hint="eastAsia" w:ascii="仿宋" w:hAnsi="仿宋" w:eastAsia="仿宋" w:cs="宋体"/>
                <w:sz w:val="24"/>
              </w:rPr>
              <w:t>网络接口：8个百兆与1个千兆可光端复用接口组成内部网络，另外1个千兆可光电复用接口为外部网络，支持内部与外部设置不同的网段，支持跨网段访问相机，充分节省系统IP地址资源</w:t>
            </w:r>
          </w:p>
          <w:p>
            <w:pPr>
              <w:snapToGrid w:val="0"/>
              <w:jc w:val="center"/>
              <w:rPr>
                <w:rFonts w:ascii="仿宋" w:hAnsi="仿宋" w:eastAsia="仿宋" w:cs="宋体"/>
                <w:sz w:val="24"/>
              </w:rPr>
            </w:pPr>
            <w:r>
              <w:rPr>
                <w:rFonts w:hint="eastAsia" w:ascii="仿宋" w:hAnsi="仿宋" w:eastAsia="仿宋" w:cs="宋体"/>
                <w:sz w:val="24"/>
              </w:rPr>
              <w:t>RS485接口：1个RS485接口</w:t>
            </w:r>
          </w:p>
          <w:p>
            <w:pPr>
              <w:snapToGrid w:val="0"/>
              <w:jc w:val="center"/>
              <w:rPr>
                <w:rFonts w:ascii="仿宋" w:hAnsi="仿宋" w:eastAsia="仿宋" w:cs="宋体"/>
                <w:kern w:val="0"/>
                <w:sz w:val="24"/>
              </w:rPr>
            </w:pPr>
            <w:r>
              <w:rPr>
                <w:rFonts w:hint="eastAsia" w:ascii="仿宋" w:hAnsi="仿宋" w:eastAsia="仿宋" w:cs="宋体"/>
                <w:sz w:val="24"/>
              </w:rPr>
              <w:t>USB接口：1个USB2.0接口</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5</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IP音箱</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1.一体化壁挂式设计, 整合网络音频解码,数字功放及音箱；</w:t>
            </w:r>
          </w:p>
          <w:p>
            <w:pPr>
              <w:snapToGrid w:val="0"/>
              <w:jc w:val="center"/>
              <w:rPr>
                <w:rFonts w:ascii="仿宋" w:hAnsi="仿宋" w:eastAsia="仿宋" w:cs="宋体"/>
                <w:sz w:val="24"/>
              </w:rPr>
            </w:pPr>
            <w:r>
              <w:rPr>
                <w:rFonts w:hint="eastAsia" w:ascii="仿宋" w:hAnsi="仿宋" w:eastAsia="仿宋" w:cs="宋体"/>
                <w:sz w:val="24"/>
              </w:rPr>
              <w:t>3.采用高速工业级双核(ARM+DSP)芯片，启动时间≤1秒；</w:t>
            </w:r>
          </w:p>
          <w:p>
            <w:pPr>
              <w:snapToGrid w:val="0"/>
              <w:jc w:val="center"/>
              <w:rPr>
                <w:rFonts w:ascii="仿宋" w:hAnsi="仿宋" w:eastAsia="仿宋" w:cs="宋体"/>
                <w:sz w:val="24"/>
              </w:rPr>
            </w:pPr>
            <w:r>
              <w:rPr>
                <w:rFonts w:hint="eastAsia" w:ascii="仿宋" w:hAnsi="仿宋" w:eastAsia="仿宋" w:cs="宋体"/>
                <w:sz w:val="24"/>
              </w:rPr>
              <w:t>4.内置高保真扬声器和立体声D类8Ω20W功率放大器；</w:t>
            </w:r>
          </w:p>
          <w:p>
            <w:pPr>
              <w:snapToGrid w:val="0"/>
              <w:jc w:val="center"/>
              <w:rPr>
                <w:rFonts w:ascii="仿宋" w:hAnsi="仿宋" w:eastAsia="仿宋" w:cs="宋体"/>
                <w:sz w:val="24"/>
              </w:rPr>
            </w:pPr>
            <w:r>
              <w:rPr>
                <w:rFonts w:hint="eastAsia" w:ascii="仿宋" w:hAnsi="仿宋" w:eastAsia="仿宋" w:cs="宋体"/>
                <w:sz w:val="24"/>
              </w:rPr>
              <w:t>5.内置回路检测功能，可远程监听扬声器工作状态，轻松维护；</w:t>
            </w:r>
          </w:p>
          <w:p>
            <w:pPr>
              <w:snapToGrid w:val="0"/>
              <w:jc w:val="center"/>
              <w:rPr>
                <w:rFonts w:ascii="仿宋" w:hAnsi="仿宋" w:eastAsia="仿宋" w:cs="宋体"/>
                <w:sz w:val="24"/>
              </w:rPr>
            </w:pPr>
            <w:r>
              <w:rPr>
                <w:rFonts w:hint="eastAsia" w:ascii="仿宋" w:hAnsi="仿宋" w:eastAsia="仿宋" w:cs="宋体"/>
                <w:sz w:val="24"/>
              </w:rPr>
              <w:t>6.服务软件远程调节输出音量，并可在本地用旋钮调节线路输入音量；</w:t>
            </w:r>
          </w:p>
          <w:p>
            <w:pPr>
              <w:snapToGrid w:val="0"/>
              <w:jc w:val="center"/>
              <w:rPr>
                <w:rFonts w:ascii="仿宋" w:hAnsi="仿宋" w:eastAsia="仿宋" w:cs="宋体"/>
                <w:sz w:val="24"/>
              </w:rPr>
            </w:pPr>
            <w:r>
              <w:rPr>
                <w:rFonts w:hint="eastAsia" w:ascii="仿宋" w:hAnsi="仿宋" w:eastAsia="仿宋" w:cs="宋体"/>
                <w:sz w:val="24"/>
              </w:rPr>
              <w:t>7.标准RJ45网络接口，有以太网口的地方即可接入，支持跨网段和跨路由。</w:t>
            </w:r>
          </w:p>
          <w:p>
            <w:pPr>
              <w:snapToGrid w:val="0"/>
              <w:jc w:val="center"/>
              <w:rPr>
                <w:rFonts w:ascii="仿宋" w:hAnsi="仿宋" w:eastAsia="仿宋" w:cs="宋体"/>
                <w:sz w:val="24"/>
              </w:rPr>
            </w:pPr>
            <w:r>
              <w:rPr>
                <w:rFonts w:hint="eastAsia" w:ascii="仿宋" w:hAnsi="仿宋" w:eastAsia="仿宋" w:cs="宋体"/>
                <w:sz w:val="24"/>
              </w:rPr>
              <w:t>9.电源、功耗 DC24V ≤23W</w:t>
            </w:r>
          </w:p>
          <w:p>
            <w:pPr>
              <w:snapToGrid w:val="0"/>
              <w:jc w:val="center"/>
              <w:rPr>
                <w:rFonts w:ascii="仿宋" w:hAnsi="仿宋" w:eastAsia="仿宋" w:cs="宋体"/>
                <w:sz w:val="24"/>
              </w:rPr>
            </w:pPr>
            <w:r>
              <w:rPr>
                <w:rFonts w:hint="eastAsia" w:ascii="仿宋" w:hAnsi="仿宋" w:eastAsia="仿宋" w:cs="宋体"/>
                <w:sz w:val="24"/>
              </w:rPr>
              <w:t>10.信噪比、频响 ≥90dB，190-18KHz</w:t>
            </w:r>
          </w:p>
          <w:p>
            <w:pPr>
              <w:snapToGrid w:val="0"/>
              <w:jc w:val="center"/>
              <w:rPr>
                <w:rFonts w:ascii="仿宋" w:hAnsi="仿宋" w:eastAsia="仿宋" w:cs="宋体"/>
                <w:sz w:val="24"/>
              </w:rPr>
            </w:pPr>
            <w:r>
              <w:rPr>
                <w:rFonts w:hint="eastAsia" w:ascii="仿宋" w:hAnsi="仿宋" w:eastAsia="仿宋" w:cs="宋体"/>
                <w:sz w:val="24"/>
              </w:rPr>
              <w:t>网络声音延迟 广播延迟≤30ms</w:t>
            </w:r>
          </w:p>
          <w:p>
            <w:pPr>
              <w:snapToGrid w:val="0"/>
              <w:jc w:val="center"/>
              <w:rPr>
                <w:rFonts w:ascii="仿宋" w:hAnsi="仿宋" w:eastAsia="仿宋" w:cs="宋体"/>
                <w:kern w:val="0"/>
                <w:sz w:val="24"/>
              </w:rPr>
            </w:pPr>
            <w:r>
              <w:rPr>
                <w:rFonts w:hint="eastAsia" w:ascii="仿宋" w:hAnsi="仿宋" w:eastAsia="仿宋" w:cs="宋体"/>
                <w:sz w:val="24"/>
              </w:rPr>
              <w:t>输出功率 20W</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25</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个</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广播主机</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1.采用不小于17寸工业级加固触摸屏，具有可抽拉隐藏式键盘、滑鼠板，简单易用的触摸屏操控；</w:t>
            </w:r>
          </w:p>
          <w:p>
            <w:pPr>
              <w:snapToGrid w:val="0"/>
              <w:jc w:val="center"/>
              <w:rPr>
                <w:rFonts w:ascii="仿宋" w:hAnsi="仿宋" w:eastAsia="仿宋" w:cs="宋体"/>
                <w:sz w:val="24"/>
              </w:rPr>
            </w:pPr>
            <w:r>
              <w:rPr>
                <w:rFonts w:hint="eastAsia" w:ascii="仿宋" w:hAnsi="仿宋" w:eastAsia="仿宋" w:cs="宋体"/>
                <w:sz w:val="24"/>
              </w:rPr>
              <w:t>2.内置大容量固态硬盘，具有抗震动、抗摔、读写速度快、功耗低等特点；</w:t>
            </w:r>
          </w:p>
          <w:p>
            <w:pPr>
              <w:snapToGrid w:val="0"/>
              <w:jc w:val="center"/>
              <w:rPr>
                <w:rFonts w:ascii="仿宋" w:hAnsi="仿宋" w:eastAsia="仿宋" w:cs="宋体"/>
                <w:sz w:val="24"/>
              </w:rPr>
            </w:pPr>
            <w:r>
              <w:rPr>
                <w:rFonts w:hint="eastAsia" w:ascii="仿宋" w:hAnsi="仿宋" w:eastAsia="仿宋" w:cs="宋体"/>
                <w:sz w:val="24"/>
              </w:rPr>
              <w:t>3.安装广播系统服务器软件后，构成IP广播系统的管理控制中心，对广播系统各路音源信号控制，广播区域分配，终端信息的配置；</w:t>
            </w:r>
          </w:p>
          <w:p>
            <w:pPr>
              <w:snapToGrid w:val="0"/>
              <w:jc w:val="center"/>
              <w:rPr>
                <w:rFonts w:ascii="仿宋" w:hAnsi="仿宋" w:eastAsia="仿宋" w:cs="宋体"/>
                <w:sz w:val="24"/>
              </w:rPr>
            </w:pPr>
            <w:r>
              <w:rPr>
                <w:rFonts w:hint="eastAsia" w:ascii="仿宋" w:hAnsi="仿宋" w:eastAsia="仿宋" w:cs="宋体"/>
                <w:sz w:val="24"/>
              </w:rPr>
              <w:t>4.接口 2个RJ45网口、6个USB口、1个 DVI接口、1路线路输入、1路线路输出、1路VGA输出、1路话筒输入；</w:t>
            </w:r>
          </w:p>
          <w:p>
            <w:pPr>
              <w:snapToGrid w:val="0"/>
              <w:jc w:val="center"/>
              <w:rPr>
                <w:rFonts w:ascii="仿宋" w:hAnsi="仿宋" w:eastAsia="仿宋" w:cs="宋体"/>
                <w:sz w:val="24"/>
              </w:rPr>
            </w:pPr>
            <w:r>
              <w:rPr>
                <w:rFonts w:hint="eastAsia" w:ascii="仿宋" w:hAnsi="仿宋" w:eastAsia="仿宋" w:cs="宋体"/>
                <w:sz w:val="24"/>
              </w:rPr>
              <w:t>5. 具有实时采播和定时采播功能，可通过声卡向指定终端广播音乐或通知；</w:t>
            </w:r>
          </w:p>
          <w:p>
            <w:pPr>
              <w:snapToGrid w:val="0"/>
              <w:jc w:val="center"/>
              <w:rPr>
                <w:rFonts w:ascii="仿宋" w:hAnsi="仿宋" w:eastAsia="仿宋" w:cs="宋体"/>
                <w:sz w:val="24"/>
              </w:rPr>
            </w:pPr>
            <w:r>
              <w:rPr>
                <w:rFonts w:hint="eastAsia" w:ascii="仿宋" w:hAnsi="仿宋" w:eastAsia="仿宋" w:cs="宋体"/>
                <w:sz w:val="24"/>
              </w:rPr>
              <w:t>6. 文件广播，将服务器中音频文件，向指定终端播放（支持任意多路文件同时广播）；</w:t>
            </w:r>
          </w:p>
          <w:p>
            <w:pPr>
              <w:snapToGrid w:val="0"/>
              <w:jc w:val="center"/>
              <w:rPr>
                <w:rFonts w:ascii="仿宋" w:hAnsi="仿宋" w:eastAsia="仿宋" w:cs="宋体"/>
                <w:sz w:val="24"/>
              </w:rPr>
            </w:pPr>
            <w:r>
              <w:rPr>
                <w:rFonts w:hint="eastAsia" w:ascii="仿宋" w:hAnsi="仿宋" w:eastAsia="仿宋" w:cs="宋体"/>
                <w:sz w:val="24"/>
              </w:rPr>
              <w:t>7. 定时任务，在设定的时间，向预设的终端播放文件列表内容；</w:t>
            </w:r>
          </w:p>
          <w:p>
            <w:pPr>
              <w:snapToGrid w:val="0"/>
              <w:jc w:val="center"/>
              <w:rPr>
                <w:rFonts w:ascii="仿宋" w:hAnsi="仿宋" w:eastAsia="仿宋" w:cs="宋体"/>
                <w:sz w:val="24"/>
              </w:rPr>
            </w:pPr>
            <w:r>
              <w:rPr>
                <w:rFonts w:hint="eastAsia" w:ascii="仿宋" w:hAnsi="仿宋" w:eastAsia="仿宋" w:cs="宋体"/>
                <w:sz w:val="24"/>
              </w:rPr>
              <w:t>8. 消防广播，当服务器收到终端的触发信号，向指定区域的终端播放紧急疏散语音；</w:t>
            </w:r>
          </w:p>
          <w:p>
            <w:pPr>
              <w:snapToGrid w:val="0"/>
              <w:jc w:val="center"/>
              <w:rPr>
                <w:rFonts w:ascii="仿宋" w:hAnsi="仿宋" w:eastAsia="仿宋" w:cs="宋体"/>
                <w:sz w:val="24"/>
              </w:rPr>
            </w:pPr>
            <w:r>
              <w:rPr>
                <w:rFonts w:hint="eastAsia" w:ascii="仿宋" w:hAnsi="仿宋" w:eastAsia="仿宋" w:cs="宋体"/>
                <w:sz w:val="24"/>
              </w:rPr>
              <w:t>9. 节目管理，维护系统所需的广播音频文件，便于工作站或终端调用；</w:t>
            </w:r>
          </w:p>
          <w:p>
            <w:pPr>
              <w:snapToGrid w:val="0"/>
              <w:jc w:val="center"/>
              <w:rPr>
                <w:rFonts w:ascii="仿宋" w:hAnsi="仿宋" w:eastAsia="仿宋" w:cs="宋体"/>
                <w:sz w:val="24"/>
              </w:rPr>
            </w:pPr>
            <w:r>
              <w:rPr>
                <w:rFonts w:hint="eastAsia" w:ascii="仿宋" w:hAnsi="仿宋" w:eastAsia="仿宋" w:cs="宋体"/>
                <w:sz w:val="24"/>
              </w:rPr>
              <w:t>10. 为工作站软件提供数据接口，根据账户授予相应操作权限；</w:t>
            </w:r>
          </w:p>
          <w:p>
            <w:pPr>
              <w:snapToGrid w:val="0"/>
              <w:jc w:val="center"/>
              <w:rPr>
                <w:rFonts w:ascii="仿宋" w:hAnsi="仿宋" w:eastAsia="仿宋" w:cs="宋体"/>
                <w:sz w:val="24"/>
              </w:rPr>
            </w:pPr>
            <w:r>
              <w:rPr>
                <w:rFonts w:hint="eastAsia" w:ascii="仿宋" w:hAnsi="仿宋" w:eastAsia="仿宋" w:cs="宋体"/>
                <w:sz w:val="24"/>
              </w:rPr>
              <w:t>11. 日志功能，每次呼叫、通话和广播操作均有记录供查询；</w:t>
            </w:r>
          </w:p>
          <w:p>
            <w:pPr>
              <w:snapToGrid w:val="0"/>
              <w:jc w:val="center"/>
              <w:rPr>
                <w:rFonts w:ascii="仿宋" w:hAnsi="仿宋" w:eastAsia="仿宋" w:cs="宋体"/>
                <w:sz w:val="24"/>
              </w:rPr>
            </w:pPr>
            <w:r>
              <w:rPr>
                <w:rFonts w:hint="eastAsia" w:ascii="仿宋" w:hAnsi="仿宋" w:eastAsia="仿宋" w:cs="宋体"/>
                <w:sz w:val="24"/>
              </w:rPr>
              <w:t>12. 支持主服务器和备用服务器热切换，提升系统可靠性；</w:t>
            </w:r>
          </w:p>
          <w:p>
            <w:pPr>
              <w:snapToGrid w:val="0"/>
              <w:jc w:val="center"/>
              <w:rPr>
                <w:rFonts w:ascii="仿宋" w:hAnsi="仿宋" w:eastAsia="仿宋" w:cs="宋体"/>
                <w:sz w:val="24"/>
              </w:rPr>
            </w:pPr>
            <w:r>
              <w:rPr>
                <w:rFonts w:hint="eastAsia" w:ascii="仿宋" w:hAnsi="仿宋" w:eastAsia="仿宋" w:cs="宋体"/>
                <w:sz w:val="24"/>
              </w:rPr>
              <w:t>13.电源、功耗 DC 12V/10A，≤50W；</w:t>
            </w:r>
          </w:p>
          <w:p>
            <w:pPr>
              <w:snapToGrid w:val="0"/>
              <w:jc w:val="center"/>
              <w:rPr>
                <w:rFonts w:ascii="仿宋" w:hAnsi="仿宋" w:eastAsia="仿宋" w:cs="宋体"/>
                <w:kern w:val="0"/>
                <w:sz w:val="24"/>
              </w:rPr>
            </w:pPr>
            <w:r>
              <w:rPr>
                <w:rFonts w:hint="eastAsia" w:ascii="仿宋" w:hAnsi="仿宋" w:eastAsia="仿宋" w:cs="宋体"/>
                <w:sz w:val="24"/>
              </w:rPr>
              <w:t>14.工作温度、湿度 5℃～45℃， ≤90%RH（无结露）；</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信号控制机（内置枢纽定制信控算法）</w:t>
            </w:r>
          </w:p>
        </w:tc>
        <w:tc>
          <w:tcPr>
            <w:tcW w:w="3637"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b/>
                <w:bCs/>
                <w:sz w:val="24"/>
              </w:rPr>
            </w:pPr>
            <w:r>
              <w:rPr>
                <w:rFonts w:hint="eastAsia" w:ascii="仿宋" w:hAnsi="仿宋" w:eastAsia="仿宋" w:cs="宋体"/>
                <w:b/>
                <w:bCs/>
                <w:sz w:val="24"/>
              </w:rPr>
              <w:t>信号机符合国家GB25280-2016《道路交通信号控制机》标准，</w:t>
            </w:r>
            <w:r>
              <w:rPr>
                <w:rFonts w:hint="eastAsia" w:ascii="仿宋" w:hAnsi="仿宋" w:eastAsia="仿宋" w:cs="宋体"/>
                <w:b/>
                <w:bCs/>
                <w:kern w:val="0"/>
                <w:sz w:val="24"/>
              </w:rPr>
              <w:t>（需提供第三方专业检测机构检测报告复印件或扫描件并加盖公章）</w:t>
            </w:r>
            <w:r>
              <w:rPr>
                <w:rFonts w:hint="eastAsia" w:ascii="仿宋" w:hAnsi="仿宋" w:eastAsia="仿宋" w:cs="宋体"/>
                <w:b/>
                <w:bCs/>
                <w:sz w:val="24"/>
              </w:rPr>
              <w:t>。</w:t>
            </w:r>
          </w:p>
          <w:p>
            <w:pPr>
              <w:snapToGrid w:val="0"/>
              <w:rPr>
                <w:rFonts w:ascii="仿宋" w:hAnsi="仿宋" w:eastAsia="仿宋" w:cs="宋体"/>
                <w:b/>
                <w:bCs/>
                <w:sz w:val="24"/>
              </w:rPr>
            </w:pPr>
            <w:r>
              <w:rPr>
                <w:rFonts w:hint="eastAsia" w:ascii="仿宋" w:hAnsi="仿宋" w:eastAsia="仿宋" w:cs="宋体"/>
                <w:sz w:val="24"/>
              </w:rPr>
              <w:t>符合GB/T20999-2007开放性标准。</w:t>
            </w:r>
            <w:r>
              <w:rPr>
                <w:rFonts w:hint="eastAsia" w:ascii="仿宋" w:hAnsi="仿宋" w:eastAsia="仿宋" w:cs="宋体"/>
                <w:sz w:val="24"/>
              </w:rPr>
              <w:br w:type="textWrapping"/>
            </w:r>
            <w:r>
              <w:rPr>
                <w:rFonts w:hint="eastAsia" w:ascii="仿宋" w:hAnsi="仿宋" w:eastAsia="仿宋" w:cs="宋体"/>
                <w:sz w:val="24"/>
              </w:rPr>
              <w:t>1、32相位控制，相序可由用户设置；</w:t>
            </w:r>
            <w:r>
              <w:rPr>
                <w:rFonts w:hint="eastAsia" w:ascii="仿宋" w:hAnsi="仿宋" w:eastAsia="仿宋" w:cs="宋体"/>
                <w:sz w:val="24"/>
              </w:rPr>
              <w:br w:type="textWrapping"/>
            </w:r>
            <w:r>
              <w:rPr>
                <w:rFonts w:hint="eastAsia" w:ascii="仿宋" w:hAnsi="仿宋" w:eastAsia="仿宋" w:cs="宋体"/>
                <w:sz w:val="24"/>
              </w:rPr>
              <w:t>2、可控制16 组（44 路）信号灯，可扩展至72路可控硅输出，支持可变车道、待转屏等输出控制；</w:t>
            </w:r>
            <w:r>
              <w:rPr>
                <w:rFonts w:hint="eastAsia" w:ascii="仿宋" w:hAnsi="仿宋" w:eastAsia="仿宋" w:cs="宋体"/>
                <w:sz w:val="24"/>
              </w:rPr>
              <w:br w:type="textWrapping"/>
            </w:r>
            <w:r>
              <w:rPr>
                <w:rFonts w:hint="eastAsia" w:ascii="仿宋" w:hAnsi="仿宋" w:eastAsia="仿宋" w:cs="宋体"/>
                <w:sz w:val="24"/>
              </w:rPr>
              <w:t>3、1 个 RS232，1 个 RS485，1 个 RJ45，1 个 usb 接口，用于通信、调试；</w:t>
            </w:r>
            <w:r>
              <w:rPr>
                <w:rFonts w:hint="eastAsia" w:ascii="仿宋" w:hAnsi="仿宋" w:eastAsia="仿宋" w:cs="宋体"/>
                <w:sz w:val="24"/>
              </w:rPr>
              <w:br w:type="textWrapping"/>
            </w:r>
            <w:r>
              <w:rPr>
                <w:rFonts w:hint="eastAsia" w:ascii="仿宋" w:hAnsi="仿宋" w:eastAsia="仿宋" w:cs="宋体"/>
                <w:sz w:val="24"/>
              </w:rPr>
              <w:t>4、支持地磁车检，视频车检、雷达车检，可扩展 8 路 485 协议接口和 1 路 RJ45 协议接口；</w:t>
            </w:r>
            <w:r>
              <w:rPr>
                <w:rFonts w:hint="eastAsia" w:ascii="仿宋" w:hAnsi="仿宋" w:eastAsia="仿宋" w:cs="宋体"/>
                <w:sz w:val="24"/>
              </w:rPr>
              <w:br w:type="textWrapping"/>
            </w:r>
            <w:r>
              <w:rPr>
                <w:rFonts w:hint="eastAsia" w:ascii="仿宋" w:hAnsi="仿宋" w:eastAsia="仿宋" w:cs="宋体"/>
                <w:sz w:val="24"/>
              </w:rPr>
              <w:t>5、支持接入4 路行人按钮检测器；</w:t>
            </w:r>
            <w:r>
              <w:rPr>
                <w:rFonts w:hint="eastAsia" w:ascii="仿宋" w:hAnsi="仿宋" w:eastAsia="仿宋" w:cs="宋体"/>
                <w:sz w:val="24"/>
              </w:rPr>
              <w:br w:type="textWrapping"/>
            </w:r>
            <w:r>
              <w:rPr>
                <w:rFonts w:hint="eastAsia" w:ascii="仿宋" w:hAnsi="仿宋" w:eastAsia="仿宋" w:cs="宋体"/>
                <w:sz w:val="24"/>
              </w:rPr>
              <w:t>6、支持信号输出故障和流向冲突检测，并自动切换黄闪；</w:t>
            </w:r>
            <w:r>
              <w:rPr>
                <w:rFonts w:hint="eastAsia" w:ascii="仿宋" w:hAnsi="仿宋" w:eastAsia="仿宋" w:cs="宋体"/>
                <w:sz w:val="24"/>
              </w:rPr>
              <w:br w:type="textWrapping"/>
            </w:r>
            <w:r>
              <w:rPr>
                <w:rFonts w:hint="eastAsia" w:ascii="仿宋" w:hAnsi="仿宋" w:eastAsia="仿宋" w:cs="宋体"/>
                <w:sz w:val="24"/>
              </w:rPr>
              <w:t>7、具有手动控制，通过侧门操作面板查询方案信息，进行全红、黄闪、信号步进控制，实现现场的紧急控制；</w:t>
            </w:r>
            <w:r>
              <w:rPr>
                <w:rFonts w:hint="eastAsia" w:ascii="仿宋" w:hAnsi="仿宋" w:eastAsia="仿宋" w:cs="宋体"/>
                <w:sz w:val="24"/>
              </w:rPr>
              <w:br w:type="textWrapping"/>
            </w:r>
            <w:r>
              <w:rPr>
                <w:rFonts w:hint="eastAsia" w:ascii="仿宋" w:hAnsi="仿宋" w:eastAsia="仿宋" w:cs="宋体"/>
                <w:sz w:val="24"/>
              </w:rPr>
              <w:t>8、具有本地 Web 版软件配置功能；</w:t>
            </w:r>
            <w:r>
              <w:rPr>
                <w:rFonts w:hint="eastAsia" w:ascii="仿宋" w:hAnsi="仿宋" w:eastAsia="仿宋" w:cs="宋体"/>
                <w:sz w:val="24"/>
              </w:rPr>
              <w:br w:type="textWrapping"/>
            </w:r>
            <w:r>
              <w:rPr>
                <w:rFonts w:hint="eastAsia" w:ascii="仿宋" w:hAnsi="仿宋" w:eastAsia="仿宋" w:cs="宋体"/>
                <w:sz w:val="24"/>
              </w:rPr>
              <w:t>9、设有“节假日”、“星期”两种模式，可指定多于 32个特殊日配时方案，每天可设 32个时段和 32 种配时方案；</w:t>
            </w:r>
            <w:r>
              <w:rPr>
                <w:rFonts w:hint="eastAsia" w:ascii="仿宋" w:hAnsi="仿宋" w:eastAsia="仿宋" w:cs="宋体"/>
                <w:sz w:val="24"/>
              </w:rPr>
              <w:br w:type="textWrapping"/>
            </w:r>
            <w:r>
              <w:rPr>
                <w:rFonts w:hint="eastAsia" w:ascii="仿宋" w:hAnsi="仿宋" w:eastAsia="仿宋" w:cs="宋体"/>
                <w:sz w:val="24"/>
              </w:rPr>
              <w:t>10、支持带回检模块智能信号灯的接入，实现信号灯运行状态的实时监控及故障报警；</w:t>
            </w:r>
            <w:r>
              <w:rPr>
                <w:rFonts w:hint="eastAsia" w:ascii="仿宋" w:hAnsi="仿宋" w:eastAsia="仿宋" w:cs="宋体"/>
                <w:sz w:val="24"/>
              </w:rPr>
              <w:br w:type="textWrapping"/>
            </w:r>
            <w:r>
              <w:rPr>
                <w:rFonts w:hint="eastAsia" w:ascii="仿宋" w:hAnsi="仿宋" w:eastAsia="仿宋" w:cs="宋体"/>
                <w:sz w:val="24"/>
              </w:rPr>
              <w:t>11、支持多时段定时控制、人工手动控制、指挥中心联网控制等多种控制方式；</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10</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信号控制机箱</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户外机柜，机柜尺寸不小于1450mm(高)*720mm(宽)*450mm(深)，内置 19 英寸标准安装附件。</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10</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室内箭头红绿灯</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LED发光单元：单颗直径Φ5mm；单颗电流&lt;30mA；数量:144 颗；波长红:625nm;绿:505nm；使用寿命：70000H；中心光强/ 亮度：400cd &lt;红(绿)&lt; 1000cd；可视角度：&gt;30°；可视距离：&gt;450m</w:t>
            </w:r>
          </w:p>
          <w:p>
            <w:pPr>
              <w:snapToGrid w:val="0"/>
              <w:jc w:val="center"/>
              <w:rPr>
                <w:rFonts w:ascii="仿宋" w:hAnsi="仿宋" w:eastAsia="仿宋" w:cs="宋体"/>
                <w:sz w:val="24"/>
              </w:rPr>
            </w:pPr>
            <w:r>
              <w:rPr>
                <w:rFonts w:hint="eastAsia" w:ascii="仿宋" w:hAnsi="仿宋" w:eastAsia="仿宋" w:cs="宋体"/>
                <w:sz w:val="24"/>
              </w:rPr>
              <w:t>LED发光单元均匀、 等比例排布；</w:t>
            </w:r>
          </w:p>
          <w:p>
            <w:pPr>
              <w:snapToGrid w:val="0"/>
              <w:jc w:val="center"/>
              <w:rPr>
                <w:rFonts w:ascii="仿宋" w:hAnsi="仿宋" w:eastAsia="仿宋" w:cs="宋体"/>
                <w:sz w:val="24"/>
              </w:rPr>
            </w:pPr>
            <w:r>
              <w:rPr>
                <w:rFonts w:hint="eastAsia" w:ascii="仿宋" w:hAnsi="仿宋" w:eastAsia="仿宋" w:cs="宋体"/>
                <w:sz w:val="24"/>
              </w:rPr>
              <w:t>外壳材质：黑色塑壳；</w:t>
            </w:r>
          </w:p>
          <w:p>
            <w:pPr>
              <w:snapToGrid w:val="0"/>
              <w:jc w:val="center"/>
              <w:rPr>
                <w:rFonts w:ascii="仿宋" w:hAnsi="仿宋" w:eastAsia="仿宋" w:cs="宋体"/>
                <w:sz w:val="24"/>
              </w:rPr>
            </w:pPr>
            <w:r>
              <w:rPr>
                <w:rFonts w:hint="eastAsia" w:ascii="仿宋" w:hAnsi="仿宋" w:eastAsia="仿宋" w:cs="宋体"/>
                <w:sz w:val="24"/>
              </w:rPr>
              <w:t>防护等级：IP53；</w:t>
            </w:r>
          </w:p>
          <w:p>
            <w:pPr>
              <w:snapToGrid w:val="0"/>
              <w:jc w:val="center"/>
              <w:rPr>
                <w:rFonts w:ascii="仿宋" w:hAnsi="仿宋" w:eastAsia="仿宋" w:cs="宋体"/>
                <w:sz w:val="24"/>
              </w:rPr>
            </w:pPr>
            <w:r>
              <w:rPr>
                <w:rFonts w:hint="eastAsia" w:ascii="仿宋" w:hAnsi="仿宋" w:eastAsia="仿宋" w:cs="宋体"/>
                <w:sz w:val="24"/>
              </w:rPr>
              <w:t>电压：AC220±20%V(红/绿三火线、零线)；</w:t>
            </w:r>
          </w:p>
          <w:p>
            <w:pPr>
              <w:snapToGrid w:val="0"/>
              <w:jc w:val="center"/>
              <w:rPr>
                <w:rFonts w:ascii="仿宋" w:hAnsi="仿宋" w:eastAsia="仿宋" w:cs="宋体"/>
                <w:sz w:val="24"/>
              </w:rPr>
            </w:pPr>
            <w:r>
              <w:rPr>
                <w:rFonts w:hint="eastAsia" w:ascii="仿宋" w:hAnsi="仿宋" w:eastAsia="仿宋" w:cs="宋体"/>
                <w:sz w:val="24"/>
              </w:rPr>
              <w:t>功率：≤20W；</w:t>
            </w:r>
          </w:p>
          <w:p>
            <w:pPr>
              <w:snapToGrid w:val="0"/>
              <w:jc w:val="center"/>
              <w:rPr>
                <w:rFonts w:ascii="仿宋" w:hAnsi="仿宋" w:eastAsia="仿宋" w:cs="宋体"/>
                <w:sz w:val="24"/>
              </w:rPr>
            </w:pPr>
            <w:r>
              <w:rPr>
                <w:rFonts w:hint="eastAsia" w:ascii="仿宋" w:hAnsi="仿宋" w:eastAsia="仿宋" w:cs="宋体"/>
                <w:sz w:val="24"/>
              </w:rPr>
              <w:t>工作温度：-40 ~+85 °C；</w:t>
            </w:r>
          </w:p>
          <w:p>
            <w:pPr>
              <w:snapToGrid w:val="0"/>
              <w:jc w:val="center"/>
              <w:rPr>
                <w:rFonts w:ascii="仿宋" w:hAnsi="仿宋" w:eastAsia="仿宋" w:cs="宋体"/>
                <w:kern w:val="0"/>
                <w:sz w:val="24"/>
              </w:rPr>
            </w:pPr>
            <w:r>
              <w:rPr>
                <w:rFonts w:hint="eastAsia" w:ascii="仿宋" w:hAnsi="仿宋" w:eastAsia="仿宋" w:cs="宋体"/>
                <w:sz w:val="24"/>
              </w:rPr>
              <w:t>相对湿度：≤93%</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46</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个</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室内圆饼信号灯</w:t>
            </w:r>
          </w:p>
        </w:tc>
        <w:tc>
          <w:tcPr>
            <w:tcW w:w="363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宋体"/>
                <w:sz w:val="24"/>
              </w:rPr>
            </w:pPr>
            <w:r>
              <w:rPr>
                <w:rFonts w:hint="eastAsia" w:ascii="仿宋" w:hAnsi="仿宋" w:eastAsia="仿宋" w:cs="宋体"/>
                <w:sz w:val="24"/>
              </w:rPr>
              <w:t>LED发光单元：单颗直径Φ5mm；单颗电流&lt;30mA；数量:144 颗；波长红:625nm;黄:590nm;绿:505nm；使用寿命：70000H；中心光强/ 亮度：400cd &lt;红(黄、绿)&lt; 1000cd；可视角度：&gt;30°；可视距离：&gt;450m</w:t>
            </w:r>
          </w:p>
          <w:p>
            <w:pPr>
              <w:widowControl/>
              <w:jc w:val="center"/>
              <w:textAlignment w:val="center"/>
              <w:rPr>
                <w:rFonts w:ascii="仿宋" w:hAnsi="仿宋" w:eastAsia="仿宋" w:cs="宋体"/>
                <w:sz w:val="24"/>
              </w:rPr>
            </w:pPr>
            <w:r>
              <w:rPr>
                <w:rFonts w:hint="eastAsia" w:ascii="仿宋" w:hAnsi="仿宋" w:eastAsia="仿宋" w:cs="宋体"/>
                <w:sz w:val="24"/>
              </w:rPr>
              <w:t>LED发光单元均匀、 等比例排布；</w:t>
            </w:r>
          </w:p>
          <w:p>
            <w:pPr>
              <w:widowControl/>
              <w:jc w:val="center"/>
              <w:textAlignment w:val="center"/>
              <w:rPr>
                <w:rFonts w:ascii="仿宋" w:hAnsi="仿宋" w:eastAsia="仿宋" w:cs="宋体"/>
                <w:sz w:val="24"/>
              </w:rPr>
            </w:pPr>
            <w:r>
              <w:rPr>
                <w:rFonts w:hint="eastAsia" w:ascii="仿宋" w:hAnsi="仿宋" w:eastAsia="仿宋" w:cs="宋体"/>
                <w:sz w:val="24"/>
              </w:rPr>
              <w:t>外壳材质：黑色塑壳；</w:t>
            </w:r>
          </w:p>
          <w:p>
            <w:pPr>
              <w:widowControl/>
              <w:jc w:val="center"/>
              <w:textAlignment w:val="center"/>
              <w:rPr>
                <w:rFonts w:ascii="仿宋" w:hAnsi="仿宋" w:eastAsia="仿宋" w:cs="宋体"/>
                <w:sz w:val="24"/>
              </w:rPr>
            </w:pPr>
            <w:r>
              <w:rPr>
                <w:rFonts w:hint="eastAsia" w:ascii="仿宋" w:hAnsi="仿宋" w:eastAsia="仿宋" w:cs="宋体"/>
                <w:sz w:val="24"/>
              </w:rPr>
              <w:t>防护等级：IP53；</w:t>
            </w:r>
          </w:p>
          <w:p>
            <w:pPr>
              <w:widowControl/>
              <w:jc w:val="center"/>
              <w:textAlignment w:val="center"/>
              <w:rPr>
                <w:rFonts w:ascii="仿宋" w:hAnsi="仿宋" w:eastAsia="仿宋" w:cs="宋体"/>
                <w:sz w:val="24"/>
              </w:rPr>
            </w:pPr>
            <w:r>
              <w:rPr>
                <w:rFonts w:hint="eastAsia" w:ascii="仿宋" w:hAnsi="仿宋" w:eastAsia="仿宋" w:cs="宋体"/>
                <w:sz w:val="24"/>
              </w:rPr>
              <w:t>电压：AC220±20%V(红/黄/绿三火线、零线)；</w:t>
            </w:r>
          </w:p>
          <w:p>
            <w:pPr>
              <w:widowControl/>
              <w:jc w:val="center"/>
              <w:textAlignment w:val="center"/>
              <w:rPr>
                <w:rFonts w:ascii="仿宋" w:hAnsi="仿宋" w:eastAsia="仿宋" w:cs="宋体"/>
                <w:sz w:val="24"/>
              </w:rPr>
            </w:pPr>
            <w:r>
              <w:rPr>
                <w:rFonts w:hint="eastAsia" w:ascii="仿宋" w:hAnsi="仿宋" w:eastAsia="仿宋" w:cs="宋体"/>
                <w:sz w:val="24"/>
              </w:rPr>
              <w:t>功率：≤20W；</w:t>
            </w:r>
          </w:p>
          <w:p>
            <w:pPr>
              <w:widowControl/>
              <w:jc w:val="center"/>
              <w:textAlignment w:val="center"/>
              <w:rPr>
                <w:rFonts w:ascii="仿宋" w:hAnsi="仿宋" w:eastAsia="仿宋" w:cs="宋体"/>
                <w:sz w:val="24"/>
              </w:rPr>
            </w:pPr>
            <w:r>
              <w:rPr>
                <w:rFonts w:hint="eastAsia" w:ascii="仿宋" w:hAnsi="仿宋" w:eastAsia="仿宋" w:cs="宋体"/>
                <w:sz w:val="24"/>
              </w:rPr>
              <w:t>工作温度：-40 ~+85 °C；</w:t>
            </w:r>
          </w:p>
          <w:p>
            <w:pPr>
              <w:widowControl/>
              <w:jc w:val="center"/>
              <w:textAlignment w:val="center"/>
              <w:rPr>
                <w:rFonts w:ascii="仿宋" w:hAnsi="仿宋" w:eastAsia="仿宋" w:cs="宋体"/>
                <w:kern w:val="0"/>
                <w:sz w:val="24"/>
              </w:rPr>
            </w:pPr>
            <w:r>
              <w:rPr>
                <w:rFonts w:hint="eastAsia" w:ascii="仿宋" w:hAnsi="仿宋" w:eastAsia="仿宋" w:cs="宋体"/>
                <w:sz w:val="24"/>
              </w:rPr>
              <w:t>相对湿度：≤93%</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42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个</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80寸电子信息屏</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80寸以上电子信息屏，含工控机</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单门门禁控制器</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处理器：32位处理器</w:t>
            </w:r>
          </w:p>
          <w:p>
            <w:pPr>
              <w:snapToGrid w:val="0"/>
              <w:jc w:val="center"/>
              <w:rPr>
                <w:rFonts w:ascii="仿宋" w:hAnsi="仿宋" w:eastAsia="仿宋" w:cs="宋体"/>
                <w:sz w:val="24"/>
              </w:rPr>
            </w:pPr>
            <w:r>
              <w:rPr>
                <w:rFonts w:hint="eastAsia" w:ascii="仿宋" w:hAnsi="仿宋" w:eastAsia="仿宋" w:cs="宋体"/>
                <w:sz w:val="24"/>
              </w:rPr>
              <w:t>管控门数：1门</w:t>
            </w:r>
          </w:p>
          <w:p>
            <w:pPr>
              <w:snapToGrid w:val="0"/>
              <w:jc w:val="center"/>
              <w:rPr>
                <w:rFonts w:ascii="仿宋" w:hAnsi="仿宋" w:eastAsia="仿宋" w:cs="宋体"/>
                <w:sz w:val="24"/>
              </w:rPr>
            </w:pPr>
            <w:r>
              <w:rPr>
                <w:rFonts w:hint="eastAsia" w:ascii="仿宋" w:hAnsi="仿宋" w:eastAsia="仿宋" w:cs="宋体"/>
                <w:sz w:val="24"/>
              </w:rPr>
              <w:t>通讯方式：上行TCP/IP</w:t>
            </w:r>
          </w:p>
          <w:p>
            <w:pPr>
              <w:snapToGrid w:val="0"/>
              <w:jc w:val="center"/>
              <w:rPr>
                <w:rFonts w:ascii="仿宋" w:hAnsi="仿宋" w:eastAsia="仿宋" w:cs="宋体"/>
                <w:sz w:val="24"/>
              </w:rPr>
            </w:pPr>
            <w:r>
              <w:rPr>
                <w:rFonts w:hint="eastAsia" w:ascii="仿宋" w:hAnsi="仿宋" w:eastAsia="仿宋" w:cs="宋体"/>
                <w:sz w:val="24"/>
              </w:rPr>
              <w:t>读卡器接口：RS485和Wiegand双通讯接口</w:t>
            </w:r>
          </w:p>
          <w:p>
            <w:pPr>
              <w:snapToGrid w:val="0"/>
              <w:jc w:val="center"/>
              <w:rPr>
                <w:rFonts w:ascii="仿宋" w:hAnsi="仿宋" w:eastAsia="仿宋" w:cs="宋体"/>
                <w:sz w:val="24"/>
              </w:rPr>
            </w:pPr>
            <w:r>
              <w:rPr>
                <w:rFonts w:hint="eastAsia" w:ascii="仿宋" w:hAnsi="仿宋" w:eastAsia="仿宋" w:cs="宋体"/>
                <w:sz w:val="24"/>
              </w:rPr>
              <w:t>存储容量：10万张卡和30万记录存储</w:t>
            </w:r>
          </w:p>
          <w:p>
            <w:pPr>
              <w:snapToGrid w:val="0"/>
              <w:jc w:val="center"/>
              <w:rPr>
                <w:rFonts w:ascii="仿宋" w:hAnsi="仿宋" w:eastAsia="仿宋" w:cs="宋体"/>
                <w:sz w:val="24"/>
              </w:rPr>
            </w:pPr>
            <w:r>
              <w:rPr>
                <w:rFonts w:hint="eastAsia" w:ascii="仿宋" w:hAnsi="仿宋" w:eastAsia="仿宋" w:cs="宋体"/>
                <w:sz w:val="24"/>
              </w:rPr>
              <w:t>支持多门互锁、反潜回、多重卡认证等高级功能</w:t>
            </w:r>
          </w:p>
          <w:p>
            <w:pPr>
              <w:snapToGrid w:val="0"/>
              <w:jc w:val="center"/>
              <w:rPr>
                <w:rFonts w:ascii="仿宋" w:hAnsi="仿宋" w:eastAsia="仿宋" w:cs="宋体"/>
                <w:sz w:val="24"/>
              </w:rPr>
            </w:pPr>
            <w:r>
              <w:rPr>
                <w:rFonts w:hint="eastAsia" w:ascii="仿宋" w:hAnsi="仿宋" w:eastAsia="仿宋" w:cs="宋体"/>
                <w:sz w:val="24"/>
              </w:rPr>
              <w:t>支持消防功能，支持蓄电池功能</w:t>
            </w:r>
          </w:p>
          <w:p>
            <w:pPr>
              <w:snapToGrid w:val="0"/>
              <w:jc w:val="center"/>
              <w:rPr>
                <w:rFonts w:ascii="仿宋" w:hAnsi="仿宋" w:eastAsia="仿宋" w:cs="宋体"/>
                <w:kern w:val="0"/>
                <w:sz w:val="24"/>
              </w:rPr>
            </w:pPr>
            <w:r>
              <w:rPr>
                <w:rFonts w:hint="eastAsia" w:ascii="仿宋" w:hAnsi="仿宋" w:eastAsia="仿宋" w:cs="宋体"/>
                <w:sz w:val="24"/>
              </w:rPr>
              <w:t>工作电压：自带机箱和供电电源（AC220V输入），工作电压DC 12V，功耗≤4W（不带负载）</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42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门禁-开门按钮</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结构：塑料面板；</w:t>
            </w:r>
          </w:p>
          <w:p>
            <w:pPr>
              <w:snapToGrid w:val="0"/>
              <w:jc w:val="center"/>
              <w:rPr>
                <w:rFonts w:ascii="仿宋" w:hAnsi="仿宋" w:eastAsia="仿宋" w:cs="宋体"/>
                <w:sz w:val="24"/>
              </w:rPr>
            </w:pPr>
            <w:r>
              <w:rPr>
                <w:rFonts w:hint="eastAsia" w:ascii="仿宋" w:hAnsi="仿宋" w:eastAsia="仿宋" w:cs="宋体"/>
                <w:sz w:val="24"/>
              </w:rPr>
              <w:t>性能：最大耐电流1.25A，电压250V；</w:t>
            </w:r>
          </w:p>
          <w:p>
            <w:pPr>
              <w:snapToGrid w:val="0"/>
              <w:jc w:val="center"/>
              <w:rPr>
                <w:rFonts w:ascii="仿宋" w:hAnsi="仿宋" w:eastAsia="仿宋" w:cs="宋体"/>
                <w:sz w:val="24"/>
              </w:rPr>
            </w:pPr>
            <w:r>
              <w:rPr>
                <w:rFonts w:hint="eastAsia" w:ascii="仿宋" w:hAnsi="仿宋" w:eastAsia="仿宋" w:cs="宋体"/>
                <w:sz w:val="24"/>
              </w:rPr>
              <w:t>输出：常开；</w:t>
            </w:r>
          </w:p>
          <w:p>
            <w:pPr>
              <w:snapToGrid w:val="0"/>
              <w:jc w:val="center"/>
              <w:rPr>
                <w:rFonts w:ascii="仿宋" w:hAnsi="仿宋" w:eastAsia="仿宋" w:cs="宋体"/>
                <w:kern w:val="0"/>
                <w:sz w:val="24"/>
              </w:rPr>
            </w:pPr>
            <w:r>
              <w:rPr>
                <w:rFonts w:hint="eastAsia" w:ascii="仿宋" w:hAnsi="仿宋" w:eastAsia="仿宋" w:cs="宋体"/>
                <w:sz w:val="24"/>
              </w:rPr>
              <w:t>类型：适合埋入式电器盒使用；</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50</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双门门禁控制器</w:t>
            </w:r>
          </w:p>
        </w:tc>
        <w:tc>
          <w:tcPr>
            <w:tcW w:w="363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宋体"/>
                <w:sz w:val="24"/>
              </w:rPr>
            </w:pPr>
            <w:r>
              <w:rPr>
                <w:rFonts w:hint="eastAsia" w:ascii="仿宋" w:hAnsi="仿宋" w:eastAsia="仿宋" w:cs="宋体"/>
                <w:sz w:val="24"/>
              </w:rPr>
              <w:t>处理器：32位处理器</w:t>
            </w:r>
          </w:p>
          <w:p>
            <w:pPr>
              <w:widowControl/>
              <w:jc w:val="center"/>
              <w:textAlignment w:val="center"/>
              <w:rPr>
                <w:rFonts w:ascii="仿宋" w:hAnsi="仿宋" w:eastAsia="仿宋" w:cs="宋体"/>
                <w:sz w:val="24"/>
              </w:rPr>
            </w:pPr>
            <w:r>
              <w:rPr>
                <w:rFonts w:hint="eastAsia" w:ascii="仿宋" w:hAnsi="仿宋" w:eastAsia="仿宋" w:cs="宋体"/>
                <w:sz w:val="24"/>
              </w:rPr>
              <w:t>管控门数：2门</w:t>
            </w:r>
          </w:p>
          <w:p>
            <w:pPr>
              <w:widowControl/>
              <w:jc w:val="center"/>
              <w:textAlignment w:val="center"/>
              <w:rPr>
                <w:rFonts w:ascii="仿宋" w:hAnsi="仿宋" w:eastAsia="仿宋" w:cs="宋体"/>
                <w:sz w:val="24"/>
              </w:rPr>
            </w:pPr>
            <w:r>
              <w:rPr>
                <w:rFonts w:hint="eastAsia" w:ascii="仿宋" w:hAnsi="仿宋" w:eastAsia="仿宋" w:cs="宋体"/>
                <w:sz w:val="24"/>
              </w:rPr>
              <w:t>通讯方式：上行TCP/IP</w:t>
            </w:r>
          </w:p>
          <w:p>
            <w:pPr>
              <w:widowControl/>
              <w:jc w:val="center"/>
              <w:textAlignment w:val="center"/>
              <w:rPr>
                <w:rFonts w:ascii="仿宋" w:hAnsi="仿宋" w:eastAsia="仿宋" w:cs="宋体"/>
                <w:sz w:val="24"/>
              </w:rPr>
            </w:pPr>
            <w:r>
              <w:rPr>
                <w:rFonts w:hint="eastAsia" w:ascii="仿宋" w:hAnsi="仿宋" w:eastAsia="仿宋" w:cs="宋体"/>
                <w:sz w:val="24"/>
              </w:rPr>
              <w:t>读卡器接口：RS485和Wiegand双通讯接口</w:t>
            </w:r>
          </w:p>
          <w:p>
            <w:pPr>
              <w:widowControl/>
              <w:jc w:val="center"/>
              <w:textAlignment w:val="center"/>
              <w:rPr>
                <w:rFonts w:ascii="仿宋" w:hAnsi="仿宋" w:eastAsia="仿宋" w:cs="宋体"/>
                <w:sz w:val="24"/>
              </w:rPr>
            </w:pPr>
            <w:r>
              <w:rPr>
                <w:rFonts w:hint="eastAsia" w:ascii="仿宋" w:hAnsi="仿宋" w:eastAsia="仿宋" w:cs="宋体"/>
                <w:sz w:val="24"/>
              </w:rPr>
              <w:t>存储容量：10万张卡和30万记录存储</w:t>
            </w:r>
          </w:p>
          <w:p>
            <w:pPr>
              <w:widowControl/>
              <w:jc w:val="center"/>
              <w:textAlignment w:val="center"/>
              <w:rPr>
                <w:rFonts w:ascii="仿宋" w:hAnsi="仿宋" w:eastAsia="仿宋" w:cs="宋体"/>
                <w:sz w:val="24"/>
              </w:rPr>
            </w:pPr>
            <w:r>
              <w:rPr>
                <w:rFonts w:hint="eastAsia" w:ascii="仿宋" w:hAnsi="仿宋" w:eastAsia="仿宋" w:cs="宋体"/>
                <w:sz w:val="24"/>
              </w:rPr>
              <w:t>支持多门互锁、反潜回、多重卡认证等高级功能</w:t>
            </w:r>
          </w:p>
          <w:p>
            <w:pPr>
              <w:widowControl/>
              <w:jc w:val="center"/>
              <w:textAlignment w:val="center"/>
              <w:rPr>
                <w:rFonts w:ascii="仿宋" w:hAnsi="仿宋" w:eastAsia="仿宋" w:cs="宋体"/>
                <w:sz w:val="24"/>
              </w:rPr>
            </w:pPr>
            <w:r>
              <w:rPr>
                <w:rFonts w:hint="eastAsia" w:ascii="仿宋" w:hAnsi="仿宋" w:eastAsia="仿宋" w:cs="宋体"/>
                <w:sz w:val="24"/>
              </w:rPr>
              <w:t>支持消防功能，支持蓄电池功能</w:t>
            </w:r>
          </w:p>
          <w:p>
            <w:pPr>
              <w:widowControl/>
              <w:jc w:val="center"/>
              <w:textAlignment w:val="center"/>
              <w:rPr>
                <w:rFonts w:ascii="仿宋" w:hAnsi="仿宋" w:eastAsia="仿宋" w:cs="宋体"/>
                <w:kern w:val="0"/>
                <w:sz w:val="24"/>
              </w:rPr>
            </w:pPr>
            <w:r>
              <w:rPr>
                <w:rFonts w:hint="eastAsia" w:ascii="仿宋" w:hAnsi="仿宋" w:eastAsia="仿宋" w:cs="宋体"/>
                <w:sz w:val="24"/>
              </w:rPr>
              <w:t>工作电压：自带机箱和供电电源（AC220V输入），工作电压DC 12V，功耗≤4W（不带负载）</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4</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30</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磁力锁</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锁体主体颜色为：氧化银。</w:t>
            </w:r>
          </w:p>
          <w:p>
            <w:pPr>
              <w:snapToGrid w:val="0"/>
              <w:jc w:val="center"/>
              <w:rPr>
                <w:rFonts w:ascii="仿宋" w:hAnsi="仿宋" w:eastAsia="仿宋" w:cs="宋体"/>
                <w:sz w:val="24"/>
              </w:rPr>
            </w:pPr>
            <w:r>
              <w:rPr>
                <w:rFonts w:hint="eastAsia" w:ascii="仿宋" w:hAnsi="仿宋" w:eastAsia="仿宋" w:cs="宋体"/>
                <w:sz w:val="24"/>
              </w:rPr>
              <w:t>最大静态直线拉力：280kg ± 5%*2；</w:t>
            </w:r>
          </w:p>
          <w:p>
            <w:pPr>
              <w:snapToGrid w:val="0"/>
              <w:jc w:val="center"/>
              <w:rPr>
                <w:rFonts w:ascii="仿宋" w:hAnsi="仿宋" w:eastAsia="仿宋" w:cs="宋体"/>
                <w:sz w:val="24"/>
              </w:rPr>
            </w:pPr>
            <w:r>
              <w:rPr>
                <w:rFonts w:hint="eastAsia" w:ascii="仿宋" w:hAnsi="仿宋" w:eastAsia="仿宋" w:cs="宋体"/>
                <w:sz w:val="24"/>
              </w:rPr>
              <w:t>断电开锁，满足消防要求；</w:t>
            </w:r>
          </w:p>
          <w:p>
            <w:pPr>
              <w:snapToGrid w:val="0"/>
              <w:jc w:val="center"/>
              <w:rPr>
                <w:rFonts w:ascii="仿宋" w:hAnsi="仿宋" w:eastAsia="仿宋" w:cs="宋体"/>
                <w:sz w:val="24"/>
              </w:rPr>
            </w:pPr>
            <w:r>
              <w:rPr>
                <w:rFonts w:hint="eastAsia" w:ascii="仿宋" w:hAnsi="仿宋" w:eastAsia="仿宋" w:cs="宋体"/>
                <w:sz w:val="24"/>
              </w:rPr>
              <w:t>具有电锁状态指示灯（红灯为开锁状态， 绿灯为上锁状态）；</w:t>
            </w:r>
          </w:p>
          <w:p>
            <w:pPr>
              <w:snapToGrid w:val="0"/>
              <w:jc w:val="center"/>
              <w:rPr>
                <w:rFonts w:ascii="仿宋" w:hAnsi="仿宋" w:eastAsia="仿宋" w:cs="宋体"/>
                <w:sz w:val="24"/>
              </w:rPr>
            </w:pPr>
            <w:r>
              <w:rPr>
                <w:rFonts w:hint="eastAsia" w:ascii="仿宋" w:hAnsi="仿宋" w:eastAsia="仿宋" w:cs="宋体"/>
                <w:sz w:val="24"/>
              </w:rPr>
              <w:t>支持锁状态侦测信号(门磁)输出：NO/NC/COM接点；</w:t>
            </w:r>
          </w:p>
          <w:p>
            <w:pPr>
              <w:snapToGrid w:val="0"/>
              <w:jc w:val="center"/>
              <w:rPr>
                <w:rFonts w:ascii="仿宋" w:hAnsi="仿宋" w:eastAsia="仿宋" w:cs="宋体"/>
                <w:sz w:val="24"/>
              </w:rPr>
            </w:pPr>
            <w:r>
              <w:rPr>
                <w:rFonts w:hint="eastAsia" w:ascii="仿宋" w:hAnsi="仿宋" w:eastAsia="仿宋" w:cs="宋体"/>
                <w:sz w:val="24"/>
              </w:rPr>
              <w:t>工作电压：12V/1040mA 或 24V/520mA；</w:t>
            </w:r>
          </w:p>
          <w:p>
            <w:pPr>
              <w:snapToGrid w:val="0"/>
              <w:jc w:val="center"/>
              <w:rPr>
                <w:rFonts w:ascii="仿宋" w:hAnsi="仿宋" w:eastAsia="仿宋" w:cs="宋体"/>
                <w:sz w:val="24"/>
              </w:rPr>
            </w:pPr>
            <w:r>
              <w:rPr>
                <w:rFonts w:hint="eastAsia" w:ascii="仿宋" w:hAnsi="仿宋" w:eastAsia="仿宋" w:cs="宋体"/>
                <w:sz w:val="24"/>
              </w:rPr>
              <w:t>使用环境：室内（不防水）；</w:t>
            </w:r>
          </w:p>
          <w:p>
            <w:pPr>
              <w:snapToGrid w:val="0"/>
              <w:jc w:val="center"/>
              <w:rPr>
                <w:rFonts w:ascii="仿宋" w:hAnsi="仿宋" w:eastAsia="仿宋" w:cs="宋体"/>
                <w:kern w:val="0"/>
                <w:sz w:val="24"/>
              </w:rPr>
            </w:pPr>
            <w:r>
              <w:rPr>
                <w:rFonts w:hint="eastAsia" w:ascii="仿宋" w:hAnsi="仿宋" w:eastAsia="仿宋" w:cs="宋体"/>
                <w:sz w:val="24"/>
              </w:rPr>
              <w:t>适用门型：木门、玻璃门、金属门、防火门；</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50</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个</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31</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磁力锁配件</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选用材料：高强铝合金，表面喷沙，颜色为氧化银。</w:t>
            </w:r>
          </w:p>
          <w:p>
            <w:pPr>
              <w:snapToGrid w:val="0"/>
              <w:jc w:val="center"/>
              <w:rPr>
                <w:rFonts w:ascii="仿宋" w:hAnsi="仿宋" w:eastAsia="仿宋" w:cs="宋体"/>
                <w:sz w:val="24"/>
              </w:rPr>
            </w:pPr>
            <w:r>
              <w:rPr>
                <w:rFonts w:hint="eastAsia" w:ascii="仿宋" w:hAnsi="仿宋" w:eastAsia="仿宋" w:cs="宋体"/>
                <w:sz w:val="24"/>
              </w:rPr>
              <w:t>外壳处理：阳极硬化电镀处理</w:t>
            </w:r>
          </w:p>
          <w:p>
            <w:pPr>
              <w:snapToGrid w:val="0"/>
              <w:jc w:val="center"/>
              <w:rPr>
                <w:rFonts w:ascii="仿宋" w:hAnsi="仿宋" w:eastAsia="仿宋" w:cs="宋体"/>
                <w:sz w:val="24"/>
              </w:rPr>
            </w:pPr>
            <w:r>
              <w:rPr>
                <w:rFonts w:hint="eastAsia" w:ascii="仿宋" w:hAnsi="仿宋" w:eastAsia="仿宋" w:cs="宋体"/>
                <w:sz w:val="24"/>
              </w:rPr>
              <w:t>适用门型：木门、金属门</w:t>
            </w:r>
          </w:p>
          <w:p>
            <w:pPr>
              <w:snapToGrid w:val="0"/>
              <w:jc w:val="center"/>
              <w:rPr>
                <w:rFonts w:ascii="仿宋" w:hAnsi="仿宋" w:eastAsia="仿宋" w:cs="宋体"/>
                <w:sz w:val="24"/>
              </w:rPr>
            </w:pPr>
            <w:r>
              <w:rPr>
                <w:rFonts w:hint="eastAsia" w:ascii="仿宋" w:hAnsi="仿宋" w:eastAsia="仿宋" w:cs="宋体"/>
                <w:sz w:val="24"/>
              </w:rPr>
              <w:t>开门方式：90度内开式门</w:t>
            </w:r>
          </w:p>
          <w:p>
            <w:pPr>
              <w:snapToGrid w:val="0"/>
              <w:jc w:val="center"/>
              <w:rPr>
                <w:rFonts w:ascii="仿宋" w:hAnsi="仿宋" w:eastAsia="仿宋" w:cs="宋体"/>
                <w:kern w:val="0"/>
                <w:sz w:val="24"/>
              </w:rPr>
            </w:pPr>
            <w:r>
              <w:rPr>
                <w:rFonts w:hint="eastAsia" w:ascii="仿宋" w:hAnsi="仿宋" w:eastAsia="仿宋" w:cs="宋体"/>
                <w:sz w:val="24"/>
              </w:rPr>
              <w:t>产品重量：1.5kg</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50</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个</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32</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西出租车施工、安装、装修及辅材</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旅客排队通道材料及安装；上客区装修；室内旅客服务设施；交通标志标线；电缆、网络用线、不锈钢桥架、配管、终端盒、机柜、不锈钢配电箱；设备支架；设备安装调试；辅材等</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33</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东出租车施工、安装、装修及辅材</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旅客排队通道材料及安装；上客区装修；室内旅客服务设施；交通标志标线；电缆、网络用线、不锈钢桥架、配管、终端盒、机柜、不锈钢配电箱；设备支架；设备安装调试；辅材等</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34</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网约车施工、安装、装修及辅材</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旅客排队通道改建；候车服务区封闭装修；室内旅客服务设施；车位牌；交通标志标线；电缆、网络用线、不锈钢桥架、配管、终端盒、机柜、不锈钢配电箱；设备支架；设备安装调试；辅材等</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35</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专线租赁100M</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3年，1条专线配套西站APN外部演示</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条</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36</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专线租赁1000M</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3年，1条专线枢纽公司到政务网专线，1条专线从视频平台到西站枢纽</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2</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条</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37</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APN专网卡</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5G专网卡，3年</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张</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38</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激光遥感路面检测通信费</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SIM卡，≥200M/月，3年</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8</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张</w:t>
            </w:r>
          </w:p>
        </w:tc>
      </w:tr>
      <w:tr>
        <w:tblPrEx>
          <w:tblCellMar>
            <w:top w:w="0" w:type="dxa"/>
            <w:left w:w="108" w:type="dxa"/>
            <w:bottom w:w="0" w:type="dxa"/>
            <w:right w:w="108" w:type="dxa"/>
          </w:tblCellMar>
        </w:tblPrEx>
        <w:trPr>
          <w:trHeight w:val="345" w:hRule="atLeast"/>
        </w:trPr>
        <w:tc>
          <w:tcPr>
            <w:tcW w:w="9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39</w:t>
            </w:r>
          </w:p>
        </w:tc>
        <w:tc>
          <w:tcPr>
            <w:tcW w:w="713" w:type="dxa"/>
            <w:vMerge w:val="continue"/>
            <w:tcBorders>
              <w:top w:val="nil"/>
              <w:left w:val="nil"/>
              <w:bottom w:val="single" w:color="auto" w:sz="4" w:space="0"/>
              <w:right w:val="single" w:color="auto" w:sz="4" w:space="0"/>
            </w:tcBorders>
            <w:vAlign w:val="center"/>
          </w:tcPr>
          <w:p>
            <w:pPr>
              <w:widowControl/>
              <w:adjustRightInd/>
              <w:jc w:val="left"/>
              <w:rPr>
                <w:rFonts w:ascii="仿宋" w:hAnsi="仿宋" w:eastAsia="仿宋" w:cs="宋体"/>
                <w:kern w:val="0"/>
                <w:sz w:val="24"/>
              </w:rPr>
            </w:pPr>
          </w:p>
        </w:tc>
        <w:tc>
          <w:tcPr>
            <w:tcW w:w="113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kern w:val="0"/>
                <w:sz w:val="24"/>
              </w:rPr>
            </w:pPr>
            <w:r>
              <w:rPr>
                <w:rFonts w:hint="eastAsia" w:ascii="仿宋" w:hAnsi="仿宋" w:eastAsia="仿宋" w:cs="宋体"/>
                <w:sz w:val="24"/>
              </w:rPr>
              <w:t>5G CPE</w:t>
            </w:r>
          </w:p>
        </w:tc>
        <w:tc>
          <w:tcPr>
            <w:tcW w:w="363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通信标准：3GPP Release 15</w:t>
            </w:r>
          </w:p>
          <w:p>
            <w:pPr>
              <w:snapToGrid w:val="0"/>
              <w:jc w:val="center"/>
              <w:rPr>
                <w:rFonts w:ascii="仿宋" w:hAnsi="仿宋" w:eastAsia="仿宋" w:cs="宋体"/>
                <w:sz w:val="24"/>
              </w:rPr>
            </w:pPr>
            <w:r>
              <w:rPr>
                <w:rFonts w:hint="eastAsia" w:ascii="仿宋" w:hAnsi="仿宋" w:eastAsia="仿宋" w:cs="宋体"/>
                <w:sz w:val="24"/>
              </w:rPr>
              <w:t>适用网络：5G/4G</w:t>
            </w:r>
          </w:p>
          <w:p>
            <w:pPr>
              <w:snapToGrid w:val="0"/>
              <w:jc w:val="center"/>
              <w:rPr>
                <w:rFonts w:ascii="仿宋" w:hAnsi="仿宋" w:eastAsia="仿宋" w:cs="宋体"/>
                <w:sz w:val="24"/>
              </w:rPr>
            </w:pPr>
            <w:r>
              <w:rPr>
                <w:rFonts w:hint="eastAsia" w:ascii="仿宋" w:hAnsi="仿宋" w:eastAsia="仿宋" w:cs="宋体"/>
                <w:sz w:val="24"/>
              </w:rPr>
              <w:t>组网模式：NSA/SA</w:t>
            </w:r>
          </w:p>
          <w:p>
            <w:pPr>
              <w:snapToGrid w:val="0"/>
              <w:jc w:val="center"/>
              <w:rPr>
                <w:rFonts w:ascii="仿宋" w:hAnsi="仿宋" w:eastAsia="仿宋" w:cs="宋体"/>
                <w:kern w:val="0"/>
                <w:sz w:val="24"/>
              </w:rPr>
            </w:pPr>
            <w:r>
              <w:rPr>
                <w:rFonts w:hint="eastAsia" w:ascii="仿宋" w:hAnsi="仿宋" w:eastAsia="仿宋" w:cs="宋体"/>
                <w:sz w:val="24"/>
              </w:rPr>
              <w:t>5G 传输速率：3.6 Gbps/250 Mbps（理论值，实际速率以运营商为准）</w:t>
            </w:r>
          </w:p>
        </w:tc>
        <w:tc>
          <w:tcPr>
            <w:tcW w:w="717"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1</w:t>
            </w:r>
          </w:p>
        </w:tc>
        <w:tc>
          <w:tcPr>
            <w:tcW w:w="858"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kern w:val="0"/>
                <w:sz w:val="24"/>
              </w:rPr>
            </w:pPr>
            <w:r>
              <w:rPr>
                <w:rFonts w:hint="eastAsia" w:ascii="仿宋" w:hAnsi="仿宋" w:eastAsia="仿宋" w:cs="宋体"/>
                <w:sz w:val="24"/>
              </w:rPr>
              <w:t>台</w:t>
            </w:r>
          </w:p>
        </w:tc>
      </w:tr>
    </w:tbl>
    <w:p>
      <w:pPr>
        <w:adjustRightInd/>
        <w:rPr>
          <w:rFonts w:ascii="仿宋" w:hAnsi="仿宋" w:eastAsia="仿宋"/>
          <w:b/>
          <w:bCs/>
          <w:sz w:val="24"/>
        </w:rPr>
      </w:pPr>
      <w:r>
        <w:rPr>
          <w:rFonts w:hint="eastAsia" w:ascii="仿宋" w:hAnsi="仿宋" w:eastAsia="仿宋"/>
          <w:b/>
          <w:bCs/>
          <w:sz w:val="24"/>
        </w:rPr>
        <w:t xml:space="preserve"> </w:t>
      </w:r>
    </w:p>
    <w:p>
      <w:pPr>
        <w:numPr>
          <w:ilvl w:val="0"/>
          <w:numId w:val="7"/>
        </w:numPr>
        <w:adjustRightInd/>
        <w:rPr>
          <w:rFonts w:ascii="仿宋" w:hAnsi="仿宋" w:eastAsia="仿宋"/>
          <w:b/>
          <w:bCs/>
          <w:sz w:val="24"/>
        </w:rPr>
      </w:pPr>
      <w:r>
        <w:rPr>
          <w:rFonts w:hint="eastAsia" w:ascii="仿宋" w:hAnsi="仿宋" w:eastAsia="仿宋"/>
          <w:b/>
          <w:bCs/>
          <w:sz w:val="24"/>
        </w:rPr>
        <w:t>机房改造</w:t>
      </w:r>
    </w:p>
    <w:p>
      <w:pPr>
        <w:widowControl/>
        <w:adjustRightInd/>
        <w:spacing w:line="360" w:lineRule="auto"/>
        <w:ind w:firstLine="480"/>
        <w:jc w:val="left"/>
        <w:rPr>
          <w:rFonts w:ascii="仿宋" w:hAnsi="仿宋" w:eastAsia="仿宋"/>
          <w:sz w:val="24"/>
        </w:rPr>
      </w:pPr>
      <w:r>
        <w:rPr>
          <w:rFonts w:hint="eastAsia" w:ascii="仿宋" w:hAnsi="仿宋" w:eastAsia="仿宋"/>
          <w:kern w:val="0"/>
          <w:sz w:val="24"/>
        </w:rPr>
        <w:t>基于数字孪生项目的需求，结合现状，内部数据无法接入政务网，本项目建设网络机房，保障西站内部网络、互联网、政务网之间的交互。为此，需要在一楼选址新建一个机房，承担政务外网、互联网和局域网网机房，作为本项目新购硬件基础环境支撑。建设标准参照国标GB 50174-2017标准，按标准C级机房标准进行建设。</w:t>
      </w:r>
    </w:p>
    <w:p>
      <w:pPr>
        <w:widowControl/>
        <w:adjustRightInd/>
        <w:spacing w:line="360" w:lineRule="auto"/>
        <w:ind w:firstLine="480"/>
        <w:jc w:val="left"/>
        <w:rPr>
          <w:rFonts w:ascii="仿宋" w:hAnsi="仿宋" w:eastAsia="仿宋"/>
          <w:kern w:val="0"/>
          <w:sz w:val="24"/>
        </w:rPr>
      </w:pPr>
      <w:r>
        <w:rPr>
          <w:rFonts w:hint="eastAsia" w:ascii="仿宋" w:hAnsi="仿宋" w:eastAsia="仿宋"/>
          <w:kern w:val="0"/>
          <w:sz w:val="24"/>
        </w:rPr>
        <w:t>机房建设需包含土建及装饰装修、供配电系统、暖通系统、安防及动环监控和消防系统。且需遵循安全可靠、快速部署、简单易用、高效节能、可靠扩展、智能管理等原则。</w:t>
      </w:r>
    </w:p>
    <w:p>
      <w:pPr>
        <w:adjustRightInd/>
        <w:ind w:firstLine="420"/>
        <w:rPr>
          <w:rFonts w:ascii="仿宋" w:hAnsi="仿宋" w:eastAsia="仿宋"/>
          <w:b/>
          <w:bCs/>
          <w:sz w:val="24"/>
        </w:rPr>
      </w:pPr>
      <w:r>
        <w:rPr>
          <w:rFonts w:hint="eastAsia" w:ascii="仿宋" w:hAnsi="仿宋" w:eastAsia="仿宋"/>
          <w:b/>
          <w:bCs/>
          <w:sz w:val="24"/>
        </w:rPr>
        <w:t xml:space="preserve"> </w:t>
      </w:r>
    </w:p>
    <w:tbl>
      <w:tblPr>
        <w:tblStyle w:val="62"/>
        <w:tblW w:w="8047" w:type="dxa"/>
        <w:tblInd w:w="113" w:type="dxa"/>
        <w:tblLayout w:type="fixed"/>
        <w:tblCellMar>
          <w:top w:w="0" w:type="dxa"/>
          <w:left w:w="108" w:type="dxa"/>
          <w:bottom w:w="0" w:type="dxa"/>
          <w:right w:w="108" w:type="dxa"/>
        </w:tblCellMar>
      </w:tblPr>
      <w:tblGrid>
        <w:gridCol w:w="992"/>
        <w:gridCol w:w="1830"/>
        <w:gridCol w:w="3647"/>
        <w:gridCol w:w="719"/>
        <w:gridCol w:w="859"/>
      </w:tblGrid>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序号</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采购内容</w:t>
            </w:r>
          </w:p>
        </w:tc>
        <w:tc>
          <w:tcPr>
            <w:tcW w:w="364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主要性能指标</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数量</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单位</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机房装修工程</w:t>
            </w:r>
          </w:p>
        </w:tc>
        <w:tc>
          <w:tcPr>
            <w:tcW w:w="364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机房吊顶、墙面、地面工程、机柜底座、进线桥架、更换门等</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项</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2</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机房综合布线</w:t>
            </w:r>
          </w:p>
        </w:tc>
        <w:tc>
          <w:tcPr>
            <w:tcW w:w="364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机房综合布线</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项</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3</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UPS供配电系统</w:t>
            </w:r>
          </w:p>
        </w:tc>
        <w:tc>
          <w:tcPr>
            <w:tcW w:w="364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配电柜、线缆、照明等</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4</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机房防雷接地系统</w:t>
            </w:r>
          </w:p>
        </w:tc>
        <w:tc>
          <w:tcPr>
            <w:tcW w:w="364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电源防雷器、铜排、绝缘子固定装、接地线等</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5</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机房气体灭火系统</w:t>
            </w:r>
          </w:p>
        </w:tc>
        <w:tc>
          <w:tcPr>
            <w:tcW w:w="364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无管网气体消防柜、药剂、烟感、温感及相关配套</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6</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列间空调</w:t>
            </w:r>
          </w:p>
        </w:tc>
        <w:tc>
          <w:tcPr>
            <w:tcW w:w="364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列间空调及配套</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2</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7</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设备柜</w:t>
            </w:r>
          </w:p>
        </w:tc>
        <w:tc>
          <w:tcPr>
            <w:tcW w:w="3647" w:type="dxa"/>
            <w:tcBorders>
              <w:top w:val="single" w:color="auto" w:sz="4" w:space="0"/>
              <w:left w:val="nil"/>
              <w:bottom w:val="single" w:color="auto" w:sz="4" w:space="0"/>
              <w:right w:val="single" w:color="auto" w:sz="4" w:space="0"/>
            </w:tcBorders>
            <w:noWrap/>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尺寸：600*1200*2000mm，适用于全密封一体柜系列，含全封闭式冷热通道，通道深度大于100mm，承重1500kg，支持上线进线</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8</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服务器IT机柜</w:t>
            </w:r>
          </w:p>
        </w:tc>
        <w:tc>
          <w:tcPr>
            <w:tcW w:w="364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IT柜，尺寸：600*1200*2000mm，适用于全密封一体柜系列，含全封闭式冷热通道，不含侧门，前门为全玻门通道深度大于100mm，承重1500kg，支持上线进线，包含50套螺丝螺母，脚轮支脚，并机组件，垂直理线板，标配PDU1条，含30块1U盲板，含层板1套，L型导轨1副，1套600宽顶部线槽，1套应急通风系统，2套门磁模块。</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4</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套</w:t>
            </w:r>
          </w:p>
        </w:tc>
      </w:tr>
      <w:tr>
        <w:tblPrEx>
          <w:tblCellMar>
            <w:top w:w="0" w:type="dxa"/>
            <w:left w:w="108" w:type="dxa"/>
            <w:bottom w:w="0" w:type="dxa"/>
            <w:right w:w="108" w:type="dxa"/>
          </w:tblCellMar>
        </w:tblPrEx>
        <w:trPr>
          <w:trHeight w:val="300" w:hRule="atLeast"/>
        </w:trPr>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9</w:t>
            </w:r>
          </w:p>
        </w:tc>
        <w:tc>
          <w:tcPr>
            <w:tcW w:w="1830"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动环监控系统</w:t>
            </w:r>
          </w:p>
        </w:tc>
        <w:tc>
          <w:tcPr>
            <w:tcW w:w="3647" w:type="dxa"/>
            <w:tcBorders>
              <w:top w:val="single" w:color="auto" w:sz="4" w:space="0"/>
              <w:left w:val="nil"/>
              <w:bottom w:val="single" w:color="auto" w:sz="4" w:space="0"/>
              <w:right w:val="single" w:color="auto" w:sz="4" w:space="0"/>
            </w:tcBorders>
            <w:vAlign w:val="center"/>
          </w:tcPr>
          <w:p>
            <w:pPr>
              <w:widowControl/>
              <w:adjustRightInd/>
              <w:jc w:val="center"/>
              <w:rPr>
                <w:rFonts w:ascii="仿宋" w:hAnsi="仿宋" w:eastAsia="仿宋" w:cs="宋体"/>
                <w:kern w:val="0"/>
                <w:sz w:val="24"/>
              </w:rPr>
            </w:pPr>
            <w:r>
              <w:rPr>
                <w:rFonts w:hint="eastAsia" w:ascii="仿宋" w:hAnsi="仿宋" w:eastAsia="仿宋" w:cs="宋体"/>
                <w:kern w:val="0"/>
                <w:sz w:val="24"/>
              </w:rPr>
              <w:t>动环监控系统</w:t>
            </w:r>
          </w:p>
        </w:tc>
        <w:tc>
          <w:tcPr>
            <w:tcW w:w="71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rPr>
            </w:pPr>
            <w:r>
              <w:rPr>
                <w:rFonts w:hint="eastAsia" w:ascii="仿宋" w:hAnsi="仿宋" w:eastAsia="仿宋" w:cs="宋体"/>
                <w:sz w:val="24"/>
              </w:rPr>
              <w:t>1</w:t>
            </w:r>
          </w:p>
        </w:tc>
        <w:tc>
          <w:tcPr>
            <w:tcW w:w="859" w:type="dxa"/>
            <w:tcBorders>
              <w:top w:val="single" w:color="auto" w:sz="4" w:space="0"/>
              <w:left w:val="nil"/>
              <w:bottom w:val="single" w:color="auto" w:sz="4" w:space="0"/>
              <w:right w:val="single" w:color="auto" w:sz="4" w:space="0"/>
            </w:tcBorders>
            <w:noWrap/>
            <w:vAlign w:val="center"/>
          </w:tcPr>
          <w:p>
            <w:pPr>
              <w:snapToGrid w:val="0"/>
              <w:jc w:val="center"/>
              <w:rPr>
                <w:rFonts w:ascii="仿宋" w:hAnsi="仿宋" w:eastAsia="仿宋" w:cs="宋体"/>
                <w:sz w:val="24"/>
              </w:rPr>
            </w:pPr>
            <w:r>
              <w:rPr>
                <w:rFonts w:hint="eastAsia" w:ascii="仿宋" w:hAnsi="仿宋" w:eastAsia="仿宋" w:cs="宋体"/>
                <w:sz w:val="24"/>
              </w:rPr>
              <w:t>套</w:t>
            </w:r>
          </w:p>
        </w:tc>
      </w:tr>
    </w:tbl>
    <w:p>
      <w:pPr>
        <w:adjustRightInd/>
        <w:rPr>
          <w:rFonts w:ascii="仿宋" w:hAnsi="仿宋" w:eastAsia="仿宋"/>
          <w:b/>
          <w:bCs/>
          <w:sz w:val="24"/>
        </w:rPr>
      </w:pPr>
    </w:p>
    <w:p>
      <w:pPr>
        <w:pStyle w:val="5"/>
        <w:jc w:val="left"/>
        <w:rPr>
          <w:rFonts w:ascii="仿宋" w:hAnsi="仿宋" w:eastAsia="仿宋" w:cs="宋体"/>
          <w:b/>
          <w:bCs/>
          <w:color w:val="auto"/>
          <w:sz w:val="24"/>
          <w:szCs w:val="24"/>
        </w:rPr>
      </w:pPr>
      <w:r>
        <w:rPr>
          <w:rFonts w:hint="eastAsia" w:ascii="仿宋" w:hAnsi="仿宋" w:eastAsia="仿宋" w:cs="宋体"/>
          <w:b/>
          <w:bCs/>
          <w:color w:val="auto"/>
          <w:sz w:val="24"/>
          <w:szCs w:val="24"/>
        </w:rPr>
        <w:t>注：1、各投标人应在投标报价中予以考虑对接各个部门的服务平台接口及所有接入监控接口的费用，不再单独报价。</w:t>
      </w:r>
    </w:p>
    <w:p>
      <w:pPr>
        <w:pStyle w:val="5"/>
        <w:jc w:val="left"/>
        <w:rPr>
          <w:rFonts w:ascii="仿宋" w:hAnsi="仿宋" w:eastAsia="仿宋" w:cs="宋体"/>
          <w:b/>
          <w:bCs/>
          <w:color w:val="auto"/>
          <w:sz w:val="24"/>
          <w:szCs w:val="24"/>
        </w:rPr>
        <w:sectPr>
          <w:pgSz w:w="11906" w:h="16838"/>
          <w:pgMar w:top="1440" w:right="1800" w:bottom="1440" w:left="1800" w:header="851" w:footer="992" w:gutter="0"/>
          <w:cols w:space="720" w:num="1"/>
          <w:docGrid w:type="lines" w:linePitch="312" w:charSpace="0"/>
        </w:sectPr>
      </w:pPr>
      <w:r>
        <w:rPr>
          <w:rFonts w:hint="eastAsia" w:ascii="仿宋" w:hAnsi="仿宋" w:eastAsia="仿宋" w:cs="宋体"/>
          <w:b/>
          <w:bCs/>
          <w:color w:val="auto"/>
          <w:sz w:val="24"/>
          <w:szCs w:val="24"/>
        </w:rPr>
        <w:t>2</w:t>
      </w:r>
      <w:r>
        <w:rPr>
          <w:rFonts w:ascii="仿宋" w:hAnsi="仿宋" w:eastAsia="仿宋" w:cs="宋体"/>
          <w:b/>
          <w:bCs/>
          <w:color w:val="auto"/>
          <w:sz w:val="24"/>
          <w:szCs w:val="24"/>
        </w:rPr>
        <w:t>.</w:t>
      </w:r>
      <w:r>
        <w:rPr>
          <w:rFonts w:hint="eastAsia"/>
          <w:color w:val="auto"/>
        </w:rPr>
        <w:t xml:space="preserve"> </w:t>
      </w:r>
      <w:r>
        <w:rPr>
          <w:rFonts w:hint="eastAsia" w:ascii="仿宋" w:hAnsi="仿宋" w:eastAsia="仿宋" w:cs="宋体"/>
          <w:b/>
          <w:bCs/>
          <w:color w:val="auto"/>
          <w:sz w:val="24"/>
          <w:szCs w:val="24"/>
        </w:rPr>
        <w:t>本合同为闭口合同，该项目所有变更的软硬件及漏项事宜（包含但不限于服务器升级、软件需求变更等）费用均包含在此次合同范围内，不再另行支付其他费用。</w:t>
      </w:r>
      <w:r>
        <w:rPr>
          <w:rFonts w:ascii="仿宋" w:hAnsi="仿宋" w:eastAsia="仿宋" w:cs="宋体"/>
          <w:b/>
          <w:bCs/>
          <w:color w:val="auto"/>
          <w:sz w:val="24"/>
          <w:szCs w:val="24"/>
        </w:rPr>
        <w:cr/>
      </w:r>
    </w:p>
    <w:p>
      <w:pPr>
        <w:pStyle w:val="482"/>
        <w:spacing w:line="600" w:lineRule="exact"/>
        <w:rPr>
          <w:rFonts w:ascii="宋体" w:hAnsi="宋体" w:cs="宋体"/>
          <w:b/>
          <w:bCs/>
          <w:sz w:val="24"/>
          <w:szCs w:val="24"/>
        </w:rPr>
      </w:pPr>
    </w:p>
    <w:p>
      <w:pPr>
        <w:spacing w:line="560" w:lineRule="exact"/>
        <w:jc w:val="left"/>
        <w:rPr>
          <w:rFonts w:eastAsia="黑体"/>
          <w:b/>
        </w:rPr>
      </w:pPr>
      <w:r>
        <w:rPr>
          <w:rFonts w:hint="eastAsia" w:eastAsia="黑体"/>
          <w:b/>
          <w:sz w:val="32"/>
          <w:szCs w:val="32"/>
        </w:rPr>
        <w:t>三、服务期</w:t>
      </w:r>
    </w:p>
    <w:p>
      <w:pPr>
        <w:spacing w:line="560" w:lineRule="exact"/>
        <w:jc w:val="left"/>
        <w:rPr>
          <w:rFonts w:eastAsia="仿宋_GB2312"/>
          <w:sz w:val="32"/>
          <w:szCs w:val="32"/>
        </w:rPr>
      </w:pPr>
      <w:r>
        <w:rPr>
          <w:rFonts w:hint="eastAsia" w:eastAsia="仿宋_GB2312"/>
          <w:sz w:val="32"/>
          <w:szCs w:val="32"/>
        </w:rPr>
        <w:t>1.安装调试服务期</w:t>
      </w:r>
    </w:p>
    <w:p>
      <w:pPr>
        <w:pStyle w:val="2"/>
        <w:ind w:left="0" w:firstLine="0"/>
        <w:rPr>
          <w:rFonts w:ascii="Times New Roman" w:hAnsi="Times New Roman"/>
          <w:b w:val="0"/>
          <w:bCs w:val="0"/>
          <w:lang w:val="en-US"/>
        </w:rPr>
      </w:pPr>
      <w:r>
        <w:rPr>
          <w:rFonts w:hint="eastAsia" w:ascii="Times New Roman" w:hAnsi="Times New Roman"/>
          <w:b w:val="0"/>
          <w:bCs w:val="0"/>
          <w:lang w:val="en-US"/>
        </w:rPr>
        <w:tab/>
      </w:r>
      <w:r>
        <w:rPr>
          <w:rFonts w:hint="eastAsia" w:ascii="Times New Roman" w:hAnsi="Times New Roman"/>
          <w:b w:val="0"/>
          <w:bCs w:val="0"/>
          <w:lang w:val="en-US"/>
        </w:rPr>
        <w:t>自合同签订之日起至2023年6月30日，完成建模及数据接入；</w:t>
      </w:r>
    </w:p>
    <w:p>
      <w:pPr>
        <w:spacing w:line="560" w:lineRule="exact"/>
        <w:ind w:firstLine="420"/>
        <w:jc w:val="left"/>
        <w:rPr>
          <w:rFonts w:eastAsia="仿宋_GB2312"/>
          <w:sz w:val="32"/>
          <w:szCs w:val="32"/>
        </w:rPr>
      </w:pPr>
      <w:r>
        <w:rPr>
          <w:rFonts w:hint="eastAsia" w:eastAsia="仿宋_GB2312"/>
          <w:sz w:val="32"/>
          <w:szCs w:val="32"/>
        </w:rPr>
        <w:t>2</w:t>
      </w:r>
      <w:r>
        <w:rPr>
          <w:rFonts w:eastAsia="仿宋_GB2312"/>
          <w:sz w:val="32"/>
          <w:szCs w:val="32"/>
        </w:rPr>
        <w:t>023</w:t>
      </w:r>
      <w:r>
        <w:rPr>
          <w:rFonts w:hint="eastAsia" w:eastAsia="仿宋_GB2312"/>
          <w:sz w:val="32"/>
          <w:szCs w:val="32"/>
        </w:rPr>
        <w:t>年7月1日至2023年9月3</w:t>
      </w:r>
      <w:r>
        <w:rPr>
          <w:rFonts w:eastAsia="仿宋_GB2312"/>
          <w:sz w:val="32"/>
          <w:szCs w:val="32"/>
        </w:rPr>
        <w:t>0</w:t>
      </w:r>
      <w:r>
        <w:rPr>
          <w:rFonts w:hint="eastAsia" w:eastAsia="仿宋_GB2312"/>
          <w:sz w:val="32"/>
          <w:szCs w:val="32"/>
        </w:rPr>
        <w:t>日，项目初步建设完成，达到初验水平，主要功能可上线使用；</w:t>
      </w:r>
    </w:p>
    <w:p>
      <w:pPr>
        <w:spacing w:line="560" w:lineRule="exact"/>
        <w:ind w:firstLine="420"/>
        <w:jc w:val="left"/>
        <w:rPr>
          <w:rFonts w:eastAsia="仿宋_GB2312"/>
          <w:sz w:val="32"/>
          <w:szCs w:val="32"/>
        </w:rPr>
      </w:pPr>
      <w:r>
        <w:rPr>
          <w:rFonts w:hint="eastAsia" w:eastAsia="仿宋_GB2312"/>
          <w:sz w:val="32"/>
          <w:szCs w:val="32"/>
        </w:rPr>
        <w:t>2023年10月1日至2023年12月3</w:t>
      </w:r>
      <w:r>
        <w:rPr>
          <w:rFonts w:eastAsia="仿宋_GB2312"/>
          <w:sz w:val="32"/>
          <w:szCs w:val="32"/>
        </w:rPr>
        <w:t>1</w:t>
      </w:r>
      <w:r>
        <w:rPr>
          <w:rFonts w:hint="eastAsia" w:eastAsia="仿宋_GB2312"/>
          <w:sz w:val="32"/>
          <w:szCs w:val="32"/>
        </w:rPr>
        <w:t>日，完善相关功能，完成项目整体建设，达到终验水平，并投入使用。</w:t>
      </w:r>
    </w:p>
    <w:p>
      <w:pPr>
        <w:spacing w:line="560" w:lineRule="exact"/>
        <w:jc w:val="left"/>
        <w:rPr>
          <w:rFonts w:eastAsia="仿宋_GB2312"/>
          <w:sz w:val="32"/>
          <w:szCs w:val="32"/>
        </w:rPr>
      </w:pPr>
      <w:r>
        <w:rPr>
          <w:rFonts w:hint="eastAsia" w:eastAsia="仿宋_GB2312"/>
          <w:sz w:val="32"/>
          <w:szCs w:val="32"/>
        </w:rPr>
        <w:t>2.运营维护期</w:t>
      </w:r>
    </w:p>
    <w:p>
      <w:pPr>
        <w:spacing w:line="560" w:lineRule="exact"/>
        <w:ind w:firstLine="420"/>
        <w:jc w:val="left"/>
        <w:rPr>
          <w:rFonts w:eastAsia="仿宋_GB2312"/>
          <w:sz w:val="32"/>
          <w:szCs w:val="32"/>
        </w:rPr>
      </w:pPr>
      <w:r>
        <w:rPr>
          <w:rFonts w:hint="eastAsia" w:eastAsia="仿宋_GB2312"/>
          <w:sz w:val="32"/>
          <w:szCs w:val="32"/>
        </w:rPr>
        <w:t>项目运营维护服务期为三</w:t>
      </w:r>
      <w:r>
        <w:rPr>
          <w:rFonts w:hint="eastAsia" w:eastAsia="仿宋_GB2312"/>
          <w:sz w:val="32"/>
          <w:szCs w:val="32"/>
          <w:highlight w:val="none"/>
        </w:rPr>
        <w:t>年（实际起始时间以项目终验合格后算起），拟定为2024年1月1日至202</w:t>
      </w:r>
      <w:r>
        <w:rPr>
          <w:rFonts w:eastAsia="仿宋_GB2312"/>
          <w:sz w:val="32"/>
          <w:szCs w:val="32"/>
          <w:highlight w:val="none"/>
        </w:rPr>
        <w:t>6</w:t>
      </w:r>
      <w:r>
        <w:rPr>
          <w:rFonts w:hint="eastAsia" w:eastAsia="仿宋_GB2312"/>
          <w:sz w:val="32"/>
          <w:szCs w:val="32"/>
          <w:highlight w:val="none"/>
        </w:rPr>
        <w:t>年</w:t>
      </w:r>
      <w:r>
        <w:rPr>
          <w:rFonts w:eastAsia="仿宋_GB2312"/>
          <w:sz w:val="32"/>
          <w:szCs w:val="32"/>
          <w:highlight w:val="none"/>
        </w:rPr>
        <w:t>12</w:t>
      </w:r>
      <w:r>
        <w:rPr>
          <w:rFonts w:hint="eastAsia" w:eastAsia="仿宋_GB2312"/>
          <w:sz w:val="32"/>
          <w:szCs w:val="32"/>
          <w:highlight w:val="none"/>
        </w:rPr>
        <w:t>月3</w:t>
      </w:r>
      <w:r>
        <w:rPr>
          <w:rFonts w:eastAsia="仿宋_GB2312"/>
          <w:sz w:val="32"/>
          <w:szCs w:val="32"/>
          <w:highlight w:val="none"/>
        </w:rPr>
        <w:t>1</w:t>
      </w:r>
      <w:r>
        <w:rPr>
          <w:rFonts w:hint="eastAsia" w:eastAsia="仿宋_GB2312"/>
          <w:sz w:val="32"/>
          <w:szCs w:val="32"/>
          <w:highlight w:val="none"/>
        </w:rPr>
        <w:t>日。中标单位在此期间必须现场派驻专业技术人员2人提供软硬件调试、BUG修复、模型更新、需求更新、升级迭代、小功能开发、日常安全支撑、使用人员培训等服务，视保障情况结算运营维护期费用。</w:t>
      </w:r>
    </w:p>
    <w:p>
      <w:pPr>
        <w:spacing w:line="560" w:lineRule="exact"/>
        <w:jc w:val="left"/>
        <w:rPr>
          <w:rFonts w:eastAsia="黑体"/>
          <w:b/>
          <w:sz w:val="32"/>
          <w:szCs w:val="32"/>
        </w:rPr>
      </w:pPr>
      <w:r>
        <w:rPr>
          <w:rFonts w:hint="eastAsia" w:eastAsia="黑体"/>
          <w:b/>
          <w:sz w:val="32"/>
          <w:szCs w:val="32"/>
        </w:rPr>
        <w:t>四、付款周期</w:t>
      </w:r>
    </w:p>
    <w:p>
      <w:pPr>
        <w:spacing w:line="560" w:lineRule="exact"/>
        <w:jc w:val="left"/>
        <w:rPr>
          <w:rFonts w:eastAsia="仿宋_GB2312"/>
          <w:sz w:val="32"/>
          <w:szCs w:val="32"/>
        </w:rPr>
      </w:pPr>
      <w:r>
        <w:rPr>
          <w:rFonts w:hint="eastAsia" w:eastAsia="仿宋_GB2312"/>
          <w:sz w:val="32"/>
          <w:szCs w:val="32"/>
        </w:rPr>
        <w:t>1.预付款</w:t>
      </w:r>
    </w:p>
    <w:p>
      <w:pPr>
        <w:spacing w:line="560" w:lineRule="exact"/>
        <w:ind w:firstLine="420"/>
        <w:jc w:val="left"/>
        <w:rPr>
          <w:rFonts w:eastAsia="仿宋_GB2312"/>
          <w:sz w:val="32"/>
          <w:szCs w:val="32"/>
        </w:rPr>
      </w:pPr>
      <w:r>
        <w:rPr>
          <w:rFonts w:hint="eastAsia" w:eastAsia="仿宋_GB2312"/>
          <w:sz w:val="32"/>
          <w:szCs w:val="32"/>
        </w:rPr>
        <w:t>签订合同后</w:t>
      </w:r>
      <w:r>
        <w:rPr>
          <w:rFonts w:eastAsia="仿宋_GB2312"/>
          <w:sz w:val="32"/>
          <w:szCs w:val="32"/>
        </w:rPr>
        <w:t>7</w:t>
      </w:r>
      <w:r>
        <w:rPr>
          <w:rFonts w:hint="eastAsia" w:eastAsia="仿宋_GB2312"/>
          <w:sz w:val="32"/>
          <w:szCs w:val="32"/>
        </w:rPr>
        <w:t>个工作日内支付合同总价款的</w:t>
      </w:r>
      <w:r>
        <w:rPr>
          <w:rFonts w:eastAsia="仿宋_GB2312"/>
          <w:sz w:val="32"/>
          <w:szCs w:val="32"/>
        </w:rPr>
        <w:t>50</w:t>
      </w:r>
      <w:r>
        <w:rPr>
          <w:rFonts w:hint="eastAsia" w:eastAsia="仿宋_GB2312"/>
          <w:sz w:val="32"/>
          <w:szCs w:val="32"/>
        </w:rPr>
        <w:t>%。</w:t>
      </w:r>
    </w:p>
    <w:p>
      <w:pPr>
        <w:tabs>
          <w:tab w:val="left" w:pos="7384"/>
        </w:tabs>
        <w:spacing w:line="560" w:lineRule="exact"/>
        <w:jc w:val="left"/>
        <w:rPr>
          <w:rFonts w:eastAsia="仿宋_GB2312"/>
          <w:sz w:val="32"/>
          <w:szCs w:val="32"/>
        </w:rPr>
      </w:pPr>
      <w:r>
        <w:rPr>
          <w:rFonts w:hint="eastAsia" w:eastAsia="仿宋_GB2312"/>
          <w:sz w:val="32"/>
          <w:szCs w:val="32"/>
        </w:rPr>
        <w:t>2.安装调试服务期款项</w:t>
      </w:r>
    </w:p>
    <w:p>
      <w:pPr>
        <w:tabs>
          <w:tab w:val="left" w:pos="7384"/>
        </w:tabs>
        <w:spacing w:line="560" w:lineRule="exact"/>
        <w:ind w:firstLine="320" w:firstLineChars="100"/>
        <w:jc w:val="left"/>
        <w:rPr>
          <w:rFonts w:eastAsia="仿宋_GB2312"/>
          <w:sz w:val="32"/>
          <w:szCs w:val="32"/>
        </w:rPr>
      </w:pPr>
      <w:r>
        <w:rPr>
          <w:rFonts w:hint="eastAsia" w:eastAsia="仿宋_GB2312"/>
          <w:sz w:val="32"/>
          <w:szCs w:val="32"/>
        </w:rPr>
        <w:t>项目签订合同后进入第一阶段。</w:t>
      </w:r>
    </w:p>
    <w:p>
      <w:pPr>
        <w:tabs>
          <w:tab w:val="left" w:pos="7384"/>
        </w:tabs>
        <w:spacing w:line="560" w:lineRule="exact"/>
        <w:ind w:firstLine="640" w:firstLineChars="200"/>
        <w:jc w:val="left"/>
        <w:rPr>
          <w:rFonts w:eastAsia="仿宋_GB2312"/>
          <w:sz w:val="32"/>
          <w:szCs w:val="32"/>
        </w:rPr>
      </w:pPr>
      <w:r>
        <w:rPr>
          <w:rFonts w:ascii="Calibri" w:hAnsi="Calibri" w:eastAsia="仿宋_GB2312" w:cs="Calibri"/>
          <w:sz w:val="32"/>
          <w:szCs w:val="32"/>
        </w:rPr>
        <w:t>①</w:t>
      </w:r>
      <w:r>
        <w:rPr>
          <w:rFonts w:hint="eastAsia" w:eastAsia="仿宋_GB2312"/>
          <w:sz w:val="32"/>
          <w:szCs w:val="32"/>
        </w:rPr>
        <w:t>签订合同后至2023/6</w:t>
      </w:r>
      <w:r>
        <w:rPr>
          <w:rFonts w:eastAsia="仿宋_GB2312"/>
          <w:sz w:val="32"/>
          <w:szCs w:val="32"/>
        </w:rPr>
        <w:t>/30</w:t>
      </w:r>
      <w:r>
        <w:rPr>
          <w:rFonts w:hint="eastAsia" w:eastAsia="仿宋_GB2312"/>
          <w:sz w:val="32"/>
          <w:szCs w:val="32"/>
        </w:rPr>
        <w:t>完成建模及数据接入支付项目总费用的10%；</w:t>
      </w:r>
      <w:r>
        <w:rPr>
          <w:rFonts w:hint="eastAsia" w:eastAsia="仿宋_GB2312"/>
          <w:sz w:val="32"/>
          <w:szCs w:val="32"/>
        </w:rPr>
        <w:tab/>
      </w:r>
    </w:p>
    <w:p>
      <w:pPr>
        <w:tabs>
          <w:tab w:val="left" w:pos="7384"/>
        </w:tabs>
        <w:spacing w:line="560" w:lineRule="exact"/>
        <w:ind w:firstLine="640" w:firstLineChars="200"/>
        <w:jc w:val="left"/>
        <w:rPr>
          <w:rFonts w:ascii="仿宋_GB2312" w:eastAsia="仿宋_GB2312"/>
          <w:sz w:val="32"/>
          <w:szCs w:val="32"/>
        </w:rPr>
      </w:pPr>
      <w:r>
        <w:rPr>
          <w:rFonts w:ascii="Calibri" w:hAnsi="Calibri" w:eastAsia="仿宋_GB2312" w:cs="Calibri"/>
          <w:sz w:val="32"/>
          <w:szCs w:val="32"/>
        </w:rPr>
        <w:t>②</w:t>
      </w:r>
      <w:r>
        <w:rPr>
          <w:rFonts w:hint="eastAsia" w:ascii="仿宋_GB2312" w:eastAsia="仿宋_GB2312"/>
          <w:sz w:val="32"/>
          <w:szCs w:val="32"/>
        </w:rPr>
        <w:t>项目通过甲方书面确认</w:t>
      </w:r>
      <w:r>
        <w:rPr>
          <w:rFonts w:hint="eastAsia" w:ascii="仿宋_GB2312" w:eastAsia="仿宋_GB2312"/>
          <w:b/>
          <w:bCs/>
          <w:sz w:val="32"/>
          <w:szCs w:val="32"/>
        </w:rPr>
        <w:t>初验合格</w:t>
      </w:r>
      <w:r>
        <w:rPr>
          <w:rFonts w:hint="eastAsia" w:ascii="仿宋_GB2312" w:eastAsia="仿宋_GB2312"/>
          <w:sz w:val="32"/>
          <w:szCs w:val="32"/>
        </w:rPr>
        <w:t>并完成各类资料归档之日起</w:t>
      </w:r>
      <w:r>
        <w:rPr>
          <w:rFonts w:hint="eastAsia" w:eastAsia="仿宋_GB2312"/>
          <w:sz w:val="32"/>
          <w:szCs w:val="32"/>
        </w:rPr>
        <w:t>20</w:t>
      </w:r>
      <w:r>
        <w:rPr>
          <w:rFonts w:hint="eastAsia" w:ascii="仿宋_GB2312" w:eastAsia="仿宋_GB2312"/>
          <w:sz w:val="32"/>
          <w:szCs w:val="32"/>
        </w:rPr>
        <w:t>个工作日内，支付项目总费用的</w:t>
      </w:r>
      <w:r>
        <w:rPr>
          <w:rFonts w:eastAsia="仿宋_GB2312"/>
          <w:sz w:val="32"/>
          <w:szCs w:val="32"/>
        </w:rPr>
        <w:t>10</w:t>
      </w:r>
      <w:r>
        <w:rPr>
          <w:rFonts w:hint="eastAsia" w:eastAsia="仿宋_GB2312"/>
          <w:sz w:val="32"/>
          <w:szCs w:val="32"/>
        </w:rPr>
        <w:t>%</w:t>
      </w:r>
      <w:r>
        <w:rPr>
          <w:rFonts w:hint="eastAsia" w:ascii="仿宋_GB2312" w:eastAsia="仿宋_GB2312"/>
          <w:sz w:val="32"/>
          <w:szCs w:val="32"/>
        </w:rPr>
        <w:t>；</w:t>
      </w:r>
    </w:p>
    <w:p>
      <w:pPr>
        <w:adjustRightInd/>
        <w:spacing w:line="560" w:lineRule="exact"/>
        <w:ind w:firstLine="420"/>
        <w:jc w:val="left"/>
        <w:rPr>
          <w:rFonts w:ascii="仿宋_GB2312" w:eastAsia="仿宋_GB2312"/>
          <w:sz w:val="32"/>
          <w:szCs w:val="32"/>
        </w:rPr>
      </w:pPr>
      <w:r>
        <w:rPr>
          <w:rFonts w:ascii="仿宋_GB2312" w:eastAsia="仿宋_GB2312"/>
          <w:sz w:val="32"/>
          <w:szCs w:val="32"/>
        </w:rPr>
        <w:t>③</w:t>
      </w:r>
      <w:r>
        <w:rPr>
          <w:rFonts w:hint="eastAsia" w:ascii="仿宋_GB2312" w:eastAsia="仿宋_GB2312"/>
          <w:sz w:val="32"/>
          <w:szCs w:val="32"/>
        </w:rPr>
        <w:t>项目通过甲方书面确认终验合格并完成各类资料归档之日起20个工作日内，支付项目总费用的20%；</w:t>
      </w:r>
    </w:p>
    <w:p>
      <w:pPr>
        <w:spacing w:line="560" w:lineRule="exact"/>
        <w:jc w:val="left"/>
        <w:rPr>
          <w:rFonts w:eastAsia="仿宋_GB2312"/>
          <w:sz w:val="32"/>
          <w:szCs w:val="32"/>
        </w:rPr>
      </w:pPr>
      <w:r>
        <w:rPr>
          <w:rFonts w:eastAsia="仿宋_GB2312"/>
          <w:sz w:val="32"/>
          <w:szCs w:val="32"/>
        </w:rPr>
        <w:t>3.</w:t>
      </w:r>
      <w:r>
        <w:rPr>
          <w:rFonts w:hint="eastAsia" w:eastAsia="仿宋_GB2312"/>
          <w:sz w:val="32"/>
          <w:szCs w:val="32"/>
        </w:rPr>
        <w:t>运营维护期款项</w:t>
      </w:r>
    </w:p>
    <w:p>
      <w:pPr>
        <w:adjustRightInd/>
        <w:spacing w:line="560" w:lineRule="exact"/>
        <w:ind w:firstLine="420"/>
        <w:jc w:val="left"/>
        <w:rPr>
          <w:rFonts w:eastAsia="仿宋_GB2312"/>
          <w:sz w:val="32"/>
          <w:szCs w:val="32"/>
        </w:rPr>
      </w:pPr>
      <w:r>
        <w:rPr>
          <w:rFonts w:hint="eastAsia" w:ascii="仿宋_GB2312" w:eastAsia="仿宋_GB2312"/>
          <w:sz w:val="32"/>
          <w:szCs w:val="32"/>
        </w:rPr>
        <w:t>项目通过终验后进入第二阶段，第二阶段服务期为三年。</w:t>
      </w:r>
    </w:p>
    <w:p>
      <w:pPr>
        <w:adjustRightInd/>
        <w:spacing w:line="560" w:lineRule="exact"/>
        <w:ind w:firstLine="640" w:firstLineChars="200"/>
        <w:jc w:val="left"/>
        <w:rPr>
          <w:rFonts w:eastAsia="仿宋_GB2312"/>
          <w:sz w:val="32"/>
          <w:szCs w:val="32"/>
        </w:rPr>
      </w:pPr>
      <w:r>
        <w:rPr>
          <w:rFonts w:ascii="Calibri" w:hAnsi="Calibri" w:eastAsia="仿宋_GB2312" w:cs="Calibri"/>
          <w:sz w:val="32"/>
          <w:szCs w:val="32"/>
        </w:rPr>
        <w:t>①</w:t>
      </w:r>
      <w:r>
        <w:rPr>
          <w:rFonts w:hint="eastAsia" w:ascii="仿宋_GB2312" w:eastAsia="仿宋_GB2312"/>
          <w:sz w:val="32"/>
          <w:szCs w:val="32"/>
        </w:rPr>
        <w:t>第一年服务期拟定为2</w:t>
      </w:r>
      <w:r>
        <w:rPr>
          <w:rFonts w:eastAsia="仿宋_GB2312"/>
          <w:sz w:val="32"/>
          <w:szCs w:val="32"/>
        </w:rPr>
        <w:t>024</w:t>
      </w:r>
      <w:r>
        <w:rPr>
          <w:rFonts w:hint="eastAsia" w:ascii="仿宋_GB2312" w:eastAsia="仿宋_GB2312"/>
          <w:sz w:val="32"/>
          <w:szCs w:val="32"/>
        </w:rPr>
        <w:t>年1月1日至</w:t>
      </w:r>
      <w:r>
        <w:rPr>
          <w:rFonts w:hint="eastAsia" w:eastAsia="仿宋_GB2312"/>
          <w:sz w:val="32"/>
          <w:szCs w:val="32"/>
        </w:rPr>
        <w:t>2</w:t>
      </w:r>
      <w:r>
        <w:rPr>
          <w:rFonts w:eastAsia="仿宋_GB2312"/>
          <w:sz w:val="32"/>
          <w:szCs w:val="32"/>
        </w:rPr>
        <w:t>024</w:t>
      </w:r>
      <w:r>
        <w:rPr>
          <w:rFonts w:hint="eastAsia" w:ascii="仿宋_GB2312" w:eastAsia="仿宋_GB2312"/>
          <w:sz w:val="32"/>
          <w:szCs w:val="32"/>
        </w:rPr>
        <w:t>年12月31日，第一年服务期结束后且经甲方书面确认之日起</w:t>
      </w:r>
      <w:r>
        <w:rPr>
          <w:rFonts w:hint="eastAsia" w:eastAsia="仿宋_GB2312"/>
          <w:sz w:val="32"/>
          <w:szCs w:val="32"/>
        </w:rPr>
        <w:t>20</w:t>
      </w:r>
      <w:r>
        <w:rPr>
          <w:rFonts w:hint="eastAsia" w:ascii="仿宋_GB2312" w:eastAsia="仿宋_GB2312"/>
          <w:sz w:val="32"/>
          <w:szCs w:val="32"/>
        </w:rPr>
        <w:t>个工作日内，支付项目总费用的</w:t>
      </w:r>
      <w:r>
        <w:rPr>
          <w:rFonts w:hint="eastAsia" w:eastAsia="仿宋_GB2312"/>
          <w:sz w:val="32"/>
          <w:szCs w:val="32"/>
        </w:rPr>
        <w:t>3</w:t>
      </w:r>
      <w:r>
        <w:rPr>
          <w:rFonts w:eastAsia="仿宋_GB2312"/>
          <w:sz w:val="32"/>
          <w:szCs w:val="32"/>
        </w:rPr>
        <w:t>%</w:t>
      </w:r>
      <w:r>
        <w:rPr>
          <w:rFonts w:hint="eastAsia" w:ascii="仿宋_GB2312" w:eastAsia="仿宋_GB2312"/>
          <w:sz w:val="32"/>
          <w:szCs w:val="32"/>
        </w:rPr>
        <w:t>。</w:t>
      </w:r>
    </w:p>
    <w:p>
      <w:pPr>
        <w:pStyle w:val="257"/>
        <w:adjustRightInd/>
        <w:spacing w:line="560" w:lineRule="exact"/>
        <w:ind w:left="-357" w:firstLine="640"/>
        <w:jc w:val="left"/>
        <w:rPr>
          <w:rFonts w:eastAsia="仿宋_GB2312"/>
          <w:sz w:val="32"/>
          <w:szCs w:val="32"/>
        </w:rPr>
      </w:pPr>
      <w:r>
        <w:rPr>
          <w:rFonts w:ascii="Calibri" w:hAnsi="Calibri" w:eastAsia="仿宋_GB2312" w:cs="Calibri"/>
          <w:sz w:val="32"/>
          <w:szCs w:val="32"/>
        </w:rPr>
        <w:t>②</w:t>
      </w:r>
      <w:r>
        <w:rPr>
          <w:rFonts w:hint="eastAsia" w:ascii="仿宋_GB2312" w:eastAsia="仿宋_GB2312"/>
          <w:sz w:val="32"/>
          <w:szCs w:val="32"/>
        </w:rPr>
        <w:t>第二年服务期拟定为2</w:t>
      </w:r>
      <w:r>
        <w:rPr>
          <w:rFonts w:eastAsia="仿宋_GB2312"/>
          <w:sz w:val="32"/>
          <w:szCs w:val="32"/>
        </w:rPr>
        <w:t>025</w:t>
      </w:r>
      <w:r>
        <w:rPr>
          <w:rFonts w:hint="eastAsia" w:ascii="仿宋_GB2312" w:eastAsia="仿宋_GB2312"/>
          <w:sz w:val="32"/>
          <w:szCs w:val="32"/>
        </w:rPr>
        <w:t>年1月1日至</w:t>
      </w:r>
      <w:r>
        <w:rPr>
          <w:rFonts w:hint="eastAsia" w:eastAsia="仿宋_GB2312"/>
          <w:sz w:val="32"/>
          <w:szCs w:val="32"/>
        </w:rPr>
        <w:t>2</w:t>
      </w:r>
      <w:r>
        <w:rPr>
          <w:rFonts w:eastAsia="仿宋_GB2312"/>
          <w:sz w:val="32"/>
          <w:szCs w:val="32"/>
        </w:rPr>
        <w:t>025</w:t>
      </w:r>
      <w:r>
        <w:rPr>
          <w:rFonts w:hint="eastAsia" w:ascii="仿宋_GB2312" w:eastAsia="仿宋_GB2312"/>
          <w:sz w:val="32"/>
          <w:szCs w:val="32"/>
        </w:rPr>
        <w:t>年12月31日，第二年服务期结束后且经甲方书面确认之日起</w:t>
      </w:r>
      <w:r>
        <w:rPr>
          <w:rFonts w:hint="eastAsia" w:eastAsia="仿宋_GB2312"/>
          <w:sz w:val="32"/>
          <w:szCs w:val="32"/>
        </w:rPr>
        <w:t>20</w:t>
      </w:r>
      <w:r>
        <w:rPr>
          <w:rFonts w:hint="eastAsia" w:ascii="仿宋_GB2312" w:eastAsia="仿宋_GB2312"/>
          <w:sz w:val="32"/>
          <w:szCs w:val="32"/>
        </w:rPr>
        <w:t>个工作日内，支付项目总费用的</w:t>
      </w:r>
      <w:r>
        <w:rPr>
          <w:rFonts w:hint="eastAsia" w:eastAsia="仿宋_GB2312"/>
          <w:sz w:val="32"/>
          <w:szCs w:val="32"/>
        </w:rPr>
        <w:t>3</w:t>
      </w:r>
      <w:r>
        <w:rPr>
          <w:rFonts w:eastAsia="仿宋_GB2312"/>
          <w:sz w:val="32"/>
          <w:szCs w:val="32"/>
        </w:rPr>
        <w:t>%</w:t>
      </w:r>
      <w:r>
        <w:rPr>
          <w:rFonts w:hint="eastAsia" w:ascii="仿宋_GB2312" w:eastAsia="仿宋_GB2312"/>
          <w:sz w:val="32"/>
          <w:szCs w:val="32"/>
        </w:rPr>
        <w:t>。</w:t>
      </w:r>
    </w:p>
    <w:p>
      <w:pPr>
        <w:pStyle w:val="257"/>
        <w:adjustRightInd/>
        <w:spacing w:line="560" w:lineRule="exact"/>
        <w:ind w:left="-357" w:firstLine="640"/>
        <w:jc w:val="left"/>
        <w:rPr>
          <w:rFonts w:ascii="仿宋_GB2312" w:eastAsia="仿宋_GB2312"/>
          <w:sz w:val="32"/>
          <w:szCs w:val="32"/>
        </w:rPr>
      </w:pPr>
      <w:r>
        <w:rPr>
          <w:rFonts w:ascii="Calibri" w:hAnsi="Calibri" w:eastAsia="仿宋_GB2312" w:cs="Calibri"/>
          <w:sz w:val="32"/>
          <w:szCs w:val="32"/>
        </w:rPr>
        <w:t>③</w:t>
      </w:r>
      <w:r>
        <w:rPr>
          <w:rFonts w:hint="eastAsia" w:ascii="仿宋_GB2312" w:eastAsia="仿宋_GB2312"/>
          <w:sz w:val="32"/>
          <w:szCs w:val="32"/>
        </w:rPr>
        <w:t>第三年服务期拟定为2</w:t>
      </w:r>
      <w:r>
        <w:rPr>
          <w:rFonts w:eastAsia="仿宋_GB2312"/>
          <w:sz w:val="32"/>
          <w:szCs w:val="32"/>
        </w:rPr>
        <w:t>026</w:t>
      </w:r>
      <w:r>
        <w:rPr>
          <w:rFonts w:hint="eastAsia" w:ascii="仿宋_GB2312" w:eastAsia="仿宋_GB2312"/>
          <w:sz w:val="32"/>
          <w:szCs w:val="32"/>
        </w:rPr>
        <w:t>年1月1日至</w:t>
      </w:r>
      <w:r>
        <w:rPr>
          <w:rFonts w:hint="eastAsia" w:eastAsia="仿宋_GB2312"/>
          <w:sz w:val="32"/>
          <w:szCs w:val="32"/>
        </w:rPr>
        <w:t>2</w:t>
      </w:r>
      <w:r>
        <w:rPr>
          <w:rFonts w:eastAsia="仿宋_GB2312"/>
          <w:sz w:val="32"/>
          <w:szCs w:val="32"/>
        </w:rPr>
        <w:t>026</w:t>
      </w:r>
      <w:r>
        <w:rPr>
          <w:rFonts w:hint="eastAsia" w:ascii="仿宋_GB2312" w:eastAsia="仿宋_GB2312"/>
          <w:sz w:val="32"/>
          <w:szCs w:val="32"/>
        </w:rPr>
        <w:t>年12月31日，第三年服务期结束后且经甲方书面确认之日起</w:t>
      </w:r>
      <w:r>
        <w:rPr>
          <w:rFonts w:hint="eastAsia" w:eastAsia="仿宋_GB2312"/>
          <w:sz w:val="32"/>
          <w:szCs w:val="32"/>
        </w:rPr>
        <w:t>20</w:t>
      </w:r>
      <w:r>
        <w:rPr>
          <w:rFonts w:hint="eastAsia" w:ascii="仿宋_GB2312" w:eastAsia="仿宋_GB2312"/>
          <w:sz w:val="32"/>
          <w:szCs w:val="32"/>
        </w:rPr>
        <w:t>个工作日内，支付项目总费用的</w:t>
      </w:r>
      <w:r>
        <w:rPr>
          <w:rFonts w:hint="eastAsia" w:eastAsia="仿宋_GB2312"/>
          <w:sz w:val="32"/>
          <w:szCs w:val="32"/>
        </w:rPr>
        <w:t>4</w:t>
      </w:r>
      <w:r>
        <w:rPr>
          <w:rFonts w:eastAsia="仿宋_GB2312"/>
          <w:sz w:val="32"/>
          <w:szCs w:val="32"/>
        </w:rPr>
        <w:t>%</w:t>
      </w:r>
      <w:r>
        <w:rPr>
          <w:rFonts w:hint="eastAsia" w:ascii="仿宋_GB2312" w:eastAsia="仿宋_GB2312"/>
          <w:sz w:val="32"/>
          <w:szCs w:val="32"/>
        </w:rPr>
        <w:t>。</w:t>
      </w:r>
    </w:p>
    <w:tbl>
      <w:tblPr>
        <w:tblStyle w:val="62"/>
        <w:tblW w:w="8312" w:type="dxa"/>
        <w:jc w:val="center"/>
        <w:tblLayout w:type="fixed"/>
        <w:tblCellMar>
          <w:top w:w="0" w:type="dxa"/>
          <w:left w:w="108" w:type="dxa"/>
          <w:bottom w:w="0" w:type="dxa"/>
          <w:right w:w="108" w:type="dxa"/>
        </w:tblCellMar>
      </w:tblPr>
      <w:tblGrid>
        <w:gridCol w:w="1049"/>
        <w:gridCol w:w="2303"/>
        <w:gridCol w:w="1120"/>
        <w:gridCol w:w="1212"/>
        <w:gridCol w:w="1462"/>
        <w:gridCol w:w="1166"/>
      </w:tblGrid>
      <w:tr>
        <w:tblPrEx>
          <w:tblCellMar>
            <w:top w:w="0" w:type="dxa"/>
            <w:left w:w="108" w:type="dxa"/>
            <w:bottom w:w="0" w:type="dxa"/>
            <w:right w:w="108" w:type="dxa"/>
          </w:tblCellMar>
        </w:tblPrEx>
        <w:trPr>
          <w:trHeight w:val="433" w:hRule="atLeast"/>
          <w:jc w:val="center"/>
        </w:trPr>
        <w:tc>
          <w:tcPr>
            <w:tcW w:w="7146"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szCs w:val="21"/>
              </w:rPr>
            </w:pPr>
            <w:r>
              <w:rPr>
                <w:rFonts w:hint="eastAsia" w:eastAsia="仿宋_GB2312"/>
                <w:szCs w:val="21"/>
              </w:rPr>
              <w:t>付款周期方案</w:t>
            </w:r>
          </w:p>
        </w:tc>
        <w:tc>
          <w:tcPr>
            <w:tcW w:w="1166" w:type="dxa"/>
            <w:tcBorders>
              <w:top w:val="single" w:color="auto" w:sz="4" w:space="0"/>
              <w:left w:val="single" w:color="auto" w:sz="4" w:space="0"/>
              <w:bottom w:val="single" w:color="auto" w:sz="4" w:space="0"/>
              <w:right w:val="single" w:color="000000" w:sz="4" w:space="0"/>
            </w:tcBorders>
          </w:tcPr>
          <w:p>
            <w:pPr>
              <w:widowControl/>
              <w:jc w:val="center"/>
              <w:rPr>
                <w:rFonts w:eastAsia="仿宋_GB2312"/>
                <w:szCs w:val="21"/>
              </w:rPr>
            </w:pPr>
          </w:p>
        </w:tc>
      </w:tr>
      <w:tr>
        <w:tblPrEx>
          <w:tblCellMar>
            <w:top w:w="0" w:type="dxa"/>
            <w:left w:w="108" w:type="dxa"/>
            <w:bottom w:w="0" w:type="dxa"/>
            <w:right w:w="108" w:type="dxa"/>
          </w:tblCellMar>
        </w:tblPrEx>
        <w:trPr>
          <w:trHeight w:val="1185" w:hRule="atLeast"/>
          <w:jc w:val="center"/>
        </w:trPr>
        <w:tc>
          <w:tcPr>
            <w:tcW w:w="33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Cs w:val="21"/>
              </w:rPr>
            </w:pP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预付款</w:t>
            </w: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进度款</w:t>
            </w: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项目运营维护服务期费用</w:t>
            </w:r>
          </w:p>
        </w:tc>
        <w:tc>
          <w:tcPr>
            <w:tcW w:w="1166"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备注</w:t>
            </w:r>
          </w:p>
        </w:tc>
      </w:tr>
      <w:tr>
        <w:tblPrEx>
          <w:tblCellMar>
            <w:top w:w="0" w:type="dxa"/>
            <w:left w:w="108" w:type="dxa"/>
            <w:bottom w:w="0" w:type="dxa"/>
            <w:right w:w="108" w:type="dxa"/>
          </w:tblCellMar>
        </w:tblPrEx>
        <w:trPr>
          <w:trHeight w:val="433" w:hRule="atLeast"/>
          <w:jc w:val="center"/>
        </w:trPr>
        <w:tc>
          <w:tcPr>
            <w:tcW w:w="1049" w:type="dxa"/>
            <w:tcBorders>
              <w:top w:val="nil"/>
              <w:left w:val="single" w:color="auto" w:sz="4" w:space="0"/>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预付款</w:t>
            </w:r>
          </w:p>
        </w:tc>
        <w:tc>
          <w:tcPr>
            <w:tcW w:w="2303"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2023年5月</w:t>
            </w: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eastAsia="仿宋_GB2312"/>
                <w:szCs w:val="21"/>
              </w:rPr>
              <w:t>50</w:t>
            </w:r>
            <w:r>
              <w:rPr>
                <w:rFonts w:hint="eastAsia" w:eastAsia="仿宋_GB2312"/>
                <w:szCs w:val="21"/>
              </w:rPr>
              <w:t>%</w:t>
            </w: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166" w:type="dxa"/>
            <w:tcBorders>
              <w:top w:val="nil"/>
              <w:left w:val="nil"/>
              <w:bottom w:val="single" w:color="auto" w:sz="4" w:space="0"/>
              <w:right w:val="single" w:color="auto" w:sz="4" w:space="0"/>
            </w:tcBorders>
          </w:tcPr>
          <w:p>
            <w:pPr>
              <w:widowControl/>
              <w:jc w:val="center"/>
              <w:rPr>
                <w:rFonts w:eastAsia="仿宋_GB2312"/>
                <w:szCs w:val="21"/>
              </w:rPr>
            </w:pPr>
          </w:p>
        </w:tc>
      </w:tr>
      <w:tr>
        <w:tblPrEx>
          <w:tblCellMar>
            <w:top w:w="0" w:type="dxa"/>
            <w:left w:w="108" w:type="dxa"/>
            <w:bottom w:w="0" w:type="dxa"/>
            <w:right w:w="108" w:type="dxa"/>
          </w:tblCellMar>
        </w:tblPrEx>
        <w:trPr>
          <w:trHeight w:val="801" w:hRule="atLeast"/>
          <w:jc w:val="center"/>
        </w:trPr>
        <w:tc>
          <w:tcPr>
            <w:tcW w:w="1049"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szCs w:val="21"/>
              </w:rPr>
            </w:pPr>
            <w:r>
              <w:rPr>
                <w:rFonts w:hint="eastAsia" w:eastAsia="仿宋_GB2312"/>
                <w:szCs w:val="21"/>
              </w:rPr>
              <w:t>安装调试服务期</w:t>
            </w:r>
          </w:p>
        </w:tc>
        <w:tc>
          <w:tcPr>
            <w:tcW w:w="2303"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szCs w:val="21"/>
              </w:rPr>
            </w:pPr>
            <w:r>
              <w:rPr>
                <w:rFonts w:hint="eastAsia" w:eastAsia="仿宋_GB2312"/>
                <w:szCs w:val="21"/>
              </w:rPr>
              <w:t>2023/</w:t>
            </w:r>
            <w:r>
              <w:rPr>
                <w:rFonts w:eastAsia="仿宋_GB2312"/>
                <w:szCs w:val="21"/>
              </w:rPr>
              <w:t>5/1</w:t>
            </w:r>
            <w:r>
              <w:rPr>
                <w:rFonts w:hint="eastAsia" w:eastAsia="仿宋_GB2312"/>
                <w:szCs w:val="21"/>
              </w:rPr>
              <w:t>至2023/6</w:t>
            </w:r>
            <w:r>
              <w:rPr>
                <w:rFonts w:eastAsia="仿宋_GB2312"/>
                <w:szCs w:val="21"/>
              </w:rPr>
              <w:t>/30</w:t>
            </w: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eastAsia="仿宋_GB2312"/>
                <w:szCs w:val="21"/>
              </w:rPr>
              <w:t>10</w:t>
            </w:r>
            <w:r>
              <w:rPr>
                <w:rFonts w:hint="eastAsia" w:eastAsia="仿宋_GB2312"/>
                <w:szCs w:val="21"/>
              </w:rPr>
              <w:t>%</w:t>
            </w: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166" w:type="dxa"/>
            <w:tcBorders>
              <w:top w:val="nil"/>
              <w:left w:val="nil"/>
              <w:bottom w:val="single" w:color="auto" w:sz="4" w:space="0"/>
              <w:right w:val="single" w:color="auto" w:sz="4" w:space="0"/>
            </w:tcBorders>
          </w:tcPr>
          <w:p>
            <w:pPr>
              <w:widowControl/>
              <w:jc w:val="center"/>
              <w:rPr>
                <w:rFonts w:eastAsia="仿宋_GB2312"/>
                <w:szCs w:val="21"/>
              </w:rPr>
            </w:pPr>
            <w:r>
              <w:rPr>
                <w:rFonts w:hint="eastAsia" w:eastAsia="仿宋_GB2312"/>
                <w:szCs w:val="21"/>
              </w:rPr>
              <w:t>完成建模及数据接入</w:t>
            </w:r>
          </w:p>
        </w:tc>
      </w:tr>
      <w:tr>
        <w:tblPrEx>
          <w:tblCellMar>
            <w:top w:w="0" w:type="dxa"/>
            <w:left w:w="108" w:type="dxa"/>
            <w:bottom w:w="0" w:type="dxa"/>
            <w:right w:w="108" w:type="dxa"/>
          </w:tblCellMar>
        </w:tblPrEx>
        <w:trPr>
          <w:trHeight w:val="433" w:hRule="atLeast"/>
          <w:jc w:val="center"/>
        </w:trPr>
        <w:tc>
          <w:tcPr>
            <w:tcW w:w="1049" w:type="dxa"/>
            <w:vMerge w:val="continue"/>
            <w:tcBorders>
              <w:left w:val="single" w:color="auto" w:sz="4" w:space="0"/>
              <w:right w:val="single" w:color="auto" w:sz="4" w:space="0"/>
            </w:tcBorders>
            <w:shd w:val="clear" w:color="auto" w:fill="FFFFFF"/>
            <w:vAlign w:val="center"/>
          </w:tcPr>
          <w:p>
            <w:pPr>
              <w:widowControl/>
              <w:jc w:val="center"/>
              <w:rPr>
                <w:rFonts w:eastAsia="仿宋_GB2312"/>
                <w:szCs w:val="21"/>
              </w:rPr>
            </w:pPr>
          </w:p>
        </w:tc>
        <w:tc>
          <w:tcPr>
            <w:tcW w:w="2303"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szCs w:val="21"/>
              </w:rPr>
            </w:pPr>
            <w:r>
              <w:rPr>
                <w:rFonts w:hint="eastAsia" w:eastAsia="仿宋_GB2312"/>
                <w:szCs w:val="21"/>
              </w:rPr>
              <w:t>2023/7</w:t>
            </w:r>
            <w:r>
              <w:rPr>
                <w:rFonts w:eastAsia="仿宋_GB2312"/>
                <w:szCs w:val="21"/>
              </w:rPr>
              <w:t>/1</w:t>
            </w:r>
            <w:r>
              <w:rPr>
                <w:rFonts w:hint="eastAsia" w:eastAsia="仿宋_GB2312"/>
                <w:szCs w:val="21"/>
              </w:rPr>
              <w:t>至2023/</w:t>
            </w:r>
            <w:r>
              <w:rPr>
                <w:rFonts w:eastAsia="仿宋_GB2312"/>
                <w:szCs w:val="21"/>
              </w:rPr>
              <w:t>9/30</w:t>
            </w: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eastAsia="仿宋_GB2312"/>
                <w:szCs w:val="21"/>
              </w:rPr>
              <w:t>10</w:t>
            </w:r>
            <w:r>
              <w:rPr>
                <w:rFonts w:hint="eastAsia" w:eastAsia="仿宋_GB2312"/>
                <w:szCs w:val="21"/>
              </w:rPr>
              <w:t>%</w:t>
            </w: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166" w:type="dxa"/>
            <w:tcBorders>
              <w:top w:val="nil"/>
              <w:left w:val="nil"/>
              <w:bottom w:val="single" w:color="auto" w:sz="4" w:space="0"/>
              <w:right w:val="single" w:color="auto" w:sz="4" w:space="0"/>
            </w:tcBorders>
          </w:tcPr>
          <w:p>
            <w:pPr>
              <w:widowControl/>
              <w:jc w:val="center"/>
              <w:rPr>
                <w:rFonts w:eastAsia="仿宋_GB2312"/>
                <w:szCs w:val="21"/>
              </w:rPr>
            </w:pPr>
            <w:r>
              <w:rPr>
                <w:rFonts w:hint="eastAsia" w:eastAsia="仿宋_GB2312"/>
                <w:szCs w:val="21"/>
              </w:rPr>
              <w:t>初验</w:t>
            </w:r>
          </w:p>
        </w:tc>
      </w:tr>
      <w:tr>
        <w:tblPrEx>
          <w:tblCellMar>
            <w:top w:w="0" w:type="dxa"/>
            <w:left w:w="108" w:type="dxa"/>
            <w:bottom w:w="0" w:type="dxa"/>
            <w:right w:w="108" w:type="dxa"/>
          </w:tblCellMar>
        </w:tblPrEx>
        <w:trPr>
          <w:trHeight w:val="756" w:hRule="atLeast"/>
          <w:jc w:val="center"/>
        </w:trPr>
        <w:tc>
          <w:tcPr>
            <w:tcW w:w="1049" w:type="dxa"/>
            <w:vMerge w:val="continue"/>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szCs w:val="21"/>
              </w:rPr>
            </w:pPr>
          </w:p>
        </w:tc>
        <w:tc>
          <w:tcPr>
            <w:tcW w:w="2303"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szCs w:val="21"/>
              </w:rPr>
            </w:pPr>
            <w:r>
              <w:rPr>
                <w:rFonts w:hint="eastAsia" w:eastAsia="仿宋_GB2312"/>
                <w:szCs w:val="21"/>
              </w:rPr>
              <w:t>202</w:t>
            </w:r>
            <w:r>
              <w:rPr>
                <w:rFonts w:eastAsia="仿宋_GB2312"/>
                <w:szCs w:val="21"/>
              </w:rPr>
              <w:t>3</w:t>
            </w:r>
            <w:r>
              <w:rPr>
                <w:rFonts w:hint="eastAsia" w:eastAsia="仿宋_GB2312"/>
                <w:szCs w:val="21"/>
              </w:rPr>
              <w:t>/1</w:t>
            </w:r>
            <w:r>
              <w:rPr>
                <w:rFonts w:eastAsia="仿宋_GB2312"/>
                <w:szCs w:val="21"/>
              </w:rPr>
              <w:t>0/1</w:t>
            </w:r>
            <w:r>
              <w:rPr>
                <w:rFonts w:hint="eastAsia" w:eastAsia="仿宋_GB2312"/>
                <w:szCs w:val="21"/>
              </w:rPr>
              <w:t>至202</w:t>
            </w:r>
            <w:r>
              <w:rPr>
                <w:rFonts w:eastAsia="仿宋_GB2312"/>
                <w:szCs w:val="21"/>
              </w:rPr>
              <w:t>3</w:t>
            </w:r>
            <w:r>
              <w:rPr>
                <w:rFonts w:hint="eastAsia" w:eastAsia="仿宋_GB2312"/>
                <w:szCs w:val="21"/>
              </w:rPr>
              <w:t>/</w:t>
            </w:r>
            <w:r>
              <w:rPr>
                <w:rFonts w:eastAsia="仿宋_GB2312"/>
                <w:szCs w:val="21"/>
              </w:rPr>
              <w:t>12/31</w:t>
            </w: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2</w:t>
            </w:r>
            <w:r>
              <w:rPr>
                <w:rFonts w:eastAsia="仿宋_GB2312"/>
                <w:szCs w:val="21"/>
              </w:rPr>
              <w:t>0</w:t>
            </w:r>
            <w:r>
              <w:rPr>
                <w:rFonts w:hint="eastAsia" w:eastAsia="仿宋_GB2312"/>
                <w:szCs w:val="21"/>
              </w:rPr>
              <w:t>%</w:t>
            </w: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166" w:type="dxa"/>
            <w:tcBorders>
              <w:top w:val="nil"/>
              <w:left w:val="nil"/>
              <w:bottom w:val="single" w:color="auto" w:sz="4" w:space="0"/>
              <w:right w:val="single" w:color="auto" w:sz="4" w:space="0"/>
            </w:tcBorders>
          </w:tcPr>
          <w:p>
            <w:pPr>
              <w:widowControl/>
              <w:jc w:val="center"/>
              <w:rPr>
                <w:rFonts w:eastAsia="仿宋_GB2312"/>
                <w:szCs w:val="21"/>
              </w:rPr>
            </w:pPr>
            <w:r>
              <w:rPr>
                <w:rFonts w:hint="eastAsia" w:eastAsia="仿宋_GB2312"/>
                <w:szCs w:val="21"/>
              </w:rPr>
              <w:t>终验</w:t>
            </w:r>
          </w:p>
        </w:tc>
      </w:tr>
      <w:tr>
        <w:tblPrEx>
          <w:tblCellMar>
            <w:top w:w="0" w:type="dxa"/>
            <w:left w:w="108" w:type="dxa"/>
            <w:bottom w:w="0" w:type="dxa"/>
            <w:right w:w="108" w:type="dxa"/>
          </w:tblCellMar>
        </w:tblPrEx>
        <w:trPr>
          <w:trHeight w:val="433" w:hRule="atLeast"/>
          <w:jc w:val="center"/>
        </w:trPr>
        <w:tc>
          <w:tcPr>
            <w:tcW w:w="1049"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szCs w:val="21"/>
              </w:rPr>
            </w:pPr>
            <w:r>
              <w:rPr>
                <w:rFonts w:hint="eastAsia" w:eastAsia="仿宋_GB2312"/>
                <w:szCs w:val="21"/>
              </w:rPr>
              <w:t>运营维护期</w:t>
            </w:r>
          </w:p>
        </w:tc>
        <w:tc>
          <w:tcPr>
            <w:tcW w:w="2303"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szCs w:val="21"/>
              </w:rPr>
            </w:pPr>
            <w:r>
              <w:rPr>
                <w:rFonts w:hint="eastAsia" w:eastAsia="仿宋_GB2312"/>
                <w:szCs w:val="21"/>
              </w:rPr>
              <w:t>2024/</w:t>
            </w:r>
            <w:r>
              <w:rPr>
                <w:rFonts w:eastAsia="仿宋_GB2312"/>
                <w:szCs w:val="21"/>
              </w:rPr>
              <w:t>1/1</w:t>
            </w:r>
            <w:r>
              <w:rPr>
                <w:rFonts w:hint="eastAsia" w:eastAsia="仿宋_GB2312"/>
                <w:szCs w:val="21"/>
              </w:rPr>
              <w:t>至202</w:t>
            </w:r>
            <w:r>
              <w:rPr>
                <w:rFonts w:eastAsia="仿宋_GB2312"/>
                <w:szCs w:val="21"/>
              </w:rPr>
              <w:t>4</w:t>
            </w:r>
            <w:r>
              <w:rPr>
                <w:rFonts w:hint="eastAsia" w:eastAsia="仿宋_GB2312"/>
                <w:szCs w:val="21"/>
              </w:rPr>
              <w:t>/</w:t>
            </w:r>
            <w:r>
              <w:rPr>
                <w:rFonts w:eastAsia="仿宋_GB2312"/>
                <w:szCs w:val="21"/>
              </w:rPr>
              <w:t>12/31</w:t>
            </w: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3%</w:t>
            </w:r>
          </w:p>
        </w:tc>
        <w:tc>
          <w:tcPr>
            <w:tcW w:w="1166" w:type="dxa"/>
            <w:tcBorders>
              <w:top w:val="nil"/>
              <w:left w:val="nil"/>
              <w:bottom w:val="single" w:color="auto" w:sz="4" w:space="0"/>
              <w:right w:val="single" w:color="auto" w:sz="4" w:space="0"/>
            </w:tcBorders>
          </w:tcPr>
          <w:p>
            <w:pPr>
              <w:widowControl/>
              <w:jc w:val="center"/>
              <w:rPr>
                <w:rFonts w:eastAsia="仿宋_GB2312"/>
                <w:szCs w:val="21"/>
              </w:rPr>
            </w:pPr>
          </w:p>
        </w:tc>
      </w:tr>
      <w:tr>
        <w:tblPrEx>
          <w:tblCellMar>
            <w:top w:w="0" w:type="dxa"/>
            <w:left w:w="108" w:type="dxa"/>
            <w:bottom w:w="0" w:type="dxa"/>
            <w:right w:w="108" w:type="dxa"/>
          </w:tblCellMar>
        </w:tblPrEx>
        <w:trPr>
          <w:trHeight w:val="433" w:hRule="atLeast"/>
          <w:jc w:val="center"/>
        </w:trPr>
        <w:tc>
          <w:tcPr>
            <w:tcW w:w="1049" w:type="dxa"/>
            <w:vMerge w:val="continue"/>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szCs w:val="21"/>
              </w:rPr>
            </w:pPr>
          </w:p>
        </w:tc>
        <w:tc>
          <w:tcPr>
            <w:tcW w:w="2303"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szCs w:val="21"/>
              </w:rPr>
            </w:pPr>
            <w:r>
              <w:rPr>
                <w:rFonts w:hint="eastAsia" w:eastAsia="仿宋_GB2312"/>
                <w:szCs w:val="21"/>
              </w:rPr>
              <w:t>2025/</w:t>
            </w:r>
            <w:r>
              <w:rPr>
                <w:rFonts w:eastAsia="仿宋_GB2312"/>
                <w:szCs w:val="21"/>
              </w:rPr>
              <w:t>1/1</w:t>
            </w:r>
            <w:r>
              <w:rPr>
                <w:rFonts w:hint="eastAsia" w:eastAsia="仿宋_GB2312"/>
                <w:szCs w:val="21"/>
              </w:rPr>
              <w:t>至202</w:t>
            </w:r>
            <w:r>
              <w:rPr>
                <w:rFonts w:eastAsia="仿宋_GB2312"/>
                <w:szCs w:val="21"/>
              </w:rPr>
              <w:t>5</w:t>
            </w:r>
            <w:r>
              <w:rPr>
                <w:rFonts w:hint="eastAsia" w:eastAsia="仿宋_GB2312"/>
                <w:szCs w:val="21"/>
              </w:rPr>
              <w:t>/</w:t>
            </w:r>
            <w:r>
              <w:rPr>
                <w:rFonts w:eastAsia="仿宋_GB2312"/>
                <w:szCs w:val="21"/>
              </w:rPr>
              <w:t>12/31</w:t>
            </w: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3%</w:t>
            </w:r>
          </w:p>
        </w:tc>
        <w:tc>
          <w:tcPr>
            <w:tcW w:w="1166" w:type="dxa"/>
            <w:tcBorders>
              <w:top w:val="nil"/>
              <w:left w:val="nil"/>
              <w:bottom w:val="single" w:color="auto" w:sz="4" w:space="0"/>
              <w:right w:val="single" w:color="auto" w:sz="4" w:space="0"/>
            </w:tcBorders>
          </w:tcPr>
          <w:p>
            <w:pPr>
              <w:widowControl/>
              <w:jc w:val="center"/>
              <w:rPr>
                <w:rFonts w:eastAsia="仿宋_GB2312"/>
                <w:szCs w:val="21"/>
              </w:rPr>
            </w:pPr>
          </w:p>
        </w:tc>
      </w:tr>
      <w:tr>
        <w:tblPrEx>
          <w:tblCellMar>
            <w:top w:w="0" w:type="dxa"/>
            <w:left w:w="108" w:type="dxa"/>
            <w:bottom w:w="0" w:type="dxa"/>
            <w:right w:w="108" w:type="dxa"/>
          </w:tblCellMar>
        </w:tblPrEx>
        <w:trPr>
          <w:trHeight w:val="433" w:hRule="atLeast"/>
          <w:jc w:val="center"/>
        </w:trPr>
        <w:tc>
          <w:tcPr>
            <w:tcW w:w="1049" w:type="dxa"/>
            <w:vMerge w:val="continue"/>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szCs w:val="21"/>
              </w:rPr>
            </w:pPr>
          </w:p>
        </w:tc>
        <w:tc>
          <w:tcPr>
            <w:tcW w:w="2303"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szCs w:val="21"/>
              </w:rPr>
            </w:pPr>
            <w:r>
              <w:rPr>
                <w:rFonts w:hint="eastAsia" w:eastAsia="仿宋_GB2312"/>
                <w:szCs w:val="21"/>
              </w:rPr>
              <w:t>2026/</w:t>
            </w:r>
            <w:r>
              <w:rPr>
                <w:rFonts w:eastAsia="仿宋_GB2312"/>
                <w:szCs w:val="21"/>
              </w:rPr>
              <w:t>1/1</w:t>
            </w:r>
            <w:r>
              <w:rPr>
                <w:rFonts w:hint="eastAsia" w:eastAsia="仿宋_GB2312"/>
                <w:szCs w:val="21"/>
              </w:rPr>
              <w:t>至202</w:t>
            </w:r>
            <w:r>
              <w:rPr>
                <w:rFonts w:eastAsia="仿宋_GB2312"/>
                <w:szCs w:val="21"/>
              </w:rPr>
              <w:t>6</w:t>
            </w:r>
            <w:r>
              <w:rPr>
                <w:rFonts w:hint="eastAsia" w:eastAsia="仿宋_GB2312"/>
                <w:szCs w:val="21"/>
              </w:rPr>
              <w:t>/</w:t>
            </w:r>
            <w:r>
              <w:rPr>
                <w:rFonts w:eastAsia="仿宋_GB2312"/>
                <w:szCs w:val="21"/>
              </w:rPr>
              <w:t>12/31</w:t>
            </w: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4%</w:t>
            </w:r>
          </w:p>
        </w:tc>
        <w:tc>
          <w:tcPr>
            <w:tcW w:w="1166" w:type="dxa"/>
            <w:tcBorders>
              <w:top w:val="nil"/>
              <w:left w:val="nil"/>
              <w:bottom w:val="single" w:color="auto" w:sz="4" w:space="0"/>
              <w:right w:val="single" w:color="auto" w:sz="4" w:space="0"/>
            </w:tcBorders>
          </w:tcPr>
          <w:p>
            <w:pPr>
              <w:widowControl/>
              <w:jc w:val="center"/>
              <w:rPr>
                <w:rFonts w:eastAsia="仿宋_GB2312"/>
                <w:szCs w:val="21"/>
              </w:rPr>
            </w:pPr>
          </w:p>
        </w:tc>
      </w:tr>
      <w:tr>
        <w:tblPrEx>
          <w:tblCellMar>
            <w:top w:w="0" w:type="dxa"/>
            <w:left w:w="108" w:type="dxa"/>
            <w:bottom w:w="0" w:type="dxa"/>
            <w:right w:w="108" w:type="dxa"/>
          </w:tblCellMar>
        </w:tblPrEx>
        <w:trPr>
          <w:trHeight w:val="462" w:hRule="atLeast"/>
          <w:jc w:val="center"/>
        </w:trPr>
        <w:tc>
          <w:tcPr>
            <w:tcW w:w="33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累计支付</w:t>
            </w:r>
          </w:p>
        </w:tc>
        <w:tc>
          <w:tcPr>
            <w:tcW w:w="1120"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eastAsia="仿宋_GB2312"/>
                <w:szCs w:val="21"/>
              </w:rPr>
              <w:t>50</w:t>
            </w:r>
            <w:r>
              <w:rPr>
                <w:rFonts w:hint="eastAsia" w:eastAsia="仿宋_GB2312"/>
                <w:szCs w:val="21"/>
              </w:rPr>
              <w:t>%</w:t>
            </w:r>
          </w:p>
        </w:tc>
        <w:tc>
          <w:tcPr>
            <w:tcW w:w="121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9</w:t>
            </w:r>
            <w:r>
              <w:rPr>
                <w:rFonts w:eastAsia="仿宋_GB2312"/>
                <w:szCs w:val="21"/>
              </w:rPr>
              <w:t>0</w:t>
            </w:r>
            <w:r>
              <w:rPr>
                <w:rFonts w:hint="eastAsia" w:eastAsia="仿宋_GB2312"/>
                <w:szCs w:val="21"/>
              </w:rPr>
              <w:t>%</w:t>
            </w:r>
          </w:p>
        </w:tc>
        <w:tc>
          <w:tcPr>
            <w:tcW w:w="1462" w:type="dxa"/>
            <w:tcBorders>
              <w:top w:val="nil"/>
              <w:left w:val="nil"/>
              <w:bottom w:val="single" w:color="auto" w:sz="4" w:space="0"/>
              <w:right w:val="single" w:color="auto" w:sz="4" w:space="0"/>
            </w:tcBorders>
            <w:vAlign w:val="center"/>
          </w:tcPr>
          <w:p>
            <w:pPr>
              <w:widowControl/>
              <w:jc w:val="center"/>
              <w:rPr>
                <w:rFonts w:eastAsia="仿宋_GB2312"/>
                <w:szCs w:val="21"/>
              </w:rPr>
            </w:pPr>
            <w:r>
              <w:rPr>
                <w:rFonts w:hint="eastAsia" w:eastAsia="仿宋_GB2312"/>
                <w:szCs w:val="21"/>
              </w:rPr>
              <w:t>100%</w:t>
            </w:r>
          </w:p>
        </w:tc>
        <w:tc>
          <w:tcPr>
            <w:tcW w:w="1166" w:type="dxa"/>
            <w:tcBorders>
              <w:top w:val="nil"/>
              <w:left w:val="nil"/>
              <w:bottom w:val="single" w:color="auto" w:sz="4" w:space="0"/>
              <w:right w:val="single" w:color="auto" w:sz="4" w:space="0"/>
            </w:tcBorders>
          </w:tcPr>
          <w:p>
            <w:pPr>
              <w:widowControl/>
              <w:jc w:val="center"/>
              <w:rPr>
                <w:rFonts w:eastAsia="仿宋_GB2312"/>
                <w:szCs w:val="21"/>
              </w:rPr>
            </w:pPr>
          </w:p>
        </w:tc>
      </w:tr>
    </w:tbl>
    <w:p>
      <w:pPr>
        <w:adjustRightInd/>
        <w:spacing w:line="560" w:lineRule="exact"/>
        <w:jc w:val="left"/>
        <w:rPr>
          <w:rFonts w:eastAsia="仿宋_GB2312"/>
          <w:b/>
          <w:sz w:val="32"/>
          <w:szCs w:val="32"/>
          <w:highlight w:val="none"/>
        </w:rPr>
      </w:pPr>
      <w:r>
        <w:rPr>
          <w:rFonts w:hint="eastAsia" w:eastAsia="黑体"/>
          <w:b/>
          <w:sz w:val="32"/>
          <w:szCs w:val="32"/>
          <w:highlight w:val="none"/>
        </w:rPr>
        <w:t>注：本项目运营维护期时间以实际项目终验合格后算起三年为准</w:t>
      </w:r>
    </w:p>
    <w:p>
      <w:pPr>
        <w:spacing w:line="560" w:lineRule="exact"/>
        <w:rPr>
          <w:rFonts w:eastAsia="仿宋_GB2312"/>
          <w:b/>
          <w:sz w:val="32"/>
          <w:szCs w:val="32"/>
          <w:highlight w:val="none"/>
        </w:rPr>
      </w:pPr>
      <w:r>
        <w:rPr>
          <w:rFonts w:hint="eastAsia" w:eastAsia="黑体"/>
          <w:b/>
          <w:sz w:val="32"/>
          <w:szCs w:val="32"/>
          <w:highlight w:val="none"/>
        </w:rPr>
        <w:t>五、重要合同条款</w:t>
      </w:r>
    </w:p>
    <w:p>
      <w:pPr>
        <w:adjustRightInd/>
        <w:spacing w:line="276" w:lineRule="auto"/>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1.若项目验收（包含初验和终验）未通过，第一次验收未通过，乙方须按要求整改；第二次验收未通过，验收费用由乙方承担，并扣取项目总费用的1%。</w:t>
      </w:r>
    </w:p>
    <w:p>
      <w:pPr>
        <w:adjustRightInd/>
        <w:spacing w:line="276" w:lineRule="auto"/>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2.若项目终验因乙方原因超过第一阶段服务期，每超期一天对乙方违约金5000元。</w:t>
      </w:r>
    </w:p>
    <w:p>
      <w:pPr>
        <w:adjustRightInd/>
        <w:spacing w:line="276" w:lineRule="auto"/>
        <w:ind w:firstLine="640" w:firstLineChars="200"/>
        <w:jc w:val="left"/>
        <w:rPr>
          <w:rFonts w:ascii="仿宋_GB2312" w:eastAsia="仿宋_GB2312"/>
          <w:sz w:val="32"/>
          <w:szCs w:val="32"/>
        </w:rPr>
      </w:pPr>
      <w:r>
        <w:rPr>
          <w:rFonts w:hint="eastAsia" w:ascii="仿宋_GB2312" w:eastAsia="仿宋_GB2312"/>
          <w:sz w:val="32"/>
          <w:szCs w:val="32"/>
          <w:highlight w:val="none"/>
        </w:rPr>
        <w:t>3. 本项目第一阶段服务期拟要求乙方安排现场办公人员15</w:t>
      </w:r>
      <w:r>
        <w:rPr>
          <w:rFonts w:hint="eastAsia" w:ascii="仿宋_GB2312" w:eastAsia="仿宋_GB2312"/>
          <w:sz w:val="32"/>
          <w:szCs w:val="32"/>
        </w:rPr>
        <w:t>人，运营维护期拟要求乙方派驻专业技术人员2人（双休日及节假日正常上班，遇重要时期须根据甲方需求增派人员）至</w:t>
      </w:r>
      <w:r>
        <w:rPr>
          <w:rFonts w:ascii="仿宋_GB2312" w:eastAsia="仿宋_GB2312"/>
          <w:sz w:val="32"/>
          <w:szCs w:val="32"/>
        </w:rPr>
        <w:t>甲方</w:t>
      </w:r>
      <w:r>
        <w:rPr>
          <w:rFonts w:hint="eastAsia" w:ascii="仿宋_GB2312" w:eastAsia="仿宋_GB2312"/>
          <w:sz w:val="32"/>
          <w:szCs w:val="32"/>
        </w:rPr>
        <w:t>指定的办公区域，。若工作时间内项目建设现场办公人员不足，第一次发现现场办公人员不足，乙方须进行整改并作出书面报告；第二次发现现场办公人员不足，按照不足人数，对乙方进行每人每天违约金5000元，以此累加。</w:t>
      </w:r>
    </w:p>
    <w:p>
      <w:pPr>
        <w:widowControl/>
        <w:spacing w:line="276" w:lineRule="auto"/>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 xml:space="preserve"> 为保证本次项目顺利成功，要求投标人承诺项目验收后提供合同期内的软件7*24小时售后技术服务，包括免费升级、功能完善、故障排除、性能调优、技术咨询等，并负责系统的开发、集成，处理、协调与各系统软件等供应商的关系，负责西站实景区域变更与孪生系统模型的实时更新。能够快速响应本项目的服务要求，普通系统问题2小时内解决问题；疑难复杂系统问题12小时内解决问题。安排专业技术人员驻点维护服务，负责各类问题的处理、模型的更新、系统的对接调试等工作。</w:t>
      </w:r>
    </w:p>
    <w:p>
      <w:pPr>
        <w:widowControl/>
        <w:spacing w:line="276" w:lineRule="auto"/>
        <w:ind w:firstLine="640" w:firstLineChars="200"/>
        <w:jc w:val="left"/>
        <w:rPr>
          <w:rFonts w:ascii="仿宋_GB2312" w:eastAsia="仿宋_GB2312"/>
          <w:sz w:val="32"/>
          <w:szCs w:val="32"/>
        </w:rPr>
      </w:pPr>
      <w:r>
        <w:rPr>
          <w:rFonts w:hint="eastAsia" w:ascii="仿宋_GB2312" w:eastAsia="仿宋_GB2312"/>
          <w:sz w:val="32"/>
          <w:szCs w:val="32"/>
        </w:rPr>
        <w:t>5、中标人在服务期内根据招标人需求制作本系统高分辨率宣传视频（每季度一次）。</w:t>
      </w:r>
    </w:p>
    <w:p>
      <w:pPr>
        <w:pStyle w:val="2"/>
        <w:ind w:left="0" w:firstLine="0"/>
        <w:rPr>
          <w:lang w:val="en-US"/>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9" w:name="_Toc184308096"/>
      <w:bookmarkEnd w:id="29"/>
      <w:bookmarkStart w:id="30" w:name="_Toc184313305"/>
      <w:bookmarkEnd w:id="30"/>
      <w:bookmarkStart w:id="31" w:name="_Toc184312093"/>
      <w:bookmarkEnd w:id="31"/>
      <w:bookmarkStart w:id="32" w:name="_Toc184312130"/>
      <w:bookmarkEnd w:id="32"/>
      <w:bookmarkStart w:id="33" w:name="_Toc184314455"/>
      <w:bookmarkEnd w:id="33"/>
      <w:bookmarkStart w:id="34" w:name="_Toc184312091"/>
      <w:bookmarkEnd w:id="34"/>
      <w:bookmarkStart w:id="35" w:name="_Toc184308086"/>
      <w:bookmarkEnd w:id="35"/>
      <w:bookmarkStart w:id="36" w:name="_Toc184313265"/>
      <w:bookmarkEnd w:id="36"/>
      <w:bookmarkStart w:id="37" w:name="_Toc184312075"/>
      <w:bookmarkEnd w:id="37"/>
      <w:bookmarkStart w:id="38" w:name="_Toc184310272"/>
      <w:bookmarkEnd w:id="38"/>
      <w:bookmarkStart w:id="39" w:name="_Toc184314462"/>
      <w:bookmarkEnd w:id="39"/>
      <w:bookmarkStart w:id="40" w:name="_Toc184314449"/>
      <w:bookmarkEnd w:id="40"/>
      <w:bookmarkStart w:id="41" w:name="_Toc184308105"/>
      <w:bookmarkEnd w:id="41"/>
      <w:bookmarkStart w:id="42" w:name="_Toc184312134"/>
      <w:bookmarkEnd w:id="42"/>
      <w:bookmarkStart w:id="43" w:name="_Toc184310336"/>
      <w:bookmarkEnd w:id="43"/>
      <w:bookmarkStart w:id="44" w:name="_Toc184313261"/>
      <w:bookmarkEnd w:id="44"/>
      <w:bookmarkStart w:id="45" w:name="_Toc184314433"/>
      <w:bookmarkEnd w:id="45"/>
      <w:bookmarkStart w:id="46" w:name="_Toc184314474"/>
      <w:bookmarkEnd w:id="46"/>
      <w:bookmarkStart w:id="47" w:name="_Toc184310281"/>
      <w:bookmarkEnd w:id="47"/>
      <w:bookmarkStart w:id="48" w:name="_Toc184313248"/>
      <w:bookmarkEnd w:id="48"/>
      <w:bookmarkStart w:id="49" w:name="_Toc184314459"/>
      <w:bookmarkEnd w:id="49"/>
      <w:bookmarkStart w:id="50" w:name="_Toc184308067"/>
      <w:bookmarkEnd w:id="50"/>
      <w:bookmarkStart w:id="51" w:name="_Toc184314415"/>
      <w:bookmarkEnd w:id="51"/>
      <w:bookmarkStart w:id="52" w:name="_Toc184310306"/>
      <w:bookmarkEnd w:id="52"/>
      <w:bookmarkStart w:id="53" w:name="_Toc184308093"/>
      <w:bookmarkEnd w:id="53"/>
      <w:bookmarkStart w:id="54" w:name="_Toc184308074"/>
      <w:bookmarkEnd w:id="54"/>
      <w:bookmarkStart w:id="55" w:name="_Toc184312117"/>
      <w:bookmarkEnd w:id="55"/>
      <w:bookmarkStart w:id="56" w:name="_Toc184312085"/>
      <w:bookmarkEnd w:id="56"/>
      <w:bookmarkStart w:id="57" w:name="_Toc184308076"/>
      <w:bookmarkEnd w:id="57"/>
      <w:bookmarkStart w:id="58" w:name="_Toc184308057"/>
      <w:bookmarkEnd w:id="58"/>
      <w:bookmarkStart w:id="59" w:name="_Toc184313300"/>
      <w:bookmarkEnd w:id="59"/>
      <w:bookmarkStart w:id="60" w:name="_Toc184308087"/>
      <w:bookmarkEnd w:id="60"/>
      <w:bookmarkStart w:id="61" w:name="_Toc184312099"/>
      <w:bookmarkEnd w:id="61"/>
      <w:bookmarkStart w:id="62" w:name="_Toc184312074"/>
      <w:bookmarkEnd w:id="62"/>
      <w:bookmarkStart w:id="63" w:name="_Toc184308103"/>
      <w:bookmarkEnd w:id="63"/>
      <w:bookmarkStart w:id="64" w:name="_Toc184312107"/>
      <w:bookmarkEnd w:id="64"/>
      <w:bookmarkStart w:id="65" w:name="_Toc184310289"/>
      <w:bookmarkEnd w:id="65"/>
      <w:bookmarkStart w:id="66" w:name="_Toc184312114"/>
      <w:bookmarkEnd w:id="66"/>
      <w:bookmarkStart w:id="67" w:name="_Toc184308052"/>
      <w:bookmarkEnd w:id="67"/>
      <w:bookmarkStart w:id="68" w:name="_Toc184310331"/>
      <w:bookmarkEnd w:id="68"/>
      <w:bookmarkStart w:id="69" w:name="_Toc184310321"/>
      <w:bookmarkEnd w:id="69"/>
      <w:bookmarkStart w:id="70" w:name="_Toc184312076"/>
      <w:bookmarkEnd w:id="70"/>
      <w:bookmarkStart w:id="71" w:name="_Toc184312088"/>
      <w:bookmarkEnd w:id="71"/>
      <w:bookmarkStart w:id="72" w:name="_Toc184308048"/>
      <w:bookmarkEnd w:id="72"/>
      <w:bookmarkStart w:id="73" w:name="_Toc184313252"/>
      <w:bookmarkEnd w:id="73"/>
      <w:bookmarkStart w:id="74" w:name="_Toc184313250"/>
      <w:bookmarkEnd w:id="74"/>
      <w:bookmarkStart w:id="75" w:name="_Toc184308069"/>
      <w:bookmarkEnd w:id="75"/>
      <w:bookmarkStart w:id="76" w:name="_Toc184314437"/>
      <w:bookmarkEnd w:id="76"/>
      <w:bookmarkStart w:id="77" w:name="_Toc184308099"/>
      <w:bookmarkEnd w:id="77"/>
      <w:bookmarkStart w:id="78" w:name="_Toc184310329"/>
      <w:bookmarkEnd w:id="78"/>
      <w:bookmarkStart w:id="79" w:name="_Toc184313302"/>
      <w:bookmarkEnd w:id="79"/>
      <w:bookmarkStart w:id="80" w:name="_Toc184313285"/>
      <w:bookmarkEnd w:id="80"/>
      <w:bookmarkStart w:id="81" w:name="_Toc184313275"/>
      <w:bookmarkEnd w:id="81"/>
      <w:bookmarkStart w:id="82" w:name="_Toc184313309"/>
      <w:bookmarkEnd w:id="82"/>
      <w:bookmarkStart w:id="83" w:name="_Toc184308038"/>
      <w:bookmarkEnd w:id="83"/>
      <w:bookmarkStart w:id="84" w:name="_Toc184308091"/>
      <w:bookmarkEnd w:id="84"/>
      <w:bookmarkStart w:id="85" w:name="_Toc184312128"/>
      <w:bookmarkEnd w:id="85"/>
      <w:bookmarkStart w:id="86" w:name="_Toc184308061"/>
      <w:bookmarkEnd w:id="86"/>
      <w:bookmarkStart w:id="87" w:name="_Toc184314444"/>
      <w:bookmarkEnd w:id="87"/>
      <w:bookmarkStart w:id="88" w:name="_Toc184312133"/>
      <w:bookmarkEnd w:id="88"/>
      <w:bookmarkStart w:id="89" w:name="_Toc184310333"/>
      <w:bookmarkEnd w:id="89"/>
      <w:bookmarkStart w:id="90" w:name="_Toc184314482"/>
      <w:bookmarkEnd w:id="90"/>
      <w:bookmarkStart w:id="91" w:name="_Toc184314434"/>
      <w:bookmarkEnd w:id="91"/>
      <w:bookmarkStart w:id="92" w:name="_Toc184312070"/>
      <w:bookmarkEnd w:id="92"/>
      <w:bookmarkStart w:id="93" w:name="_Toc184310297"/>
      <w:bookmarkEnd w:id="93"/>
      <w:bookmarkStart w:id="94" w:name="_Toc184313295"/>
      <w:bookmarkEnd w:id="94"/>
      <w:bookmarkStart w:id="95" w:name="_Toc184308077"/>
      <w:bookmarkEnd w:id="95"/>
      <w:bookmarkStart w:id="96" w:name="_Toc184313279"/>
      <w:bookmarkEnd w:id="96"/>
      <w:bookmarkStart w:id="97" w:name="_Toc184308042"/>
      <w:bookmarkEnd w:id="97"/>
      <w:bookmarkStart w:id="98" w:name="_Toc184310328"/>
      <w:bookmarkEnd w:id="98"/>
      <w:bookmarkStart w:id="99" w:name="_Toc184312100"/>
      <w:bookmarkEnd w:id="99"/>
      <w:bookmarkStart w:id="100" w:name="_Toc184313294"/>
      <w:bookmarkEnd w:id="100"/>
      <w:bookmarkStart w:id="101" w:name="_Toc184313238"/>
      <w:bookmarkEnd w:id="101"/>
      <w:bookmarkStart w:id="102" w:name="_Toc184308050"/>
      <w:bookmarkEnd w:id="102"/>
      <w:bookmarkStart w:id="103" w:name="_Toc184313259"/>
      <w:bookmarkEnd w:id="103"/>
      <w:bookmarkStart w:id="104" w:name="_Toc184314477"/>
      <w:bookmarkEnd w:id="104"/>
      <w:bookmarkStart w:id="105" w:name="_Toc184314412"/>
      <w:bookmarkEnd w:id="105"/>
      <w:bookmarkStart w:id="106" w:name="_Toc184314469"/>
      <w:bookmarkEnd w:id="106"/>
      <w:bookmarkStart w:id="107" w:name="_Toc184312097"/>
      <w:bookmarkEnd w:id="107"/>
      <w:bookmarkStart w:id="108" w:name="_Toc184314451"/>
      <w:bookmarkEnd w:id="108"/>
      <w:bookmarkStart w:id="109" w:name="_Toc184314442"/>
      <w:bookmarkEnd w:id="109"/>
      <w:bookmarkStart w:id="110" w:name="_Toc184314427"/>
      <w:bookmarkEnd w:id="110"/>
      <w:bookmarkStart w:id="111" w:name="_Toc184312124"/>
      <w:bookmarkEnd w:id="111"/>
      <w:bookmarkStart w:id="112" w:name="_Toc184310288"/>
      <w:bookmarkEnd w:id="112"/>
      <w:bookmarkStart w:id="113" w:name="_Toc184314438"/>
      <w:bookmarkEnd w:id="113"/>
      <w:bookmarkStart w:id="114" w:name="_Toc184308075"/>
      <w:bookmarkEnd w:id="114"/>
      <w:bookmarkStart w:id="115" w:name="_Toc184312111"/>
      <w:bookmarkEnd w:id="115"/>
      <w:bookmarkStart w:id="116" w:name="_Toc184314467"/>
      <w:bookmarkEnd w:id="116"/>
      <w:bookmarkStart w:id="117" w:name="_Toc184310282"/>
      <w:bookmarkEnd w:id="117"/>
      <w:bookmarkStart w:id="118" w:name="_Toc184312119"/>
      <w:bookmarkEnd w:id="118"/>
      <w:bookmarkStart w:id="119" w:name="_Toc184312137"/>
      <w:bookmarkEnd w:id="119"/>
      <w:bookmarkStart w:id="120" w:name="_Toc184312082"/>
      <w:bookmarkEnd w:id="120"/>
      <w:bookmarkStart w:id="121" w:name="_Toc184314443"/>
      <w:bookmarkEnd w:id="121"/>
      <w:bookmarkStart w:id="122" w:name="_Toc184312098"/>
      <w:bookmarkEnd w:id="122"/>
      <w:bookmarkStart w:id="123" w:name="_Toc184314411"/>
      <w:bookmarkEnd w:id="123"/>
      <w:bookmarkStart w:id="124" w:name="_Toc184308082"/>
      <w:bookmarkEnd w:id="124"/>
      <w:bookmarkStart w:id="125" w:name="_Toc184312081"/>
      <w:bookmarkEnd w:id="125"/>
      <w:bookmarkStart w:id="126" w:name="_Toc184310334"/>
      <w:bookmarkEnd w:id="126"/>
      <w:bookmarkStart w:id="127" w:name="_Toc184312096"/>
      <w:bookmarkEnd w:id="127"/>
      <w:bookmarkStart w:id="128" w:name="_Toc184314428"/>
      <w:bookmarkEnd w:id="128"/>
      <w:bookmarkStart w:id="129" w:name="_Toc184313240"/>
      <w:bookmarkEnd w:id="129"/>
      <w:bookmarkStart w:id="130" w:name="_Toc184310339"/>
      <w:bookmarkEnd w:id="130"/>
      <w:bookmarkStart w:id="131" w:name="_Toc184314468"/>
      <w:bookmarkEnd w:id="131"/>
      <w:bookmarkStart w:id="132" w:name="_Toc184313266"/>
      <w:bookmarkEnd w:id="132"/>
      <w:bookmarkStart w:id="133" w:name="_Toc184312105"/>
      <w:bookmarkEnd w:id="133"/>
      <w:bookmarkStart w:id="134" w:name="_Toc184312073"/>
      <w:bookmarkEnd w:id="134"/>
      <w:bookmarkStart w:id="135" w:name="_Toc184310290"/>
      <w:bookmarkEnd w:id="135"/>
      <w:bookmarkStart w:id="136" w:name="_Toc184310327"/>
      <w:bookmarkEnd w:id="136"/>
      <w:bookmarkStart w:id="137" w:name="_Toc184314463"/>
      <w:bookmarkEnd w:id="137"/>
      <w:bookmarkStart w:id="138" w:name="_Toc184312113"/>
      <w:bookmarkEnd w:id="138"/>
      <w:bookmarkStart w:id="139" w:name="_Toc184310304"/>
      <w:bookmarkEnd w:id="139"/>
      <w:bookmarkStart w:id="140" w:name="_Toc184310343"/>
      <w:bookmarkEnd w:id="140"/>
      <w:bookmarkStart w:id="141" w:name="_Toc184312118"/>
      <w:bookmarkEnd w:id="141"/>
      <w:bookmarkStart w:id="142" w:name="_Toc184308066"/>
      <w:bookmarkEnd w:id="142"/>
      <w:bookmarkStart w:id="143" w:name="_Toc184308095"/>
      <w:bookmarkEnd w:id="143"/>
      <w:bookmarkStart w:id="144" w:name="_Toc184312071"/>
      <w:bookmarkEnd w:id="144"/>
      <w:bookmarkStart w:id="145" w:name="_Toc184310274"/>
      <w:bookmarkEnd w:id="145"/>
      <w:bookmarkStart w:id="146" w:name="_Toc184312092"/>
      <w:bookmarkEnd w:id="146"/>
      <w:bookmarkStart w:id="147" w:name="_Toc184314465"/>
      <w:bookmarkEnd w:id="147"/>
      <w:bookmarkStart w:id="148" w:name="_Toc184308053"/>
      <w:bookmarkEnd w:id="148"/>
      <w:bookmarkStart w:id="149" w:name="_Toc184312139"/>
      <w:bookmarkEnd w:id="149"/>
      <w:bookmarkStart w:id="150" w:name="_Toc184313304"/>
      <w:bookmarkEnd w:id="150"/>
      <w:bookmarkStart w:id="151" w:name="_Toc184312069"/>
      <w:bookmarkEnd w:id="151"/>
      <w:bookmarkStart w:id="152" w:name="_Toc184308092"/>
      <w:bookmarkEnd w:id="152"/>
      <w:bookmarkStart w:id="153" w:name="_Toc184310325"/>
      <w:bookmarkEnd w:id="153"/>
      <w:bookmarkStart w:id="154" w:name="_Toc184312072"/>
      <w:bookmarkEnd w:id="154"/>
      <w:bookmarkStart w:id="155" w:name="_Toc184310313"/>
      <w:bookmarkEnd w:id="155"/>
      <w:bookmarkStart w:id="156" w:name="_Toc184312095"/>
      <w:bookmarkEnd w:id="156"/>
      <w:bookmarkStart w:id="157" w:name="_Toc184310298"/>
      <w:bookmarkEnd w:id="157"/>
      <w:bookmarkStart w:id="158" w:name="_Toc184314476"/>
      <w:bookmarkEnd w:id="158"/>
      <w:bookmarkStart w:id="159" w:name="_Toc184312131"/>
      <w:bookmarkEnd w:id="159"/>
      <w:bookmarkStart w:id="160" w:name="_Toc184312084"/>
      <w:bookmarkEnd w:id="160"/>
      <w:bookmarkStart w:id="161" w:name="_Toc184310322"/>
      <w:bookmarkEnd w:id="161"/>
      <w:bookmarkStart w:id="162" w:name="_Toc184314461"/>
      <w:bookmarkEnd w:id="162"/>
      <w:bookmarkStart w:id="163" w:name="_Toc184314435"/>
      <w:bookmarkEnd w:id="163"/>
      <w:bookmarkStart w:id="164" w:name="_Toc184312138"/>
      <w:bookmarkEnd w:id="164"/>
      <w:bookmarkStart w:id="165" w:name="_Toc184310311"/>
      <w:bookmarkEnd w:id="165"/>
      <w:bookmarkStart w:id="166" w:name="_Toc184313239"/>
      <w:bookmarkEnd w:id="166"/>
      <w:bookmarkStart w:id="167" w:name="_Toc184314450"/>
      <w:bookmarkEnd w:id="167"/>
      <w:bookmarkStart w:id="168" w:name="_Toc184313299"/>
      <w:bookmarkEnd w:id="168"/>
      <w:bookmarkStart w:id="169" w:name="_Toc184313255"/>
      <w:bookmarkEnd w:id="169"/>
      <w:bookmarkStart w:id="170" w:name="_Toc184314441"/>
      <w:bookmarkEnd w:id="170"/>
      <w:bookmarkStart w:id="171" w:name="_Toc184308063"/>
      <w:bookmarkEnd w:id="171"/>
      <w:bookmarkStart w:id="172" w:name="_Toc184312078"/>
      <w:bookmarkEnd w:id="172"/>
      <w:bookmarkStart w:id="173" w:name="_Toc184308060"/>
      <w:bookmarkEnd w:id="173"/>
      <w:bookmarkStart w:id="174" w:name="_Toc184308054"/>
      <w:bookmarkEnd w:id="174"/>
      <w:bookmarkStart w:id="175" w:name="_Toc184314421"/>
      <w:bookmarkEnd w:id="175"/>
      <w:bookmarkStart w:id="176" w:name="_Toc184312110"/>
      <w:bookmarkEnd w:id="176"/>
      <w:bookmarkStart w:id="177" w:name="_Toc184313246"/>
      <w:bookmarkEnd w:id="177"/>
      <w:bookmarkStart w:id="178" w:name="_Toc184312116"/>
      <w:bookmarkEnd w:id="178"/>
      <w:bookmarkStart w:id="179" w:name="_Toc184308083"/>
      <w:bookmarkEnd w:id="179"/>
      <w:bookmarkStart w:id="180" w:name="_Toc184313263"/>
      <w:bookmarkEnd w:id="180"/>
      <w:bookmarkStart w:id="181" w:name="_Toc184313243"/>
      <w:bookmarkEnd w:id="181"/>
      <w:bookmarkStart w:id="182" w:name="_Toc184313276"/>
      <w:bookmarkEnd w:id="182"/>
      <w:bookmarkStart w:id="183" w:name="_Toc184314473"/>
      <w:bookmarkEnd w:id="183"/>
      <w:bookmarkStart w:id="184" w:name="_Toc184313254"/>
      <w:bookmarkEnd w:id="184"/>
      <w:bookmarkStart w:id="185" w:name="_Toc184314414"/>
      <w:bookmarkEnd w:id="185"/>
      <w:bookmarkStart w:id="186" w:name="_Toc184310342"/>
      <w:bookmarkEnd w:id="186"/>
      <w:bookmarkStart w:id="187" w:name="_Toc184310294"/>
      <w:bookmarkEnd w:id="187"/>
      <w:bookmarkStart w:id="188" w:name="_Toc184310276"/>
      <w:bookmarkEnd w:id="188"/>
      <w:bookmarkStart w:id="189" w:name="_Toc184310277"/>
      <w:bookmarkEnd w:id="189"/>
      <w:bookmarkStart w:id="190" w:name="_Toc184312087"/>
      <w:bookmarkEnd w:id="190"/>
      <w:bookmarkStart w:id="191" w:name="_Toc184308079"/>
      <w:bookmarkEnd w:id="191"/>
      <w:bookmarkStart w:id="192" w:name="_Toc184310291"/>
      <w:bookmarkEnd w:id="192"/>
      <w:bookmarkStart w:id="193" w:name="_Toc184313296"/>
      <w:bookmarkEnd w:id="193"/>
      <w:bookmarkStart w:id="194" w:name="_Toc184310303"/>
      <w:bookmarkEnd w:id="194"/>
      <w:bookmarkStart w:id="195" w:name="_Toc184308071"/>
      <w:bookmarkEnd w:id="195"/>
      <w:bookmarkStart w:id="196" w:name="_Toc184308090"/>
      <w:bookmarkEnd w:id="196"/>
      <w:bookmarkStart w:id="197" w:name="_Toc184314432"/>
      <w:bookmarkEnd w:id="197"/>
      <w:bookmarkStart w:id="198" w:name="_Toc184310335"/>
      <w:bookmarkEnd w:id="198"/>
      <w:bookmarkStart w:id="199" w:name="_Toc184308097"/>
      <w:bookmarkEnd w:id="199"/>
      <w:bookmarkStart w:id="200" w:name="_Toc184312077"/>
      <w:bookmarkEnd w:id="200"/>
      <w:bookmarkStart w:id="201" w:name="_Toc184308045"/>
      <w:bookmarkEnd w:id="201"/>
      <w:bookmarkStart w:id="202" w:name="_Toc184312067"/>
      <w:bookmarkEnd w:id="202"/>
      <w:bookmarkStart w:id="203" w:name="_Toc184312135"/>
      <w:bookmarkEnd w:id="203"/>
      <w:bookmarkStart w:id="204" w:name="_Toc184313281"/>
      <w:bookmarkEnd w:id="204"/>
      <w:bookmarkStart w:id="205" w:name="_Toc184313288"/>
      <w:bookmarkEnd w:id="205"/>
      <w:bookmarkStart w:id="206" w:name="_Toc184314446"/>
      <w:bookmarkEnd w:id="206"/>
      <w:bookmarkStart w:id="207" w:name="_Toc184314466"/>
      <w:bookmarkEnd w:id="207"/>
      <w:bookmarkStart w:id="208" w:name="_Toc184313303"/>
      <w:bookmarkEnd w:id="208"/>
      <w:bookmarkStart w:id="209" w:name="_Toc184314429"/>
      <w:bookmarkEnd w:id="209"/>
      <w:bookmarkStart w:id="210" w:name="_Toc184313247"/>
      <w:bookmarkEnd w:id="210"/>
      <w:bookmarkStart w:id="211" w:name="_Toc184313277"/>
      <w:bookmarkEnd w:id="211"/>
      <w:bookmarkStart w:id="212" w:name="_Toc184308072"/>
      <w:bookmarkEnd w:id="212"/>
      <w:bookmarkStart w:id="213" w:name="_Toc184313256"/>
      <w:bookmarkEnd w:id="213"/>
      <w:bookmarkStart w:id="214" w:name="_Toc184310316"/>
      <w:bookmarkEnd w:id="214"/>
      <w:bookmarkStart w:id="215" w:name="_Toc184313269"/>
      <w:bookmarkEnd w:id="215"/>
      <w:bookmarkStart w:id="216" w:name="_Toc184310310"/>
      <w:bookmarkEnd w:id="216"/>
      <w:bookmarkStart w:id="217" w:name="_Toc184312115"/>
      <w:bookmarkEnd w:id="217"/>
      <w:bookmarkStart w:id="218" w:name="_Toc184308051"/>
      <w:bookmarkEnd w:id="218"/>
      <w:bookmarkStart w:id="219" w:name="_Toc184312104"/>
      <w:bookmarkEnd w:id="219"/>
      <w:bookmarkStart w:id="220" w:name="_Toc184314445"/>
      <w:bookmarkEnd w:id="220"/>
      <w:bookmarkStart w:id="221" w:name="_Toc184310299"/>
      <w:bookmarkEnd w:id="221"/>
      <w:bookmarkStart w:id="222" w:name="_Toc184312080"/>
      <w:bookmarkEnd w:id="222"/>
      <w:bookmarkStart w:id="223" w:name="_Toc184312068"/>
      <w:bookmarkEnd w:id="223"/>
      <w:bookmarkStart w:id="224" w:name="_Toc184312121"/>
      <w:bookmarkEnd w:id="224"/>
      <w:bookmarkStart w:id="225" w:name="_Toc184314480"/>
      <w:bookmarkEnd w:id="225"/>
      <w:bookmarkStart w:id="226" w:name="_Toc184308084"/>
      <w:bookmarkEnd w:id="226"/>
      <w:bookmarkStart w:id="227" w:name="_Toc184313244"/>
      <w:bookmarkEnd w:id="227"/>
      <w:bookmarkStart w:id="228" w:name="_Toc184312083"/>
      <w:bookmarkEnd w:id="228"/>
      <w:bookmarkStart w:id="229" w:name="_Toc184312086"/>
      <w:bookmarkEnd w:id="229"/>
      <w:bookmarkStart w:id="230" w:name="_Toc184310286"/>
      <w:bookmarkEnd w:id="230"/>
      <w:bookmarkStart w:id="231" w:name="_Toc184308104"/>
      <w:bookmarkEnd w:id="231"/>
      <w:bookmarkStart w:id="232" w:name="_Toc184314422"/>
      <w:bookmarkEnd w:id="232"/>
      <w:bookmarkStart w:id="233" w:name="_Toc184308055"/>
      <w:bookmarkEnd w:id="233"/>
      <w:bookmarkStart w:id="234" w:name="_Toc184308068"/>
      <w:bookmarkEnd w:id="234"/>
      <w:bookmarkStart w:id="235" w:name="_Toc184308039"/>
      <w:bookmarkEnd w:id="235"/>
      <w:bookmarkStart w:id="236" w:name="_Toc184313310"/>
      <w:bookmarkEnd w:id="236"/>
      <w:bookmarkStart w:id="237" w:name="_Toc184313271"/>
      <w:bookmarkEnd w:id="237"/>
      <w:bookmarkStart w:id="238" w:name="_Toc184314456"/>
      <w:bookmarkEnd w:id="238"/>
      <w:bookmarkStart w:id="239" w:name="_Toc184310344"/>
      <w:bookmarkEnd w:id="239"/>
      <w:bookmarkStart w:id="240" w:name="_Toc184314475"/>
      <w:bookmarkEnd w:id="240"/>
      <w:bookmarkStart w:id="241" w:name="_Toc184313242"/>
      <w:bookmarkEnd w:id="241"/>
      <w:bookmarkStart w:id="242" w:name="_Toc184313262"/>
      <w:bookmarkEnd w:id="242"/>
      <w:bookmarkStart w:id="243" w:name="_Toc184314479"/>
      <w:bookmarkEnd w:id="243"/>
      <w:bookmarkStart w:id="244" w:name="_Toc184310314"/>
      <w:bookmarkEnd w:id="244"/>
      <w:bookmarkStart w:id="245" w:name="_Toc184310283"/>
      <w:bookmarkEnd w:id="245"/>
      <w:bookmarkStart w:id="246" w:name="_Toc184312108"/>
      <w:bookmarkEnd w:id="246"/>
      <w:bookmarkStart w:id="247" w:name="_Toc184314426"/>
      <w:bookmarkEnd w:id="247"/>
      <w:bookmarkStart w:id="248" w:name="_Toc184310330"/>
      <w:bookmarkEnd w:id="248"/>
      <w:bookmarkStart w:id="249" w:name="_Toc184313286"/>
      <w:bookmarkEnd w:id="249"/>
      <w:bookmarkStart w:id="250" w:name="_Toc184314430"/>
      <w:bookmarkEnd w:id="250"/>
      <w:bookmarkStart w:id="251" w:name="_Toc184313307"/>
      <w:bookmarkEnd w:id="251"/>
      <w:bookmarkStart w:id="252" w:name="_Toc184312079"/>
      <w:bookmarkEnd w:id="252"/>
      <w:bookmarkStart w:id="253" w:name="_Toc184313306"/>
      <w:bookmarkEnd w:id="253"/>
      <w:bookmarkStart w:id="254" w:name="_Toc184313278"/>
      <w:bookmarkEnd w:id="254"/>
      <w:bookmarkStart w:id="255" w:name="_Toc184308046"/>
      <w:bookmarkEnd w:id="255"/>
      <w:bookmarkStart w:id="256" w:name="_Toc184314417"/>
      <w:bookmarkEnd w:id="256"/>
      <w:bookmarkStart w:id="257" w:name="_Toc184312089"/>
      <w:bookmarkEnd w:id="257"/>
      <w:bookmarkStart w:id="258" w:name="_Toc184314478"/>
      <w:bookmarkEnd w:id="258"/>
      <w:bookmarkStart w:id="259" w:name="_Toc184310296"/>
      <w:bookmarkEnd w:id="259"/>
      <w:bookmarkStart w:id="260" w:name="_Toc184310309"/>
      <w:bookmarkEnd w:id="260"/>
      <w:bookmarkStart w:id="261" w:name="_Toc184310332"/>
      <w:bookmarkEnd w:id="261"/>
      <w:bookmarkStart w:id="262" w:name="_Toc184313264"/>
      <w:bookmarkEnd w:id="262"/>
      <w:bookmarkStart w:id="263" w:name="_Toc184313287"/>
      <w:bookmarkEnd w:id="263"/>
      <w:bookmarkStart w:id="264" w:name="_Toc184308070"/>
      <w:bookmarkEnd w:id="264"/>
      <w:bookmarkStart w:id="265" w:name="_Toc184308085"/>
      <w:bookmarkEnd w:id="265"/>
      <w:bookmarkStart w:id="266" w:name="_Toc184313241"/>
      <w:bookmarkEnd w:id="266"/>
      <w:bookmarkStart w:id="267" w:name="_Toc184312090"/>
      <w:bookmarkEnd w:id="267"/>
      <w:bookmarkStart w:id="268" w:name="_Toc184312123"/>
      <w:bookmarkEnd w:id="268"/>
      <w:bookmarkStart w:id="269" w:name="_Toc184314447"/>
      <w:bookmarkEnd w:id="269"/>
      <w:bookmarkStart w:id="270" w:name="_Toc184313273"/>
      <w:bookmarkEnd w:id="270"/>
      <w:bookmarkStart w:id="271" w:name="_Toc184310312"/>
      <w:bookmarkEnd w:id="271"/>
      <w:bookmarkStart w:id="272" w:name="_Toc184310323"/>
      <w:bookmarkEnd w:id="272"/>
      <w:bookmarkStart w:id="273" w:name="_Toc184308049"/>
      <w:bookmarkEnd w:id="273"/>
      <w:bookmarkStart w:id="274" w:name="_Toc184312109"/>
      <w:bookmarkEnd w:id="274"/>
      <w:bookmarkStart w:id="275" w:name="_Toc184314410"/>
      <w:bookmarkEnd w:id="275"/>
      <w:bookmarkStart w:id="276" w:name="_Toc184314471"/>
      <w:bookmarkEnd w:id="276"/>
      <w:bookmarkStart w:id="277" w:name="_Toc184314460"/>
      <w:bookmarkEnd w:id="277"/>
      <w:bookmarkStart w:id="278" w:name="_Toc184308047"/>
      <w:bookmarkEnd w:id="278"/>
      <w:bookmarkStart w:id="279" w:name="_Toc184314481"/>
      <w:bookmarkEnd w:id="279"/>
      <w:bookmarkStart w:id="280" w:name="_Toc184310293"/>
      <w:bookmarkEnd w:id="280"/>
      <w:bookmarkStart w:id="281" w:name="_Toc184312132"/>
      <w:bookmarkEnd w:id="281"/>
      <w:bookmarkStart w:id="282" w:name="_Toc184314472"/>
      <w:bookmarkEnd w:id="282"/>
      <w:bookmarkStart w:id="283" w:name="_Toc184314457"/>
      <w:bookmarkEnd w:id="283"/>
      <w:bookmarkStart w:id="284" w:name="_Toc184310292"/>
      <w:bookmarkEnd w:id="284"/>
      <w:bookmarkStart w:id="285" w:name="_Toc184314419"/>
      <w:bookmarkEnd w:id="285"/>
      <w:bookmarkStart w:id="286" w:name="_Toc184314470"/>
      <w:bookmarkEnd w:id="286"/>
      <w:bookmarkStart w:id="287" w:name="_Toc184313280"/>
      <w:bookmarkEnd w:id="287"/>
      <w:bookmarkStart w:id="288" w:name="_Toc184313282"/>
      <w:bookmarkEnd w:id="288"/>
      <w:bookmarkStart w:id="289" w:name="_Toc184313297"/>
      <w:bookmarkEnd w:id="289"/>
      <w:bookmarkStart w:id="290" w:name="_Toc184312127"/>
      <w:bookmarkEnd w:id="290"/>
      <w:bookmarkStart w:id="291" w:name="_Toc184308081"/>
      <w:bookmarkEnd w:id="291"/>
      <w:bookmarkStart w:id="292" w:name="_Toc184310300"/>
      <w:bookmarkEnd w:id="292"/>
      <w:bookmarkStart w:id="293" w:name="_Toc184314448"/>
      <w:bookmarkEnd w:id="293"/>
      <w:bookmarkStart w:id="294" w:name="_Toc184313292"/>
      <w:bookmarkEnd w:id="294"/>
      <w:bookmarkStart w:id="295" w:name="_Toc184310337"/>
      <w:bookmarkEnd w:id="295"/>
      <w:bookmarkStart w:id="296" w:name="_Toc184310301"/>
      <w:bookmarkEnd w:id="296"/>
      <w:bookmarkStart w:id="297" w:name="_Toc184308058"/>
      <w:bookmarkEnd w:id="297"/>
      <w:bookmarkStart w:id="298" w:name="_Toc184313268"/>
      <w:bookmarkEnd w:id="298"/>
      <w:bookmarkStart w:id="299" w:name="_Toc184310319"/>
      <w:bookmarkEnd w:id="299"/>
      <w:bookmarkStart w:id="300" w:name="_Toc184308078"/>
      <w:bookmarkEnd w:id="300"/>
      <w:bookmarkStart w:id="301" w:name="_Toc184314458"/>
      <w:bookmarkEnd w:id="301"/>
      <w:bookmarkStart w:id="302" w:name="_Toc184314431"/>
      <w:bookmarkEnd w:id="302"/>
      <w:bookmarkStart w:id="303" w:name="_Toc184310285"/>
      <w:bookmarkEnd w:id="303"/>
      <w:bookmarkStart w:id="304" w:name="_Toc184310302"/>
      <w:bookmarkEnd w:id="304"/>
      <w:bookmarkStart w:id="305" w:name="_Toc184313251"/>
      <w:bookmarkEnd w:id="305"/>
      <w:bookmarkStart w:id="306" w:name="_Toc184308062"/>
      <w:bookmarkEnd w:id="306"/>
      <w:bookmarkStart w:id="307" w:name="_Toc184308080"/>
      <w:bookmarkEnd w:id="307"/>
      <w:bookmarkStart w:id="308" w:name="_Toc184310287"/>
      <w:bookmarkEnd w:id="308"/>
      <w:bookmarkStart w:id="309" w:name="_Toc184313284"/>
      <w:bookmarkEnd w:id="309"/>
      <w:bookmarkStart w:id="310" w:name="_Toc184313270"/>
      <w:bookmarkEnd w:id="310"/>
      <w:bookmarkStart w:id="311" w:name="_Toc184310320"/>
      <w:bookmarkEnd w:id="311"/>
      <w:bookmarkStart w:id="312" w:name="_Toc184314423"/>
      <w:bookmarkEnd w:id="312"/>
      <w:bookmarkStart w:id="313" w:name="_Toc184313308"/>
      <w:bookmarkEnd w:id="313"/>
      <w:bookmarkStart w:id="314" w:name="_Toc184310338"/>
      <w:bookmarkEnd w:id="314"/>
      <w:bookmarkStart w:id="315" w:name="_Toc184310308"/>
      <w:bookmarkEnd w:id="315"/>
      <w:bookmarkStart w:id="316" w:name="_Toc184310341"/>
      <w:bookmarkEnd w:id="316"/>
      <w:bookmarkStart w:id="317" w:name="_Toc184310278"/>
      <w:bookmarkEnd w:id="317"/>
      <w:bookmarkStart w:id="318" w:name="_Toc184308065"/>
      <w:bookmarkEnd w:id="318"/>
      <w:bookmarkStart w:id="319" w:name="_Toc184312112"/>
      <w:bookmarkEnd w:id="319"/>
      <w:bookmarkStart w:id="320" w:name="_Toc184310317"/>
      <w:bookmarkEnd w:id="320"/>
      <w:bookmarkStart w:id="321" w:name="_Toc184308073"/>
      <w:bookmarkEnd w:id="321"/>
      <w:bookmarkStart w:id="322" w:name="_Toc184312101"/>
      <w:bookmarkEnd w:id="322"/>
      <w:bookmarkStart w:id="323" w:name="_Toc184312120"/>
      <w:bookmarkEnd w:id="323"/>
      <w:bookmarkStart w:id="324" w:name="_Toc184314452"/>
      <w:bookmarkEnd w:id="324"/>
      <w:bookmarkStart w:id="325" w:name="_Toc184310275"/>
      <w:bookmarkEnd w:id="325"/>
      <w:bookmarkStart w:id="326" w:name="_Toc184313293"/>
      <w:bookmarkEnd w:id="326"/>
      <w:bookmarkStart w:id="327" w:name="_Toc184308100"/>
      <w:bookmarkEnd w:id="327"/>
      <w:bookmarkStart w:id="328" w:name="_Toc184308040"/>
      <w:bookmarkEnd w:id="328"/>
      <w:bookmarkStart w:id="329" w:name="_Toc184310324"/>
      <w:bookmarkEnd w:id="329"/>
      <w:bookmarkStart w:id="330" w:name="_Toc184308056"/>
      <w:bookmarkEnd w:id="330"/>
      <w:bookmarkStart w:id="331" w:name="_Toc184308041"/>
      <w:bookmarkEnd w:id="331"/>
      <w:bookmarkStart w:id="332" w:name="_Toc184313272"/>
      <w:bookmarkEnd w:id="332"/>
      <w:bookmarkStart w:id="333" w:name="_Toc184313260"/>
      <w:bookmarkEnd w:id="333"/>
      <w:bookmarkStart w:id="334" w:name="_Toc184308089"/>
      <w:bookmarkEnd w:id="334"/>
      <w:bookmarkStart w:id="335" w:name="_Toc184313258"/>
      <w:bookmarkEnd w:id="335"/>
      <w:bookmarkStart w:id="336" w:name="_Toc184313267"/>
      <w:bookmarkEnd w:id="336"/>
      <w:bookmarkStart w:id="337" w:name="_Toc184313289"/>
      <w:bookmarkEnd w:id="337"/>
      <w:bookmarkStart w:id="338" w:name="_Toc184313274"/>
      <w:bookmarkEnd w:id="338"/>
      <w:bookmarkStart w:id="339" w:name="_Toc184308043"/>
      <w:bookmarkEnd w:id="339"/>
      <w:bookmarkStart w:id="340" w:name="_Toc184314440"/>
      <w:bookmarkEnd w:id="340"/>
      <w:bookmarkStart w:id="341" w:name="_Toc184308088"/>
      <w:bookmarkEnd w:id="341"/>
      <w:bookmarkStart w:id="342" w:name="_Toc184313290"/>
      <w:bookmarkEnd w:id="342"/>
      <w:bookmarkStart w:id="343" w:name="_Toc184312106"/>
      <w:bookmarkEnd w:id="343"/>
      <w:bookmarkStart w:id="344" w:name="_Toc184313249"/>
      <w:bookmarkEnd w:id="344"/>
      <w:bookmarkStart w:id="345" w:name="_Toc184314454"/>
      <w:bookmarkEnd w:id="345"/>
      <w:bookmarkStart w:id="346" w:name="_Toc184314420"/>
      <w:bookmarkEnd w:id="346"/>
      <w:bookmarkStart w:id="347" w:name="_Toc184310295"/>
      <w:bookmarkEnd w:id="347"/>
      <w:bookmarkStart w:id="348" w:name="_Toc184310279"/>
      <w:bookmarkEnd w:id="348"/>
      <w:bookmarkStart w:id="349" w:name="_Toc184314416"/>
      <w:bookmarkEnd w:id="349"/>
      <w:bookmarkStart w:id="350" w:name="_Toc184308064"/>
      <w:bookmarkEnd w:id="350"/>
      <w:bookmarkStart w:id="351" w:name="_Toc184310326"/>
      <w:bookmarkEnd w:id="351"/>
      <w:bookmarkStart w:id="352" w:name="_Toc184314413"/>
      <w:bookmarkEnd w:id="352"/>
      <w:bookmarkStart w:id="353" w:name="_Toc184314439"/>
      <w:bookmarkEnd w:id="353"/>
      <w:bookmarkStart w:id="354" w:name="_Toc184308059"/>
      <w:bookmarkEnd w:id="354"/>
      <w:bookmarkStart w:id="355" w:name="_Toc184308108"/>
      <w:bookmarkEnd w:id="355"/>
      <w:bookmarkStart w:id="356" w:name="_Toc184313257"/>
      <w:bookmarkEnd w:id="356"/>
      <w:bookmarkStart w:id="357" w:name="_Toc184310318"/>
      <w:bookmarkEnd w:id="357"/>
      <w:bookmarkStart w:id="358" w:name="_Toc184310280"/>
      <w:bookmarkEnd w:id="358"/>
      <w:bookmarkStart w:id="359" w:name="_Toc184310273"/>
      <w:bookmarkEnd w:id="359"/>
      <w:bookmarkStart w:id="360" w:name="_Toc184310284"/>
      <w:bookmarkEnd w:id="360"/>
      <w:bookmarkStart w:id="361" w:name="_Toc184314425"/>
      <w:bookmarkEnd w:id="361"/>
      <w:bookmarkStart w:id="362" w:name="_Toc184314418"/>
      <w:bookmarkEnd w:id="362"/>
      <w:bookmarkStart w:id="363" w:name="_Toc184308044"/>
      <w:bookmarkEnd w:id="363"/>
      <w:bookmarkStart w:id="364" w:name="_Toc184310305"/>
      <w:bookmarkEnd w:id="364"/>
      <w:bookmarkStart w:id="365" w:name="_Toc184312129"/>
      <w:bookmarkEnd w:id="365"/>
      <w:bookmarkStart w:id="366" w:name="_Toc184308101"/>
      <w:bookmarkEnd w:id="366"/>
      <w:bookmarkStart w:id="367" w:name="_Toc184314453"/>
      <w:bookmarkEnd w:id="367"/>
      <w:bookmarkStart w:id="368" w:name="_Toc184313301"/>
      <w:bookmarkEnd w:id="368"/>
      <w:bookmarkStart w:id="369" w:name="_Toc184308098"/>
      <w:bookmarkEnd w:id="369"/>
      <w:bookmarkStart w:id="370" w:name="_Toc184308102"/>
      <w:bookmarkEnd w:id="370"/>
      <w:bookmarkStart w:id="371" w:name="_Toc184312102"/>
      <w:bookmarkEnd w:id="371"/>
      <w:bookmarkStart w:id="372" w:name="_Toc184308037"/>
      <w:bookmarkEnd w:id="372"/>
      <w:bookmarkStart w:id="373" w:name="_Toc184310315"/>
      <w:bookmarkEnd w:id="373"/>
      <w:bookmarkStart w:id="374" w:name="_Toc184313283"/>
      <w:bookmarkEnd w:id="374"/>
      <w:bookmarkStart w:id="375" w:name="_Toc184313245"/>
      <w:bookmarkEnd w:id="375"/>
      <w:bookmarkStart w:id="376" w:name="_Toc184313298"/>
      <w:bookmarkEnd w:id="376"/>
      <w:bookmarkStart w:id="377" w:name="_Toc184310340"/>
      <w:bookmarkEnd w:id="377"/>
      <w:bookmarkStart w:id="378" w:name="_Toc184312136"/>
      <w:bookmarkEnd w:id="378"/>
      <w:bookmarkStart w:id="379" w:name="_Toc184314424"/>
      <w:bookmarkEnd w:id="379"/>
      <w:bookmarkStart w:id="380" w:name="_Toc184314436"/>
      <w:bookmarkEnd w:id="380"/>
      <w:bookmarkStart w:id="381" w:name="_Toc184312094"/>
      <w:bookmarkEnd w:id="381"/>
      <w:bookmarkStart w:id="382" w:name="_Toc184308036"/>
      <w:bookmarkEnd w:id="382"/>
      <w:bookmarkStart w:id="383" w:name="_Toc184308094"/>
      <w:bookmarkEnd w:id="383"/>
      <w:bookmarkStart w:id="384" w:name="_Toc184312126"/>
      <w:bookmarkEnd w:id="384"/>
      <w:bookmarkStart w:id="385" w:name="_Toc184314464"/>
      <w:bookmarkEnd w:id="385"/>
      <w:bookmarkStart w:id="386" w:name="_Toc184313253"/>
      <w:bookmarkEnd w:id="386"/>
      <w:bookmarkStart w:id="387" w:name="_Toc184308106"/>
      <w:bookmarkEnd w:id="387"/>
      <w:bookmarkStart w:id="388" w:name="_Toc184313291"/>
      <w:bookmarkEnd w:id="388"/>
      <w:bookmarkStart w:id="389" w:name="_Toc184308107"/>
      <w:bookmarkEnd w:id="389"/>
      <w:bookmarkStart w:id="390" w:name="_Toc184312103"/>
      <w:bookmarkEnd w:id="390"/>
      <w:bookmarkStart w:id="391" w:name="_Toc184312122"/>
      <w:bookmarkEnd w:id="391"/>
      <w:bookmarkStart w:id="392" w:name="_Toc184312125"/>
      <w:bookmarkEnd w:id="392"/>
      <w:bookmarkStart w:id="393" w:name="_Toc184310307"/>
      <w:bookmarkEnd w:id="393"/>
      <w:r>
        <w:rPr>
          <w:rFonts w:hint="eastAsia" w:ascii="宋体" w:hAnsi="宋体" w:cs="宋体"/>
          <w:b/>
          <w:sz w:val="36"/>
          <w:szCs w:val="36"/>
        </w:rPr>
        <w:t>评标办法</w:t>
      </w:r>
    </w:p>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评标办法前附表</w:t>
      </w:r>
    </w:p>
    <w:tbl>
      <w:tblPr>
        <w:tblStyle w:val="63"/>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4007"/>
        <w:gridCol w:w="686"/>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1276"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4007"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评标标准</w:t>
            </w:r>
          </w:p>
        </w:tc>
        <w:tc>
          <w:tcPr>
            <w:tcW w:w="686"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权重</w:t>
            </w:r>
          </w:p>
        </w:tc>
        <w:tc>
          <w:tcPr>
            <w:tcW w:w="1402"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ascii="仿宋" w:hAnsi="仿宋" w:eastAsia="仿宋" w:cs="仿宋_GB2312"/>
                <w:bCs/>
                <w:sz w:val="24"/>
              </w:rPr>
              <w:t>1</w:t>
            </w:r>
          </w:p>
        </w:tc>
        <w:tc>
          <w:tcPr>
            <w:tcW w:w="1276" w:type="dxa"/>
            <w:vAlign w:val="center"/>
          </w:tcPr>
          <w:p>
            <w:pPr>
              <w:jc w:val="center"/>
            </w:pPr>
            <w:r>
              <w:rPr>
                <w:rFonts w:hint="eastAsia"/>
              </w:rPr>
              <w:t>讲解</w:t>
            </w:r>
          </w:p>
        </w:tc>
        <w:tc>
          <w:tcPr>
            <w:tcW w:w="4007" w:type="dxa"/>
            <w:vAlign w:val="center"/>
          </w:tcPr>
          <w:p>
            <w:pPr>
              <w:jc w:val="left"/>
              <w:rPr>
                <w:highlight w:val="none"/>
              </w:rPr>
            </w:pPr>
            <w:r>
              <w:rPr>
                <w:rFonts w:hint="eastAsia"/>
                <w:highlight w:val="none"/>
              </w:rPr>
              <w:t>项目理解：（通过录屏等方式进行讲解，时间不超过</w:t>
            </w:r>
            <w:r>
              <w:rPr>
                <w:highlight w:val="none"/>
              </w:rPr>
              <w:t>5</w:t>
            </w:r>
            <w:r>
              <w:rPr>
                <w:rFonts w:hint="eastAsia"/>
                <w:highlight w:val="none"/>
              </w:rPr>
              <w:t>分钟）</w:t>
            </w:r>
          </w:p>
          <w:p>
            <w:pPr>
              <w:pStyle w:val="2"/>
              <w:numPr>
                <w:ilvl w:val="0"/>
                <w:numId w:val="8"/>
              </w:numPr>
              <w:spacing w:line="240" w:lineRule="auto"/>
              <w:outlineLvl w:val="1"/>
              <w:rPr>
                <w:rFonts w:ascii="Times New Roman" w:hAnsi="Times New Roman" w:eastAsia="宋体"/>
                <w:b w:val="0"/>
                <w:bCs w:val="0"/>
                <w:sz w:val="21"/>
                <w:szCs w:val="24"/>
                <w:highlight w:val="none"/>
                <w:lang w:val="en-US"/>
              </w:rPr>
            </w:pPr>
            <w:r>
              <w:rPr>
                <w:rFonts w:hint="eastAsia" w:ascii="Times New Roman" w:hAnsi="Times New Roman" w:eastAsia="宋体"/>
                <w:b w:val="0"/>
                <w:bCs w:val="0"/>
                <w:sz w:val="21"/>
                <w:szCs w:val="24"/>
                <w:highlight w:val="none"/>
                <w:lang w:val="en-US"/>
              </w:rPr>
              <w:t>对数字孪生概念的理解和阐释（1分）。</w:t>
            </w:r>
            <w:r>
              <w:rPr>
                <w:rFonts w:hint="eastAsia" w:ascii="仿宋" w:eastAsia="仿宋" w:cs="仿宋"/>
                <w:kern w:val="0"/>
                <w:sz w:val="24"/>
                <w:szCs w:val="24"/>
                <w:highlight w:val="none"/>
                <w:lang w:val="en-US"/>
              </w:rPr>
              <w:t>（讲解内容符合要求且内容完整的得1分，讲解内容符合要求但内容不完整的得0.5分，没有或不符合要求的不得分）；</w:t>
            </w:r>
          </w:p>
          <w:p>
            <w:pPr>
              <w:numPr>
                <w:ilvl w:val="0"/>
                <w:numId w:val="8"/>
              </w:numPr>
              <w:jc w:val="left"/>
              <w:rPr>
                <w:rFonts w:asciiTheme="minorEastAsia" w:hAnsiTheme="minorEastAsia" w:eastAsiaTheme="minorEastAsia" w:cstheme="minorEastAsia"/>
                <w:sz w:val="24"/>
                <w:highlight w:val="none"/>
              </w:rPr>
            </w:pPr>
            <w:r>
              <w:rPr>
                <w:rFonts w:hint="eastAsia"/>
                <w:highlight w:val="none"/>
              </w:rPr>
              <w:t>对本系统的功能和价值的理解（1分）。</w:t>
            </w:r>
            <w:r>
              <w:rPr>
                <w:rFonts w:hint="eastAsia" w:ascii="仿宋" w:hAnsi="仿宋" w:eastAsia="仿宋" w:cs="仿宋"/>
                <w:b/>
                <w:bCs/>
                <w:kern w:val="0"/>
                <w:sz w:val="24"/>
                <w:highlight w:val="none"/>
              </w:rPr>
              <w:t>（讲解内容符合要求且内容完整的得1分，讲解内容符合要求但内容不完整的得0.5分，没有或不符合要求的不得分）。</w:t>
            </w:r>
          </w:p>
        </w:tc>
        <w:tc>
          <w:tcPr>
            <w:tcW w:w="686" w:type="dxa"/>
            <w:vAlign w:val="center"/>
          </w:tcPr>
          <w:p>
            <w:pPr>
              <w:spacing w:line="360" w:lineRule="auto"/>
              <w:outlineLvl w:val="0"/>
              <w:rPr>
                <w:rFonts w:asciiTheme="minorEastAsia" w:hAnsiTheme="minorEastAsia" w:eastAsiaTheme="minorEastAsia" w:cstheme="minorEastAsia"/>
                <w:sz w:val="24"/>
              </w:rPr>
            </w:pP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ascii="仿宋" w:hAnsi="仿宋" w:eastAsia="仿宋" w:cs="仿宋_GB2312"/>
                <w:bCs/>
                <w:sz w:val="24"/>
              </w:rPr>
              <w:t>2</w:t>
            </w:r>
          </w:p>
        </w:tc>
        <w:tc>
          <w:tcPr>
            <w:tcW w:w="1276" w:type="dxa"/>
            <w:vAlign w:val="center"/>
          </w:tcPr>
          <w:p>
            <w:pPr>
              <w:widowControl/>
              <w:adjustRightInd/>
              <w:spacing w:line="360" w:lineRule="exact"/>
              <w:jc w:val="left"/>
            </w:pPr>
            <w:r>
              <w:rPr>
                <w:rFonts w:hint="eastAsia"/>
              </w:rPr>
              <w:t>现场演示</w:t>
            </w:r>
          </w:p>
        </w:tc>
        <w:tc>
          <w:tcPr>
            <w:tcW w:w="4007" w:type="dxa"/>
            <w:vAlign w:val="center"/>
          </w:tcPr>
          <w:p>
            <w:pPr>
              <w:widowControl/>
              <w:adjustRightInd/>
              <w:spacing w:line="276" w:lineRule="auto"/>
              <w:jc w:val="left"/>
              <w:rPr>
                <w:highlight w:val="none"/>
              </w:rPr>
            </w:pPr>
            <w:r>
              <w:rPr>
                <w:rFonts w:hint="eastAsia"/>
                <w:highlight w:val="none"/>
              </w:rPr>
              <w:t>演示：（演示应在实际软件中进行，且必须基于国内大型交通枢纽场景），演示时间不超过30分钟。根据以下演示要求，评委结合现场功能实现情况和演示效果进行评定：</w:t>
            </w:r>
          </w:p>
          <w:p>
            <w:pPr>
              <w:widowControl/>
              <w:adjustRightInd/>
              <w:spacing w:line="276" w:lineRule="auto"/>
              <w:jc w:val="left"/>
              <w:rPr>
                <w:highlight w:val="none"/>
              </w:rPr>
            </w:pPr>
            <w:r>
              <w:rPr>
                <w:rFonts w:hint="eastAsia"/>
                <w:highlight w:val="none"/>
              </w:rPr>
              <w:t>数字孪生功能演示（</w:t>
            </w:r>
            <w:r>
              <w:rPr>
                <w:highlight w:val="none"/>
              </w:rPr>
              <w:t>30</w:t>
            </w:r>
            <w:r>
              <w:rPr>
                <w:rFonts w:hint="eastAsia"/>
                <w:highlight w:val="none"/>
              </w:rPr>
              <w:t>分钟）：</w:t>
            </w:r>
          </w:p>
          <w:p>
            <w:pPr>
              <w:widowControl/>
              <w:adjustRightInd/>
              <w:spacing w:line="276" w:lineRule="auto"/>
              <w:jc w:val="left"/>
              <w:rPr>
                <w:highlight w:val="none"/>
              </w:rPr>
            </w:pPr>
            <w:r>
              <w:rPr>
                <w:rFonts w:hint="eastAsia"/>
                <w:highlight w:val="none"/>
              </w:rPr>
              <w:t>（1）三维模型展示：（</w:t>
            </w:r>
            <w:r>
              <w:rPr>
                <w:highlight w:val="none"/>
              </w:rPr>
              <w:t>5</w:t>
            </w:r>
            <w:r>
              <w:rPr>
                <w:rFonts w:hint="eastAsia"/>
                <w:highlight w:val="none"/>
              </w:rPr>
              <w:t>分）</w:t>
            </w:r>
          </w:p>
          <w:p>
            <w:pPr>
              <w:widowControl/>
              <w:adjustRightInd/>
              <w:spacing w:line="276" w:lineRule="auto"/>
              <w:ind w:firstLine="420" w:firstLineChars="200"/>
              <w:jc w:val="left"/>
              <w:rPr>
                <w:highlight w:val="none"/>
              </w:rPr>
            </w:pPr>
            <w:r>
              <w:rPr>
                <w:rFonts w:hint="eastAsia"/>
                <w:highlight w:val="none"/>
              </w:rPr>
              <w:t>演示与杭州西站类似的大型交通枢纽的漫游查看；具备第一、第三人称，空中视角等多种交互模式；展示</w:t>
            </w:r>
            <w:r>
              <w:rPr>
                <w:highlight w:val="none"/>
              </w:rPr>
              <w:t>3</w:t>
            </w:r>
            <w:r>
              <w:rPr>
                <w:rFonts w:hint="eastAsia"/>
                <w:highlight w:val="none"/>
              </w:rPr>
              <w:t>个及以上场景，建模精度需达到L5构建级；具备雨雪天气，昼夜等效果模式。支持导出高分辨率视频，自定义视频分辨率及帧率；</w:t>
            </w:r>
            <w:r>
              <w:rPr>
                <w:rFonts w:hint="eastAsia"/>
                <w:b/>
                <w:bCs/>
                <w:highlight w:val="none"/>
              </w:rPr>
              <w:t>（演示内容符合要求，内容完整的得</w:t>
            </w:r>
            <w:r>
              <w:rPr>
                <w:b/>
                <w:bCs/>
                <w:highlight w:val="none"/>
              </w:rPr>
              <w:t>5</w:t>
            </w:r>
            <w:r>
              <w:rPr>
                <w:rFonts w:hint="eastAsia"/>
                <w:b/>
                <w:bCs/>
                <w:highlight w:val="none"/>
              </w:rPr>
              <w:t>分；每缺少一项功能扣1分，扣完为止。没有不得分。）</w:t>
            </w:r>
            <w:r>
              <w:rPr>
                <w:rFonts w:hint="eastAsia"/>
                <w:highlight w:val="none"/>
              </w:rPr>
              <w:t>；</w:t>
            </w:r>
          </w:p>
          <w:p>
            <w:pPr>
              <w:pStyle w:val="2"/>
              <w:spacing w:line="276" w:lineRule="auto"/>
              <w:outlineLvl w:val="1"/>
              <w:rPr>
                <w:rFonts w:ascii="Times New Roman" w:hAnsi="Times New Roman" w:eastAsia="宋体"/>
                <w:b w:val="0"/>
                <w:bCs w:val="0"/>
                <w:sz w:val="21"/>
                <w:szCs w:val="24"/>
                <w:highlight w:val="none"/>
                <w:lang w:val="en-US"/>
              </w:rPr>
            </w:pPr>
            <w:r>
              <w:rPr>
                <w:rFonts w:hint="eastAsia" w:ascii="Times New Roman" w:hAnsi="Times New Roman" w:eastAsia="宋体"/>
                <w:b w:val="0"/>
                <w:bCs w:val="0"/>
                <w:sz w:val="21"/>
                <w:szCs w:val="24"/>
                <w:highlight w:val="none"/>
                <w:lang w:val="en-US"/>
              </w:rPr>
              <w:t>（2）模型承载能力演示：（3分）</w:t>
            </w:r>
          </w:p>
          <w:p>
            <w:pPr>
              <w:pStyle w:val="2"/>
              <w:spacing w:line="276" w:lineRule="auto"/>
              <w:ind w:left="105" w:leftChars="50" w:firstLine="315" w:firstLineChars="150"/>
              <w:outlineLvl w:val="1"/>
              <w:rPr>
                <w:rFonts w:ascii="Times New Roman" w:hAnsi="Times New Roman" w:eastAsia="宋体"/>
                <w:b w:val="0"/>
                <w:bCs w:val="0"/>
                <w:sz w:val="21"/>
                <w:szCs w:val="24"/>
                <w:highlight w:val="none"/>
                <w:lang w:val="en-US"/>
              </w:rPr>
            </w:pPr>
            <w:r>
              <w:rPr>
                <w:rFonts w:hint="eastAsia" w:ascii="Times New Roman" w:hAnsi="Times New Roman" w:eastAsia="宋体"/>
                <w:b w:val="0"/>
                <w:bCs w:val="0"/>
                <w:sz w:val="21"/>
                <w:szCs w:val="24"/>
                <w:highlight w:val="none"/>
                <w:lang w:val="en-US"/>
              </w:rPr>
              <w:t>演示对铁路综合枢纽片区大体量、多源异构空间数据的承载能力：</w:t>
            </w:r>
          </w:p>
          <w:p>
            <w:pPr>
              <w:pStyle w:val="2"/>
              <w:spacing w:line="276" w:lineRule="auto"/>
              <w:ind w:left="105" w:leftChars="50" w:firstLine="315" w:firstLineChars="150"/>
              <w:outlineLvl w:val="1"/>
              <w:rPr>
                <w:rFonts w:ascii="Times New Roman" w:hAnsi="Times New Roman" w:eastAsia="宋体"/>
                <w:b w:val="0"/>
                <w:bCs w:val="0"/>
                <w:sz w:val="21"/>
                <w:szCs w:val="24"/>
                <w:highlight w:val="none"/>
                <w:lang w:val="en-US"/>
              </w:rPr>
            </w:pPr>
            <w:r>
              <w:rPr>
                <w:rFonts w:hint="eastAsia" w:ascii="Times New Roman" w:hAnsi="Times New Roman" w:eastAsia="宋体"/>
                <w:b w:val="0"/>
                <w:bCs w:val="0"/>
                <w:sz w:val="21"/>
                <w:szCs w:val="24"/>
                <w:highlight w:val="none"/>
                <w:lang w:val="en-US"/>
              </w:rPr>
              <w:t>演示地形影像（不低于36平方公里）、倾斜摄影（不低于20平方公里）、手工精模（建筑、道路、水系、植被，不低于12平方公里）、BIM模型（站体、住宅、商业办公、轨道交通站点，不低于55万方）的集成加载显示，帧率不低于25帧</w:t>
            </w:r>
            <w:r>
              <w:rPr>
                <w:rFonts w:hint="eastAsia" w:ascii="Times New Roman" w:hAnsi="Times New Roman" w:eastAsia="宋体"/>
                <w:sz w:val="21"/>
                <w:szCs w:val="24"/>
                <w:highlight w:val="none"/>
                <w:lang w:val="en-US"/>
              </w:rPr>
              <w:t>（演示内容符合要求，内容完整的得</w:t>
            </w:r>
            <w:r>
              <w:rPr>
                <w:rFonts w:ascii="Times New Roman" w:hAnsi="Times New Roman" w:eastAsia="宋体"/>
                <w:sz w:val="21"/>
                <w:szCs w:val="24"/>
                <w:highlight w:val="none"/>
                <w:lang w:val="en-US"/>
              </w:rPr>
              <w:t>3</w:t>
            </w:r>
            <w:r>
              <w:rPr>
                <w:rFonts w:hint="eastAsia" w:ascii="Times New Roman" w:hAnsi="Times New Roman" w:eastAsia="宋体"/>
                <w:sz w:val="21"/>
                <w:szCs w:val="24"/>
                <w:highlight w:val="none"/>
                <w:lang w:val="en-US"/>
              </w:rPr>
              <w:t>分；每缺少一项功能扣1分，扣完为止。没有不得分。）</w:t>
            </w:r>
          </w:p>
          <w:p>
            <w:pPr>
              <w:widowControl/>
              <w:adjustRightInd/>
              <w:spacing w:line="276" w:lineRule="auto"/>
              <w:jc w:val="left"/>
              <w:rPr>
                <w:highlight w:val="none"/>
              </w:rPr>
            </w:pPr>
            <w:r>
              <w:rPr>
                <w:rFonts w:hint="eastAsia"/>
                <w:highlight w:val="none"/>
              </w:rPr>
              <w:t>（</w:t>
            </w:r>
            <w:r>
              <w:rPr>
                <w:highlight w:val="none"/>
              </w:rPr>
              <w:t>3</w:t>
            </w:r>
            <w:r>
              <w:rPr>
                <w:rFonts w:hint="eastAsia"/>
                <w:highlight w:val="none"/>
              </w:rPr>
              <w:t>）物联网数据接入能力展示：（3分）</w:t>
            </w:r>
          </w:p>
          <w:p>
            <w:pPr>
              <w:widowControl/>
              <w:adjustRightInd/>
              <w:spacing w:line="276" w:lineRule="auto"/>
              <w:ind w:firstLine="420" w:firstLineChars="200"/>
              <w:jc w:val="left"/>
              <w:rPr>
                <w:highlight w:val="none"/>
              </w:rPr>
            </w:pPr>
            <w:r>
              <w:rPr>
                <w:rFonts w:hint="eastAsia"/>
                <w:highlight w:val="none"/>
              </w:rPr>
              <w:t>演示物联网数据接入能力。需要在三维场景中进行以下功能演示：演示</w:t>
            </w:r>
            <w:r>
              <w:rPr>
                <w:highlight w:val="none"/>
              </w:rPr>
              <w:t>10</w:t>
            </w:r>
            <w:r>
              <w:rPr>
                <w:rFonts w:hint="eastAsia"/>
                <w:highlight w:val="none"/>
              </w:rPr>
              <w:t>0个以上物联感知设备、100路以上视频监控设备的图标在三维场景上的集成展示，支持任意点击查看其数据值或监控画面。</w:t>
            </w:r>
            <w:r>
              <w:rPr>
                <w:rFonts w:hint="eastAsia"/>
                <w:b/>
                <w:bCs/>
                <w:highlight w:val="none"/>
              </w:rPr>
              <w:t>（演示内容符合要求，内容完整的得</w:t>
            </w:r>
            <w:r>
              <w:rPr>
                <w:b/>
                <w:bCs/>
                <w:highlight w:val="none"/>
              </w:rPr>
              <w:t>3</w:t>
            </w:r>
            <w:r>
              <w:rPr>
                <w:rFonts w:hint="eastAsia"/>
                <w:b/>
                <w:bCs/>
                <w:highlight w:val="none"/>
              </w:rPr>
              <w:t>分；每缺少一项功能扣1分，扣完为止。没有不得分。）</w:t>
            </w:r>
          </w:p>
          <w:p>
            <w:pPr>
              <w:widowControl/>
              <w:adjustRightInd/>
              <w:spacing w:line="276" w:lineRule="auto"/>
              <w:jc w:val="left"/>
              <w:rPr>
                <w:highlight w:val="none"/>
              </w:rPr>
            </w:pPr>
            <w:r>
              <w:rPr>
                <w:rFonts w:hint="eastAsia"/>
                <w:highlight w:val="none"/>
              </w:rPr>
              <w:t>（4）火灾事故仿真分析展示：（</w:t>
            </w:r>
            <w:r>
              <w:rPr>
                <w:highlight w:val="none"/>
              </w:rPr>
              <w:t>3</w:t>
            </w:r>
            <w:r>
              <w:rPr>
                <w:rFonts w:hint="eastAsia"/>
                <w:highlight w:val="none"/>
              </w:rPr>
              <w:t>分）</w:t>
            </w:r>
          </w:p>
          <w:p>
            <w:pPr>
              <w:widowControl/>
              <w:adjustRightInd/>
              <w:spacing w:line="276" w:lineRule="auto"/>
              <w:ind w:firstLine="420" w:firstLineChars="200"/>
              <w:jc w:val="left"/>
              <w:rPr>
                <w:highlight w:val="none"/>
              </w:rPr>
            </w:pPr>
            <w:r>
              <w:rPr>
                <w:rFonts w:hint="eastAsia"/>
                <w:highlight w:val="none"/>
              </w:rPr>
              <w:t>通过火灾事故场景，设置相关参数后，输出分析结果。应包括但不限于消防资源展示、工作人员配备需求展示、旅客逃生路线展示、救援路线展示、拥堵区分析展示及火灾预案展示等。</w:t>
            </w:r>
            <w:r>
              <w:rPr>
                <w:rFonts w:hint="eastAsia"/>
                <w:b/>
                <w:bCs/>
                <w:highlight w:val="none"/>
              </w:rPr>
              <w:t>（演示内容符合要求，内容完整的得</w:t>
            </w:r>
            <w:r>
              <w:rPr>
                <w:b/>
                <w:bCs/>
                <w:highlight w:val="none"/>
              </w:rPr>
              <w:t>3</w:t>
            </w:r>
            <w:r>
              <w:rPr>
                <w:rFonts w:hint="eastAsia"/>
                <w:b/>
                <w:bCs/>
                <w:highlight w:val="none"/>
              </w:rPr>
              <w:t>分；每缺少一项功能扣</w:t>
            </w:r>
            <w:r>
              <w:rPr>
                <w:b/>
                <w:bCs/>
                <w:highlight w:val="none"/>
              </w:rPr>
              <w:t>0.5</w:t>
            </w:r>
            <w:r>
              <w:rPr>
                <w:rFonts w:hint="eastAsia"/>
                <w:b/>
                <w:bCs/>
                <w:highlight w:val="none"/>
              </w:rPr>
              <w:t>分，扣完为止。没有不得分。）</w:t>
            </w:r>
          </w:p>
          <w:p>
            <w:pPr>
              <w:widowControl/>
              <w:adjustRightInd/>
              <w:spacing w:line="276" w:lineRule="auto"/>
              <w:jc w:val="left"/>
              <w:rPr>
                <w:highlight w:val="none"/>
              </w:rPr>
            </w:pPr>
            <w:r>
              <w:rPr>
                <w:rFonts w:hint="eastAsia"/>
                <w:highlight w:val="none"/>
              </w:rPr>
              <w:t>（5）大客流仿真分析展示：（3分）</w:t>
            </w:r>
          </w:p>
          <w:p>
            <w:pPr>
              <w:widowControl/>
              <w:adjustRightInd/>
              <w:spacing w:line="276" w:lineRule="auto"/>
              <w:ind w:firstLine="420" w:firstLineChars="200"/>
              <w:jc w:val="left"/>
              <w:rPr>
                <w:highlight w:val="none"/>
              </w:rPr>
            </w:pPr>
            <w:r>
              <w:rPr>
                <w:rFonts w:hint="eastAsia"/>
                <w:highlight w:val="none"/>
              </w:rPr>
              <w:t>通过大客流事故场景，设置相关参数后，输出分析结果。应包括但不限于物资设备配备展示、客流分布动态展示、工作人员配备需求展示、交通工具调度展示、滞留旅客疏散路线展示及大客流事件预案展示等。</w:t>
            </w:r>
            <w:r>
              <w:rPr>
                <w:rFonts w:hint="eastAsia"/>
                <w:b/>
                <w:bCs/>
                <w:highlight w:val="none"/>
              </w:rPr>
              <w:t>（演示内容符合要求，内容完整的得</w:t>
            </w:r>
            <w:r>
              <w:rPr>
                <w:b/>
                <w:bCs/>
                <w:highlight w:val="none"/>
              </w:rPr>
              <w:t>3</w:t>
            </w:r>
            <w:r>
              <w:rPr>
                <w:rFonts w:hint="eastAsia"/>
                <w:b/>
                <w:bCs/>
                <w:highlight w:val="none"/>
              </w:rPr>
              <w:t>分；每缺少一项功能扣</w:t>
            </w:r>
            <w:r>
              <w:rPr>
                <w:b/>
                <w:bCs/>
                <w:highlight w:val="none"/>
              </w:rPr>
              <w:t>0.5</w:t>
            </w:r>
            <w:r>
              <w:rPr>
                <w:rFonts w:hint="eastAsia"/>
                <w:b/>
                <w:bCs/>
                <w:highlight w:val="none"/>
              </w:rPr>
              <w:t>分，扣完为止。没有不得分。）</w:t>
            </w:r>
          </w:p>
          <w:p>
            <w:pPr>
              <w:widowControl/>
              <w:adjustRightInd/>
              <w:spacing w:line="276" w:lineRule="auto"/>
              <w:jc w:val="left"/>
              <w:rPr>
                <w:highlight w:val="none"/>
              </w:rPr>
            </w:pPr>
            <w:r>
              <w:rPr>
                <w:rFonts w:hint="eastAsia"/>
                <w:highlight w:val="none"/>
              </w:rPr>
              <w:t>（6）呈现端展示：（3分）</w:t>
            </w:r>
          </w:p>
          <w:p>
            <w:pPr>
              <w:widowControl/>
              <w:adjustRightInd/>
              <w:spacing w:line="276" w:lineRule="auto"/>
              <w:ind w:firstLine="420" w:firstLineChars="200"/>
              <w:jc w:val="left"/>
              <w:rPr>
                <w:highlight w:val="none"/>
              </w:rPr>
            </w:pPr>
            <w:r>
              <w:rPr>
                <w:rFonts w:hint="eastAsia"/>
                <w:highlight w:val="none"/>
              </w:rPr>
              <w:t>包括主场景界面展示，智慧交通界面展示，日常运维界面展示，应急事件界面展示等。展示的每个界面应为真实可点击的，可交互的软件系统。</w:t>
            </w:r>
            <w:r>
              <w:rPr>
                <w:rFonts w:hint="eastAsia"/>
                <w:b/>
                <w:bCs/>
                <w:highlight w:val="none"/>
              </w:rPr>
              <w:t>（演示内容符合要求，内容完整的得</w:t>
            </w:r>
            <w:r>
              <w:rPr>
                <w:b/>
                <w:bCs/>
                <w:highlight w:val="none"/>
              </w:rPr>
              <w:t>3</w:t>
            </w:r>
            <w:r>
              <w:rPr>
                <w:rFonts w:hint="eastAsia"/>
                <w:b/>
                <w:bCs/>
                <w:highlight w:val="none"/>
              </w:rPr>
              <w:t>分，每缺少一项功能扣1分，扣完为止。没有不得分。）</w:t>
            </w:r>
          </w:p>
          <w:p>
            <w:pPr>
              <w:widowControl/>
              <w:adjustRightInd/>
              <w:spacing w:line="276" w:lineRule="auto"/>
              <w:jc w:val="left"/>
              <w:rPr>
                <w:highlight w:val="none"/>
              </w:rPr>
            </w:pPr>
            <w:r>
              <w:rPr>
                <w:rFonts w:hint="eastAsia"/>
                <w:highlight w:val="none"/>
              </w:rPr>
              <w:t>（7）出租车智能调度系统演示（</w:t>
            </w:r>
            <w:r>
              <w:rPr>
                <w:highlight w:val="none"/>
              </w:rPr>
              <w:t>10</w:t>
            </w:r>
            <w:r>
              <w:rPr>
                <w:rFonts w:hint="eastAsia"/>
                <w:highlight w:val="none"/>
              </w:rPr>
              <w:t>分）：</w:t>
            </w:r>
          </w:p>
          <w:p>
            <w:pPr>
              <w:widowControl/>
              <w:adjustRightInd/>
              <w:spacing w:line="276" w:lineRule="auto"/>
              <w:jc w:val="left"/>
              <w:rPr>
                <w:highlight w:val="none"/>
              </w:rPr>
            </w:pPr>
            <w:r>
              <w:rPr>
                <w:rFonts w:hint="eastAsia"/>
                <w:highlight w:val="none"/>
              </w:rPr>
              <w:t>1、演示调度周边出租车前往枢纽接客的功能，且调度成功后可通过调度日志确认，支持查询以往6个月的调度日志。（2分）</w:t>
            </w:r>
            <w:r>
              <w:rPr>
                <w:rFonts w:hint="eastAsia"/>
                <w:b/>
                <w:bCs/>
                <w:highlight w:val="none"/>
              </w:rPr>
              <w:t>（演示内容符合要求得2分；每缺少一项功能扣1分，扣完为止。没有不得分。）</w:t>
            </w:r>
          </w:p>
          <w:p>
            <w:pPr>
              <w:widowControl/>
              <w:adjustRightInd/>
              <w:spacing w:line="276" w:lineRule="auto"/>
              <w:jc w:val="left"/>
              <w:rPr>
                <w:highlight w:val="none"/>
              </w:rPr>
            </w:pPr>
            <w:r>
              <w:rPr>
                <w:rFonts w:hint="eastAsia"/>
                <w:highlight w:val="none"/>
              </w:rPr>
              <w:t>2、演示平台客流、车流报表统计的功能，同时演示在主场景界面查看枢纽周边出租车空载车辆以及当前全市出租车重载率的功能，枢纽周边出租车空载车辆、当前全市出租车重载率需支持在界面直接进行报表查询。</w:t>
            </w:r>
            <w:r>
              <w:rPr>
                <w:rFonts w:hint="eastAsia"/>
                <w:b/>
                <w:bCs/>
                <w:highlight w:val="none"/>
              </w:rPr>
              <w:t>（演示内容符合要求得2分；每缺少一项功能扣1分，扣完为止。没有不得分。）</w:t>
            </w:r>
          </w:p>
          <w:p>
            <w:pPr>
              <w:widowControl/>
              <w:adjustRightInd/>
              <w:spacing w:line="276" w:lineRule="auto"/>
              <w:jc w:val="left"/>
              <w:rPr>
                <w:highlight w:val="none"/>
              </w:rPr>
            </w:pPr>
            <w:r>
              <w:rPr>
                <w:rFonts w:hint="eastAsia"/>
                <w:highlight w:val="none"/>
              </w:rPr>
              <w:t>3、演示平台手动选择调度模式、设置车道开启时间、展示当前运行模式以及调度日志查询和配置日志查询的功能。</w:t>
            </w:r>
            <w:r>
              <w:rPr>
                <w:rFonts w:hint="eastAsia"/>
                <w:b/>
                <w:bCs/>
                <w:highlight w:val="none"/>
              </w:rPr>
              <w:t>（演示内容符合要求得2分；每缺少一项功能扣1分，扣完为止。没有不得分。）</w:t>
            </w:r>
          </w:p>
          <w:p>
            <w:pPr>
              <w:widowControl/>
              <w:adjustRightInd/>
              <w:spacing w:line="276" w:lineRule="auto"/>
              <w:jc w:val="left"/>
              <w:rPr>
                <w:highlight w:val="none"/>
              </w:rPr>
            </w:pPr>
            <w:r>
              <w:rPr>
                <w:rFonts w:hint="eastAsia"/>
                <w:highlight w:val="none"/>
              </w:rPr>
              <w:t>4、演示平台手动对出租车蓄车场信号灯（非路口信号灯）进行控制的功能。演示内容需包含平台操作和信号灯切换情况，且视频监控显示结果与操作指令相符。</w:t>
            </w:r>
            <w:r>
              <w:rPr>
                <w:rFonts w:hint="eastAsia"/>
                <w:b/>
                <w:bCs/>
                <w:highlight w:val="none"/>
              </w:rPr>
              <w:t>（演示内容符合要求得2分；每缺少一项功能扣1分，扣完为止。没有不得分。）</w:t>
            </w:r>
          </w:p>
          <w:p>
            <w:pPr>
              <w:widowControl/>
              <w:adjustRightInd/>
              <w:spacing w:line="276" w:lineRule="auto"/>
              <w:jc w:val="left"/>
              <w:rPr>
                <w:highlight w:val="none"/>
              </w:rPr>
            </w:pPr>
            <w:r>
              <w:rPr>
                <w:rFonts w:hint="eastAsia"/>
                <w:highlight w:val="none"/>
              </w:rPr>
              <w:t>5、演示平台在出租车智能调度算法开启后，通过视频监控画面展示现场出租车被信号灯控制蓄车排队的情况。</w:t>
            </w:r>
            <w:r>
              <w:rPr>
                <w:rFonts w:hint="eastAsia"/>
                <w:b/>
                <w:bCs/>
                <w:highlight w:val="none"/>
              </w:rPr>
              <w:t>（演示内容符合要求得2分；每缺少一项功能扣1分，扣完为止。没有不得分。）</w:t>
            </w:r>
          </w:p>
          <w:p>
            <w:pPr>
              <w:pStyle w:val="2"/>
              <w:spacing w:line="276" w:lineRule="auto"/>
              <w:outlineLvl w:val="1"/>
              <w:rPr>
                <w:rFonts w:ascii="Times New Roman" w:hAnsi="Times New Roman" w:eastAsia="宋体"/>
                <w:b w:val="0"/>
                <w:bCs w:val="0"/>
                <w:sz w:val="21"/>
                <w:szCs w:val="24"/>
                <w:highlight w:val="none"/>
                <w:lang w:val="en-US"/>
              </w:rPr>
            </w:pPr>
          </w:p>
        </w:tc>
        <w:tc>
          <w:tcPr>
            <w:tcW w:w="686" w:type="dxa"/>
            <w:vAlign w:val="center"/>
          </w:tcPr>
          <w:p>
            <w:pPr>
              <w:spacing w:line="360" w:lineRule="auto"/>
              <w:jc w:val="center"/>
              <w:outlineLvl w:val="0"/>
              <w:rPr>
                <w:rFonts w:asciiTheme="minorEastAsia" w:hAnsiTheme="minorEastAsia" w:eastAsiaTheme="minorEastAsia" w:cstheme="minorEastAsia"/>
                <w:sz w:val="24"/>
              </w:rPr>
            </w:pPr>
            <w:r>
              <w:rPr>
                <w:rFonts w:asciiTheme="minorEastAsia" w:hAnsiTheme="minorEastAsia" w:eastAsiaTheme="minorEastAsia" w:cstheme="minorEastAsia"/>
                <w:sz w:val="24"/>
              </w:rPr>
              <w:t>30</w:t>
            </w:r>
            <w:r>
              <w:rPr>
                <w:rFonts w:hint="eastAsia" w:asciiTheme="minorEastAsia" w:hAnsiTheme="minorEastAsia" w:eastAsiaTheme="minorEastAsia" w:cstheme="minorEastAsia"/>
                <w:sz w:val="24"/>
              </w:rPr>
              <w:t>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ascii="仿宋" w:hAnsi="仿宋" w:eastAsia="仿宋" w:cs="仿宋_GB2312"/>
                <w:bCs/>
                <w:sz w:val="24"/>
              </w:rPr>
              <w:t>3</w:t>
            </w:r>
          </w:p>
        </w:tc>
        <w:tc>
          <w:tcPr>
            <w:tcW w:w="1276" w:type="dxa"/>
          </w:tcPr>
          <w:p>
            <w:pPr>
              <w:widowControl/>
              <w:adjustRightInd/>
              <w:spacing w:line="360" w:lineRule="exact"/>
              <w:jc w:val="left"/>
              <w:rPr>
                <w:highlight w:val="yellow"/>
              </w:rPr>
            </w:pPr>
            <w:r>
              <w:rPr>
                <w:rFonts w:hint="eastAsia"/>
              </w:rPr>
              <w:t>企业资信</w:t>
            </w:r>
          </w:p>
        </w:tc>
        <w:tc>
          <w:tcPr>
            <w:tcW w:w="4007" w:type="dxa"/>
            <w:vAlign w:val="center"/>
          </w:tcPr>
          <w:p>
            <w:pPr>
              <w:widowControl/>
              <w:adjustRightInd/>
              <w:spacing w:line="360" w:lineRule="exact"/>
              <w:jc w:val="left"/>
              <w:rPr>
                <w:highlight w:val="red"/>
              </w:rPr>
            </w:pPr>
          </w:p>
          <w:p>
            <w:pPr>
              <w:widowControl/>
              <w:adjustRightInd/>
              <w:spacing w:line="360" w:lineRule="exact"/>
              <w:jc w:val="left"/>
            </w:pPr>
            <w:r>
              <w:rPr>
                <w:rFonts w:hint="eastAsia"/>
              </w:rPr>
              <w:t>（1）投标人具有有效的质量管理体系认证的得</w:t>
            </w:r>
            <w:r>
              <w:t>2</w:t>
            </w:r>
            <w:r>
              <w:rPr>
                <w:rFonts w:hint="eastAsia"/>
              </w:rPr>
              <w:t>分；</w:t>
            </w:r>
          </w:p>
          <w:p>
            <w:pPr>
              <w:widowControl/>
              <w:adjustRightInd/>
              <w:spacing w:line="360" w:lineRule="exact"/>
              <w:jc w:val="left"/>
            </w:pPr>
            <w:r>
              <w:rPr>
                <w:rFonts w:hint="eastAsia"/>
              </w:rPr>
              <w:t>（2）投标人具有有效的环境管理体系认证的得</w:t>
            </w:r>
            <w:r>
              <w:t>2</w:t>
            </w:r>
            <w:r>
              <w:rPr>
                <w:rFonts w:hint="eastAsia"/>
              </w:rPr>
              <w:t>分，</w:t>
            </w:r>
          </w:p>
          <w:p>
            <w:pPr>
              <w:widowControl/>
              <w:adjustRightInd/>
              <w:spacing w:line="360" w:lineRule="exact"/>
              <w:jc w:val="left"/>
            </w:pPr>
            <w:r>
              <w:rPr>
                <w:rFonts w:hint="eastAsia"/>
              </w:rPr>
              <w:t>（3）投标人具有职业健康安全管理体系认证证书的得2分；</w:t>
            </w:r>
          </w:p>
          <w:p>
            <w:pPr>
              <w:widowControl/>
              <w:adjustRightInd/>
              <w:spacing w:line="360" w:lineRule="exact"/>
              <w:jc w:val="left"/>
              <w:rPr>
                <w:rFonts w:asciiTheme="minorEastAsia" w:hAnsiTheme="minorEastAsia" w:eastAsiaTheme="minorEastAsia" w:cstheme="minorEastAsia"/>
                <w:sz w:val="24"/>
              </w:rPr>
            </w:pPr>
            <w:r>
              <w:rPr>
                <w:rFonts w:hint="eastAsia" w:ascii="仿宋" w:hAnsi="仿宋" w:eastAsia="仿宋" w:cs="仿宋"/>
                <w:b/>
                <w:bCs/>
                <w:spacing w:val="-2"/>
                <w:sz w:val="24"/>
              </w:rPr>
              <w:t>（投标文件中提供</w:t>
            </w:r>
            <w:r>
              <w:rPr>
                <w:rFonts w:hint="eastAsia" w:ascii="仿宋" w:hAnsi="仿宋" w:eastAsia="仿宋" w:cs="仿宋"/>
                <w:b/>
                <w:bCs/>
                <w:sz w:val="24"/>
              </w:rPr>
              <w:t>有效期内的认证证书</w:t>
            </w:r>
            <w:r>
              <w:rPr>
                <w:rFonts w:hint="eastAsia" w:ascii="仿宋" w:hAnsi="仿宋" w:eastAsia="仿宋" w:cs="仿宋"/>
                <w:b/>
                <w:bCs/>
                <w:spacing w:val="-2"/>
                <w:sz w:val="24"/>
              </w:rPr>
              <w:t>复印件并加盖公章</w:t>
            </w:r>
            <w:r>
              <w:rPr>
                <w:rFonts w:hint="eastAsia" w:ascii="仿宋" w:hAnsi="仿宋" w:eastAsia="仿宋" w:cs="仿宋"/>
                <w:b/>
                <w:bCs/>
                <w:sz w:val="24"/>
              </w:rPr>
              <w:t>，否则不得分</w:t>
            </w:r>
            <w:r>
              <w:rPr>
                <w:rFonts w:hint="eastAsia" w:ascii="仿宋" w:hAnsi="仿宋" w:eastAsia="仿宋" w:cs="仿宋"/>
                <w:b/>
                <w:bCs/>
                <w:spacing w:val="-2"/>
                <w:sz w:val="24"/>
              </w:rPr>
              <w:t>）</w:t>
            </w:r>
          </w:p>
        </w:tc>
        <w:tc>
          <w:tcPr>
            <w:tcW w:w="686" w:type="dxa"/>
            <w:vAlign w:val="center"/>
          </w:tcPr>
          <w:p>
            <w:pPr>
              <w:spacing w:line="360" w:lineRule="auto"/>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ascii="仿宋" w:hAnsi="仿宋" w:eastAsia="仿宋" w:cs="仿宋_GB2312"/>
                <w:bCs/>
                <w:sz w:val="24"/>
              </w:rPr>
              <w:t>4</w:t>
            </w:r>
          </w:p>
        </w:tc>
        <w:tc>
          <w:tcPr>
            <w:tcW w:w="1276" w:type="dxa"/>
          </w:tcPr>
          <w:p>
            <w:pPr>
              <w:widowControl/>
              <w:adjustRightInd/>
              <w:spacing w:line="360" w:lineRule="exact"/>
              <w:jc w:val="left"/>
            </w:pPr>
            <w:r>
              <w:rPr>
                <w:rFonts w:hint="eastAsia"/>
              </w:rPr>
              <w:t>投标人业绩</w:t>
            </w:r>
          </w:p>
        </w:tc>
        <w:tc>
          <w:tcPr>
            <w:tcW w:w="4007" w:type="dxa"/>
            <w:vAlign w:val="center"/>
          </w:tcPr>
          <w:p>
            <w:pPr>
              <w:widowControl/>
              <w:adjustRightInd/>
              <w:spacing w:line="360" w:lineRule="exact"/>
              <w:jc w:val="left"/>
              <w:rPr>
                <w:rFonts w:ascii="仿宋" w:hAnsi="仿宋" w:eastAsia="仿宋" w:cs="仿宋"/>
                <w:b/>
                <w:bCs/>
                <w:sz w:val="24"/>
              </w:rPr>
            </w:pPr>
            <w:r>
              <w:rPr>
                <w:rFonts w:hint="eastAsia"/>
              </w:rPr>
              <w:t>投标人须提供自20</w:t>
            </w:r>
            <w:r>
              <w:t>20</w:t>
            </w:r>
            <w:r>
              <w:rPr>
                <w:rFonts w:hint="eastAsia"/>
              </w:rPr>
              <w:t>年1月1日至今（以合同签订时间为准）完成过国内交通枢纽数字孪生软件开发项目业绩的，每提供一个得0.5分，累计最高得1分</w:t>
            </w:r>
            <w:r>
              <w:rPr>
                <w:rFonts w:hint="eastAsia" w:ascii="仿宋" w:hAnsi="仿宋" w:eastAsia="仿宋" w:cs="仿宋"/>
                <w:b/>
                <w:bCs/>
                <w:sz w:val="24"/>
              </w:rPr>
              <w:t>（投标文件中提供合同复印件和验收报告复印件，并加盖公章，否则不得分）。</w:t>
            </w:r>
          </w:p>
        </w:tc>
        <w:tc>
          <w:tcPr>
            <w:tcW w:w="68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5</w:t>
            </w:r>
          </w:p>
          <w:p>
            <w:pPr>
              <w:spacing w:line="360" w:lineRule="auto"/>
              <w:jc w:val="center"/>
              <w:outlineLvl w:val="0"/>
              <w:rPr>
                <w:rFonts w:cs="仿宋_GB2312" w:asciiTheme="minorEastAsia" w:hAnsiTheme="minorEastAsia" w:eastAsiaTheme="minorEastAsia"/>
                <w:sz w:val="24"/>
              </w:rPr>
            </w:pPr>
          </w:p>
        </w:tc>
        <w:tc>
          <w:tcPr>
            <w:tcW w:w="1276" w:type="dxa"/>
            <w:vMerge w:val="restart"/>
            <w:vAlign w:val="center"/>
          </w:tcPr>
          <w:p>
            <w:pPr>
              <w:pStyle w:val="35"/>
              <w:rPr>
                <w:rFonts w:ascii="Times New Roman" w:hAnsi="Times New Roman" w:cs="Times New Roman"/>
                <w:snapToGrid/>
                <w:szCs w:val="24"/>
                <w:highlight w:val="none"/>
              </w:rPr>
            </w:pPr>
            <w:r>
              <w:rPr>
                <w:rFonts w:hint="eastAsia" w:ascii="Times New Roman" w:hAnsi="Times New Roman" w:cs="Times New Roman"/>
                <w:snapToGrid/>
                <w:szCs w:val="24"/>
                <w:highlight w:val="none"/>
              </w:rPr>
              <w:t>项目团队（需提供近三个月本单位社保证明、职称、职业资格等相关证书扫描件，并加盖公章。）</w:t>
            </w:r>
          </w:p>
        </w:tc>
        <w:tc>
          <w:tcPr>
            <w:tcW w:w="4007" w:type="dxa"/>
          </w:tcPr>
          <w:p>
            <w:pPr>
              <w:pStyle w:val="35"/>
              <w:numPr>
                <w:ilvl w:val="0"/>
                <w:numId w:val="9"/>
              </w:numPr>
              <w:rPr>
                <w:rFonts w:ascii="Times New Roman" w:hAnsi="Times New Roman" w:cs="Times New Roman"/>
                <w:snapToGrid/>
                <w:szCs w:val="24"/>
                <w:highlight w:val="none"/>
              </w:rPr>
            </w:pPr>
            <w:r>
              <w:rPr>
                <w:rFonts w:hint="eastAsia" w:ascii="Times New Roman" w:hAnsi="Times New Roman" w:cs="Times New Roman"/>
                <w:snapToGrid/>
                <w:szCs w:val="24"/>
                <w:highlight w:val="none"/>
              </w:rPr>
              <w:t>项目经理具备高级信息系统项目管理师或一级建造师证书。</w:t>
            </w:r>
          </w:p>
          <w:p>
            <w:pPr>
              <w:pStyle w:val="35"/>
              <w:rPr>
                <w:rFonts w:ascii="仿宋" w:hAnsi="仿宋" w:eastAsia="仿宋" w:cs="宋体"/>
                <w:b/>
                <w:bCs/>
                <w:kern w:val="0"/>
                <w:sz w:val="22"/>
                <w:szCs w:val="22"/>
                <w:highlight w:val="none"/>
              </w:rPr>
            </w:pPr>
            <w:r>
              <w:rPr>
                <w:rFonts w:hint="eastAsia" w:ascii="Times New Roman" w:hAnsi="Times New Roman" w:cs="Times New Roman"/>
                <w:b/>
                <w:bCs/>
                <w:snapToGrid/>
                <w:szCs w:val="24"/>
                <w:highlight w:val="none"/>
              </w:rPr>
              <w:t>满足得</w:t>
            </w:r>
            <w:r>
              <w:rPr>
                <w:rFonts w:ascii="Times New Roman" w:hAnsi="Times New Roman" w:cs="Times New Roman"/>
                <w:b/>
                <w:bCs/>
                <w:snapToGrid/>
                <w:szCs w:val="24"/>
                <w:highlight w:val="none"/>
              </w:rPr>
              <w:t>2</w:t>
            </w:r>
            <w:r>
              <w:rPr>
                <w:rFonts w:hint="eastAsia" w:ascii="Times New Roman" w:hAnsi="Times New Roman" w:cs="Times New Roman"/>
                <w:b/>
                <w:bCs/>
                <w:snapToGrid/>
                <w:szCs w:val="24"/>
                <w:highlight w:val="none"/>
              </w:rPr>
              <w:t>分；</w:t>
            </w:r>
          </w:p>
        </w:tc>
        <w:tc>
          <w:tcPr>
            <w:tcW w:w="686" w:type="dxa"/>
            <w:vMerge w:val="restart"/>
            <w:vAlign w:val="center"/>
          </w:tcPr>
          <w:p>
            <w:pPr>
              <w:jc w:val="left"/>
              <w:rPr>
                <w:rFonts w:asciiTheme="minorEastAsia" w:hAnsiTheme="minorEastAsia" w:eastAsiaTheme="minorEastAsia" w:cstheme="minorEastAsia"/>
                <w:sz w:val="24"/>
              </w:rPr>
            </w:pPr>
            <w:r>
              <w:rPr>
                <w:rFonts w:asciiTheme="minorEastAsia" w:hAnsiTheme="minorEastAsia" w:eastAsiaTheme="minorEastAsia" w:cstheme="minorEastAsia"/>
                <w:sz w:val="24"/>
              </w:rPr>
              <w:t>10</w:t>
            </w:r>
            <w:r>
              <w:rPr>
                <w:rFonts w:hint="eastAsia" w:asciiTheme="minorEastAsia" w:hAnsiTheme="minorEastAsia" w:eastAsiaTheme="minorEastAsia" w:cstheme="minorEastAsia"/>
                <w:sz w:val="24"/>
              </w:rPr>
              <w:t>分</w:t>
            </w:r>
          </w:p>
        </w:tc>
        <w:tc>
          <w:tcPr>
            <w:tcW w:w="1402" w:type="dxa"/>
            <w:vMerge w:val="restart"/>
            <w:vAlign w:val="center"/>
          </w:tcPr>
          <w:p>
            <w:pPr>
              <w:snapToGrid w:val="0"/>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spacing w:line="360" w:lineRule="auto"/>
              <w:jc w:val="center"/>
              <w:outlineLvl w:val="0"/>
              <w:rPr>
                <w:rFonts w:cs="仿宋_GB2312" w:asciiTheme="minorEastAsia" w:hAnsiTheme="minorEastAsia" w:eastAsiaTheme="minorEastAsia"/>
                <w:sz w:val="24"/>
              </w:rPr>
            </w:pPr>
          </w:p>
        </w:tc>
        <w:tc>
          <w:tcPr>
            <w:tcW w:w="1276" w:type="dxa"/>
            <w:vMerge w:val="continue"/>
          </w:tcPr>
          <w:p>
            <w:pPr>
              <w:pStyle w:val="35"/>
              <w:rPr>
                <w:rFonts w:ascii="Times New Roman" w:hAnsi="Times New Roman" w:cs="Times New Roman"/>
                <w:snapToGrid/>
                <w:szCs w:val="24"/>
                <w:highlight w:val="none"/>
              </w:rPr>
            </w:pPr>
          </w:p>
        </w:tc>
        <w:tc>
          <w:tcPr>
            <w:tcW w:w="4007" w:type="dxa"/>
          </w:tcPr>
          <w:p>
            <w:pPr>
              <w:pStyle w:val="35"/>
              <w:numPr>
                <w:ilvl w:val="0"/>
                <w:numId w:val="9"/>
              </w:numPr>
              <w:rPr>
                <w:rFonts w:ascii="Times New Roman" w:hAnsi="Times New Roman" w:cs="Times New Roman"/>
                <w:snapToGrid/>
                <w:szCs w:val="24"/>
                <w:highlight w:val="none"/>
              </w:rPr>
            </w:pPr>
            <w:r>
              <w:rPr>
                <w:rFonts w:hint="eastAsia" w:ascii="Times New Roman" w:hAnsi="Times New Roman" w:cs="Times New Roman"/>
                <w:snapToGrid/>
                <w:szCs w:val="24"/>
                <w:highlight w:val="none"/>
              </w:rPr>
              <w:t>项目技术负责人具备高级信息系统项目管理师或系统架构设计师</w:t>
            </w:r>
            <w:r>
              <w:rPr>
                <w:rFonts w:ascii="Times New Roman" w:hAnsi="Times New Roman" w:cs="Times New Roman"/>
                <w:snapToGrid/>
                <w:szCs w:val="24"/>
                <w:highlight w:val="none"/>
              </w:rPr>
              <w:t>证书</w:t>
            </w:r>
            <w:r>
              <w:rPr>
                <w:rFonts w:hint="eastAsia" w:ascii="Times New Roman" w:hAnsi="Times New Roman" w:cs="Times New Roman"/>
                <w:snapToGrid/>
                <w:szCs w:val="24"/>
                <w:highlight w:val="none"/>
              </w:rPr>
              <w:t>。</w:t>
            </w:r>
          </w:p>
          <w:p>
            <w:pPr>
              <w:pStyle w:val="35"/>
              <w:rPr>
                <w:rFonts w:ascii="Times New Roman" w:hAnsi="Times New Roman" w:cs="Times New Roman"/>
                <w:b/>
                <w:bCs/>
                <w:snapToGrid/>
                <w:szCs w:val="24"/>
                <w:highlight w:val="none"/>
              </w:rPr>
            </w:pPr>
            <w:r>
              <w:rPr>
                <w:rFonts w:hint="eastAsia" w:ascii="Times New Roman" w:hAnsi="Times New Roman" w:cs="Times New Roman"/>
                <w:b/>
                <w:bCs/>
                <w:snapToGrid/>
                <w:szCs w:val="24"/>
                <w:highlight w:val="none"/>
              </w:rPr>
              <w:t>满足得</w:t>
            </w:r>
            <w:r>
              <w:rPr>
                <w:rFonts w:ascii="Times New Roman" w:hAnsi="Times New Roman" w:cs="Times New Roman"/>
                <w:b/>
                <w:bCs/>
                <w:snapToGrid/>
                <w:szCs w:val="24"/>
                <w:highlight w:val="none"/>
              </w:rPr>
              <w:t>2</w:t>
            </w:r>
            <w:r>
              <w:rPr>
                <w:rFonts w:hint="eastAsia" w:ascii="Times New Roman" w:hAnsi="Times New Roman" w:cs="Times New Roman"/>
                <w:b/>
                <w:bCs/>
                <w:snapToGrid/>
                <w:szCs w:val="24"/>
                <w:highlight w:val="none"/>
              </w:rPr>
              <w:t>分；</w:t>
            </w:r>
          </w:p>
        </w:tc>
        <w:tc>
          <w:tcPr>
            <w:tcW w:w="686" w:type="dxa"/>
            <w:vMerge w:val="continue"/>
            <w:vAlign w:val="center"/>
          </w:tcPr>
          <w:p>
            <w:pPr>
              <w:jc w:val="left"/>
              <w:rPr>
                <w:rFonts w:asciiTheme="minorEastAsia" w:hAnsiTheme="minorEastAsia" w:eastAsiaTheme="minorEastAsia" w:cstheme="minorEastAsia"/>
                <w:sz w:val="24"/>
              </w:rPr>
            </w:pPr>
          </w:p>
        </w:tc>
        <w:tc>
          <w:tcPr>
            <w:tcW w:w="1402" w:type="dxa"/>
            <w:vMerge w:val="continue"/>
            <w:vAlign w:val="center"/>
          </w:tcPr>
          <w:p>
            <w:pPr>
              <w:snapToGrid w:val="0"/>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spacing w:line="360" w:lineRule="auto"/>
              <w:jc w:val="center"/>
              <w:outlineLvl w:val="0"/>
              <w:rPr>
                <w:rFonts w:cs="仿宋_GB2312" w:asciiTheme="minorEastAsia" w:hAnsiTheme="minorEastAsia" w:eastAsiaTheme="minorEastAsia"/>
                <w:sz w:val="24"/>
              </w:rPr>
            </w:pPr>
          </w:p>
        </w:tc>
        <w:tc>
          <w:tcPr>
            <w:tcW w:w="1276" w:type="dxa"/>
            <w:vMerge w:val="continue"/>
          </w:tcPr>
          <w:p>
            <w:pPr>
              <w:pStyle w:val="35"/>
              <w:rPr>
                <w:rFonts w:ascii="Times New Roman" w:hAnsi="Times New Roman" w:cs="Times New Roman"/>
                <w:snapToGrid/>
                <w:szCs w:val="24"/>
                <w:highlight w:val="none"/>
              </w:rPr>
            </w:pPr>
          </w:p>
        </w:tc>
        <w:tc>
          <w:tcPr>
            <w:tcW w:w="4007" w:type="dxa"/>
          </w:tcPr>
          <w:p>
            <w:pPr>
              <w:pStyle w:val="35"/>
              <w:numPr>
                <w:ilvl w:val="0"/>
                <w:numId w:val="9"/>
              </w:numPr>
              <w:rPr>
                <w:rFonts w:ascii="Times New Roman" w:hAnsi="Times New Roman" w:cs="Times New Roman"/>
                <w:snapToGrid/>
                <w:szCs w:val="24"/>
                <w:highlight w:val="none"/>
              </w:rPr>
            </w:pPr>
            <w:r>
              <w:rPr>
                <w:rFonts w:hint="eastAsia" w:ascii="Times New Roman" w:hAnsi="Times New Roman" w:cs="Times New Roman"/>
                <w:snapToGrid/>
                <w:szCs w:val="24"/>
                <w:highlight w:val="none"/>
              </w:rPr>
              <w:t>项目安全负责人具备注册信息安全专业人员证书。</w:t>
            </w:r>
          </w:p>
          <w:p>
            <w:pPr>
              <w:rPr>
                <w:highlight w:val="none"/>
              </w:rPr>
            </w:pPr>
            <w:r>
              <w:rPr>
                <w:rFonts w:hint="eastAsia"/>
                <w:b/>
                <w:bCs/>
                <w:highlight w:val="none"/>
              </w:rPr>
              <w:t>满足得</w:t>
            </w:r>
            <w:r>
              <w:rPr>
                <w:b/>
                <w:bCs/>
                <w:highlight w:val="none"/>
              </w:rPr>
              <w:t>1</w:t>
            </w:r>
            <w:r>
              <w:rPr>
                <w:rFonts w:hint="eastAsia"/>
                <w:b/>
                <w:bCs/>
                <w:highlight w:val="none"/>
              </w:rPr>
              <w:t>分；</w:t>
            </w:r>
          </w:p>
        </w:tc>
        <w:tc>
          <w:tcPr>
            <w:tcW w:w="686" w:type="dxa"/>
            <w:vMerge w:val="continue"/>
            <w:vAlign w:val="center"/>
          </w:tcPr>
          <w:p>
            <w:pPr>
              <w:jc w:val="left"/>
              <w:rPr>
                <w:rFonts w:asciiTheme="minorEastAsia" w:hAnsiTheme="minorEastAsia" w:eastAsiaTheme="minorEastAsia" w:cstheme="minorEastAsia"/>
                <w:sz w:val="24"/>
              </w:rPr>
            </w:pPr>
          </w:p>
        </w:tc>
        <w:tc>
          <w:tcPr>
            <w:tcW w:w="1402" w:type="dxa"/>
            <w:vMerge w:val="continue"/>
            <w:vAlign w:val="center"/>
          </w:tcPr>
          <w:p>
            <w:pPr>
              <w:snapToGrid w:val="0"/>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spacing w:line="360" w:lineRule="auto"/>
              <w:jc w:val="center"/>
              <w:outlineLvl w:val="0"/>
              <w:rPr>
                <w:rFonts w:cs="仿宋_GB2312" w:asciiTheme="minorEastAsia" w:hAnsiTheme="minorEastAsia" w:eastAsiaTheme="minorEastAsia"/>
                <w:sz w:val="24"/>
              </w:rPr>
            </w:pPr>
          </w:p>
        </w:tc>
        <w:tc>
          <w:tcPr>
            <w:tcW w:w="1276" w:type="dxa"/>
            <w:vMerge w:val="continue"/>
          </w:tcPr>
          <w:p>
            <w:pPr>
              <w:rPr>
                <w:highlight w:val="none"/>
              </w:rPr>
            </w:pPr>
          </w:p>
        </w:tc>
        <w:tc>
          <w:tcPr>
            <w:tcW w:w="4007" w:type="dxa"/>
          </w:tcPr>
          <w:p>
            <w:pPr>
              <w:rPr>
                <w:highlight w:val="none"/>
              </w:rPr>
            </w:pPr>
            <w:r>
              <w:rPr>
                <w:rFonts w:hint="eastAsia"/>
                <w:highlight w:val="none"/>
              </w:rPr>
              <w:t>4、项目组成员中具备中级职称或</w:t>
            </w:r>
            <w:r>
              <w:rPr>
                <w:highlight w:val="none"/>
              </w:rPr>
              <w:t>中级</w:t>
            </w:r>
            <w:r>
              <w:rPr>
                <w:rFonts w:hint="eastAsia"/>
                <w:highlight w:val="none"/>
              </w:rPr>
              <w:t>职业资格证书的每个得0.5分，最高得</w:t>
            </w:r>
            <w:r>
              <w:rPr>
                <w:highlight w:val="none"/>
              </w:rPr>
              <w:t>2</w:t>
            </w:r>
            <w:r>
              <w:rPr>
                <w:rFonts w:hint="eastAsia"/>
                <w:highlight w:val="none"/>
              </w:rPr>
              <w:t>分；高级职称或高级职业资格证书的每个得1分，最高得</w:t>
            </w:r>
            <w:r>
              <w:rPr>
                <w:highlight w:val="none"/>
              </w:rPr>
              <w:t>3</w:t>
            </w:r>
            <w:r>
              <w:rPr>
                <w:rFonts w:hint="eastAsia"/>
                <w:highlight w:val="none"/>
              </w:rPr>
              <w:t>分；本项目最高得</w:t>
            </w:r>
            <w:r>
              <w:rPr>
                <w:highlight w:val="none"/>
              </w:rPr>
              <w:t>5</w:t>
            </w:r>
            <w:r>
              <w:rPr>
                <w:rFonts w:hint="eastAsia"/>
                <w:highlight w:val="none"/>
              </w:rPr>
              <w:t>分。</w:t>
            </w:r>
          </w:p>
        </w:tc>
        <w:tc>
          <w:tcPr>
            <w:tcW w:w="686" w:type="dxa"/>
            <w:vMerge w:val="continue"/>
            <w:vAlign w:val="center"/>
          </w:tcPr>
          <w:p>
            <w:pPr>
              <w:jc w:val="left"/>
              <w:rPr>
                <w:rFonts w:asciiTheme="minorEastAsia" w:hAnsiTheme="minorEastAsia" w:eastAsiaTheme="minorEastAsia" w:cstheme="minorEastAsia"/>
                <w:sz w:val="24"/>
              </w:rPr>
            </w:pPr>
          </w:p>
        </w:tc>
        <w:tc>
          <w:tcPr>
            <w:tcW w:w="1402" w:type="dxa"/>
            <w:vMerge w:val="continue"/>
            <w:vAlign w:val="center"/>
          </w:tcPr>
          <w:p>
            <w:pPr>
              <w:snapToGrid w:val="0"/>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1276" w:type="dxa"/>
          </w:tcPr>
          <w:p>
            <w:pPr>
              <w:spacing w:line="600" w:lineRule="exact"/>
              <w:jc w:val="left"/>
            </w:pPr>
          </w:p>
        </w:tc>
        <w:tc>
          <w:tcPr>
            <w:tcW w:w="4007" w:type="dxa"/>
            <w:vAlign w:val="center"/>
          </w:tcPr>
          <w:p>
            <w:pPr>
              <w:spacing w:line="600" w:lineRule="exact"/>
              <w:jc w:val="left"/>
            </w:pPr>
            <w:r>
              <w:rPr>
                <w:rFonts w:hint="eastAsia"/>
              </w:rPr>
              <w:t>对本项目的需求的理解，重点难点分析，要求方案合理分析到位。</w:t>
            </w:r>
            <w:r>
              <w:rPr>
                <w:rFonts w:hint="eastAsia"/>
                <w:b/>
                <w:bCs/>
              </w:rPr>
              <w:t>（方案符合要求，内容完整、充实的得3分；方案符合要求，内容完整，但有所欠缺的得2分；方案符合要求，但内容不完整的得1分，没有不得分。）</w:t>
            </w:r>
          </w:p>
        </w:tc>
        <w:tc>
          <w:tcPr>
            <w:tcW w:w="686" w:type="dxa"/>
            <w:vAlign w:val="center"/>
          </w:tcPr>
          <w:p>
            <w:pPr>
              <w:jc w:val="center"/>
              <w:rPr>
                <w:rFonts w:ascii="宋体" w:hAnsi="宋体" w:cs="宋体"/>
                <w:sz w:val="24"/>
              </w:rPr>
            </w:pPr>
            <w:r>
              <w:rPr>
                <w:rFonts w:hint="eastAsia" w:ascii="宋体" w:hAnsi="宋体" w:cs="宋体"/>
                <w:sz w:val="24"/>
              </w:rPr>
              <w:t>3</w:t>
            </w:r>
            <w:r>
              <w:rPr>
                <w:rFonts w:hint="eastAsia" w:asciiTheme="minorEastAsia" w:hAnsiTheme="minorEastAsia" w:eastAsiaTheme="minorEastAsia" w:cstheme="minorEastAsia"/>
                <w:sz w:val="24"/>
              </w:rPr>
              <w:t>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1276" w:type="dxa"/>
          </w:tcPr>
          <w:p>
            <w:pPr>
              <w:spacing w:line="600" w:lineRule="exact"/>
              <w:jc w:val="left"/>
            </w:pPr>
          </w:p>
        </w:tc>
        <w:tc>
          <w:tcPr>
            <w:tcW w:w="4007" w:type="dxa"/>
            <w:vAlign w:val="center"/>
          </w:tcPr>
          <w:p>
            <w:pPr>
              <w:spacing w:line="600" w:lineRule="exact"/>
              <w:jc w:val="left"/>
              <w:rPr>
                <w:color w:val="auto"/>
                <w:highlight w:val="none"/>
              </w:rPr>
            </w:pPr>
            <w:r>
              <w:rPr>
                <w:rFonts w:hint="eastAsia"/>
                <w:color w:val="auto"/>
                <w:highlight w:val="none"/>
              </w:rPr>
              <w:t>系统总体架构设计合理、符合数字孪生建设要求，系统部署设计符合相关要求等，包含但不限于本项目的总体架构图、数据架构图、技术架构图等内容。</w:t>
            </w:r>
            <w:r>
              <w:rPr>
                <w:rFonts w:hint="eastAsia"/>
                <w:b/>
                <w:bCs/>
                <w:color w:val="auto"/>
                <w:highlight w:val="none"/>
              </w:rPr>
              <w:t>（方案符合要求，内容完整、充实的得5分；方案符合要求，内容完整，但有所欠缺的得3分；方案符合要求，但内容不完整的得1分，没有不得分。）</w:t>
            </w:r>
          </w:p>
        </w:tc>
        <w:tc>
          <w:tcPr>
            <w:tcW w:w="686" w:type="dxa"/>
            <w:vAlign w:val="center"/>
          </w:tcPr>
          <w:p>
            <w:pPr>
              <w:jc w:val="center"/>
              <w:rPr>
                <w:rFonts w:ascii="宋体" w:hAnsi="宋体" w:cs="宋体"/>
                <w:sz w:val="24"/>
              </w:rPr>
            </w:pPr>
            <w:r>
              <w:rPr>
                <w:rFonts w:hint="eastAsia" w:ascii="宋体" w:hAnsi="宋体" w:cs="宋体" w:eastAsiaTheme="minorEastAsia"/>
                <w:sz w:val="24"/>
              </w:rPr>
              <w:t>5</w:t>
            </w:r>
            <w:r>
              <w:rPr>
                <w:rFonts w:hint="eastAsia" w:asciiTheme="minorEastAsia" w:hAnsiTheme="minorEastAsia" w:eastAsiaTheme="minorEastAsia" w:cstheme="minorEastAsia"/>
                <w:sz w:val="24"/>
              </w:rPr>
              <w:t>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1276" w:type="dxa"/>
          </w:tcPr>
          <w:p>
            <w:pPr>
              <w:spacing w:line="600" w:lineRule="exact"/>
              <w:ind w:firstLine="420" w:firstLineChars="200"/>
              <w:jc w:val="left"/>
            </w:pPr>
          </w:p>
        </w:tc>
        <w:tc>
          <w:tcPr>
            <w:tcW w:w="4007" w:type="dxa"/>
            <w:vAlign w:val="center"/>
          </w:tcPr>
          <w:p>
            <w:pPr>
              <w:spacing w:line="600" w:lineRule="exact"/>
              <w:ind w:firstLine="422" w:firstLineChars="200"/>
              <w:jc w:val="left"/>
              <w:rPr>
                <w:color w:val="auto"/>
                <w:highlight w:val="none"/>
              </w:rPr>
            </w:pPr>
            <w:r>
              <w:rPr>
                <w:rFonts w:hint="eastAsia"/>
                <w:b/>
                <w:bCs/>
                <w:color w:val="auto"/>
                <w:highlight w:val="none"/>
              </w:rPr>
              <w:t>基础支撑层</w:t>
            </w:r>
            <w:r>
              <w:rPr>
                <w:rFonts w:hint="eastAsia"/>
                <w:color w:val="auto"/>
                <w:highlight w:val="none"/>
              </w:rPr>
              <w:t>的技术方案和在方案中投标人自行考虑并提供服务所需的设备清单（含数量、型号、品牌等），设备和方案应能满足在</w:t>
            </w:r>
            <w:r>
              <w:rPr>
                <w:rFonts w:hint="eastAsia"/>
                <w:b/>
                <w:bCs/>
                <w:color w:val="auto"/>
                <w:highlight w:val="none"/>
              </w:rPr>
              <w:t>功能要求</w:t>
            </w:r>
            <w:r>
              <w:rPr>
                <w:rFonts w:hint="eastAsia"/>
                <w:color w:val="auto"/>
                <w:highlight w:val="none"/>
              </w:rPr>
              <w:t>中所达到实际效果的要求。</w:t>
            </w:r>
          </w:p>
          <w:p>
            <w:pPr>
              <w:spacing w:line="600" w:lineRule="exact"/>
              <w:ind w:firstLine="422" w:firstLineChars="200"/>
              <w:jc w:val="left"/>
              <w:rPr>
                <w:color w:val="auto"/>
                <w:highlight w:val="none"/>
              </w:rPr>
            </w:pPr>
            <w:r>
              <w:rPr>
                <w:rFonts w:hint="eastAsia"/>
                <w:b/>
                <w:bCs/>
                <w:color w:val="auto"/>
                <w:highlight w:val="none"/>
              </w:rPr>
              <w:t>（方案符合要求，内容完整、充实的得</w:t>
            </w:r>
            <w:r>
              <w:rPr>
                <w:b/>
                <w:bCs/>
                <w:color w:val="auto"/>
                <w:highlight w:val="none"/>
              </w:rPr>
              <w:t>3</w:t>
            </w:r>
            <w:r>
              <w:rPr>
                <w:rFonts w:hint="eastAsia"/>
                <w:b/>
                <w:bCs/>
                <w:color w:val="auto"/>
                <w:highlight w:val="none"/>
              </w:rPr>
              <w:t>分；方案符合要求，内容完整，但有所欠缺的得2分；方案符合要求，但内容不完整的得1分，没有不得分。）</w:t>
            </w:r>
          </w:p>
        </w:tc>
        <w:tc>
          <w:tcPr>
            <w:tcW w:w="686" w:type="dxa"/>
            <w:vAlign w:val="center"/>
          </w:tcPr>
          <w:p>
            <w:pPr>
              <w:jc w:val="center"/>
              <w:rPr>
                <w:rFonts w:ascii="宋体" w:hAnsi="宋体" w:cs="宋体"/>
                <w:sz w:val="24"/>
              </w:rPr>
            </w:pPr>
            <w:r>
              <w:rPr>
                <w:rFonts w:hint="eastAsia" w:ascii="宋体" w:hAnsi="宋体" w:cs="宋体"/>
                <w:sz w:val="24"/>
              </w:rPr>
              <w:t>3分</w:t>
            </w:r>
          </w:p>
        </w:tc>
        <w:tc>
          <w:tcPr>
            <w:tcW w:w="1402" w:type="dxa"/>
            <w:vAlign w:val="center"/>
          </w:tcPr>
          <w:p>
            <w:pPr>
              <w:snapToGrid w:val="0"/>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1276" w:type="dxa"/>
          </w:tcPr>
          <w:p>
            <w:pPr>
              <w:spacing w:line="600" w:lineRule="exact"/>
              <w:ind w:firstLine="420" w:firstLineChars="200"/>
              <w:jc w:val="left"/>
            </w:pPr>
          </w:p>
        </w:tc>
        <w:tc>
          <w:tcPr>
            <w:tcW w:w="4007" w:type="dxa"/>
            <w:vAlign w:val="center"/>
          </w:tcPr>
          <w:p>
            <w:pPr>
              <w:spacing w:line="600" w:lineRule="exact"/>
              <w:ind w:firstLine="422" w:firstLineChars="200"/>
              <w:jc w:val="left"/>
              <w:rPr>
                <w:color w:val="auto"/>
                <w:highlight w:val="none"/>
              </w:rPr>
            </w:pPr>
            <w:r>
              <w:rPr>
                <w:rFonts w:hint="eastAsia"/>
                <w:b/>
                <w:bCs/>
                <w:color w:val="auto"/>
                <w:highlight w:val="none"/>
              </w:rPr>
              <w:t>数据互动层</w:t>
            </w:r>
            <w:r>
              <w:rPr>
                <w:rFonts w:hint="eastAsia"/>
                <w:color w:val="auto"/>
                <w:highlight w:val="none"/>
              </w:rPr>
              <w:t>的技术方案和在方案中投标人自行考虑并提供服务所需的设备清单（含数量、型号、品牌等），设备和方案应能满足在</w:t>
            </w:r>
            <w:r>
              <w:rPr>
                <w:rFonts w:hint="eastAsia"/>
                <w:b/>
                <w:bCs/>
                <w:color w:val="auto"/>
                <w:highlight w:val="none"/>
              </w:rPr>
              <w:t>功能要求</w:t>
            </w:r>
            <w:r>
              <w:rPr>
                <w:rFonts w:hint="eastAsia"/>
                <w:color w:val="auto"/>
                <w:highlight w:val="none"/>
              </w:rPr>
              <w:t>中所达到实际效果的要求。</w:t>
            </w:r>
          </w:p>
          <w:p>
            <w:pPr>
              <w:spacing w:line="600" w:lineRule="exact"/>
              <w:ind w:firstLine="422" w:firstLineChars="200"/>
              <w:jc w:val="left"/>
              <w:rPr>
                <w:b/>
                <w:bCs/>
                <w:color w:val="auto"/>
                <w:highlight w:val="none"/>
              </w:rPr>
            </w:pPr>
            <w:r>
              <w:rPr>
                <w:rFonts w:hint="eastAsia"/>
                <w:b/>
                <w:bCs/>
                <w:color w:val="auto"/>
                <w:highlight w:val="none"/>
              </w:rPr>
              <w:t>（方案符合要求，内容完整、充实的得</w:t>
            </w:r>
            <w:r>
              <w:rPr>
                <w:b/>
                <w:bCs/>
                <w:color w:val="auto"/>
                <w:highlight w:val="none"/>
              </w:rPr>
              <w:t>3</w:t>
            </w:r>
            <w:r>
              <w:rPr>
                <w:rFonts w:hint="eastAsia"/>
                <w:b/>
                <w:bCs/>
                <w:color w:val="auto"/>
                <w:highlight w:val="none"/>
              </w:rPr>
              <w:t>分；方案符合要求，内容完整，但有所欠缺的得2分；方案符合要求，但内容不完整的得1分，没有不得分。）</w:t>
            </w:r>
          </w:p>
          <w:p>
            <w:pPr>
              <w:spacing w:line="600" w:lineRule="exact"/>
              <w:ind w:firstLine="420" w:firstLineChars="200"/>
              <w:jc w:val="left"/>
              <w:rPr>
                <w:color w:val="auto"/>
                <w:highlight w:val="none"/>
              </w:rPr>
            </w:pPr>
          </w:p>
        </w:tc>
        <w:tc>
          <w:tcPr>
            <w:tcW w:w="686" w:type="dxa"/>
            <w:vAlign w:val="center"/>
          </w:tcPr>
          <w:p>
            <w:pPr>
              <w:jc w:val="center"/>
              <w:rPr>
                <w:rFonts w:ascii="宋体" w:hAnsi="宋体" w:cs="宋体"/>
                <w:sz w:val="24"/>
              </w:rPr>
            </w:pPr>
            <w:r>
              <w:rPr>
                <w:rFonts w:hint="eastAsia" w:ascii="宋体" w:hAnsi="宋体" w:cs="宋体"/>
                <w:sz w:val="24"/>
              </w:rPr>
              <w:t>3分</w:t>
            </w:r>
          </w:p>
        </w:tc>
        <w:tc>
          <w:tcPr>
            <w:tcW w:w="1402" w:type="dxa"/>
            <w:vAlign w:val="center"/>
          </w:tcPr>
          <w:p>
            <w:pPr>
              <w:snapToGrid w:val="0"/>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1276" w:type="dxa"/>
          </w:tcPr>
          <w:p>
            <w:pPr>
              <w:spacing w:line="600" w:lineRule="exact"/>
              <w:ind w:firstLine="420" w:firstLineChars="200"/>
              <w:jc w:val="left"/>
            </w:pPr>
          </w:p>
        </w:tc>
        <w:tc>
          <w:tcPr>
            <w:tcW w:w="4007" w:type="dxa"/>
            <w:vAlign w:val="center"/>
          </w:tcPr>
          <w:p>
            <w:pPr>
              <w:spacing w:line="600" w:lineRule="exact"/>
              <w:ind w:firstLine="422" w:firstLineChars="200"/>
              <w:jc w:val="left"/>
              <w:rPr>
                <w:color w:val="auto"/>
                <w:highlight w:val="none"/>
              </w:rPr>
            </w:pPr>
            <w:r>
              <w:rPr>
                <w:rFonts w:hint="eastAsia"/>
                <w:b/>
                <w:color w:val="auto"/>
                <w:highlight w:val="none"/>
              </w:rPr>
              <w:t>孪生建模层</w:t>
            </w:r>
            <w:r>
              <w:rPr>
                <w:rFonts w:hint="eastAsia"/>
                <w:color w:val="auto"/>
                <w:highlight w:val="none"/>
              </w:rPr>
              <w:t>的技术方案和在方案中投标人自行考虑并提供服务所需的设备清单（含数量、型号、品牌等），设备和方案应能满足在</w:t>
            </w:r>
            <w:r>
              <w:rPr>
                <w:rFonts w:hint="eastAsia"/>
                <w:b/>
                <w:bCs/>
                <w:color w:val="auto"/>
                <w:highlight w:val="none"/>
              </w:rPr>
              <w:t>功能要求</w:t>
            </w:r>
            <w:r>
              <w:rPr>
                <w:rFonts w:hint="eastAsia"/>
                <w:color w:val="auto"/>
                <w:highlight w:val="none"/>
              </w:rPr>
              <w:t>中所达到实际效果的要求。</w:t>
            </w:r>
          </w:p>
          <w:p>
            <w:pPr>
              <w:spacing w:line="600" w:lineRule="exact"/>
              <w:ind w:firstLine="422" w:firstLineChars="200"/>
              <w:jc w:val="left"/>
              <w:rPr>
                <w:b/>
                <w:bCs/>
                <w:color w:val="auto"/>
                <w:highlight w:val="none"/>
              </w:rPr>
            </w:pPr>
            <w:r>
              <w:rPr>
                <w:rFonts w:hint="eastAsia"/>
                <w:b/>
                <w:bCs/>
                <w:color w:val="auto"/>
                <w:highlight w:val="none"/>
              </w:rPr>
              <w:t>（方案符合要求，内容完整、充实的得</w:t>
            </w:r>
            <w:r>
              <w:rPr>
                <w:b/>
                <w:bCs/>
                <w:color w:val="auto"/>
                <w:highlight w:val="none"/>
              </w:rPr>
              <w:t>3</w:t>
            </w:r>
            <w:r>
              <w:rPr>
                <w:rFonts w:hint="eastAsia"/>
                <w:b/>
                <w:bCs/>
                <w:color w:val="auto"/>
                <w:highlight w:val="none"/>
              </w:rPr>
              <w:t>分；方案符合要求，内容完整，但有所欠缺的得2分；方案符合要求，但内容不完整的得1分，没有不得分。）</w:t>
            </w:r>
          </w:p>
          <w:p>
            <w:pPr>
              <w:spacing w:line="600" w:lineRule="exact"/>
              <w:ind w:firstLine="420" w:firstLineChars="200"/>
              <w:jc w:val="left"/>
              <w:rPr>
                <w:color w:val="auto"/>
                <w:highlight w:val="none"/>
              </w:rPr>
            </w:pPr>
          </w:p>
        </w:tc>
        <w:tc>
          <w:tcPr>
            <w:tcW w:w="686" w:type="dxa"/>
            <w:vAlign w:val="center"/>
          </w:tcPr>
          <w:p>
            <w:pPr>
              <w:jc w:val="center"/>
              <w:rPr>
                <w:rFonts w:ascii="宋体" w:hAnsi="宋体" w:cs="宋体"/>
                <w:sz w:val="24"/>
              </w:rPr>
            </w:pPr>
            <w:r>
              <w:rPr>
                <w:rFonts w:hint="eastAsia" w:ascii="宋体" w:hAnsi="宋体" w:cs="宋体"/>
                <w:sz w:val="24"/>
              </w:rPr>
              <w:t>3分</w:t>
            </w:r>
          </w:p>
        </w:tc>
        <w:tc>
          <w:tcPr>
            <w:tcW w:w="1402" w:type="dxa"/>
            <w:vAlign w:val="center"/>
          </w:tcPr>
          <w:p>
            <w:pPr>
              <w:snapToGrid w:val="0"/>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1276" w:type="dxa"/>
          </w:tcPr>
          <w:p>
            <w:pPr>
              <w:spacing w:line="600" w:lineRule="exact"/>
              <w:ind w:firstLine="420" w:firstLineChars="200"/>
              <w:jc w:val="left"/>
            </w:pPr>
          </w:p>
        </w:tc>
        <w:tc>
          <w:tcPr>
            <w:tcW w:w="4007" w:type="dxa"/>
            <w:vAlign w:val="center"/>
          </w:tcPr>
          <w:p>
            <w:pPr>
              <w:spacing w:line="600" w:lineRule="exact"/>
              <w:ind w:firstLine="422" w:firstLineChars="200"/>
              <w:jc w:val="left"/>
              <w:rPr>
                <w:color w:val="auto"/>
                <w:highlight w:val="none"/>
              </w:rPr>
            </w:pPr>
            <w:r>
              <w:rPr>
                <w:rFonts w:hint="eastAsia"/>
                <w:b/>
                <w:color w:val="auto"/>
                <w:highlight w:val="none"/>
              </w:rPr>
              <w:t>仿真分析层</w:t>
            </w:r>
            <w:r>
              <w:rPr>
                <w:rFonts w:hint="eastAsia"/>
                <w:color w:val="auto"/>
                <w:highlight w:val="none"/>
              </w:rPr>
              <w:t>的技术方案和在方案中投标人自行考虑并提供服务所需的设备清单（含数量、型号、品牌等），设备和方案应能满足在</w:t>
            </w:r>
            <w:r>
              <w:rPr>
                <w:rFonts w:hint="eastAsia"/>
                <w:b/>
                <w:bCs/>
                <w:color w:val="auto"/>
                <w:highlight w:val="none"/>
              </w:rPr>
              <w:t>功能要求</w:t>
            </w:r>
            <w:r>
              <w:rPr>
                <w:rFonts w:hint="eastAsia"/>
                <w:color w:val="auto"/>
                <w:highlight w:val="none"/>
              </w:rPr>
              <w:t>中所达到实际效果的要求。</w:t>
            </w:r>
          </w:p>
          <w:p>
            <w:pPr>
              <w:spacing w:line="600" w:lineRule="exact"/>
              <w:ind w:firstLine="422" w:firstLineChars="200"/>
              <w:jc w:val="left"/>
              <w:rPr>
                <w:b/>
                <w:bCs/>
                <w:color w:val="auto"/>
                <w:highlight w:val="none"/>
              </w:rPr>
            </w:pPr>
            <w:r>
              <w:rPr>
                <w:rFonts w:hint="eastAsia"/>
                <w:b/>
                <w:bCs/>
                <w:color w:val="auto"/>
                <w:highlight w:val="none"/>
              </w:rPr>
              <w:t>（方案符合要求，内容完整、充实的得</w:t>
            </w:r>
            <w:r>
              <w:rPr>
                <w:b/>
                <w:bCs/>
                <w:color w:val="auto"/>
                <w:highlight w:val="none"/>
              </w:rPr>
              <w:t>3</w:t>
            </w:r>
            <w:r>
              <w:rPr>
                <w:rFonts w:hint="eastAsia"/>
                <w:b/>
                <w:bCs/>
                <w:color w:val="auto"/>
                <w:highlight w:val="none"/>
              </w:rPr>
              <w:t>分；方案符合要求，内容完整，但有所欠缺的得2分；方案符合要求，但内容不完整的得1分，没有不得分。）</w:t>
            </w:r>
          </w:p>
          <w:p>
            <w:pPr>
              <w:spacing w:line="600" w:lineRule="exact"/>
              <w:ind w:firstLine="420" w:firstLineChars="200"/>
              <w:jc w:val="left"/>
              <w:rPr>
                <w:color w:val="auto"/>
                <w:highlight w:val="none"/>
              </w:rPr>
            </w:pPr>
          </w:p>
        </w:tc>
        <w:tc>
          <w:tcPr>
            <w:tcW w:w="686" w:type="dxa"/>
            <w:vAlign w:val="center"/>
          </w:tcPr>
          <w:p>
            <w:pPr>
              <w:jc w:val="center"/>
              <w:rPr>
                <w:rFonts w:ascii="宋体" w:hAnsi="宋体" w:cs="宋体"/>
                <w:sz w:val="24"/>
              </w:rPr>
            </w:pPr>
            <w:r>
              <w:rPr>
                <w:rFonts w:hint="eastAsia" w:ascii="宋体" w:hAnsi="宋体" w:cs="宋体"/>
                <w:sz w:val="24"/>
              </w:rPr>
              <w:t>3分</w:t>
            </w:r>
          </w:p>
        </w:tc>
        <w:tc>
          <w:tcPr>
            <w:tcW w:w="1402" w:type="dxa"/>
            <w:vAlign w:val="center"/>
          </w:tcPr>
          <w:p>
            <w:pPr>
              <w:snapToGrid w:val="0"/>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1276" w:type="dxa"/>
          </w:tcPr>
          <w:p>
            <w:pPr>
              <w:spacing w:line="600" w:lineRule="exact"/>
              <w:ind w:firstLine="420" w:firstLineChars="200"/>
              <w:jc w:val="left"/>
            </w:pPr>
          </w:p>
        </w:tc>
        <w:tc>
          <w:tcPr>
            <w:tcW w:w="4007" w:type="dxa"/>
            <w:vAlign w:val="center"/>
          </w:tcPr>
          <w:p>
            <w:pPr>
              <w:spacing w:line="600" w:lineRule="exact"/>
              <w:ind w:firstLine="422" w:firstLineChars="200"/>
              <w:jc w:val="left"/>
              <w:rPr>
                <w:color w:val="auto"/>
                <w:highlight w:val="none"/>
              </w:rPr>
            </w:pPr>
            <w:r>
              <w:rPr>
                <w:rFonts w:hint="eastAsia"/>
                <w:b/>
                <w:color w:val="auto"/>
                <w:highlight w:val="none"/>
              </w:rPr>
              <w:t>决策辅助层</w:t>
            </w:r>
            <w:r>
              <w:rPr>
                <w:rFonts w:hint="eastAsia"/>
                <w:color w:val="auto"/>
                <w:highlight w:val="none"/>
              </w:rPr>
              <w:t>的技术方案和在方案中投标人自行考虑并提供服务所需的设备清单（含数量、型号、品牌等），设备和方案应能满足在</w:t>
            </w:r>
            <w:r>
              <w:rPr>
                <w:rFonts w:hint="eastAsia"/>
                <w:b/>
                <w:bCs/>
                <w:color w:val="auto"/>
                <w:highlight w:val="none"/>
              </w:rPr>
              <w:t>功能要求</w:t>
            </w:r>
            <w:r>
              <w:rPr>
                <w:rFonts w:hint="eastAsia"/>
                <w:color w:val="auto"/>
                <w:highlight w:val="none"/>
              </w:rPr>
              <w:t>中所达到实际效果的要求。</w:t>
            </w:r>
          </w:p>
          <w:p>
            <w:pPr>
              <w:spacing w:line="600" w:lineRule="exact"/>
              <w:ind w:firstLine="422" w:firstLineChars="200"/>
              <w:jc w:val="left"/>
              <w:rPr>
                <w:b/>
                <w:bCs/>
                <w:color w:val="auto"/>
                <w:highlight w:val="none"/>
              </w:rPr>
            </w:pPr>
            <w:r>
              <w:rPr>
                <w:rFonts w:hint="eastAsia"/>
                <w:b/>
                <w:bCs/>
                <w:color w:val="auto"/>
                <w:highlight w:val="none"/>
              </w:rPr>
              <w:t>（方案符合要求，内容完整、充实的得</w:t>
            </w:r>
            <w:r>
              <w:rPr>
                <w:b/>
                <w:bCs/>
                <w:color w:val="auto"/>
                <w:highlight w:val="none"/>
              </w:rPr>
              <w:t>3</w:t>
            </w:r>
            <w:r>
              <w:rPr>
                <w:rFonts w:hint="eastAsia"/>
                <w:b/>
                <w:bCs/>
                <w:color w:val="auto"/>
                <w:highlight w:val="none"/>
              </w:rPr>
              <w:t>分；方案符合要求，内容完整，但有所欠缺的得2分；方案符合要求，但内容不完整的得1分，没有不得分。）</w:t>
            </w:r>
          </w:p>
          <w:p>
            <w:pPr>
              <w:spacing w:line="600" w:lineRule="exact"/>
              <w:ind w:firstLine="420" w:firstLineChars="200"/>
              <w:jc w:val="left"/>
              <w:rPr>
                <w:color w:val="auto"/>
                <w:highlight w:val="none"/>
              </w:rPr>
            </w:pPr>
          </w:p>
        </w:tc>
        <w:tc>
          <w:tcPr>
            <w:tcW w:w="686" w:type="dxa"/>
            <w:vAlign w:val="center"/>
          </w:tcPr>
          <w:p>
            <w:pPr>
              <w:jc w:val="center"/>
              <w:rPr>
                <w:rFonts w:ascii="宋体" w:hAnsi="宋体" w:cs="宋体"/>
                <w:sz w:val="24"/>
              </w:rPr>
            </w:pPr>
            <w:r>
              <w:rPr>
                <w:rFonts w:hint="eastAsia" w:ascii="宋体" w:hAnsi="宋体" w:cs="宋体"/>
                <w:sz w:val="24"/>
              </w:rPr>
              <w:t>3分</w:t>
            </w:r>
          </w:p>
        </w:tc>
        <w:tc>
          <w:tcPr>
            <w:tcW w:w="1402" w:type="dxa"/>
            <w:vAlign w:val="center"/>
          </w:tcPr>
          <w:p>
            <w:pPr>
              <w:snapToGrid w:val="0"/>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1276" w:type="dxa"/>
          </w:tcPr>
          <w:p>
            <w:pPr>
              <w:spacing w:line="600" w:lineRule="exact"/>
              <w:ind w:firstLine="420" w:firstLineChars="200"/>
              <w:jc w:val="left"/>
            </w:pPr>
          </w:p>
        </w:tc>
        <w:tc>
          <w:tcPr>
            <w:tcW w:w="4007" w:type="dxa"/>
            <w:vAlign w:val="center"/>
          </w:tcPr>
          <w:p>
            <w:pPr>
              <w:spacing w:line="600" w:lineRule="exact"/>
              <w:ind w:firstLine="422" w:firstLineChars="200"/>
              <w:jc w:val="left"/>
              <w:rPr>
                <w:color w:val="auto"/>
                <w:highlight w:val="none"/>
              </w:rPr>
            </w:pPr>
            <w:r>
              <w:rPr>
                <w:rFonts w:hint="eastAsia"/>
                <w:b/>
                <w:color w:val="auto"/>
                <w:highlight w:val="none"/>
              </w:rPr>
              <w:t>综合呈现层</w:t>
            </w:r>
            <w:r>
              <w:rPr>
                <w:rFonts w:hint="eastAsia"/>
                <w:color w:val="auto"/>
                <w:highlight w:val="none"/>
              </w:rPr>
              <w:t>的技术方案和在方案中投标人自行考虑并提供服务所需的设备清单（含数量、型号、品牌等），设备和方案应能满足在</w:t>
            </w:r>
            <w:r>
              <w:rPr>
                <w:rFonts w:hint="eastAsia"/>
                <w:b/>
                <w:bCs/>
                <w:color w:val="auto"/>
                <w:highlight w:val="none"/>
              </w:rPr>
              <w:t>功能要求</w:t>
            </w:r>
            <w:r>
              <w:rPr>
                <w:rFonts w:hint="eastAsia"/>
                <w:color w:val="auto"/>
                <w:highlight w:val="none"/>
              </w:rPr>
              <w:t>中所达到实际效果的要求。</w:t>
            </w:r>
          </w:p>
          <w:p>
            <w:pPr>
              <w:spacing w:line="600" w:lineRule="exact"/>
              <w:ind w:firstLine="422" w:firstLineChars="200"/>
              <w:jc w:val="left"/>
              <w:rPr>
                <w:b/>
                <w:bCs/>
                <w:color w:val="auto"/>
                <w:highlight w:val="none"/>
              </w:rPr>
            </w:pPr>
            <w:r>
              <w:rPr>
                <w:rFonts w:hint="eastAsia"/>
                <w:b/>
                <w:bCs/>
                <w:color w:val="auto"/>
                <w:highlight w:val="none"/>
              </w:rPr>
              <w:t>（方案符合要求，内容完整、充实的得</w:t>
            </w:r>
            <w:r>
              <w:rPr>
                <w:b/>
                <w:bCs/>
                <w:color w:val="auto"/>
                <w:highlight w:val="none"/>
              </w:rPr>
              <w:t>3</w:t>
            </w:r>
            <w:r>
              <w:rPr>
                <w:rFonts w:hint="eastAsia"/>
                <w:b/>
                <w:bCs/>
                <w:color w:val="auto"/>
                <w:highlight w:val="none"/>
              </w:rPr>
              <w:t>分；方案符合要求，内容完整，但有所欠缺的得2分；方案符合要求，但内容不完整的得1分，没有不得分。）</w:t>
            </w:r>
          </w:p>
          <w:p>
            <w:pPr>
              <w:spacing w:line="600" w:lineRule="exact"/>
              <w:ind w:firstLine="420" w:firstLineChars="200"/>
              <w:jc w:val="left"/>
              <w:rPr>
                <w:color w:val="auto"/>
                <w:highlight w:val="none"/>
              </w:rPr>
            </w:pPr>
          </w:p>
        </w:tc>
        <w:tc>
          <w:tcPr>
            <w:tcW w:w="686" w:type="dxa"/>
            <w:vAlign w:val="center"/>
          </w:tcPr>
          <w:p>
            <w:pPr>
              <w:jc w:val="center"/>
              <w:rPr>
                <w:rFonts w:ascii="宋体" w:hAnsi="宋体" w:cs="宋体"/>
                <w:sz w:val="24"/>
              </w:rPr>
            </w:pPr>
            <w:r>
              <w:rPr>
                <w:rFonts w:hint="eastAsia" w:ascii="宋体" w:hAnsi="宋体" w:cs="宋体"/>
                <w:sz w:val="24"/>
              </w:rPr>
              <w:t>3分</w:t>
            </w:r>
          </w:p>
        </w:tc>
        <w:tc>
          <w:tcPr>
            <w:tcW w:w="1402" w:type="dxa"/>
            <w:vAlign w:val="center"/>
          </w:tcPr>
          <w:p>
            <w:pPr>
              <w:snapToGrid w:val="0"/>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1276" w:type="dxa"/>
          </w:tcPr>
          <w:p>
            <w:pPr>
              <w:spacing w:line="600" w:lineRule="exact"/>
              <w:jc w:val="left"/>
            </w:pPr>
            <w:r>
              <w:rPr>
                <w:rFonts w:hint="eastAsia"/>
              </w:rPr>
              <w:t>项目方案</w:t>
            </w:r>
          </w:p>
        </w:tc>
        <w:tc>
          <w:tcPr>
            <w:tcW w:w="4007" w:type="dxa"/>
            <w:vAlign w:val="center"/>
          </w:tcPr>
          <w:p>
            <w:pPr>
              <w:spacing w:line="600" w:lineRule="exact"/>
              <w:jc w:val="left"/>
            </w:pPr>
            <w:r>
              <w:rPr>
                <w:rFonts w:hint="eastAsia"/>
              </w:rPr>
              <w:t>根据投标人的项目管理方案和建议（包括项目质量保证、范围控制、文档管理、风险控制、人员控制、进度控制等）方案</w:t>
            </w:r>
            <w:r>
              <w:rPr>
                <w:rFonts w:hint="eastAsia"/>
                <w:b/>
                <w:bCs/>
              </w:rPr>
              <w:t>（方案符合要求，内容完整、充实的得3分；方案符合要求，内容完整，但有所欠缺的得2分；方案符合要求，但内容不完整的得1分，没有不得分。）</w:t>
            </w:r>
          </w:p>
        </w:tc>
        <w:tc>
          <w:tcPr>
            <w:tcW w:w="686" w:type="dxa"/>
            <w:vAlign w:val="center"/>
          </w:tcPr>
          <w:p>
            <w:pPr>
              <w:jc w:val="center"/>
              <w:rPr>
                <w:rFonts w:ascii="宋体" w:hAnsi="宋体" w:cs="宋体"/>
                <w:sz w:val="24"/>
              </w:rPr>
            </w:pPr>
            <w:r>
              <w:rPr>
                <w:rFonts w:hint="eastAsia" w:ascii="宋体" w:hAnsi="宋体" w:cs="宋体"/>
                <w:sz w:val="24"/>
              </w:rPr>
              <w:t>3</w:t>
            </w:r>
            <w:r>
              <w:rPr>
                <w:rFonts w:hint="eastAsia" w:asciiTheme="minorEastAsia" w:hAnsiTheme="minorEastAsia" w:eastAsiaTheme="minorEastAsia" w:cstheme="minorEastAsia"/>
                <w:sz w:val="24"/>
              </w:rPr>
              <w:t>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16</w:t>
            </w:r>
          </w:p>
        </w:tc>
        <w:tc>
          <w:tcPr>
            <w:tcW w:w="1276" w:type="dxa"/>
          </w:tcPr>
          <w:p>
            <w:pPr>
              <w:spacing w:line="600" w:lineRule="exact"/>
              <w:jc w:val="left"/>
            </w:pPr>
            <w:r>
              <w:rPr>
                <w:rFonts w:hint="eastAsia"/>
              </w:rPr>
              <w:t>培训计划</w:t>
            </w:r>
          </w:p>
        </w:tc>
        <w:tc>
          <w:tcPr>
            <w:tcW w:w="4007" w:type="dxa"/>
            <w:vAlign w:val="center"/>
          </w:tcPr>
          <w:p>
            <w:pPr>
              <w:spacing w:line="600" w:lineRule="exact"/>
              <w:jc w:val="left"/>
            </w:pPr>
            <w:r>
              <w:rPr>
                <w:rFonts w:hint="eastAsia"/>
              </w:rPr>
              <w:t>提供针对用户实际情况制定的培训计划、课程内容、培训方式、培训地点、培训人员师资力量等的方案。</w:t>
            </w:r>
            <w:r>
              <w:rPr>
                <w:rFonts w:hint="eastAsia"/>
                <w:b/>
                <w:bCs/>
              </w:rPr>
              <w:t>（方案符合要求，内容完整、充实的得</w:t>
            </w:r>
            <w:r>
              <w:rPr>
                <w:b/>
                <w:bCs/>
              </w:rPr>
              <w:t>3</w:t>
            </w:r>
            <w:r>
              <w:rPr>
                <w:rFonts w:hint="eastAsia"/>
                <w:b/>
                <w:bCs/>
              </w:rPr>
              <w:t>分；方案符合要求，内容完整，但有所欠缺的得3分；方案符合要求，但内容不完整的得1分，没有不得分。）</w:t>
            </w:r>
          </w:p>
        </w:tc>
        <w:tc>
          <w:tcPr>
            <w:tcW w:w="686" w:type="dxa"/>
            <w:vAlign w:val="center"/>
          </w:tcPr>
          <w:p>
            <w:pPr>
              <w:jc w:val="center"/>
              <w:rPr>
                <w:rFonts w:ascii="宋体" w:hAnsi="宋体" w:cs="宋体"/>
                <w:sz w:val="24"/>
              </w:rPr>
            </w:pPr>
            <w:r>
              <w:rPr>
                <w:rFonts w:ascii="宋体" w:hAnsi="宋体" w:cs="宋体" w:eastAsiaTheme="minorEastAsia"/>
                <w:sz w:val="24"/>
              </w:rPr>
              <w:t>3</w:t>
            </w:r>
            <w:r>
              <w:rPr>
                <w:rFonts w:hint="eastAsia" w:asciiTheme="minorEastAsia" w:hAnsiTheme="minorEastAsia" w:eastAsiaTheme="minorEastAsia" w:cstheme="minorEastAsia"/>
                <w:sz w:val="24"/>
              </w:rPr>
              <w:t>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17</w:t>
            </w:r>
          </w:p>
        </w:tc>
        <w:tc>
          <w:tcPr>
            <w:tcW w:w="1276" w:type="dxa"/>
          </w:tcPr>
          <w:p>
            <w:pPr>
              <w:spacing w:line="600" w:lineRule="exact"/>
              <w:jc w:val="left"/>
            </w:pPr>
            <w:r>
              <w:rPr>
                <w:rFonts w:hint="eastAsia"/>
              </w:rPr>
              <w:t>安全措施</w:t>
            </w:r>
          </w:p>
        </w:tc>
        <w:tc>
          <w:tcPr>
            <w:tcW w:w="4007" w:type="dxa"/>
            <w:vAlign w:val="center"/>
          </w:tcPr>
          <w:p>
            <w:pPr>
              <w:spacing w:line="600" w:lineRule="exact"/>
              <w:jc w:val="left"/>
            </w:pPr>
            <w:r>
              <w:rPr>
                <w:rFonts w:hint="eastAsia"/>
              </w:rPr>
              <w:t>提供针对用户实际情况制定的信息安全措施方案。</w:t>
            </w:r>
            <w:r>
              <w:rPr>
                <w:rFonts w:hint="eastAsia"/>
                <w:b/>
                <w:bCs/>
              </w:rPr>
              <w:t>（方案符合要求，内容完整、充实的得</w:t>
            </w:r>
            <w:r>
              <w:rPr>
                <w:b/>
                <w:bCs/>
              </w:rPr>
              <w:t>3</w:t>
            </w:r>
            <w:r>
              <w:rPr>
                <w:rFonts w:hint="eastAsia"/>
                <w:b/>
                <w:bCs/>
              </w:rPr>
              <w:t>分；方案符合要求，内容完整，但有所欠缺的得2分；方案符合要求，但内容不完整的得1分，没有不得分。）</w:t>
            </w:r>
          </w:p>
        </w:tc>
        <w:tc>
          <w:tcPr>
            <w:tcW w:w="686" w:type="dxa"/>
            <w:vAlign w:val="center"/>
          </w:tcPr>
          <w:p>
            <w:pPr>
              <w:jc w:val="center"/>
              <w:rPr>
                <w:rFonts w:ascii="宋体" w:hAnsi="宋体" w:cs="宋体"/>
                <w:sz w:val="24"/>
              </w:rPr>
            </w:pPr>
            <w:r>
              <w:rPr>
                <w:rFonts w:ascii="宋体" w:hAnsi="宋体" w:cs="宋体"/>
                <w:sz w:val="24"/>
              </w:rPr>
              <w:t>3</w:t>
            </w:r>
            <w:r>
              <w:rPr>
                <w:rFonts w:hint="eastAsia" w:ascii="宋体" w:hAnsi="宋体" w:cs="宋体"/>
                <w:sz w:val="24"/>
              </w:rPr>
              <w:t>分</w:t>
            </w:r>
          </w:p>
        </w:tc>
        <w:tc>
          <w:tcPr>
            <w:tcW w:w="1402" w:type="dxa"/>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18</w:t>
            </w:r>
          </w:p>
        </w:tc>
        <w:tc>
          <w:tcPr>
            <w:tcW w:w="1276" w:type="dxa"/>
          </w:tcPr>
          <w:p>
            <w:pPr>
              <w:spacing w:line="600" w:lineRule="exact"/>
              <w:jc w:val="left"/>
            </w:pPr>
            <w:r>
              <w:rPr>
                <w:rFonts w:hint="eastAsia"/>
              </w:rPr>
              <w:t>计划安排</w:t>
            </w:r>
          </w:p>
        </w:tc>
        <w:tc>
          <w:tcPr>
            <w:tcW w:w="4007" w:type="dxa"/>
            <w:vAlign w:val="center"/>
          </w:tcPr>
          <w:p>
            <w:pPr>
              <w:spacing w:line="600" w:lineRule="exact"/>
              <w:jc w:val="left"/>
            </w:pPr>
            <w:r>
              <w:rPr>
                <w:rFonts w:hint="eastAsia"/>
              </w:rPr>
              <w:t>提供针对本项目合同签订到初验合格时的详细计划安排措施方案</w:t>
            </w:r>
            <w:r>
              <w:rPr>
                <w:rFonts w:hint="eastAsia"/>
                <w:b/>
                <w:bCs/>
              </w:rPr>
              <w:t>（方案符合要求，内容完整、充实的得3分；方案符合要求，内容完整，但有所欠缺的得2分；方案符合要求，但内容不完整的得1分，没有不得分。）</w:t>
            </w:r>
          </w:p>
        </w:tc>
        <w:tc>
          <w:tcPr>
            <w:tcW w:w="686" w:type="dxa"/>
            <w:vAlign w:val="center"/>
          </w:tcPr>
          <w:p>
            <w:pPr>
              <w:jc w:val="center"/>
              <w:rPr>
                <w:rFonts w:ascii="宋体" w:hAnsi="宋体" w:cs="宋体"/>
                <w:sz w:val="24"/>
              </w:rPr>
            </w:pPr>
            <w:r>
              <w:rPr>
                <w:rFonts w:ascii="宋体" w:hAnsi="宋体" w:cs="宋体" w:eastAsiaTheme="minorEastAsia"/>
                <w:sz w:val="24"/>
              </w:rPr>
              <w:t>3</w:t>
            </w:r>
            <w:r>
              <w:rPr>
                <w:rFonts w:hint="eastAsia" w:asciiTheme="minorEastAsia" w:hAnsiTheme="minorEastAsia" w:eastAsiaTheme="minorEastAsia" w:cstheme="minorEastAsia"/>
                <w:sz w:val="24"/>
              </w:rPr>
              <w:t>分</w:t>
            </w:r>
          </w:p>
        </w:tc>
        <w:tc>
          <w:tcPr>
            <w:tcW w:w="1402" w:type="dxa"/>
            <w:vAlign w:val="center"/>
          </w:tcPr>
          <w:p>
            <w:pPr>
              <w:spacing w:line="360" w:lineRule="auto"/>
              <w:jc w:val="center"/>
              <w:outlineLvl w:val="0"/>
              <w:rPr>
                <w:rFonts w:cs="仿宋_GB2312" w:asciiTheme="minorEastAsia" w:hAnsiTheme="minorEastAsia" w:eastAsiaTheme="minorEastAsia"/>
                <w:sz w:val="24"/>
              </w:rPr>
            </w:pPr>
            <w:r>
              <w:rPr>
                <w:rFonts w:hint="eastAsia" w:asciiTheme="minorEastAsia" w:hAnsiTheme="minorEastAsia" w:eastAsiaTheme="minorEastAsia" w:cstheme="minorEastAsia"/>
                <w:bCs/>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19</w:t>
            </w:r>
          </w:p>
        </w:tc>
        <w:tc>
          <w:tcPr>
            <w:tcW w:w="1276" w:type="dxa"/>
          </w:tcPr>
          <w:p>
            <w:pPr>
              <w:spacing w:line="600" w:lineRule="exact"/>
              <w:jc w:val="left"/>
            </w:pPr>
            <w:r>
              <w:rPr>
                <w:rFonts w:hint="eastAsia"/>
              </w:rPr>
              <w:t>响应速度</w:t>
            </w:r>
          </w:p>
        </w:tc>
        <w:tc>
          <w:tcPr>
            <w:tcW w:w="4007" w:type="dxa"/>
            <w:vAlign w:val="center"/>
          </w:tcPr>
          <w:p>
            <w:pPr>
              <w:spacing w:line="600" w:lineRule="exact"/>
              <w:jc w:val="left"/>
              <w:rPr>
                <w:rFonts w:eastAsia="仿宋_GB2312"/>
              </w:rPr>
            </w:pPr>
            <w:r>
              <w:rPr>
                <w:rFonts w:hint="eastAsia"/>
              </w:rPr>
              <w:t>响应速度：承诺现场办公响应时间不超过1</w:t>
            </w:r>
            <w:r>
              <w:t>5</w:t>
            </w:r>
            <w:r>
              <w:rPr>
                <w:rFonts w:hint="eastAsia"/>
              </w:rPr>
              <w:t>分钟的得3分</w:t>
            </w:r>
            <w:r>
              <w:rPr>
                <w:rFonts w:hint="eastAsia"/>
                <w:b/>
                <w:bCs/>
              </w:rPr>
              <w:t>（格式自拟，无此承诺不得分）；</w:t>
            </w:r>
          </w:p>
        </w:tc>
        <w:tc>
          <w:tcPr>
            <w:tcW w:w="686" w:type="dxa"/>
            <w:vAlign w:val="center"/>
          </w:tcPr>
          <w:p>
            <w:pPr>
              <w:jc w:val="center"/>
              <w:rPr>
                <w:rFonts w:ascii="宋体" w:hAnsi="宋体" w:cs="宋体"/>
                <w:sz w:val="24"/>
              </w:rPr>
            </w:pPr>
            <w:r>
              <w:rPr>
                <w:rFonts w:ascii="宋体" w:hAnsi="宋体" w:cs="宋体" w:eastAsiaTheme="minorEastAsia"/>
                <w:sz w:val="24"/>
              </w:rPr>
              <w:t>3</w:t>
            </w:r>
            <w:r>
              <w:rPr>
                <w:rFonts w:hint="eastAsia" w:asciiTheme="minorEastAsia" w:hAnsiTheme="minorEastAsia" w:eastAsiaTheme="minorEastAsia" w:cstheme="minorEastAsia"/>
                <w:sz w:val="24"/>
              </w:rPr>
              <w:t>分</w:t>
            </w:r>
          </w:p>
        </w:tc>
        <w:tc>
          <w:tcPr>
            <w:tcW w:w="1402"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20</w:t>
            </w:r>
          </w:p>
        </w:tc>
        <w:tc>
          <w:tcPr>
            <w:tcW w:w="1276" w:type="dxa"/>
          </w:tcPr>
          <w:p>
            <w:pPr>
              <w:spacing w:line="360" w:lineRule="auto"/>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价格分</w:t>
            </w:r>
          </w:p>
        </w:tc>
        <w:tc>
          <w:tcPr>
            <w:tcW w:w="4007" w:type="dxa"/>
          </w:tcPr>
          <w:p>
            <w:pPr>
              <w:spacing w:line="360" w:lineRule="auto"/>
              <w:outlineLvl w:val="0"/>
            </w:pPr>
            <w:r>
              <w:rPr>
                <w:rFonts w:hint="eastAsia"/>
              </w:rPr>
              <w:t>有效投标报价的最低价作为评标基准价，其最低报价为满分；按［投标报价得分</w:t>
            </w:r>
            <w:r>
              <w:t>=（评标基准价/投标报价）*</w:t>
            </w:r>
            <w:r>
              <w:rPr>
                <w:rFonts w:hint="eastAsia"/>
              </w:rPr>
              <w:t>10</w:t>
            </w:r>
            <w:r>
              <w:t>］的计算公式计算。</w:t>
            </w:r>
          </w:p>
          <w:p>
            <w:pPr>
              <w:widowControl/>
              <w:shd w:val="clear" w:color="auto" w:fill="FFFFFF"/>
              <w:adjustRightInd/>
              <w:spacing w:after="225" w:line="315" w:lineRule="atLeast"/>
              <w:ind w:firstLine="420"/>
              <w:jc w:val="left"/>
            </w:pPr>
            <w:r>
              <w:t>评标过程中，不得去掉报价中的最高报价和最低报价。</w:t>
            </w:r>
          </w:p>
          <w:p>
            <w:pPr>
              <w:widowControl/>
              <w:shd w:val="clear" w:color="auto" w:fill="FFFFFF"/>
              <w:adjustRightInd/>
              <w:spacing w:after="225" w:line="315" w:lineRule="atLeast"/>
              <w:ind w:firstLine="420"/>
              <w:jc w:val="left"/>
            </w:pPr>
            <w:r>
              <w:rPr>
                <w:rFonts w:hint="eastAsia"/>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r>
              <w:t>。</w:t>
            </w:r>
          </w:p>
        </w:tc>
        <w:tc>
          <w:tcPr>
            <w:tcW w:w="686" w:type="dxa"/>
            <w:vAlign w:val="center"/>
          </w:tcPr>
          <w:p>
            <w:pPr>
              <w:spacing w:line="360" w:lineRule="auto"/>
              <w:jc w:val="center"/>
              <w:outlineLvl w:val="0"/>
              <w:rPr>
                <w:rFonts w:cs="仿宋_GB2312" w:asciiTheme="minorEastAsia" w:hAnsiTheme="minorEastAsia" w:eastAsiaTheme="minorEastAsia"/>
                <w:sz w:val="24"/>
              </w:rPr>
            </w:pPr>
            <w:r>
              <w:rPr>
                <w:rFonts w:hint="eastAsia" w:cs="仿宋_GB2312" w:asciiTheme="minorEastAsia" w:hAnsiTheme="minorEastAsia" w:eastAsiaTheme="minorEastAsia"/>
                <w:sz w:val="24"/>
              </w:rPr>
              <w:t>10分</w:t>
            </w:r>
          </w:p>
        </w:tc>
        <w:tc>
          <w:tcPr>
            <w:tcW w:w="1402" w:type="dxa"/>
            <w:vAlign w:val="center"/>
          </w:tcPr>
          <w:p>
            <w:pPr>
              <w:spacing w:line="360" w:lineRule="auto"/>
              <w:jc w:val="center"/>
              <w:outlineLvl w:val="0"/>
              <w:rPr>
                <w:rFonts w:cs="仿宋_GB2312" w:asciiTheme="minorEastAsia" w:hAnsiTheme="minorEastAsia" w:eastAsiaTheme="minorEastAsia"/>
                <w:sz w:val="24"/>
              </w:rPr>
            </w:pPr>
            <w:r>
              <w:rPr>
                <w:rFonts w:cs="仿宋_GB2312" w:asciiTheme="minorEastAsia" w:hAnsiTheme="minorEastAsia" w:eastAsiaTheme="minorEastAsia"/>
                <w:sz w:val="24"/>
              </w:rPr>
              <w:t>/</w:t>
            </w:r>
          </w:p>
        </w:tc>
      </w:tr>
    </w:tbl>
    <w:p/>
    <w:p/>
    <w:p>
      <w:pPr>
        <w:snapToGrid w:val="0"/>
        <w:spacing w:line="360" w:lineRule="auto"/>
        <w:rPr>
          <w:rFonts w:ascii="宋体" w:hAnsi="宋体" w:cs="宋体"/>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2"/>
        </w:rPr>
      </w:pPr>
      <w:r>
        <w:rPr>
          <w:rFonts w:hint="eastAsia" w:ascii="宋体" w:hAnsi="宋体" w:cs="宋体"/>
          <w:b/>
          <w:sz w:val="32"/>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snapToGrid w:val="0"/>
        <w:spacing w:line="360" w:lineRule="auto"/>
        <w:rPr>
          <w:rFonts w:cs="宋体"/>
        </w:rPr>
      </w:pPr>
      <w:r>
        <w:rPr>
          <w:rFonts w:hint="eastAsia" w:cs="宋体"/>
        </w:rPr>
        <w:t>5.1符合专业条件的供应商或者对招标文件作实质响应的供应商不足3家的；</w:t>
      </w:r>
    </w:p>
    <w:p>
      <w:pPr>
        <w:pStyle w:val="6"/>
        <w:snapToGrid w:val="0"/>
        <w:spacing w:line="360" w:lineRule="auto"/>
        <w:rPr>
          <w:rFonts w:cs="宋体"/>
        </w:rPr>
      </w:pPr>
      <w:r>
        <w:rPr>
          <w:rFonts w:hint="eastAsia" w:cs="宋体"/>
        </w:rPr>
        <w:t>5.2出现影响采购公正的违法、违规行为的；</w:t>
      </w:r>
    </w:p>
    <w:p>
      <w:pPr>
        <w:pStyle w:val="6"/>
        <w:snapToGrid w:val="0"/>
        <w:spacing w:line="360" w:lineRule="auto"/>
        <w:rPr>
          <w:rFonts w:cs="宋体"/>
        </w:rPr>
      </w:pPr>
      <w:r>
        <w:rPr>
          <w:rFonts w:hint="eastAsia" w:cs="宋体"/>
        </w:rPr>
        <w:t>5.3投标人的报价均超过了采购预算，采购人不能支付的；</w:t>
      </w:r>
    </w:p>
    <w:p>
      <w:pPr>
        <w:pStyle w:val="6"/>
        <w:snapToGrid w:val="0"/>
        <w:spacing w:line="360" w:lineRule="auto"/>
        <w:rPr>
          <w:rFonts w:cs="宋体"/>
        </w:rPr>
      </w:pPr>
      <w:r>
        <w:rPr>
          <w:rFonts w:hint="eastAsia" w:cs="宋体"/>
        </w:rPr>
        <w:t>5.4因重大变故，采购任务取消的。</w:t>
      </w:r>
    </w:p>
    <w:p>
      <w:pPr>
        <w:pStyle w:val="6"/>
        <w:snapToGrid w:val="0"/>
        <w:spacing w:line="360" w:lineRule="auto"/>
        <w:rPr>
          <w:rFonts w:cs="宋体"/>
        </w:rPr>
      </w:pPr>
      <w:r>
        <w:rPr>
          <w:rFonts w:hint="eastAsia" w:cs="宋体"/>
        </w:rPr>
        <w:t>废标后，采购代理机构应当将废标理由通知所有投标人。</w:t>
      </w:r>
    </w:p>
    <w:p>
      <w:pPr>
        <w:pStyle w:val="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6"/>
        <w:snapToGrid w:val="0"/>
        <w:spacing w:line="360" w:lineRule="auto"/>
        <w:rPr>
          <w:rFonts w:cs="宋体"/>
        </w:rPr>
      </w:pPr>
      <w:r>
        <w:rPr>
          <w:rFonts w:hint="eastAsia" w:cs="宋体"/>
        </w:rPr>
        <w:t>7.1未确定中标供应商的，终止本次政府采购活动，重新开展政府采购活动。</w:t>
      </w:r>
    </w:p>
    <w:p>
      <w:pPr>
        <w:pStyle w:val="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rPr>
      </w:pPr>
      <w:r>
        <w:rPr>
          <w:rFonts w:hint="eastAsia" w:cs="宋体"/>
        </w:rPr>
        <w:t>7.4政府采购合同已经履行，给采购人、供应商造成损失的，由责任人承担赔偿责任。</w:t>
      </w:r>
    </w:p>
    <w:p>
      <w:pPr>
        <w:pStyle w:val="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outlineLvl w:val="0"/>
        <w:rPr>
          <w:rFonts w:ascii="宋体" w:hAnsi="宋体" w:cs="宋体"/>
          <w:b/>
          <w:sz w:val="36"/>
          <w:szCs w:val="36"/>
        </w:rPr>
      </w:pPr>
      <w:bookmarkStart w:id="394" w:name="第五部分"/>
      <w:bookmarkStart w:id="395"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8"/>
        <w:spacing w:before="120" w:line="22" w:lineRule="atLeast"/>
        <w:rPr>
          <w:rFonts w:ascii="宋体" w:hAnsi="宋体" w:eastAsia="宋体" w:cs="宋体"/>
          <w:szCs w:val="24"/>
        </w:rPr>
      </w:pPr>
    </w:p>
    <w:p>
      <w:pPr>
        <w:pStyle w:val="59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40" w:right="1800" w:bottom="1440" w:left="1800" w:header="851" w:footer="851" w:gutter="0"/>
          <w:cols w:space="720" w:num="1"/>
          <w:docGrid w:linePitch="286" w:charSpace="0"/>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15367"/>
      <w:bookmarkStart w:id="397" w:name="_Toc28855"/>
      <w:bookmarkStart w:id="398" w:name="_Toc19273"/>
      <w:bookmarkStart w:id="399" w:name="_Toc22967"/>
      <w:bookmarkStart w:id="400" w:name="_Toc20421"/>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6311"/>
      <w:bookmarkStart w:id="402" w:name="_Toc18585"/>
      <w:bookmarkStart w:id="403" w:name="_Toc2918"/>
      <w:bookmarkStart w:id="404" w:name="_Toc6773"/>
      <w:bookmarkStart w:id="405" w:name="_Toc22185"/>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6" w:name="_Toc5635"/>
      <w:bookmarkStart w:id="407" w:name="_Toc21124"/>
      <w:bookmarkStart w:id="408" w:name="_Toc4929"/>
      <w:bookmarkStart w:id="409" w:name="_Toc1386"/>
      <w:bookmarkStart w:id="410"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sz w:val="24"/>
                <w:szCs w:val="24"/>
              </w:rPr>
            </w:pPr>
            <w:r>
              <w:rPr>
                <w:rFonts w:hAnsi="宋体"/>
                <w:sz w:val="24"/>
                <w:szCs w:val="24"/>
              </w:rPr>
              <w:t>序号</w:t>
            </w:r>
          </w:p>
        </w:tc>
        <w:tc>
          <w:tcPr>
            <w:tcW w:w="3402" w:type="dxa"/>
            <w:vAlign w:val="center"/>
          </w:tcPr>
          <w:p>
            <w:pPr>
              <w:pStyle w:val="319"/>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9"/>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9"/>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1" w:name="_Toc3654"/>
      <w:bookmarkStart w:id="412" w:name="_Toc26916"/>
      <w:bookmarkStart w:id="413" w:name="_Toc30506"/>
      <w:bookmarkStart w:id="414" w:name="_Toc14993"/>
      <w:bookmarkStart w:id="415" w:name="_Toc30158"/>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1"/>
    <w:bookmarkEnd w:id="412"/>
    <w:bookmarkEnd w:id="413"/>
    <w:bookmarkEnd w:id="414"/>
    <w:bookmarkEnd w:id="415"/>
    <w:p>
      <w:pPr>
        <w:pStyle w:val="959"/>
        <w:spacing w:before="0" w:beforeAutospacing="0" w:after="0" w:afterAutospacing="0" w:line="360" w:lineRule="auto"/>
        <w:ind w:firstLine="480"/>
        <w:rPr>
          <w:b/>
        </w:rPr>
      </w:pPr>
      <w:bookmarkStart w:id="416" w:name="_Toc1814"/>
      <w:bookmarkStart w:id="417" w:name="_Toc10340"/>
      <w:bookmarkStart w:id="418" w:name="_Toc22618"/>
      <w:bookmarkStart w:id="419" w:name="_Toc11108"/>
      <w:bookmarkStart w:id="420" w:name="_Toc8772"/>
      <w:bookmarkStart w:id="421" w:name="_Toc3625"/>
      <w:bookmarkStart w:id="422" w:name="_Toc4760"/>
      <w:bookmarkStart w:id="423" w:name="_Toc31421"/>
      <w:r>
        <w:rPr>
          <w:rFonts w:hint="eastAsia"/>
          <w:b/>
        </w:rPr>
        <w:t>1.4履约保证金</w:t>
      </w:r>
    </w:p>
    <w:p>
      <w:pPr>
        <w:pStyle w:val="95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6"/>
      <w:bookmarkEnd w:id="417"/>
      <w:bookmarkEnd w:id="418"/>
      <w:r>
        <w:rPr>
          <w:rFonts w:hint="eastAsia" w:ascii="宋体" w:hAnsi="宋体" w:cs="宋体"/>
          <w:b/>
          <w:sz w:val="24"/>
        </w:rPr>
        <w:t>预付款</w:t>
      </w:r>
    </w:p>
    <w:p>
      <w:pPr>
        <w:pStyle w:val="95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b/>
          <w:bCs/>
        </w:rPr>
      </w:pPr>
      <w:r>
        <w:rPr>
          <w:rFonts w:hint="eastAsia"/>
          <w:b/>
          <w:bCs/>
        </w:rPr>
        <w:t>1.6资金支付</w:t>
      </w:r>
    </w:p>
    <w:p>
      <w:pPr>
        <w:pStyle w:val="95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9"/>
      <w:bookmarkEnd w:id="420"/>
      <w:bookmarkEnd w:id="421"/>
      <w:bookmarkEnd w:id="422"/>
      <w:bookmarkEnd w:id="423"/>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4" w:name="_Toc24662"/>
      <w:bookmarkStart w:id="425" w:name="_Toc8586"/>
      <w:bookmarkStart w:id="426" w:name="_Toc5698"/>
      <w:bookmarkStart w:id="427" w:name="_Toc3079"/>
      <w:bookmarkStart w:id="428"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9" w:name="_Toc26807"/>
      <w:bookmarkStart w:id="430" w:name="_Toc9497"/>
      <w:bookmarkStart w:id="431" w:name="_Toc30329"/>
      <w:bookmarkStart w:id="432" w:name="_Toc18683"/>
      <w:bookmarkStart w:id="433"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sz w:val="24"/>
        </w:rPr>
      </w:pPr>
      <w:bookmarkStart w:id="434" w:name="_Toc15583"/>
      <w:bookmarkStart w:id="435" w:name="_Toc16021"/>
      <w:bookmarkStart w:id="436" w:name="_Toc28375"/>
      <w:r>
        <w:rPr>
          <w:rFonts w:hint="eastAsia" w:ascii="宋体" w:hAnsi="宋体" w:cs="宋体"/>
          <w:b/>
          <w:sz w:val="24"/>
        </w:rPr>
        <w:t>1.9合同争议的解决</w:t>
      </w:r>
      <w:bookmarkEnd w:id="434"/>
      <w:bookmarkEnd w:id="435"/>
      <w:bookmarkEnd w:id="436"/>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7" w:name="_Toc15322"/>
      <w:bookmarkStart w:id="438" w:name="_Toc11173"/>
      <w:bookmarkStart w:id="439" w:name="_Toc7245"/>
      <w:r>
        <w:rPr>
          <w:rFonts w:hint="eastAsia" w:ascii="宋体" w:hAnsi="宋体" w:cs="宋体"/>
          <w:b/>
          <w:sz w:val="24"/>
        </w:rPr>
        <w:t>2.0 合同生效</w:t>
      </w:r>
      <w:bookmarkEnd w:id="437"/>
      <w:bookmarkEnd w:id="438"/>
      <w:bookmarkEnd w:id="439"/>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1"/>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0" w:name="_Toc14021"/>
      <w:bookmarkStart w:id="441" w:name="_Toc19680"/>
      <w:bookmarkStart w:id="442" w:name="_Toc25079"/>
      <w:bookmarkStart w:id="443" w:name="_Toc31297"/>
      <w:bookmarkStart w:id="444" w:name="_Toc5228"/>
      <w:r>
        <w:rPr>
          <w:rFonts w:ascii="宋体" w:hAnsi="宋体"/>
          <w:b/>
          <w:sz w:val="24"/>
        </w:rPr>
        <w:t>2.1 定义</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5" w:name="_Toc3769"/>
      <w:bookmarkStart w:id="446" w:name="_Toc19539"/>
      <w:bookmarkStart w:id="447" w:name="_Toc23289"/>
      <w:bookmarkStart w:id="448" w:name="_Toc31402"/>
      <w:bookmarkStart w:id="449" w:name="_Toc16752"/>
      <w:r>
        <w:rPr>
          <w:rFonts w:ascii="宋体" w:hAnsi="宋体"/>
          <w:b/>
          <w:sz w:val="24"/>
        </w:rPr>
        <w:t>2.2 技术规范</w:t>
      </w:r>
      <w:bookmarkEnd w:id="445"/>
      <w:bookmarkEnd w:id="446"/>
      <w:bookmarkEnd w:id="447"/>
      <w:bookmarkEnd w:id="448"/>
      <w:bookmarkEnd w:id="44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0" w:name="_Toc27945"/>
      <w:bookmarkStart w:id="451" w:name="_Toc9161"/>
      <w:bookmarkStart w:id="452" w:name="_Toc12412"/>
      <w:bookmarkStart w:id="453" w:name="_Toc13673"/>
      <w:bookmarkStart w:id="454" w:name="_Toc4133"/>
      <w:r>
        <w:rPr>
          <w:rFonts w:ascii="宋体" w:hAnsi="宋体"/>
          <w:b/>
          <w:sz w:val="24"/>
        </w:rPr>
        <w:t>2.3 知识产权</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5" w:name="_Toc15447"/>
      <w:bookmarkStart w:id="456" w:name="_Toc32670"/>
      <w:bookmarkStart w:id="457" w:name="_Toc26555"/>
      <w:bookmarkStart w:id="458" w:name="_Toc31233"/>
      <w:bookmarkStart w:id="459" w:name="_Toc22011"/>
      <w:r>
        <w:rPr>
          <w:rFonts w:ascii="宋体" w:hAnsi="宋体"/>
          <w:b/>
          <w:sz w:val="24"/>
        </w:rPr>
        <w:t>2.5 结算方式和付款条件</w:t>
      </w:r>
      <w:bookmarkEnd w:id="455"/>
      <w:bookmarkEnd w:id="456"/>
      <w:bookmarkEnd w:id="457"/>
      <w:bookmarkEnd w:id="458"/>
      <w:bookmarkEnd w:id="459"/>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0" w:name="_Toc16163"/>
      <w:bookmarkStart w:id="461" w:name="_Toc30507"/>
      <w:bookmarkStart w:id="462" w:name="_Toc13467"/>
      <w:bookmarkStart w:id="463" w:name="_Toc13154"/>
      <w:bookmarkStart w:id="464" w:name="_Toc18990"/>
      <w:r>
        <w:rPr>
          <w:rFonts w:ascii="宋体" w:hAnsi="宋体"/>
          <w:b/>
          <w:sz w:val="24"/>
        </w:rPr>
        <w:t>2.6 技术资料和保密义务</w:t>
      </w:r>
      <w:bookmarkEnd w:id="460"/>
      <w:bookmarkEnd w:id="461"/>
      <w:bookmarkEnd w:id="462"/>
      <w:bookmarkEnd w:id="463"/>
      <w:bookmarkEnd w:id="464"/>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5" w:name="_Toc19069"/>
      <w:r>
        <w:rPr>
          <w:rFonts w:ascii="宋体" w:hAnsi="宋体"/>
          <w:b/>
          <w:sz w:val="24"/>
        </w:rPr>
        <w:t xml:space="preserve">2.7 </w:t>
      </w:r>
      <w:r>
        <w:rPr>
          <w:rFonts w:hint="eastAsia" w:ascii="宋体" w:hAnsi="宋体"/>
          <w:b/>
          <w:sz w:val="24"/>
        </w:rPr>
        <w:t>质量保证</w:t>
      </w:r>
      <w:bookmarkEnd w:id="46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6" w:name="_Toc22267"/>
      <w:r>
        <w:rPr>
          <w:rFonts w:ascii="宋体" w:hAnsi="宋体"/>
          <w:b/>
          <w:sz w:val="24"/>
        </w:rPr>
        <w:t xml:space="preserve">2.8 </w:t>
      </w:r>
      <w:r>
        <w:rPr>
          <w:rFonts w:hint="eastAsia" w:ascii="宋体" w:hAnsi="宋体"/>
          <w:b/>
          <w:sz w:val="24"/>
        </w:rPr>
        <w:t>延迟履行</w:t>
      </w:r>
      <w:bookmarkEnd w:id="466"/>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7" w:name="_Toc10611"/>
      <w:r>
        <w:rPr>
          <w:rFonts w:ascii="宋体" w:hAnsi="宋体"/>
          <w:b/>
          <w:sz w:val="24"/>
        </w:rPr>
        <w:t xml:space="preserve">2.9 </w:t>
      </w:r>
      <w:r>
        <w:rPr>
          <w:rFonts w:hint="eastAsia" w:ascii="宋体" w:hAnsi="宋体"/>
          <w:b/>
          <w:sz w:val="24"/>
        </w:rPr>
        <w:t>合同变更</w:t>
      </w:r>
      <w:bookmarkEnd w:id="46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8" w:name="_Toc21830"/>
      <w:bookmarkStart w:id="469" w:name="_Toc10663"/>
      <w:bookmarkStart w:id="470" w:name="_Toc23368"/>
      <w:bookmarkStart w:id="471" w:name="_Toc26689"/>
      <w:bookmarkStart w:id="472" w:name="_Toc42"/>
      <w:r>
        <w:rPr>
          <w:rFonts w:ascii="宋体" w:hAnsi="宋体"/>
          <w:b/>
          <w:sz w:val="24"/>
        </w:rPr>
        <w:t>2.10 合同转让和分包</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3" w:name="_Toc14371"/>
      <w:bookmarkStart w:id="474" w:name="_Toc26633"/>
      <w:bookmarkStart w:id="475" w:name="_Toc4720"/>
      <w:bookmarkStart w:id="476" w:name="_Toc32494"/>
      <w:bookmarkStart w:id="477" w:name="_Toc25571"/>
      <w:r>
        <w:rPr>
          <w:rFonts w:ascii="宋体" w:hAnsi="宋体"/>
          <w:b/>
          <w:sz w:val="24"/>
        </w:rPr>
        <w:t>2.11 不可抗力</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8" w:name="_Toc3638"/>
      <w:bookmarkStart w:id="479" w:name="_Toc24465"/>
      <w:bookmarkStart w:id="480" w:name="_Toc14115"/>
      <w:bookmarkStart w:id="481" w:name="_Toc25783"/>
      <w:bookmarkStart w:id="482" w:name="_Toc23854"/>
      <w:r>
        <w:rPr>
          <w:rFonts w:ascii="宋体" w:hAnsi="宋体"/>
          <w:b/>
          <w:sz w:val="24"/>
        </w:rPr>
        <w:t>2.12 税费</w:t>
      </w:r>
      <w:bookmarkEnd w:id="478"/>
      <w:bookmarkEnd w:id="479"/>
      <w:bookmarkEnd w:id="480"/>
      <w:bookmarkEnd w:id="481"/>
      <w:bookmarkEnd w:id="482"/>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3" w:name="_Toc30105"/>
      <w:bookmarkStart w:id="484" w:name="_Toc26883"/>
      <w:bookmarkStart w:id="485" w:name="_Toc25525"/>
      <w:bookmarkStart w:id="486" w:name="_Toc14814"/>
      <w:bookmarkStart w:id="487" w:name="_Toc7315"/>
      <w:r>
        <w:rPr>
          <w:rFonts w:ascii="宋体" w:hAnsi="宋体"/>
          <w:b/>
          <w:sz w:val="24"/>
        </w:rPr>
        <w:t>2.13 乙方破产</w:t>
      </w:r>
      <w:bookmarkEnd w:id="483"/>
      <w:bookmarkEnd w:id="484"/>
      <w:bookmarkEnd w:id="485"/>
      <w:bookmarkEnd w:id="486"/>
      <w:bookmarkEnd w:id="487"/>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8" w:name="_Toc1123"/>
      <w:bookmarkStart w:id="489" w:name="_Toc23323"/>
      <w:bookmarkStart w:id="490" w:name="_Toc2016"/>
      <w:r>
        <w:rPr>
          <w:rFonts w:ascii="宋体" w:hAnsi="宋体"/>
          <w:b/>
          <w:sz w:val="24"/>
        </w:rPr>
        <w:t>2.14 合同中止、终止</w:t>
      </w:r>
      <w:bookmarkEnd w:id="488"/>
      <w:bookmarkEnd w:id="489"/>
      <w:bookmarkEnd w:id="490"/>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1" w:name="_Toc14525"/>
      <w:bookmarkStart w:id="492" w:name="_Toc1969"/>
      <w:bookmarkStart w:id="493" w:name="_Toc17363"/>
      <w:r>
        <w:rPr>
          <w:rFonts w:ascii="宋体" w:hAnsi="宋体"/>
          <w:b/>
          <w:sz w:val="24"/>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4" w:name="_Toc2308"/>
      <w:bookmarkStart w:id="495" w:name="_Toc31892"/>
      <w:bookmarkStart w:id="496" w:name="_Toc12666"/>
      <w:bookmarkStart w:id="497" w:name="_Toc25198"/>
      <w:bookmarkStart w:id="498" w:name="_Toc9808"/>
      <w:r>
        <w:rPr>
          <w:rFonts w:ascii="宋体" w:hAnsi="宋体"/>
          <w:b/>
          <w:sz w:val="24"/>
        </w:rPr>
        <w:t>2.16 通知和送达</w:t>
      </w:r>
      <w:bookmarkEnd w:id="494"/>
      <w:bookmarkEnd w:id="495"/>
      <w:bookmarkEnd w:id="496"/>
      <w:bookmarkEnd w:id="497"/>
      <w:bookmarkEnd w:id="498"/>
    </w:p>
    <w:p>
      <w:pPr>
        <w:spacing w:line="560" w:lineRule="exact"/>
        <w:ind w:firstLine="480" w:firstLineChars="200"/>
        <w:rPr>
          <w:rFonts w:ascii="宋体" w:hAnsi="宋体"/>
          <w:sz w:val="24"/>
        </w:rPr>
      </w:pPr>
      <w:bookmarkStart w:id="499" w:name="_Toc18401"/>
      <w:bookmarkStart w:id="500"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9"/>
      <w:bookmarkEnd w:id="500"/>
    </w:p>
    <w:p>
      <w:pPr>
        <w:spacing w:line="560" w:lineRule="exact"/>
        <w:ind w:firstLine="482" w:firstLineChars="200"/>
        <w:outlineLvl w:val="0"/>
        <w:rPr>
          <w:rFonts w:ascii="宋体" w:hAnsi="宋体"/>
          <w:b/>
          <w:sz w:val="24"/>
        </w:rPr>
      </w:pPr>
      <w:bookmarkStart w:id="501" w:name="_Toc5063"/>
      <w:bookmarkStart w:id="502" w:name="_Toc20808"/>
      <w:bookmarkStart w:id="503" w:name="_Toc12254"/>
      <w:bookmarkStart w:id="504" w:name="_Toc28906"/>
      <w:bookmarkStart w:id="505"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1"/>
      <w:bookmarkEnd w:id="502"/>
      <w:bookmarkEnd w:id="503"/>
      <w:bookmarkEnd w:id="504"/>
      <w:bookmarkEnd w:id="505"/>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6" w:name="_Toc4355"/>
      <w:bookmarkStart w:id="507" w:name="_Toc18540"/>
      <w:bookmarkStart w:id="508" w:name="_Toc30599"/>
      <w:r>
        <w:rPr>
          <w:rFonts w:hint="eastAsia" w:ascii="宋体" w:hAnsi="宋体" w:cs="宋体"/>
          <w:b/>
          <w:sz w:val="24"/>
        </w:rPr>
        <w:t>2.18 计量单位</w:t>
      </w:r>
      <w:bookmarkEnd w:id="506"/>
      <w:bookmarkEnd w:id="507"/>
      <w:bookmarkEnd w:id="50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9" w:name="_Toc331685784"/>
      <w:r>
        <w:rPr>
          <w:rFonts w:hint="eastAsia" w:ascii="宋体" w:hAnsi="宋体" w:cs="宋体"/>
          <w:b/>
          <w:sz w:val="24"/>
        </w:rPr>
        <w:t xml:space="preserve"> </w:t>
      </w:r>
      <w:bookmarkEnd w:id="509"/>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05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9"/>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69"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088"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088"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088"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088" w:type="dxa"/>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088"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9" w:type="dxa"/>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8088" w:type="dxa"/>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0" w:name="_Hlk101257010"/>
      <w:r>
        <w:rPr>
          <w:rFonts w:hint="eastAsia" w:ascii="宋体" w:hAnsi="宋体" w:cs="宋体"/>
          <w:color w:val="FF0000"/>
          <w:sz w:val="24"/>
        </w:rPr>
        <w:t>（如果有)</w:t>
      </w:r>
      <w:bookmarkEnd w:id="510"/>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37"/>
        <w:gridCol w:w="1223"/>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03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22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03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模型构建渲染费用</w:t>
            </w:r>
          </w:p>
        </w:tc>
        <w:tc>
          <w:tcPr>
            <w:tcW w:w="1223" w:type="dxa"/>
            <w:vAlign w:val="center"/>
          </w:tcPr>
          <w:p>
            <w:pPr>
              <w:widowControl/>
              <w:jc w:val="center"/>
              <w:rPr>
                <w:rFonts w:ascii="仿宋" w:hAnsi="仿宋" w:eastAsia="仿宋"/>
                <w:color w:val="auto"/>
                <w:kern w:val="0"/>
                <w:sz w:val="24"/>
                <w:highlight w:val="none"/>
              </w:rPr>
            </w:pPr>
          </w:p>
        </w:tc>
        <w:tc>
          <w:tcPr>
            <w:tcW w:w="2410" w:type="dxa"/>
            <w:vAlign w:val="center"/>
          </w:tcPr>
          <w:p>
            <w:pPr>
              <w:widowControl/>
              <w:jc w:val="center"/>
              <w:rPr>
                <w:rFonts w:ascii="仿宋" w:hAnsi="仿宋" w:eastAsia="仿宋"/>
                <w:color w:val="auto"/>
                <w:kern w:val="0"/>
                <w:sz w:val="24"/>
                <w:highlight w:val="none"/>
              </w:rPr>
            </w:pPr>
          </w:p>
        </w:tc>
        <w:tc>
          <w:tcPr>
            <w:tcW w:w="2268" w:type="dxa"/>
            <w:vAlign w:val="center"/>
          </w:tcPr>
          <w:p>
            <w:pPr>
              <w:widowControl/>
              <w:jc w:val="center"/>
              <w:rPr>
                <w:rFonts w:ascii="仿宋" w:hAnsi="仿宋" w:eastAsia="仿宋"/>
                <w:color w:val="auto"/>
                <w:kern w:val="0"/>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03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应用软件费用</w:t>
            </w:r>
          </w:p>
        </w:tc>
        <w:tc>
          <w:tcPr>
            <w:tcW w:w="1223" w:type="dxa"/>
            <w:vAlign w:val="center"/>
          </w:tcPr>
          <w:p>
            <w:pPr>
              <w:widowControl/>
              <w:jc w:val="center"/>
              <w:rPr>
                <w:rFonts w:ascii="仿宋" w:hAnsi="仿宋" w:eastAsia="仿宋"/>
                <w:color w:val="auto"/>
                <w:kern w:val="0"/>
                <w:sz w:val="24"/>
                <w:highlight w:val="none"/>
              </w:rPr>
            </w:pPr>
          </w:p>
        </w:tc>
        <w:tc>
          <w:tcPr>
            <w:tcW w:w="2410" w:type="dxa"/>
            <w:vAlign w:val="center"/>
          </w:tcPr>
          <w:p>
            <w:pPr>
              <w:widowControl/>
              <w:jc w:val="center"/>
              <w:rPr>
                <w:rFonts w:ascii="仿宋" w:hAnsi="仿宋" w:eastAsia="仿宋"/>
                <w:color w:val="auto"/>
                <w:kern w:val="0"/>
                <w:sz w:val="24"/>
                <w:highlight w:val="none"/>
              </w:rPr>
            </w:pPr>
          </w:p>
        </w:tc>
        <w:tc>
          <w:tcPr>
            <w:tcW w:w="2268" w:type="dxa"/>
            <w:vAlign w:val="center"/>
          </w:tcPr>
          <w:p>
            <w:pPr>
              <w:widowControl/>
              <w:jc w:val="center"/>
              <w:rPr>
                <w:rFonts w:ascii="仿宋" w:hAnsi="仿宋" w:eastAsia="仿宋"/>
                <w:color w:val="auto"/>
                <w:kern w:val="0"/>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203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机房改造费用</w:t>
            </w:r>
          </w:p>
        </w:tc>
        <w:tc>
          <w:tcPr>
            <w:tcW w:w="1223" w:type="dxa"/>
            <w:vAlign w:val="center"/>
          </w:tcPr>
          <w:p>
            <w:pPr>
              <w:widowControl/>
              <w:jc w:val="center"/>
              <w:rPr>
                <w:rFonts w:ascii="仿宋" w:hAnsi="仿宋" w:eastAsia="仿宋"/>
                <w:color w:val="auto"/>
                <w:kern w:val="0"/>
                <w:sz w:val="24"/>
                <w:highlight w:val="none"/>
              </w:rPr>
            </w:pPr>
          </w:p>
        </w:tc>
        <w:tc>
          <w:tcPr>
            <w:tcW w:w="2410" w:type="dxa"/>
            <w:vAlign w:val="center"/>
          </w:tcPr>
          <w:p>
            <w:pPr>
              <w:widowControl/>
              <w:jc w:val="center"/>
              <w:rPr>
                <w:rFonts w:ascii="仿宋" w:hAnsi="仿宋" w:eastAsia="仿宋"/>
                <w:color w:val="auto"/>
                <w:kern w:val="0"/>
                <w:sz w:val="24"/>
                <w:highlight w:val="none"/>
              </w:rPr>
            </w:pPr>
          </w:p>
        </w:tc>
        <w:tc>
          <w:tcPr>
            <w:tcW w:w="2268" w:type="dxa"/>
            <w:vAlign w:val="center"/>
          </w:tcPr>
          <w:p>
            <w:pPr>
              <w:widowControl/>
              <w:jc w:val="center"/>
              <w:rPr>
                <w:rFonts w:ascii="仿宋" w:hAnsi="仿宋" w:eastAsia="仿宋"/>
                <w:color w:val="auto"/>
                <w:kern w:val="0"/>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203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硬件设备购置费用</w:t>
            </w:r>
          </w:p>
        </w:tc>
        <w:tc>
          <w:tcPr>
            <w:tcW w:w="1223" w:type="dxa"/>
            <w:vAlign w:val="center"/>
          </w:tcPr>
          <w:p>
            <w:pPr>
              <w:widowControl/>
              <w:jc w:val="center"/>
              <w:rPr>
                <w:rFonts w:ascii="仿宋" w:hAnsi="仿宋" w:eastAsia="仿宋"/>
                <w:color w:val="auto"/>
                <w:sz w:val="24"/>
                <w:highlight w:val="none"/>
              </w:rPr>
            </w:pPr>
          </w:p>
        </w:tc>
        <w:tc>
          <w:tcPr>
            <w:tcW w:w="2410" w:type="dxa"/>
            <w:vAlign w:val="center"/>
          </w:tcPr>
          <w:p>
            <w:pPr>
              <w:widowControl/>
              <w:jc w:val="center"/>
              <w:rPr>
                <w:rFonts w:ascii="仿宋" w:hAnsi="仿宋" w:eastAsia="仿宋"/>
                <w:color w:val="auto"/>
                <w:kern w:val="0"/>
                <w:sz w:val="24"/>
                <w:highlight w:val="none"/>
              </w:rPr>
            </w:pPr>
          </w:p>
        </w:tc>
        <w:tc>
          <w:tcPr>
            <w:tcW w:w="2268" w:type="dxa"/>
            <w:vAlign w:val="center"/>
          </w:tcPr>
          <w:p>
            <w:pPr>
              <w:widowControl/>
              <w:jc w:val="center"/>
              <w:rPr>
                <w:rFonts w:ascii="仿宋" w:hAnsi="仿宋" w:eastAsia="仿宋"/>
                <w:color w:val="auto"/>
                <w:kern w:val="0"/>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203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项目终验合格后三年运营维护费</w:t>
            </w:r>
          </w:p>
        </w:tc>
        <w:tc>
          <w:tcPr>
            <w:tcW w:w="1223" w:type="dxa"/>
            <w:vAlign w:val="center"/>
          </w:tcPr>
          <w:p>
            <w:pPr>
              <w:widowControl/>
              <w:jc w:val="center"/>
              <w:rPr>
                <w:rFonts w:ascii="仿宋" w:hAnsi="仿宋" w:eastAsia="仿宋"/>
                <w:color w:val="auto"/>
                <w:kern w:val="0"/>
                <w:sz w:val="24"/>
                <w:highlight w:val="none"/>
              </w:rPr>
            </w:pPr>
          </w:p>
        </w:tc>
        <w:tc>
          <w:tcPr>
            <w:tcW w:w="2410" w:type="dxa"/>
            <w:vAlign w:val="center"/>
          </w:tcPr>
          <w:p>
            <w:pPr>
              <w:widowControl/>
              <w:jc w:val="center"/>
              <w:rPr>
                <w:rFonts w:ascii="仿宋" w:hAnsi="仿宋" w:eastAsia="仿宋"/>
                <w:color w:val="auto"/>
                <w:kern w:val="0"/>
                <w:sz w:val="24"/>
                <w:highlight w:val="none"/>
              </w:rPr>
            </w:pPr>
          </w:p>
        </w:tc>
        <w:tc>
          <w:tcPr>
            <w:tcW w:w="2268" w:type="dxa"/>
            <w:vAlign w:val="center"/>
          </w:tcPr>
          <w:p>
            <w:pPr>
              <w:widowControl/>
              <w:jc w:val="center"/>
              <w:rPr>
                <w:rFonts w:ascii="仿宋" w:hAnsi="仿宋" w:eastAsia="仿宋"/>
                <w:color w:val="auto"/>
                <w:kern w:val="0"/>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2037"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其它费用（商用密码评估费、项目第三方软件评测费、源代码安全审计、三级等保评测、验收费（含专家费）、审计费）</w:t>
            </w:r>
          </w:p>
        </w:tc>
        <w:tc>
          <w:tcPr>
            <w:tcW w:w="1223" w:type="dxa"/>
            <w:vAlign w:val="center"/>
          </w:tcPr>
          <w:p>
            <w:pPr>
              <w:widowControl/>
              <w:jc w:val="center"/>
              <w:rPr>
                <w:rFonts w:ascii="仿宋" w:hAnsi="仿宋" w:eastAsia="仿宋"/>
                <w:color w:val="auto"/>
                <w:sz w:val="24"/>
                <w:highlight w:val="none"/>
              </w:rPr>
            </w:pPr>
          </w:p>
        </w:tc>
        <w:tc>
          <w:tcPr>
            <w:tcW w:w="2410" w:type="dxa"/>
            <w:vAlign w:val="center"/>
          </w:tcPr>
          <w:p>
            <w:pPr>
              <w:widowControl/>
              <w:jc w:val="center"/>
              <w:rPr>
                <w:rFonts w:ascii="仿宋" w:hAnsi="仿宋" w:eastAsia="仿宋"/>
                <w:color w:val="auto"/>
                <w:kern w:val="0"/>
                <w:sz w:val="24"/>
                <w:highlight w:val="none"/>
              </w:rPr>
            </w:pPr>
          </w:p>
        </w:tc>
        <w:tc>
          <w:tcPr>
            <w:tcW w:w="2268" w:type="dxa"/>
            <w:vAlign w:val="center"/>
          </w:tcPr>
          <w:p>
            <w:pPr>
              <w:widowControl/>
              <w:jc w:val="center"/>
              <w:rPr>
                <w:rFonts w:ascii="仿宋" w:hAnsi="仿宋" w:eastAsia="仿宋"/>
                <w:color w:val="auto"/>
                <w:kern w:val="0"/>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投标总报价（小写）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投标总报价（大写）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highlight w:val="none"/>
        </w:rPr>
      </w:pPr>
      <w:r>
        <w:rPr>
          <w:rFonts w:hint="eastAsia" w:ascii="宋体" w:hAnsi="宋体" w:cs="宋体"/>
          <w:b/>
          <w:kern w:val="0"/>
          <w:sz w:val="24"/>
          <w:highlight w:val="none"/>
        </w:rPr>
        <w:t>5、本项目所有变更的软硬件及漏项事宜（包含但不限于服务器升级、软件需求变更等）费用均包含在此次合同范围内，不再另行支付其他费用。</w:t>
      </w: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2"/>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1" w:name="OLE_LINK13"/>
      <w:bookmarkStart w:id="512" w:name="OLE_LINK14"/>
      <w:r>
        <w:rPr>
          <w:rFonts w:hint="eastAsia" w:ascii="宋体" w:hAnsi="宋体" w:cs="宋体"/>
          <w:b/>
          <w:spacing w:val="6"/>
          <w:sz w:val="32"/>
          <w:szCs w:val="32"/>
        </w:rPr>
        <w:t>残疾人福利性单位声明函</w:t>
      </w:r>
    </w:p>
    <w:bookmarkEnd w:id="511"/>
    <w:bookmarkEnd w:id="51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4"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Arial"/>
    <w:panose1 w:val="00000000000000000000"/>
    <w:charset w:val="00"/>
    <w:family w:val="auto"/>
    <w:pitch w:val="default"/>
    <w:sig w:usb0="00000000" w:usb1="00000000" w:usb2="00000000" w:usb3="00000000" w:csb0="000001FB"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Arial"/>
    <w:panose1 w:val="00000000000000000000"/>
    <w:charset w:val="00"/>
    <w:family w:val="roman"/>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10" w:usb3="00000000" w:csb0="00040000" w:csb1="00000000"/>
  </w:font>
  <w:font w:name="Arial Narrow">
    <w:altName w:val="Times New Roman"/>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Arial"/>
    <w:panose1 w:val="020B0502020202020204"/>
    <w:charset w:val="00"/>
    <w:family w:val="swiss"/>
    <w:pitch w:val="default"/>
    <w:sig w:usb0="00000000" w:usb1="00000000" w:usb2="00000000" w:usb3="00000000" w:csb0="0000009F" w:csb1="00000000"/>
  </w:font>
  <w:font w:name="Aldine401 BT">
    <w:altName w:val="Arial"/>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164085800"/>
    <w:bookmarkStart w:id="517" w:name="_Toc91899912"/>
    <w:bookmarkStart w:id="518" w:name="_Toc36110187"/>
    <w:bookmarkStart w:id="519" w:name="_Toc131845147"/>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97F5B"/>
    <w:multiLevelType w:val="multilevel"/>
    <w:tmpl w:val="04097F5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981476A"/>
    <w:multiLevelType w:val="multilevel"/>
    <w:tmpl w:val="0981476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1455846"/>
    <w:multiLevelType w:val="multilevel"/>
    <w:tmpl w:val="3145584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9D0327C"/>
    <w:multiLevelType w:val="multilevel"/>
    <w:tmpl w:val="39D0327C"/>
    <w:lvl w:ilvl="0" w:tentative="0">
      <w:start w:val="4"/>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7537534"/>
    <w:multiLevelType w:val="multilevel"/>
    <w:tmpl w:val="47537534"/>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C0403B5"/>
    <w:multiLevelType w:val="multilevel"/>
    <w:tmpl w:val="4C0403B5"/>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21C866B"/>
    <w:multiLevelType w:val="singleLevel"/>
    <w:tmpl w:val="621C866B"/>
    <w:lvl w:ilvl="0" w:tentative="0">
      <w:start w:val="3"/>
      <w:numFmt w:val="decimal"/>
      <w:suff w:val="nothing"/>
      <w:lvlText w:val="%1."/>
      <w:lvlJc w:val="left"/>
    </w:lvl>
  </w:abstractNum>
  <w:abstractNum w:abstractNumId="7">
    <w:nsid w:val="7F2639E6"/>
    <w:multiLevelType w:val="multilevel"/>
    <w:tmpl w:val="7F2639E6"/>
    <w:lvl w:ilvl="0" w:tentative="0">
      <w:start w:val="1"/>
      <w:numFmt w:val="decimal"/>
      <w:lvlText w:val="（%1）"/>
      <w:lvlJc w:val="left"/>
      <w:pPr>
        <w:ind w:left="810" w:hanging="8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1ZmM1MWEzNTM1MzlkYTUwYWQ5NWQzMWRiZjNhZDYifQ=="/>
    <w:docVar w:name="KSO_WPS_MARK_KEY" w:val="68b7bb41-519f-4db7-9036-f12db8767e7d"/>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5B6"/>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17763"/>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AD5"/>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7D6"/>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87947"/>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068B"/>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2652"/>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14AB"/>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3AA"/>
    <w:rsid w:val="00187C29"/>
    <w:rsid w:val="00190782"/>
    <w:rsid w:val="00190942"/>
    <w:rsid w:val="001909A7"/>
    <w:rsid w:val="001909C3"/>
    <w:rsid w:val="00191459"/>
    <w:rsid w:val="00191603"/>
    <w:rsid w:val="0019173E"/>
    <w:rsid w:val="0019174E"/>
    <w:rsid w:val="0019196B"/>
    <w:rsid w:val="00192266"/>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406"/>
    <w:rsid w:val="001A473A"/>
    <w:rsid w:val="001A4977"/>
    <w:rsid w:val="001A4A06"/>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8C4"/>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71"/>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C50"/>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7B"/>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C73FA"/>
    <w:rsid w:val="002D0C27"/>
    <w:rsid w:val="002D0E88"/>
    <w:rsid w:val="002D0EA7"/>
    <w:rsid w:val="002D0F31"/>
    <w:rsid w:val="002D1055"/>
    <w:rsid w:val="002D1593"/>
    <w:rsid w:val="002D1A1E"/>
    <w:rsid w:val="002D1E4C"/>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3C92"/>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0E5D"/>
    <w:rsid w:val="003510D8"/>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1DC4"/>
    <w:rsid w:val="003A20D5"/>
    <w:rsid w:val="003A24CC"/>
    <w:rsid w:val="003A2512"/>
    <w:rsid w:val="003A2A53"/>
    <w:rsid w:val="003A2EE8"/>
    <w:rsid w:val="003A34BF"/>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29AD"/>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48"/>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15A"/>
    <w:rsid w:val="00417264"/>
    <w:rsid w:val="004172B3"/>
    <w:rsid w:val="004209FC"/>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6CD0"/>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3C44"/>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6F21"/>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089"/>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91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53E"/>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276"/>
    <w:rsid w:val="00587D7B"/>
    <w:rsid w:val="005904DB"/>
    <w:rsid w:val="005905ED"/>
    <w:rsid w:val="00590D11"/>
    <w:rsid w:val="00591BA6"/>
    <w:rsid w:val="0059268B"/>
    <w:rsid w:val="00592825"/>
    <w:rsid w:val="0059437C"/>
    <w:rsid w:val="00594437"/>
    <w:rsid w:val="00594B70"/>
    <w:rsid w:val="00595CB9"/>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6ABE"/>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A14"/>
    <w:rsid w:val="00685D65"/>
    <w:rsid w:val="00685FC8"/>
    <w:rsid w:val="00686E80"/>
    <w:rsid w:val="0068790B"/>
    <w:rsid w:val="00687AF2"/>
    <w:rsid w:val="006901AC"/>
    <w:rsid w:val="00690C8D"/>
    <w:rsid w:val="00691890"/>
    <w:rsid w:val="00691AAD"/>
    <w:rsid w:val="00692416"/>
    <w:rsid w:val="00692AFF"/>
    <w:rsid w:val="00692D2D"/>
    <w:rsid w:val="00693B73"/>
    <w:rsid w:val="006943DA"/>
    <w:rsid w:val="006945A1"/>
    <w:rsid w:val="00694A53"/>
    <w:rsid w:val="006952DE"/>
    <w:rsid w:val="00695985"/>
    <w:rsid w:val="00695C78"/>
    <w:rsid w:val="00695E6C"/>
    <w:rsid w:val="00695EAC"/>
    <w:rsid w:val="00696486"/>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04C"/>
    <w:rsid w:val="006C0230"/>
    <w:rsid w:val="006C05C7"/>
    <w:rsid w:val="006C24C0"/>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0B6"/>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5DC7"/>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4D6"/>
    <w:rsid w:val="00753938"/>
    <w:rsid w:val="00753A57"/>
    <w:rsid w:val="007543CE"/>
    <w:rsid w:val="0075497E"/>
    <w:rsid w:val="00754A29"/>
    <w:rsid w:val="00755B6F"/>
    <w:rsid w:val="00755BCF"/>
    <w:rsid w:val="00756C5F"/>
    <w:rsid w:val="00756D69"/>
    <w:rsid w:val="00757029"/>
    <w:rsid w:val="007571FD"/>
    <w:rsid w:val="0075723D"/>
    <w:rsid w:val="0075784E"/>
    <w:rsid w:val="007602D4"/>
    <w:rsid w:val="007606DB"/>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631E"/>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97F9D"/>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4F6B"/>
    <w:rsid w:val="007A54F6"/>
    <w:rsid w:val="007A55FE"/>
    <w:rsid w:val="007A582C"/>
    <w:rsid w:val="007A5950"/>
    <w:rsid w:val="007A6D91"/>
    <w:rsid w:val="007A7618"/>
    <w:rsid w:val="007B00C9"/>
    <w:rsid w:val="007B02C7"/>
    <w:rsid w:val="007B0306"/>
    <w:rsid w:val="007B08E4"/>
    <w:rsid w:val="007B0D86"/>
    <w:rsid w:val="007B28C3"/>
    <w:rsid w:val="007B29C5"/>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0885"/>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2DA"/>
    <w:rsid w:val="007E347E"/>
    <w:rsid w:val="007E3955"/>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C9B"/>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2EA"/>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01A"/>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46F4"/>
    <w:rsid w:val="008465B4"/>
    <w:rsid w:val="00846D25"/>
    <w:rsid w:val="00850013"/>
    <w:rsid w:val="008500DD"/>
    <w:rsid w:val="00850A0A"/>
    <w:rsid w:val="00850A94"/>
    <w:rsid w:val="00851CEF"/>
    <w:rsid w:val="00851E96"/>
    <w:rsid w:val="00851F1C"/>
    <w:rsid w:val="0085237B"/>
    <w:rsid w:val="00852FA5"/>
    <w:rsid w:val="00853864"/>
    <w:rsid w:val="00853F7D"/>
    <w:rsid w:val="0085432C"/>
    <w:rsid w:val="0085517F"/>
    <w:rsid w:val="0085562D"/>
    <w:rsid w:val="00855A78"/>
    <w:rsid w:val="00856154"/>
    <w:rsid w:val="00856286"/>
    <w:rsid w:val="0085657E"/>
    <w:rsid w:val="00856F0E"/>
    <w:rsid w:val="008573AF"/>
    <w:rsid w:val="00857695"/>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941"/>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3D4"/>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07A72"/>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8E9"/>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3FE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0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82B"/>
    <w:rsid w:val="00974F3B"/>
    <w:rsid w:val="0097552A"/>
    <w:rsid w:val="0097564A"/>
    <w:rsid w:val="00975974"/>
    <w:rsid w:val="00975D06"/>
    <w:rsid w:val="00975D63"/>
    <w:rsid w:val="00975DAE"/>
    <w:rsid w:val="00976BBE"/>
    <w:rsid w:val="00976E1A"/>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80"/>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ABE"/>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56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D"/>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0BE6"/>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51B"/>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BA2"/>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462"/>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3A65"/>
    <w:rsid w:val="00AC4094"/>
    <w:rsid w:val="00AC42B6"/>
    <w:rsid w:val="00AC4A27"/>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2CED"/>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082E"/>
    <w:rsid w:val="00B51520"/>
    <w:rsid w:val="00B515C3"/>
    <w:rsid w:val="00B517C2"/>
    <w:rsid w:val="00B518CE"/>
    <w:rsid w:val="00B51F56"/>
    <w:rsid w:val="00B52234"/>
    <w:rsid w:val="00B53623"/>
    <w:rsid w:val="00B536FC"/>
    <w:rsid w:val="00B53D1D"/>
    <w:rsid w:val="00B53E98"/>
    <w:rsid w:val="00B53F9B"/>
    <w:rsid w:val="00B54B19"/>
    <w:rsid w:val="00B55F64"/>
    <w:rsid w:val="00B56825"/>
    <w:rsid w:val="00B56ECA"/>
    <w:rsid w:val="00B57093"/>
    <w:rsid w:val="00B57B5D"/>
    <w:rsid w:val="00B60613"/>
    <w:rsid w:val="00B61AEC"/>
    <w:rsid w:val="00B62164"/>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78C"/>
    <w:rsid w:val="00B869D3"/>
    <w:rsid w:val="00B86CF8"/>
    <w:rsid w:val="00B86E44"/>
    <w:rsid w:val="00B87359"/>
    <w:rsid w:val="00B87F1C"/>
    <w:rsid w:val="00B90D8D"/>
    <w:rsid w:val="00B91146"/>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0468"/>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0B0"/>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719"/>
    <w:rsid w:val="00C33904"/>
    <w:rsid w:val="00C33A66"/>
    <w:rsid w:val="00C33E51"/>
    <w:rsid w:val="00C34C45"/>
    <w:rsid w:val="00C34C47"/>
    <w:rsid w:val="00C34FCE"/>
    <w:rsid w:val="00C35411"/>
    <w:rsid w:val="00C35542"/>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0C0"/>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9E8"/>
    <w:rsid w:val="00CA2528"/>
    <w:rsid w:val="00CA3CAB"/>
    <w:rsid w:val="00CA3FC0"/>
    <w:rsid w:val="00CA5685"/>
    <w:rsid w:val="00CA66FB"/>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BE"/>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005"/>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25CD"/>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8E1"/>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2E7"/>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3A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7E9"/>
    <w:rsid w:val="00E45A2C"/>
    <w:rsid w:val="00E46A6B"/>
    <w:rsid w:val="00E46A9C"/>
    <w:rsid w:val="00E47DB1"/>
    <w:rsid w:val="00E50092"/>
    <w:rsid w:val="00E50BDD"/>
    <w:rsid w:val="00E510CF"/>
    <w:rsid w:val="00E513D7"/>
    <w:rsid w:val="00E519FE"/>
    <w:rsid w:val="00E5206C"/>
    <w:rsid w:val="00E52AAB"/>
    <w:rsid w:val="00E5448E"/>
    <w:rsid w:val="00E54E0D"/>
    <w:rsid w:val="00E55247"/>
    <w:rsid w:val="00E558E5"/>
    <w:rsid w:val="00E55B3C"/>
    <w:rsid w:val="00E56795"/>
    <w:rsid w:val="00E5727E"/>
    <w:rsid w:val="00E57932"/>
    <w:rsid w:val="00E606C4"/>
    <w:rsid w:val="00E60811"/>
    <w:rsid w:val="00E60AB8"/>
    <w:rsid w:val="00E6103E"/>
    <w:rsid w:val="00E6185F"/>
    <w:rsid w:val="00E61D32"/>
    <w:rsid w:val="00E63C60"/>
    <w:rsid w:val="00E63CE1"/>
    <w:rsid w:val="00E64050"/>
    <w:rsid w:val="00E64B7B"/>
    <w:rsid w:val="00E6514D"/>
    <w:rsid w:val="00E65161"/>
    <w:rsid w:val="00E652C9"/>
    <w:rsid w:val="00E6593B"/>
    <w:rsid w:val="00E65D74"/>
    <w:rsid w:val="00E66ADC"/>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531A"/>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006"/>
    <w:rsid w:val="00F10B81"/>
    <w:rsid w:val="00F10BC9"/>
    <w:rsid w:val="00F11078"/>
    <w:rsid w:val="00F113C9"/>
    <w:rsid w:val="00F11C01"/>
    <w:rsid w:val="00F11D80"/>
    <w:rsid w:val="00F12AE7"/>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9B9"/>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9FD"/>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D51"/>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49E"/>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69B"/>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5C4E94"/>
    <w:rsid w:val="048F763B"/>
    <w:rsid w:val="049F330E"/>
    <w:rsid w:val="04AA775C"/>
    <w:rsid w:val="04AF1889"/>
    <w:rsid w:val="04E917AC"/>
    <w:rsid w:val="04F66F48"/>
    <w:rsid w:val="050D1AEA"/>
    <w:rsid w:val="05251E14"/>
    <w:rsid w:val="05A16594"/>
    <w:rsid w:val="05A7762D"/>
    <w:rsid w:val="05F77729"/>
    <w:rsid w:val="060B75F4"/>
    <w:rsid w:val="060E5941"/>
    <w:rsid w:val="06110FAF"/>
    <w:rsid w:val="06493CA7"/>
    <w:rsid w:val="065A6178"/>
    <w:rsid w:val="066F1CF3"/>
    <w:rsid w:val="06930BB8"/>
    <w:rsid w:val="06F125CB"/>
    <w:rsid w:val="07245D42"/>
    <w:rsid w:val="07264C62"/>
    <w:rsid w:val="0752270A"/>
    <w:rsid w:val="0779354C"/>
    <w:rsid w:val="07900AAB"/>
    <w:rsid w:val="07A20778"/>
    <w:rsid w:val="08061376"/>
    <w:rsid w:val="08452D77"/>
    <w:rsid w:val="08543A14"/>
    <w:rsid w:val="086401F8"/>
    <w:rsid w:val="08751CAA"/>
    <w:rsid w:val="087E4C40"/>
    <w:rsid w:val="08A871D0"/>
    <w:rsid w:val="08D66AD6"/>
    <w:rsid w:val="08DA33A3"/>
    <w:rsid w:val="08E80F13"/>
    <w:rsid w:val="09335624"/>
    <w:rsid w:val="0944690F"/>
    <w:rsid w:val="09535675"/>
    <w:rsid w:val="095F057D"/>
    <w:rsid w:val="09642282"/>
    <w:rsid w:val="096C00CD"/>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A74EF8"/>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497EB6"/>
    <w:rsid w:val="0E5604B2"/>
    <w:rsid w:val="0E6D5D79"/>
    <w:rsid w:val="0E9D0089"/>
    <w:rsid w:val="0EB803EE"/>
    <w:rsid w:val="0EF94D4B"/>
    <w:rsid w:val="0EFB5629"/>
    <w:rsid w:val="0F4958DC"/>
    <w:rsid w:val="0F515DF7"/>
    <w:rsid w:val="0F596BA8"/>
    <w:rsid w:val="0F6248D2"/>
    <w:rsid w:val="0F693536"/>
    <w:rsid w:val="0F7B0511"/>
    <w:rsid w:val="0F7B76D9"/>
    <w:rsid w:val="0F816ACD"/>
    <w:rsid w:val="0F913BD7"/>
    <w:rsid w:val="0F9832DB"/>
    <w:rsid w:val="0FBF3FD2"/>
    <w:rsid w:val="0FBF7FF3"/>
    <w:rsid w:val="10646583"/>
    <w:rsid w:val="107D4B15"/>
    <w:rsid w:val="108A3C80"/>
    <w:rsid w:val="10C26171"/>
    <w:rsid w:val="10F33360"/>
    <w:rsid w:val="10FC16EA"/>
    <w:rsid w:val="110F1D40"/>
    <w:rsid w:val="11266F33"/>
    <w:rsid w:val="118963A1"/>
    <w:rsid w:val="11B01474"/>
    <w:rsid w:val="11C6522A"/>
    <w:rsid w:val="11E104CC"/>
    <w:rsid w:val="11E20309"/>
    <w:rsid w:val="12255233"/>
    <w:rsid w:val="122E599B"/>
    <w:rsid w:val="12530213"/>
    <w:rsid w:val="127723A9"/>
    <w:rsid w:val="12862074"/>
    <w:rsid w:val="12883966"/>
    <w:rsid w:val="12900D1F"/>
    <w:rsid w:val="129E45B4"/>
    <w:rsid w:val="12D81596"/>
    <w:rsid w:val="13072A44"/>
    <w:rsid w:val="132E68AB"/>
    <w:rsid w:val="135F4BE2"/>
    <w:rsid w:val="13890980"/>
    <w:rsid w:val="139B1A0A"/>
    <w:rsid w:val="139D25C7"/>
    <w:rsid w:val="13BF3CE4"/>
    <w:rsid w:val="141008D8"/>
    <w:rsid w:val="14125FE6"/>
    <w:rsid w:val="146D271E"/>
    <w:rsid w:val="14982588"/>
    <w:rsid w:val="149A5AD9"/>
    <w:rsid w:val="14A7619D"/>
    <w:rsid w:val="150536C3"/>
    <w:rsid w:val="150C1963"/>
    <w:rsid w:val="151447A0"/>
    <w:rsid w:val="154A6454"/>
    <w:rsid w:val="15762120"/>
    <w:rsid w:val="16222910"/>
    <w:rsid w:val="16A14DF1"/>
    <w:rsid w:val="16A8729C"/>
    <w:rsid w:val="16B33777"/>
    <w:rsid w:val="16BC70A7"/>
    <w:rsid w:val="16C6339E"/>
    <w:rsid w:val="170D3EFD"/>
    <w:rsid w:val="172F2D79"/>
    <w:rsid w:val="17557BEF"/>
    <w:rsid w:val="17D349C1"/>
    <w:rsid w:val="1811654A"/>
    <w:rsid w:val="1830729E"/>
    <w:rsid w:val="1870062C"/>
    <w:rsid w:val="18817102"/>
    <w:rsid w:val="18830A15"/>
    <w:rsid w:val="18852B28"/>
    <w:rsid w:val="188B5321"/>
    <w:rsid w:val="193D2FE7"/>
    <w:rsid w:val="194A5937"/>
    <w:rsid w:val="19932372"/>
    <w:rsid w:val="19A20DD5"/>
    <w:rsid w:val="19AE03F1"/>
    <w:rsid w:val="1A071A03"/>
    <w:rsid w:val="1A1F16AE"/>
    <w:rsid w:val="1A3B5C77"/>
    <w:rsid w:val="1A984BAD"/>
    <w:rsid w:val="1AB8220E"/>
    <w:rsid w:val="1AD02BFD"/>
    <w:rsid w:val="1AE4166C"/>
    <w:rsid w:val="1AF06CFB"/>
    <w:rsid w:val="1AF11B8D"/>
    <w:rsid w:val="1B11359C"/>
    <w:rsid w:val="1B2A271F"/>
    <w:rsid w:val="1B2D76A8"/>
    <w:rsid w:val="1B530544"/>
    <w:rsid w:val="1B713184"/>
    <w:rsid w:val="1BA209CF"/>
    <w:rsid w:val="1BB4777D"/>
    <w:rsid w:val="1BC539CC"/>
    <w:rsid w:val="1BD75AB8"/>
    <w:rsid w:val="1C0459C2"/>
    <w:rsid w:val="1C1B3B4A"/>
    <w:rsid w:val="1C456AFB"/>
    <w:rsid w:val="1C6C3BD4"/>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944D53"/>
    <w:rsid w:val="1FB5156C"/>
    <w:rsid w:val="1FD52DD5"/>
    <w:rsid w:val="1FDD37B5"/>
    <w:rsid w:val="1FE868A9"/>
    <w:rsid w:val="20034907"/>
    <w:rsid w:val="20173E4B"/>
    <w:rsid w:val="20337402"/>
    <w:rsid w:val="204E48BC"/>
    <w:rsid w:val="208921B3"/>
    <w:rsid w:val="20973DEB"/>
    <w:rsid w:val="20B26522"/>
    <w:rsid w:val="20B44310"/>
    <w:rsid w:val="211116EB"/>
    <w:rsid w:val="216133FC"/>
    <w:rsid w:val="21D56769"/>
    <w:rsid w:val="21E52EF3"/>
    <w:rsid w:val="21E845D8"/>
    <w:rsid w:val="21FB5D7B"/>
    <w:rsid w:val="22015E94"/>
    <w:rsid w:val="220B1C3D"/>
    <w:rsid w:val="221D1D20"/>
    <w:rsid w:val="22334A87"/>
    <w:rsid w:val="226523C7"/>
    <w:rsid w:val="228C6679"/>
    <w:rsid w:val="22914463"/>
    <w:rsid w:val="22A301F1"/>
    <w:rsid w:val="22BE6801"/>
    <w:rsid w:val="233500BF"/>
    <w:rsid w:val="23377FF7"/>
    <w:rsid w:val="236B425F"/>
    <w:rsid w:val="23836192"/>
    <w:rsid w:val="23901F29"/>
    <w:rsid w:val="239C0061"/>
    <w:rsid w:val="23B908A4"/>
    <w:rsid w:val="23E95BEF"/>
    <w:rsid w:val="23F847CD"/>
    <w:rsid w:val="23FD0064"/>
    <w:rsid w:val="245375B0"/>
    <w:rsid w:val="24642C0A"/>
    <w:rsid w:val="248164E3"/>
    <w:rsid w:val="24B22173"/>
    <w:rsid w:val="24B95AD9"/>
    <w:rsid w:val="24BE24DA"/>
    <w:rsid w:val="24C70EF2"/>
    <w:rsid w:val="24CF5825"/>
    <w:rsid w:val="24D663E6"/>
    <w:rsid w:val="24D77F2B"/>
    <w:rsid w:val="254514DA"/>
    <w:rsid w:val="258B00E2"/>
    <w:rsid w:val="25A917A6"/>
    <w:rsid w:val="25BE27CC"/>
    <w:rsid w:val="25F74A5C"/>
    <w:rsid w:val="26063582"/>
    <w:rsid w:val="2628662C"/>
    <w:rsid w:val="262D45DE"/>
    <w:rsid w:val="26515C19"/>
    <w:rsid w:val="266D6A4A"/>
    <w:rsid w:val="26871DC8"/>
    <w:rsid w:val="26A53EF9"/>
    <w:rsid w:val="26A94201"/>
    <w:rsid w:val="26AC274F"/>
    <w:rsid w:val="27044A29"/>
    <w:rsid w:val="271D34C8"/>
    <w:rsid w:val="276142BF"/>
    <w:rsid w:val="27783712"/>
    <w:rsid w:val="27907362"/>
    <w:rsid w:val="27F333C8"/>
    <w:rsid w:val="28333E1D"/>
    <w:rsid w:val="28454BD6"/>
    <w:rsid w:val="28455253"/>
    <w:rsid w:val="28551971"/>
    <w:rsid w:val="285B1C53"/>
    <w:rsid w:val="289F7086"/>
    <w:rsid w:val="28C32028"/>
    <w:rsid w:val="28CC490F"/>
    <w:rsid w:val="28DE40AA"/>
    <w:rsid w:val="2931002E"/>
    <w:rsid w:val="29345E77"/>
    <w:rsid w:val="294C65AD"/>
    <w:rsid w:val="29775B4F"/>
    <w:rsid w:val="29806583"/>
    <w:rsid w:val="298B3C4C"/>
    <w:rsid w:val="29E8083C"/>
    <w:rsid w:val="29F26D24"/>
    <w:rsid w:val="2A15033F"/>
    <w:rsid w:val="2A1662C1"/>
    <w:rsid w:val="2A1C7367"/>
    <w:rsid w:val="2A2815FA"/>
    <w:rsid w:val="2A6D6092"/>
    <w:rsid w:val="2A7D76B4"/>
    <w:rsid w:val="2B192018"/>
    <w:rsid w:val="2B437463"/>
    <w:rsid w:val="2B7807EE"/>
    <w:rsid w:val="2BA50BF7"/>
    <w:rsid w:val="2BBF00EC"/>
    <w:rsid w:val="2BC37CFD"/>
    <w:rsid w:val="2BD5237F"/>
    <w:rsid w:val="2BE536CE"/>
    <w:rsid w:val="2BE758D9"/>
    <w:rsid w:val="2C09049E"/>
    <w:rsid w:val="2C0A653C"/>
    <w:rsid w:val="2C191F85"/>
    <w:rsid w:val="2CE82D6F"/>
    <w:rsid w:val="2D343236"/>
    <w:rsid w:val="2D44305A"/>
    <w:rsid w:val="2DD15014"/>
    <w:rsid w:val="2DF72DE4"/>
    <w:rsid w:val="2E0220AF"/>
    <w:rsid w:val="2E4B082A"/>
    <w:rsid w:val="2E5D4E86"/>
    <w:rsid w:val="2E5D790B"/>
    <w:rsid w:val="2E9A3C18"/>
    <w:rsid w:val="2EBB0FEE"/>
    <w:rsid w:val="2EC63002"/>
    <w:rsid w:val="2EDC5CC0"/>
    <w:rsid w:val="2F0A6B38"/>
    <w:rsid w:val="2F946CCB"/>
    <w:rsid w:val="2FD25781"/>
    <w:rsid w:val="2FDC745C"/>
    <w:rsid w:val="2FFD7934"/>
    <w:rsid w:val="302904B1"/>
    <w:rsid w:val="304634E2"/>
    <w:rsid w:val="30733ACD"/>
    <w:rsid w:val="308C3862"/>
    <w:rsid w:val="309379D8"/>
    <w:rsid w:val="30A270F7"/>
    <w:rsid w:val="30DF1478"/>
    <w:rsid w:val="30EC586F"/>
    <w:rsid w:val="314550B7"/>
    <w:rsid w:val="319C6071"/>
    <w:rsid w:val="31AC537E"/>
    <w:rsid w:val="31E3679B"/>
    <w:rsid w:val="31E732FD"/>
    <w:rsid w:val="32517576"/>
    <w:rsid w:val="32791896"/>
    <w:rsid w:val="32BE5C2C"/>
    <w:rsid w:val="32FB6478"/>
    <w:rsid w:val="33263B3F"/>
    <w:rsid w:val="336963EB"/>
    <w:rsid w:val="33816EEB"/>
    <w:rsid w:val="33EB55CD"/>
    <w:rsid w:val="33EC4C02"/>
    <w:rsid w:val="340A2435"/>
    <w:rsid w:val="340D2360"/>
    <w:rsid w:val="3410665D"/>
    <w:rsid w:val="34211214"/>
    <w:rsid w:val="342E63AB"/>
    <w:rsid w:val="34950E68"/>
    <w:rsid w:val="34986E94"/>
    <w:rsid w:val="34AF62C9"/>
    <w:rsid w:val="34CB4388"/>
    <w:rsid w:val="34FA6E12"/>
    <w:rsid w:val="351D3BB2"/>
    <w:rsid w:val="354D7158"/>
    <w:rsid w:val="358D5588"/>
    <w:rsid w:val="35E5642D"/>
    <w:rsid w:val="35E65DF0"/>
    <w:rsid w:val="363A3B40"/>
    <w:rsid w:val="365302AE"/>
    <w:rsid w:val="36607A0A"/>
    <w:rsid w:val="366E227C"/>
    <w:rsid w:val="366F2E0D"/>
    <w:rsid w:val="367B6A5C"/>
    <w:rsid w:val="36A74ADA"/>
    <w:rsid w:val="36AD60D5"/>
    <w:rsid w:val="36B224F9"/>
    <w:rsid w:val="36DF3512"/>
    <w:rsid w:val="36EC0CC9"/>
    <w:rsid w:val="373F410B"/>
    <w:rsid w:val="3752091D"/>
    <w:rsid w:val="375B4EC6"/>
    <w:rsid w:val="37EE7094"/>
    <w:rsid w:val="38296C89"/>
    <w:rsid w:val="383002EB"/>
    <w:rsid w:val="384D2302"/>
    <w:rsid w:val="38586797"/>
    <w:rsid w:val="38BC0149"/>
    <w:rsid w:val="38D87D1C"/>
    <w:rsid w:val="38DE4545"/>
    <w:rsid w:val="39636459"/>
    <w:rsid w:val="396B7F6C"/>
    <w:rsid w:val="397E268E"/>
    <w:rsid w:val="39B417A9"/>
    <w:rsid w:val="39FC5695"/>
    <w:rsid w:val="3A006D8E"/>
    <w:rsid w:val="3A3651E5"/>
    <w:rsid w:val="3A744481"/>
    <w:rsid w:val="3A8C7BEF"/>
    <w:rsid w:val="3A906246"/>
    <w:rsid w:val="3AED2E21"/>
    <w:rsid w:val="3B2349B7"/>
    <w:rsid w:val="3B616CFF"/>
    <w:rsid w:val="3B6259F6"/>
    <w:rsid w:val="3B976654"/>
    <w:rsid w:val="3BC01EFC"/>
    <w:rsid w:val="3BCA786A"/>
    <w:rsid w:val="3BD31E2F"/>
    <w:rsid w:val="3BF15831"/>
    <w:rsid w:val="3C105946"/>
    <w:rsid w:val="3C471448"/>
    <w:rsid w:val="3C5F759A"/>
    <w:rsid w:val="3C6C525A"/>
    <w:rsid w:val="3CBE7045"/>
    <w:rsid w:val="3CCE23CB"/>
    <w:rsid w:val="3CD17D17"/>
    <w:rsid w:val="3D3C7F39"/>
    <w:rsid w:val="3D440F09"/>
    <w:rsid w:val="3D4504A0"/>
    <w:rsid w:val="3D5B24FD"/>
    <w:rsid w:val="3D8734BB"/>
    <w:rsid w:val="3D8F6509"/>
    <w:rsid w:val="3D9A11D4"/>
    <w:rsid w:val="3DA16D89"/>
    <w:rsid w:val="3DA364BE"/>
    <w:rsid w:val="3DE041CB"/>
    <w:rsid w:val="3DE75D8A"/>
    <w:rsid w:val="3E0D48F6"/>
    <w:rsid w:val="3E1868B4"/>
    <w:rsid w:val="3E377251"/>
    <w:rsid w:val="3E42664B"/>
    <w:rsid w:val="3E5A7334"/>
    <w:rsid w:val="3E7B5D6B"/>
    <w:rsid w:val="3E843E66"/>
    <w:rsid w:val="3E8F51FE"/>
    <w:rsid w:val="3E926F87"/>
    <w:rsid w:val="3E99447C"/>
    <w:rsid w:val="3E9A59DE"/>
    <w:rsid w:val="3EAF4836"/>
    <w:rsid w:val="3EC33DFA"/>
    <w:rsid w:val="3F060E16"/>
    <w:rsid w:val="3F1D1096"/>
    <w:rsid w:val="3F2F0234"/>
    <w:rsid w:val="3F3A367D"/>
    <w:rsid w:val="3F5163E2"/>
    <w:rsid w:val="3F6363FE"/>
    <w:rsid w:val="3F756B8F"/>
    <w:rsid w:val="3F95482B"/>
    <w:rsid w:val="4019356B"/>
    <w:rsid w:val="40592157"/>
    <w:rsid w:val="406E1CAE"/>
    <w:rsid w:val="40A0133A"/>
    <w:rsid w:val="40C31A53"/>
    <w:rsid w:val="40C770F8"/>
    <w:rsid w:val="40FF545D"/>
    <w:rsid w:val="410067C8"/>
    <w:rsid w:val="413B7F37"/>
    <w:rsid w:val="417D5613"/>
    <w:rsid w:val="418F0D2A"/>
    <w:rsid w:val="41D01505"/>
    <w:rsid w:val="42125CAA"/>
    <w:rsid w:val="4213524F"/>
    <w:rsid w:val="42474939"/>
    <w:rsid w:val="424C3C57"/>
    <w:rsid w:val="42613FF3"/>
    <w:rsid w:val="42660D96"/>
    <w:rsid w:val="428667D2"/>
    <w:rsid w:val="42A85AFC"/>
    <w:rsid w:val="42CD1CE0"/>
    <w:rsid w:val="42E1381E"/>
    <w:rsid w:val="42ED6459"/>
    <w:rsid w:val="42FE58DD"/>
    <w:rsid w:val="43174B3D"/>
    <w:rsid w:val="434B790E"/>
    <w:rsid w:val="4360274F"/>
    <w:rsid w:val="43977AB6"/>
    <w:rsid w:val="43A3342B"/>
    <w:rsid w:val="43AB2B46"/>
    <w:rsid w:val="43C77C27"/>
    <w:rsid w:val="43D22E22"/>
    <w:rsid w:val="43DD1A79"/>
    <w:rsid w:val="43DE09EE"/>
    <w:rsid w:val="44002FAD"/>
    <w:rsid w:val="448D7806"/>
    <w:rsid w:val="449101DD"/>
    <w:rsid w:val="44DE1391"/>
    <w:rsid w:val="451B225C"/>
    <w:rsid w:val="452410C9"/>
    <w:rsid w:val="45317DFB"/>
    <w:rsid w:val="453D043E"/>
    <w:rsid w:val="45540137"/>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C75424"/>
    <w:rsid w:val="49E56AF9"/>
    <w:rsid w:val="49F6167F"/>
    <w:rsid w:val="4A064FA0"/>
    <w:rsid w:val="4A16615C"/>
    <w:rsid w:val="4A4424D7"/>
    <w:rsid w:val="4AA15DCE"/>
    <w:rsid w:val="4AB82D0F"/>
    <w:rsid w:val="4AEB7664"/>
    <w:rsid w:val="4AFD7C19"/>
    <w:rsid w:val="4B0567D1"/>
    <w:rsid w:val="4B236AAE"/>
    <w:rsid w:val="4B707271"/>
    <w:rsid w:val="4B9739F7"/>
    <w:rsid w:val="4BEE2503"/>
    <w:rsid w:val="4C245A30"/>
    <w:rsid w:val="4CB6685F"/>
    <w:rsid w:val="4CB90A6E"/>
    <w:rsid w:val="4CC367FE"/>
    <w:rsid w:val="4D077F3C"/>
    <w:rsid w:val="4D123355"/>
    <w:rsid w:val="4D2A3B31"/>
    <w:rsid w:val="4D312C52"/>
    <w:rsid w:val="4D6E2F78"/>
    <w:rsid w:val="4D905305"/>
    <w:rsid w:val="4D964A72"/>
    <w:rsid w:val="4D9C1254"/>
    <w:rsid w:val="4DE419DD"/>
    <w:rsid w:val="4E4849E8"/>
    <w:rsid w:val="4E793892"/>
    <w:rsid w:val="4E800872"/>
    <w:rsid w:val="4EC569ED"/>
    <w:rsid w:val="4ED50EA1"/>
    <w:rsid w:val="4EEC050C"/>
    <w:rsid w:val="4F104EC3"/>
    <w:rsid w:val="4F47354A"/>
    <w:rsid w:val="4F911C54"/>
    <w:rsid w:val="4FD858A9"/>
    <w:rsid w:val="4FE625E0"/>
    <w:rsid w:val="5021480F"/>
    <w:rsid w:val="50792360"/>
    <w:rsid w:val="50962ECB"/>
    <w:rsid w:val="50A42E38"/>
    <w:rsid w:val="50A4577F"/>
    <w:rsid w:val="50B73D1F"/>
    <w:rsid w:val="50BD5BC9"/>
    <w:rsid w:val="50C11EEE"/>
    <w:rsid w:val="50DA38D6"/>
    <w:rsid w:val="50E97CFC"/>
    <w:rsid w:val="50FA4028"/>
    <w:rsid w:val="510D65B7"/>
    <w:rsid w:val="511157AB"/>
    <w:rsid w:val="5142540C"/>
    <w:rsid w:val="5183117A"/>
    <w:rsid w:val="518832C8"/>
    <w:rsid w:val="519D3C50"/>
    <w:rsid w:val="51A0432A"/>
    <w:rsid w:val="51A86090"/>
    <w:rsid w:val="51B7396D"/>
    <w:rsid w:val="522E4CC3"/>
    <w:rsid w:val="5244713B"/>
    <w:rsid w:val="52612677"/>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72078A"/>
    <w:rsid w:val="54B3506A"/>
    <w:rsid w:val="54CA0D16"/>
    <w:rsid w:val="54D64E99"/>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4D788B"/>
    <w:rsid w:val="566B6D1E"/>
    <w:rsid w:val="56B0015D"/>
    <w:rsid w:val="56E11AD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4D17F7"/>
    <w:rsid w:val="5A5D3B6E"/>
    <w:rsid w:val="5A637A76"/>
    <w:rsid w:val="5A6D33BA"/>
    <w:rsid w:val="5A792B1F"/>
    <w:rsid w:val="5A874767"/>
    <w:rsid w:val="5AA85BE2"/>
    <w:rsid w:val="5AAD6F28"/>
    <w:rsid w:val="5AD63A24"/>
    <w:rsid w:val="5B036AB8"/>
    <w:rsid w:val="5B2E1A1D"/>
    <w:rsid w:val="5B843A1C"/>
    <w:rsid w:val="5B873E3F"/>
    <w:rsid w:val="5C02690E"/>
    <w:rsid w:val="5C196DA7"/>
    <w:rsid w:val="5C241018"/>
    <w:rsid w:val="5C2A048C"/>
    <w:rsid w:val="5C5C0465"/>
    <w:rsid w:val="5C80234E"/>
    <w:rsid w:val="5C8A680C"/>
    <w:rsid w:val="5CA04C24"/>
    <w:rsid w:val="5D0C4701"/>
    <w:rsid w:val="5D0F0395"/>
    <w:rsid w:val="5D221076"/>
    <w:rsid w:val="5D397964"/>
    <w:rsid w:val="5D5A391C"/>
    <w:rsid w:val="5D5F10C0"/>
    <w:rsid w:val="5D891B7B"/>
    <w:rsid w:val="5DAD38EE"/>
    <w:rsid w:val="5DCF3243"/>
    <w:rsid w:val="5E006862"/>
    <w:rsid w:val="5E0207B9"/>
    <w:rsid w:val="5E1834A1"/>
    <w:rsid w:val="5E261785"/>
    <w:rsid w:val="5E4A7017"/>
    <w:rsid w:val="5E552BBA"/>
    <w:rsid w:val="5E611C10"/>
    <w:rsid w:val="5E7A0F3F"/>
    <w:rsid w:val="5EBD4484"/>
    <w:rsid w:val="5ED76733"/>
    <w:rsid w:val="5EFC7377"/>
    <w:rsid w:val="5F06174D"/>
    <w:rsid w:val="5F3A3602"/>
    <w:rsid w:val="5F45733B"/>
    <w:rsid w:val="5F6277C6"/>
    <w:rsid w:val="5F6D0B1D"/>
    <w:rsid w:val="5F8D0B82"/>
    <w:rsid w:val="5FCC5339"/>
    <w:rsid w:val="5FE34A5B"/>
    <w:rsid w:val="5FFE1E36"/>
    <w:rsid w:val="60232584"/>
    <w:rsid w:val="607330CE"/>
    <w:rsid w:val="60825176"/>
    <w:rsid w:val="609F2AC4"/>
    <w:rsid w:val="60AF2C07"/>
    <w:rsid w:val="60D25C40"/>
    <w:rsid w:val="60FA2EE8"/>
    <w:rsid w:val="61054A27"/>
    <w:rsid w:val="610A52BC"/>
    <w:rsid w:val="611D2366"/>
    <w:rsid w:val="61421856"/>
    <w:rsid w:val="615227C4"/>
    <w:rsid w:val="61654E3F"/>
    <w:rsid w:val="6182292A"/>
    <w:rsid w:val="619F7F92"/>
    <w:rsid w:val="61BA6703"/>
    <w:rsid w:val="61BC419C"/>
    <w:rsid w:val="61F94C26"/>
    <w:rsid w:val="62000E56"/>
    <w:rsid w:val="624F3E49"/>
    <w:rsid w:val="62632286"/>
    <w:rsid w:val="62885958"/>
    <w:rsid w:val="62893D55"/>
    <w:rsid w:val="62B9324F"/>
    <w:rsid w:val="62C379EC"/>
    <w:rsid w:val="62F40B65"/>
    <w:rsid w:val="62FC2CFE"/>
    <w:rsid w:val="63024505"/>
    <w:rsid w:val="630B32EB"/>
    <w:rsid w:val="635600A5"/>
    <w:rsid w:val="635B1DB5"/>
    <w:rsid w:val="636A5A1D"/>
    <w:rsid w:val="63711FED"/>
    <w:rsid w:val="63880DDC"/>
    <w:rsid w:val="638C3B30"/>
    <w:rsid w:val="638D750D"/>
    <w:rsid w:val="63AC6CC0"/>
    <w:rsid w:val="64055776"/>
    <w:rsid w:val="64240056"/>
    <w:rsid w:val="643E143A"/>
    <w:rsid w:val="64491666"/>
    <w:rsid w:val="646C5FB1"/>
    <w:rsid w:val="648B6EEF"/>
    <w:rsid w:val="64C158BF"/>
    <w:rsid w:val="64CE2EAA"/>
    <w:rsid w:val="653C3090"/>
    <w:rsid w:val="65854376"/>
    <w:rsid w:val="658767BE"/>
    <w:rsid w:val="65892531"/>
    <w:rsid w:val="65B474C8"/>
    <w:rsid w:val="65D56B9A"/>
    <w:rsid w:val="65F9219E"/>
    <w:rsid w:val="65FF1F03"/>
    <w:rsid w:val="66195831"/>
    <w:rsid w:val="662E75B1"/>
    <w:rsid w:val="66342C2E"/>
    <w:rsid w:val="663E784C"/>
    <w:rsid w:val="668B6A45"/>
    <w:rsid w:val="67011F07"/>
    <w:rsid w:val="672F3F24"/>
    <w:rsid w:val="673E055F"/>
    <w:rsid w:val="674F7A2B"/>
    <w:rsid w:val="67551CE3"/>
    <w:rsid w:val="67A22552"/>
    <w:rsid w:val="67B22DCC"/>
    <w:rsid w:val="67BE71AA"/>
    <w:rsid w:val="67D90273"/>
    <w:rsid w:val="67DE5875"/>
    <w:rsid w:val="67E55852"/>
    <w:rsid w:val="67EB1AB4"/>
    <w:rsid w:val="67FA1285"/>
    <w:rsid w:val="67FD2E9C"/>
    <w:rsid w:val="68542E9F"/>
    <w:rsid w:val="68551F4F"/>
    <w:rsid w:val="687C10C9"/>
    <w:rsid w:val="68840C16"/>
    <w:rsid w:val="68872541"/>
    <w:rsid w:val="68876EFB"/>
    <w:rsid w:val="68884654"/>
    <w:rsid w:val="689F444F"/>
    <w:rsid w:val="68B96DBB"/>
    <w:rsid w:val="68CA2805"/>
    <w:rsid w:val="68E937A3"/>
    <w:rsid w:val="691664E5"/>
    <w:rsid w:val="693E15D3"/>
    <w:rsid w:val="69627681"/>
    <w:rsid w:val="6977531D"/>
    <w:rsid w:val="69833E95"/>
    <w:rsid w:val="69CC2BFF"/>
    <w:rsid w:val="69FD55B8"/>
    <w:rsid w:val="6A0B1C62"/>
    <w:rsid w:val="6A164324"/>
    <w:rsid w:val="6A2406C8"/>
    <w:rsid w:val="6A53664C"/>
    <w:rsid w:val="6ADE0BD1"/>
    <w:rsid w:val="6AE96859"/>
    <w:rsid w:val="6B105217"/>
    <w:rsid w:val="6B147746"/>
    <w:rsid w:val="6B24787C"/>
    <w:rsid w:val="6B573233"/>
    <w:rsid w:val="6B5B6274"/>
    <w:rsid w:val="6B935D53"/>
    <w:rsid w:val="6BE02E3B"/>
    <w:rsid w:val="6C196F71"/>
    <w:rsid w:val="6C226FCB"/>
    <w:rsid w:val="6C31226F"/>
    <w:rsid w:val="6C552F0B"/>
    <w:rsid w:val="6C8C67B7"/>
    <w:rsid w:val="6C9D744C"/>
    <w:rsid w:val="6D167928"/>
    <w:rsid w:val="6D26299B"/>
    <w:rsid w:val="6D2F2DF5"/>
    <w:rsid w:val="6D4772EC"/>
    <w:rsid w:val="6D9078AF"/>
    <w:rsid w:val="6DAA3FEF"/>
    <w:rsid w:val="6DC0172B"/>
    <w:rsid w:val="6DCB690C"/>
    <w:rsid w:val="6DD41A5B"/>
    <w:rsid w:val="6DD54549"/>
    <w:rsid w:val="6DD60AB2"/>
    <w:rsid w:val="6DDA0070"/>
    <w:rsid w:val="6DF43C2E"/>
    <w:rsid w:val="6DF51CA3"/>
    <w:rsid w:val="6E241C12"/>
    <w:rsid w:val="6E8335BD"/>
    <w:rsid w:val="6E8E12EF"/>
    <w:rsid w:val="6E972936"/>
    <w:rsid w:val="6ED446C5"/>
    <w:rsid w:val="6F2A7D94"/>
    <w:rsid w:val="6F3B6068"/>
    <w:rsid w:val="6F8331F1"/>
    <w:rsid w:val="6FAE1A09"/>
    <w:rsid w:val="6FD75BF8"/>
    <w:rsid w:val="707723D0"/>
    <w:rsid w:val="70EA71EE"/>
    <w:rsid w:val="70F5661B"/>
    <w:rsid w:val="71297032"/>
    <w:rsid w:val="71360107"/>
    <w:rsid w:val="713B688E"/>
    <w:rsid w:val="71A731FF"/>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BE6056"/>
    <w:rsid w:val="75067759"/>
    <w:rsid w:val="752E6DCD"/>
    <w:rsid w:val="7551380D"/>
    <w:rsid w:val="75600BE5"/>
    <w:rsid w:val="7564475C"/>
    <w:rsid w:val="7583797F"/>
    <w:rsid w:val="75BC2223"/>
    <w:rsid w:val="75D20F1D"/>
    <w:rsid w:val="75DA2C18"/>
    <w:rsid w:val="75F54412"/>
    <w:rsid w:val="761D08E0"/>
    <w:rsid w:val="765D347C"/>
    <w:rsid w:val="76826699"/>
    <w:rsid w:val="76AD1A08"/>
    <w:rsid w:val="76C87133"/>
    <w:rsid w:val="76CD08D5"/>
    <w:rsid w:val="76CE23A4"/>
    <w:rsid w:val="76DB4B92"/>
    <w:rsid w:val="77052AA4"/>
    <w:rsid w:val="770608C7"/>
    <w:rsid w:val="77136511"/>
    <w:rsid w:val="77340A39"/>
    <w:rsid w:val="77351FD0"/>
    <w:rsid w:val="77472422"/>
    <w:rsid w:val="77717B5A"/>
    <w:rsid w:val="777306A4"/>
    <w:rsid w:val="777F31F2"/>
    <w:rsid w:val="77D1700D"/>
    <w:rsid w:val="77EC04CC"/>
    <w:rsid w:val="78442696"/>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1F69C9"/>
    <w:rsid w:val="7C254906"/>
    <w:rsid w:val="7C590818"/>
    <w:rsid w:val="7C7B661A"/>
    <w:rsid w:val="7C7C10F6"/>
    <w:rsid w:val="7C853BEA"/>
    <w:rsid w:val="7C881368"/>
    <w:rsid w:val="7CE27788"/>
    <w:rsid w:val="7D0C32F1"/>
    <w:rsid w:val="7D0F408D"/>
    <w:rsid w:val="7D444B5B"/>
    <w:rsid w:val="7D491C6C"/>
    <w:rsid w:val="7D5429C0"/>
    <w:rsid w:val="7D6E6D43"/>
    <w:rsid w:val="7DB57A34"/>
    <w:rsid w:val="7DE60973"/>
    <w:rsid w:val="7DEF0916"/>
    <w:rsid w:val="7E1E5218"/>
    <w:rsid w:val="7E237E00"/>
    <w:rsid w:val="7E5C7A06"/>
    <w:rsid w:val="7E9A4E1F"/>
    <w:rsid w:val="7EA7723A"/>
    <w:rsid w:val="7EF56FBB"/>
    <w:rsid w:val="7F020E80"/>
    <w:rsid w:val="7F0768EB"/>
    <w:rsid w:val="7F143BEC"/>
    <w:rsid w:val="7F5241CC"/>
    <w:rsid w:val="7F5F07EF"/>
    <w:rsid w:val="7F715AF2"/>
    <w:rsid w:val="7F886E69"/>
    <w:rsid w:val="BB7FA927"/>
    <w:rsid w:val="DF6FBEC8"/>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11">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2">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3">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4">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5">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6">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2"/>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7"/>
    <w:link w:val="264"/>
    <w:qFormat/>
    <w:uiPriority w:val="0"/>
    <w:pPr>
      <w:spacing w:line="480" w:lineRule="exact"/>
      <w:ind w:firstLine="480" w:firstLineChars="200"/>
    </w:pPr>
    <w:rPr>
      <w:rFonts w:ascii="宋体" w:hAnsi="宋体"/>
      <w:sz w:val="24"/>
    </w:rPr>
  </w:style>
  <w:style w:type="paragraph" w:styleId="7">
    <w:name w:val="Body Text First Indent 2"/>
    <w:basedOn w:val="6"/>
    <w:next w:val="8"/>
    <w:link w:val="120"/>
    <w:qFormat/>
    <w:uiPriority w:val="0"/>
    <w:pPr>
      <w:adjustRightInd/>
      <w:spacing w:after="120" w:line="240" w:lineRule="auto"/>
      <w:ind w:left="420" w:leftChars="200" w:firstLine="210"/>
    </w:pPr>
    <w:rPr>
      <w:sz w:val="21"/>
    </w:rPr>
  </w:style>
  <w:style w:type="paragraph" w:styleId="8">
    <w:name w:val="Body Text First Indent"/>
    <w:basedOn w:val="9"/>
    <w:next w:val="10"/>
    <w:link w:val="320"/>
    <w:qFormat/>
    <w:uiPriority w:val="0"/>
    <w:pPr>
      <w:ind w:firstLine="420"/>
    </w:pPr>
    <w:rPr>
      <w:rFonts w:hAnsi="Calibri" w:cs="Times New Roman"/>
      <w:snapToGrid/>
      <w:szCs w:val="20"/>
    </w:rPr>
  </w:style>
  <w:style w:type="paragraph" w:styleId="9">
    <w:name w:val="Body Text"/>
    <w:basedOn w:val="1"/>
    <w:next w:val="1"/>
    <w:link w:val="429"/>
    <w:qFormat/>
    <w:uiPriority w:val="0"/>
    <w:pPr>
      <w:autoSpaceDE w:val="0"/>
      <w:autoSpaceDN w:val="0"/>
      <w:spacing w:line="360" w:lineRule="auto"/>
    </w:pPr>
    <w:rPr>
      <w:rFonts w:ascii="宋体" w:hAnsi="Arial" w:cs="Arial"/>
      <w:snapToGrid w:val="0"/>
      <w:sz w:val="24"/>
      <w:szCs w:val="21"/>
      <w:lang w:val="zh-CN"/>
    </w:rPr>
  </w:style>
  <w:style w:type="paragraph" w:styleId="10">
    <w:name w:val="toc 6"/>
    <w:basedOn w:val="1"/>
    <w:next w:val="1"/>
    <w:qFormat/>
    <w:uiPriority w:val="0"/>
    <w:pPr>
      <w:ind w:left="2100" w:leftChars="1000"/>
    </w:pPr>
  </w:style>
  <w:style w:type="paragraph" w:styleId="17">
    <w:name w:val="toc 7"/>
    <w:basedOn w:val="1"/>
    <w:next w:val="1"/>
    <w:qFormat/>
    <w:uiPriority w:val="0"/>
    <w:pPr>
      <w:ind w:left="2520" w:leftChars="1200"/>
    </w:pPr>
  </w:style>
  <w:style w:type="paragraph" w:styleId="18">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9">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0">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1">
    <w:name w:val="caption"/>
    <w:basedOn w:val="1"/>
    <w:next w:val="1"/>
    <w:link w:val="228"/>
    <w:qFormat/>
    <w:uiPriority w:val="0"/>
    <w:rPr>
      <w:b/>
      <w:sz w:val="28"/>
      <w:szCs w:val="20"/>
    </w:rPr>
  </w:style>
  <w:style w:type="paragraph" w:styleId="22">
    <w:name w:val="index 5"/>
    <w:basedOn w:val="1"/>
    <w:next w:val="1"/>
    <w:qFormat/>
    <w:uiPriority w:val="0"/>
    <w:pPr>
      <w:adjustRightInd/>
      <w:ind w:left="800" w:leftChars="800" w:firstLine="200" w:firstLineChars="200"/>
    </w:pPr>
  </w:style>
  <w:style w:type="paragraph" w:styleId="23">
    <w:name w:val="Document Map"/>
    <w:basedOn w:val="1"/>
    <w:link w:val="201"/>
    <w:qFormat/>
    <w:uiPriority w:val="0"/>
    <w:pPr>
      <w:shd w:val="clear" w:color="auto" w:fill="000080"/>
    </w:pPr>
  </w:style>
  <w:style w:type="paragraph" w:styleId="24">
    <w:name w:val="annotation text"/>
    <w:basedOn w:val="1"/>
    <w:link w:val="343"/>
    <w:qFormat/>
    <w:uiPriority w:val="99"/>
    <w:pPr>
      <w:jc w:val="left"/>
    </w:pPr>
  </w:style>
  <w:style w:type="paragraph" w:styleId="25">
    <w:name w:val="Salutation"/>
    <w:basedOn w:val="1"/>
    <w:next w:val="1"/>
    <w:link w:val="297"/>
    <w:qFormat/>
    <w:uiPriority w:val="0"/>
    <w:rPr>
      <w:rFonts w:ascii="仿宋_GB2312" w:eastAsia="仿宋_GB2312"/>
      <w:sz w:val="28"/>
      <w:szCs w:val="20"/>
    </w:rPr>
  </w:style>
  <w:style w:type="paragraph" w:styleId="26">
    <w:name w:val="Body Text 3"/>
    <w:basedOn w:val="1"/>
    <w:link w:val="329"/>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4"/>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0"/>
    <w:qFormat/>
    <w:uiPriority w:val="0"/>
    <w:pPr>
      <w:ind w:left="100" w:leftChars="2500"/>
    </w:pPr>
    <w:rPr>
      <w:rFonts w:ascii="宋体"/>
      <w:sz w:val="24"/>
      <w:szCs w:val="21"/>
      <w:lang w:val="zh-CN"/>
    </w:rPr>
  </w:style>
  <w:style w:type="paragraph" w:styleId="39">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0">
    <w:name w:val="endnote text"/>
    <w:basedOn w:val="1"/>
    <w:link w:val="931"/>
    <w:qFormat/>
    <w:uiPriority w:val="0"/>
    <w:rPr>
      <w:lang w:val="zh-CN"/>
    </w:rPr>
  </w:style>
  <w:style w:type="paragraph" w:styleId="41">
    <w:name w:val="Balloon Text"/>
    <w:basedOn w:val="1"/>
    <w:link w:val="187"/>
    <w:qFormat/>
    <w:uiPriority w:val="0"/>
    <w:rPr>
      <w:sz w:val="18"/>
      <w:szCs w:val="18"/>
    </w:rPr>
  </w:style>
  <w:style w:type="paragraph" w:styleId="42">
    <w:name w:val="footer"/>
    <w:basedOn w:val="1"/>
    <w:link w:val="382"/>
    <w:qFormat/>
    <w:uiPriority w:val="99"/>
    <w:pPr>
      <w:tabs>
        <w:tab w:val="center" w:pos="4153"/>
        <w:tab w:val="right" w:pos="8306"/>
      </w:tabs>
      <w:snapToGrid w:val="0"/>
      <w:jc w:val="left"/>
    </w:pPr>
    <w:rPr>
      <w:sz w:val="18"/>
      <w:szCs w:val="18"/>
    </w:rPr>
  </w:style>
  <w:style w:type="paragraph" w:styleId="43">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4"/>
    <w:next w:val="24"/>
    <w:link w:val="95"/>
    <w:qFormat/>
    <w:uiPriority w:val="0"/>
    <w:rPr>
      <w:b/>
      <w:bCs/>
    </w:rPr>
  </w:style>
  <w:style w:type="table" w:styleId="63">
    <w:name w:val="Table Grid"/>
    <w:basedOn w:val="6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80">
    <w:name w:val="正文文本首行缩进 21"/>
    <w:basedOn w:val="6"/>
    <w:qFormat/>
    <w:uiPriority w:val="0"/>
    <w:pPr>
      <w:spacing w:line="200" w:lineRule="atLeast"/>
      <w:ind w:firstLine="420"/>
    </w:pPr>
    <w:rPr>
      <w:rFonts w:hAnsi="Courier New"/>
      <w:spacing w:val="-4"/>
      <w:sz w:val="18"/>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7"/>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49"/>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13"/>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9"/>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8"/>
    <w:qFormat/>
    <w:uiPriority w:val="0"/>
    <w:rPr>
      <w:rFonts w:ascii="宋体"/>
      <w:kern w:val="2"/>
      <w:sz w:val="24"/>
      <w:szCs w:val="21"/>
      <w:lang w:val="zh-CN"/>
    </w:rPr>
  </w:style>
  <w:style w:type="character" w:customStyle="1" w:styleId="181">
    <w:name w:val="标题 9 字符"/>
    <w:link w:val="16"/>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41"/>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23"/>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2"/>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11"/>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21"/>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12"/>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5"/>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8"/>
    <w:qFormat/>
    <w:uiPriority w:val="0"/>
    <w:rPr>
      <w:rFonts w:ascii="黑体" w:hAnsi="Courier New" w:eastAsia="黑体"/>
    </w:rPr>
  </w:style>
  <w:style w:type="character" w:customStyle="1" w:styleId="301">
    <w:name w:val="正文文本 2 字符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11"/>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4"/>
    <w:qFormat/>
    <w:uiPriority w:val="0"/>
    <w:rPr>
      <w:b/>
      <w:bCs/>
      <w:kern w:val="2"/>
      <w:sz w:val="24"/>
      <w:szCs w:val="24"/>
    </w:rPr>
  </w:style>
  <w:style w:type="character" w:customStyle="1" w:styleId="307">
    <w:name w:val="正文文本缩进 2 字符"/>
    <w:link w:val="39"/>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8"/>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11"/>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6"/>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4"/>
    <w:qFormat/>
    <w:uiPriority w:val="99"/>
    <w:rPr>
      <w:kern w:val="2"/>
      <w:sz w:val="21"/>
      <w:szCs w:val="24"/>
    </w:rPr>
  </w:style>
  <w:style w:type="character" w:customStyle="1" w:styleId="344">
    <w:name w:val="签名 字符"/>
    <w:link w:val="44"/>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5"/>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2"/>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3"/>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9"/>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11"/>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3"/>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12"/>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11"/>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11"/>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11"/>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9"/>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9"/>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9"/>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9"/>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11"/>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20"/>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3"/>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9"/>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12"/>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40"/>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正文文本首行缩进 22"/>
    <w:basedOn w:val="6"/>
    <w:qFormat/>
    <w:uiPriority w:val="99"/>
    <w:pPr>
      <w:spacing w:line="200" w:lineRule="atLeast"/>
      <w:ind w:firstLine="420"/>
    </w:pPr>
    <w:rPr>
      <w:rFonts w:hAnsi="Courier New"/>
      <w:spacing w:val="-4"/>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143</Pages>
  <Words>71879</Words>
  <Characters>76341</Characters>
  <Lines>619</Lines>
  <Paragraphs>174</Paragraphs>
  <TotalTime>1</TotalTime>
  <ScaleCrop>false</ScaleCrop>
  <LinksUpToDate>false</LinksUpToDate>
  <CharactersWithSpaces>82019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2023-04-21T04:44:00Z</dcterms:created>
  <dc:creator>ZMG_</dc:creator>
  <cp:lastModifiedBy>ohyes</cp:lastModifiedBy>
  <cp:lastPrinted>2023-04-21T06:55:42Z</cp:lastPrinted>
  <dcterms:modified xsi:type="dcterms:W3CDTF">2023-04-21T07:39:45Z</dcterms:modified>
  <dc:title>镜像新城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DD0C701983DE4779A5FFAC85B0D440C1</vt:lpwstr>
  </property>
</Properties>
</file>