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68DC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3" w:hRule="atLeast"/>
        </w:trPr>
        <w:tc>
          <w:tcPr>
            <w:tcW w:w="9286" w:type="dxa"/>
          </w:tcPr>
          <w:p w14:paraId="1C3483CD">
            <w:pPr>
              <w:adjustRightInd/>
              <w:spacing w:line="360" w:lineRule="auto"/>
              <w:jc w:val="center"/>
              <w:rPr>
                <w:rFonts w:hint="eastAsia" w:ascii="宋体" w:hAnsi="宋体" w:cs="宋体"/>
                <w:color w:val="auto"/>
                <w:sz w:val="48"/>
                <w:szCs w:val="48"/>
                <w:highlight w:val="none"/>
                <w:vertAlign w:val="baseline"/>
              </w:rPr>
            </w:pPr>
          </w:p>
        </w:tc>
      </w:tr>
      <w:tr w14:paraId="36BFC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6A2B6D4B">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杭州市萧山区第一人民医院超融合（信创）政府采购项目</w:t>
            </w:r>
          </w:p>
        </w:tc>
      </w:tr>
      <w:tr w14:paraId="10ED1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3F5D9225">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48"/>
                <w:szCs w:val="48"/>
                <w:highlight w:val="none"/>
              </w:rPr>
              <w:t>招标文件</w:t>
            </w:r>
          </w:p>
        </w:tc>
      </w:tr>
      <w:tr w14:paraId="6269D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3D0469ED">
            <w:pPr>
              <w:adjustRightInd/>
              <w:spacing w:line="360" w:lineRule="auto"/>
              <w:jc w:val="center"/>
              <w:rPr>
                <w:rFonts w:hint="eastAsia" w:ascii="宋体" w:hAnsi="宋体" w:cs="宋体"/>
                <w:color w:val="auto"/>
                <w:sz w:val="48"/>
                <w:szCs w:val="48"/>
                <w:highlight w:val="none"/>
                <w:vertAlign w:val="baseline"/>
              </w:rPr>
            </w:pPr>
            <w:r>
              <w:rPr>
                <w:rFonts w:hint="eastAsia" w:ascii="宋体" w:hAnsi="宋体" w:cs="宋体"/>
                <w:b/>
                <w:color w:val="auto"/>
                <w:sz w:val="44"/>
                <w:szCs w:val="44"/>
                <w:highlight w:val="none"/>
              </w:rPr>
              <w:t>（电子招投标）</w:t>
            </w:r>
          </w:p>
        </w:tc>
      </w:tr>
      <w:tr w14:paraId="1D0B5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0E7DEC81">
            <w:pPr>
              <w:snapToGrid w:val="0"/>
              <w:spacing w:line="360" w:lineRule="auto"/>
              <w:jc w:val="center"/>
              <w:rPr>
                <w:rFonts w:hint="default" w:ascii="宋体" w:hAnsi="宋体" w:eastAsia="宋体" w:cs="宋体"/>
                <w:color w:val="auto"/>
                <w:sz w:val="48"/>
                <w:szCs w:val="48"/>
                <w:highlight w:val="none"/>
                <w:vertAlign w:val="baseli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val="en-US" w:eastAsia="zh-CN"/>
              </w:rPr>
              <w:t>XZCG2025-GK-ZCY053</w:t>
            </w:r>
          </w:p>
        </w:tc>
      </w:tr>
      <w:tr w14:paraId="2067F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6059FBA6">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color w:val="auto"/>
                <w:sz w:val="32"/>
                <w:szCs w:val="32"/>
                <w:highlight w:val="none"/>
              </w:rPr>
              <w:t>杭州市萧山区第一人民医院</w:t>
            </w:r>
          </w:p>
        </w:tc>
      </w:tr>
      <w:tr w14:paraId="3AF90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45CB0DF6">
            <w:pPr>
              <w:snapToGrid w:val="0"/>
              <w:spacing w:line="360" w:lineRule="auto"/>
              <w:jc w:val="center"/>
              <w:rPr>
                <w:rFonts w:hint="eastAsia" w:ascii="宋体" w:hAnsi="宋体" w:cs="宋体"/>
                <w:color w:val="auto"/>
                <w:sz w:val="48"/>
                <w:szCs w:val="48"/>
                <w:highlight w:val="none"/>
                <w:vertAlign w:val="baseline"/>
              </w:rPr>
            </w:pPr>
            <w:r>
              <w:rPr>
                <w:rFonts w:hint="eastAsia" w:ascii="宋体" w:hAnsi="宋体" w:cs="宋体"/>
                <w:bCs/>
                <w:color w:val="auto"/>
                <w:sz w:val="32"/>
                <w:szCs w:val="32"/>
                <w:highlight w:val="none"/>
                <w:lang w:eastAsia="zh-CN"/>
              </w:rPr>
              <w:t>杭州市公共资源交易中心萧山分中心</w:t>
            </w:r>
          </w:p>
        </w:tc>
      </w:tr>
      <w:tr w14:paraId="436B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195C4399">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val="en-US" w:eastAsia="zh-CN"/>
              </w:rPr>
              <w:t>2025</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7</w:t>
            </w:r>
            <w:r>
              <w:rPr>
                <w:rFonts w:hint="eastAsia" w:ascii="宋体" w:hAnsi="宋体" w:cs="宋体"/>
                <w:bCs/>
                <w:color w:val="auto"/>
                <w:sz w:val="32"/>
                <w:szCs w:val="32"/>
                <w:highlight w:val="none"/>
              </w:rPr>
              <w:t xml:space="preserve">月 </w:t>
            </w:r>
            <w:r>
              <w:rPr>
                <w:rFonts w:hint="eastAsia" w:ascii="宋体" w:hAnsi="宋体" w:cs="宋体"/>
                <w:bCs/>
                <w:color w:val="auto"/>
                <w:sz w:val="32"/>
                <w:szCs w:val="32"/>
                <w:highlight w:val="none"/>
                <w:lang w:val="en-US" w:eastAsia="zh-CN"/>
              </w:rPr>
              <w:t>11</w:t>
            </w:r>
            <w:r>
              <w:rPr>
                <w:rFonts w:hint="eastAsia" w:ascii="宋体" w:hAnsi="宋体" w:cs="宋体"/>
                <w:bCs/>
                <w:color w:val="auto"/>
                <w:sz w:val="32"/>
                <w:szCs w:val="32"/>
                <w:highlight w:val="none"/>
              </w:rPr>
              <w:t>日</w:t>
            </w:r>
          </w:p>
        </w:tc>
      </w:tr>
    </w:tbl>
    <w:p w14:paraId="691FEFAE">
      <w:pPr>
        <w:rPr>
          <w:rFonts w:hint="eastAsia"/>
          <w:color w:val="auto"/>
          <w:highlight w:val="none"/>
        </w:rPr>
      </w:pPr>
      <w:r>
        <w:rPr>
          <w:rFonts w:hint="eastAsia"/>
          <w:color w:val="auto"/>
          <w:highlight w:val="none"/>
        </w:rPr>
        <w:br w:type="page"/>
      </w:r>
    </w:p>
    <w:p w14:paraId="468634C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2E018E1D">
      <w:pPr>
        <w:spacing w:line="360" w:lineRule="auto"/>
        <w:rPr>
          <w:rFonts w:ascii="宋体" w:hAnsi="宋体" w:cs="宋体"/>
          <w:color w:val="auto"/>
          <w:sz w:val="32"/>
          <w:szCs w:val="32"/>
          <w:highlight w:val="none"/>
        </w:rPr>
      </w:pPr>
    </w:p>
    <w:p w14:paraId="4AF23128">
      <w:pPr>
        <w:spacing w:line="360" w:lineRule="auto"/>
        <w:rPr>
          <w:rFonts w:ascii="宋体" w:hAnsi="宋体" w:cs="宋体"/>
          <w:color w:val="auto"/>
          <w:sz w:val="32"/>
          <w:szCs w:val="32"/>
          <w:highlight w:val="none"/>
        </w:rPr>
      </w:pPr>
    </w:p>
    <w:p w14:paraId="7C317F6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D2D17D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CF822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FB6EB7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A53286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EB20042">
      <w:pPr>
        <w:spacing w:line="360" w:lineRule="auto"/>
        <w:ind w:firstLine="1280" w:firstLineChars="400"/>
        <w:rPr>
          <w:rFonts w:hint="eastAsia"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3255EDF">
      <w:pPr>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14:paraId="167320EC">
      <w:pPr>
        <w:adjustRightInd/>
        <w:spacing w:line="360" w:lineRule="auto"/>
        <w:jc w:val="center"/>
        <w:outlineLvl w:val="0"/>
        <w:rPr>
          <w:rFonts w:ascii="宋体" w:hAnsi="宋体" w:cs="宋体"/>
          <w:b/>
          <w:color w:val="auto"/>
          <w:sz w:val="36"/>
          <w:szCs w:val="20"/>
          <w:highlight w:val="none"/>
        </w:rPr>
      </w:pPr>
      <w:bookmarkStart w:id="0" w:name="_Hlt74729822"/>
      <w:bookmarkEnd w:id="0"/>
      <w:bookmarkStart w:id="1" w:name="_Hlt74728647"/>
      <w:bookmarkEnd w:id="1"/>
      <w:bookmarkStart w:id="2" w:name="_Hlt74649545"/>
      <w:bookmarkEnd w:id="2"/>
      <w:bookmarkStart w:id="3" w:name="_Hlt74707423"/>
      <w:bookmarkEnd w:id="3"/>
      <w:bookmarkStart w:id="4" w:name="第二部分"/>
      <w:bookmarkStart w:id="5" w:name="_Toc91899870"/>
      <w:bookmarkStart w:id="6" w:name="_Toc91899871"/>
      <w:r>
        <w:rPr>
          <w:rFonts w:hint="eastAsia" w:ascii="宋体" w:hAnsi="宋体" w:cs="宋体"/>
          <w:b/>
          <w:color w:val="auto"/>
          <w:sz w:val="36"/>
          <w:szCs w:val="20"/>
          <w:highlight w:val="none"/>
        </w:rPr>
        <w:t>第一部分 招标公告</w:t>
      </w:r>
    </w:p>
    <w:p w14:paraId="6D25F3A1">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456F20C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杭州市萧山区第一人民医院超融合（信创）政府采购项目</w:t>
      </w:r>
      <w:r>
        <w:rPr>
          <w:rFonts w:hint="eastAsia" w:asciiTheme="minorEastAsia" w:hAnsiTheme="minorEastAsia" w:eastAsiaTheme="minorEastAsia"/>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cs="Times New Roman" w:asciiTheme="minorEastAsia" w:hAnsiTheme="minorEastAsia" w:eastAsiaTheme="minorEastAsia"/>
          <w:snapToGrid/>
          <w:color w:val="auto"/>
          <w:kern w:val="2"/>
          <w:sz w:val="24"/>
          <w:szCs w:val="24"/>
          <w:highlight w:val="none"/>
        </w:rPr>
        <w:t>https://www.zcygov.cn/）获取（下载）招标文件，并于</w:t>
      </w:r>
      <w:r>
        <w:rPr>
          <w:rStyle w:val="76"/>
          <w:rFonts w:hint="eastAsia" w:cs="Times New Roman" w:asciiTheme="minorEastAsia" w:hAnsiTheme="minorEastAsia" w:eastAsiaTheme="minorEastAsia"/>
          <w:snapToGrid/>
          <w:color w:val="auto"/>
          <w:kern w:val="2"/>
          <w:sz w:val="24"/>
          <w:szCs w:val="24"/>
          <w:highlight w:val="none"/>
        </w:rPr>
        <w:t>202</w:t>
      </w:r>
      <w:r>
        <w:rPr>
          <w:rStyle w:val="76"/>
          <w:rFonts w:hint="eastAsia" w:cs="Times New Roman" w:asciiTheme="minorEastAsia" w:hAnsiTheme="minorEastAsia" w:eastAsiaTheme="minorEastAsia"/>
          <w:snapToGrid/>
          <w:color w:val="auto"/>
          <w:kern w:val="2"/>
          <w:sz w:val="24"/>
          <w:szCs w:val="24"/>
          <w:highlight w:val="none"/>
          <w:lang w:val="en-US" w:eastAsia="zh-CN"/>
        </w:rPr>
        <w:t>5</w:t>
      </w:r>
      <w:r>
        <w:rPr>
          <w:rStyle w:val="76"/>
          <w:rFonts w:cs="Times New Roman" w:asciiTheme="minorEastAsia" w:hAnsiTheme="minorEastAsia" w:eastAsiaTheme="minorEastAsia"/>
          <w:snapToGrid/>
          <w:color w:val="auto"/>
          <w:kern w:val="2"/>
          <w:sz w:val="24"/>
          <w:szCs w:val="24"/>
          <w:highlight w:val="none"/>
        </w:rPr>
        <w:t>年</w:t>
      </w:r>
      <w:r>
        <w:rPr>
          <w:rStyle w:val="76"/>
          <w:rFonts w:hint="eastAsia" w:cs="Times New Roman" w:asciiTheme="minorEastAsia" w:hAnsiTheme="minorEastAsia" w:eastAsiaTheme="minorEastAsia"/>
          <w:snapToGrid/>
          <w:color w:val="auto"/>
          <w:kern w:val="2"/>
          <w:sz w:val="24"/>
          <w:szCs w:val="24"/>
          <w:highlight w:val="none"/>
          <w:lang w:val="en-US" w:eastAsia="zh-CN"/>
        </w:rPr>
        <w:t>8</w:t>
      </w:r>
      <w:r>
        <w:rPr>
          <w:rStyle w:val="76"/>
          <w:rFonts w:hint="eastAsia" w:cs="Times New Roman" w:asciiTheme="minorEastAsia" w:hAnsiTheme="minorEastAsia" w:eastAsiaTheme="minorEastAsia"/>
          <w:snapToGrid/>
          <w:color w:val="auto"/>
          <w:kern w:val="2"/>
          <w:sz w:val="24"/>
          <w:szCs w:val="24"/>
          <w:highlight w:val="none"/>
        </w:rPr>
        <w:t>月</w:t>
      </w:r>
      <w:r>
        <w:rPr>
          <w:rStyle w:val="76"/>
          <w:rFonts w:hint="eastAsia" w:cs="Times New Roman" w:asciiTheme="minorEastAsia" w:hAnsiTheme="minorEastAsia" w:eastAsiaTheme="minorEastAsia"/>
          <w:snapToGrid/>
          <w:color w:val="auto"/>
          <w:kern w:val="2"/>
          <w:sz w:val="24"/>
          <w:szCs w:val="24"/>
          <w:highlight w:val="none"/>
          <w:lang w:val="en-US" w:eastAsia="zh-CN"/>
        </w:rPr>
        <w:t>12</w:t>
      </w:r>
      <w:r>
        <w:rPr>
          <w:rStyle w:val="76"/>
          <w:rFonts w:hint="eastAsia" w:cs="Times New Roman" w:asciiTheme="minorEastAsia" w:hAnsiTheme="minorEastAsia" w:eastAsiaTheme="minorEastAsia"/>
          <w:snapToGrid/>
          <w:color w:val="auto"/>
          <w:kern w:val="2"/>
          <w:sz w:val="24"/>
          <w:szCs w:val="24"/>
          <w:highlight w:val="none"/>
        </w:rPr>
        <w:t>日</w:t>
      </w:r>
      <w:r>
        <w:rPr>
          <w:rStyle w:val="76"/>
          <w:rFonts w:hint="eastAsia" w:cs="Times New Roman" w:asciiTheme="minorEastAsia" w:hAnsiTheme="minorEastAsia" w:eastAsiaTheme="minorEastAsia"/>
          <w:snapToGrid/>
          <w:color w:val="auto"/>
          <w:kern w:val="2"/>
          <w:sz w:val="24"/>
          <w:szCs w:val="24"/>
          <w:highlight w:val="none"/>
          <w:lang w:val="en-US" w:eastAsia="zh-CN"/>
        </w:rPr>
        <w:t>9</w:t>
      </w:r>
      <w:r>
        <w:rPr>
          <w:rStyle w:val="76"/>
          <w:rFonts w:hint="eastAsia" w:cs="Times New Roman" w:asciiTheme="minorEastAsia" w:hAnsiTheme="minorEastAsia" w:eastAsiaTheme="minorEastAsia"/>
          <w:snapToGrid/>
          <w:color w:val="auto"/>
          <w:kern w:val="2"/>
          <w:sz w:val="24"/>
          <w:szCs w:val="24"/>
          <w:highlight w:val="none"/>
        </w:rPr>
        <w:t>点</w:t>
      </w:r>
      <w:r>
        <w:rPr>
          <w:rStyle w:val="76"/>
          <w:rFonts w:hint="eastAsia" w:cs="Times New Roman" w:asciiTheme="minorEastAsia" w:hAnsiTheme="minorEastAsia" w:eastAsiaTheme="minorEastAsia"/>
          <w:snapToGrid/>
          <w:color w:val="auto"/>
          <w:kern w:val="2"/>
          <w:sz w:val="24"/>
          <w:szCs w:val="24"/>
          <w:highlight w:val="none"/>
          <w:lang w:val="en-US" w:eastAsia="zh-CN"/>
        </w:rPr>
        <w:t>00</w:t>
      </w:r>
      <w:r>
        <w:rPr>
          <w:rStyle w:val="76"/>
          <w:rFonts w:hint="eastAsia" w:cs="Times New Roman" w:asciiTheme="minorEastAsia" w:hAnsiTheme="minorEastAsia" w:eastAsiaTheme="minorEastAsia"/>
          <w:snapToGrid/>
          <w:color w:val="auto"/>
          <w:kern w:val="2"/>
          <w:sz w:val="24"/>
          <w:szCs w:val="24"/>
          <w:highlight w:val="none"/>
        </w:rPr>
        <w:t>分</w:t>
      </w:r>
      <w:r>
        <w:rPr>
          <w:rStyle w:val="76"/>
          <w:rFonts w:hint="eastAsia" w:cs="Times New Roman" w:asciiTheme="minorEastAsia" w:hAnsiTheme="minorEastAsia" w:eastAsiaTheme="minorEastAsia"/>
          <w:bCs/>
          <w:snapToGrid/>
          <w:color w:val="auto"/>
          <w:kern w:val="2"/>
          <w:sz w:val="24"/>
          <w:szCs w:val="24"/>
          <w:highlight w:val="none"/>
        </w:rPr>
        <w:t>00秒</w:t>
      </w:r>
      <w:r>
        <w:rPr>
          <w:rStyle w:val="76"/>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1A8F8038">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91B925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val="en-US" w:eastAsia="zh-CN"/>
        </w:rPr>
        <w:t>XZCG2025-GK-ZCY053</w:t>
      </w:r>
    </w:p>
    <w:p w14:paraId="067ADF7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杭州市萧山区第一人民医院超融合（信创）政府采购项目</w:t>
      </w:r>
    </w:p>
    <w:p w14:paraId="10392E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预算金额（元）：1650000</w:t>
      </w:r>
    </w:p>
    <w:p w14:paraId="6F3F9F4D">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最高限价（元）：1650000</w:t>
      </w:r>
    </w:p>
    <w:p w14:paraId="6CAB9307">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杭州市萧山区第一人民医院超融合（信创）政府采购项目</w:t>
      </w:r>
      <w:r>
        <w:rPr>
          <w:rFonts w:hint="eastAsia" w:hAnsi="宋体" w:cs="宋体"/>
          <w:bCs/>
          <w:snapToGrid/>
          <w:color w:val="auto"/>
          <w:kern w:val="2"/>
          <w:sz w:val="24"/>
          <w:szCs w:val="24"/>
          <w:highlight w:val="none"/>
          <w:lang w:val="en-US" w:eastAsia="zh-CN"/>
        </w:rPr>
        <w:t xml:space="preserve"> </w:t>
      </w:r>
      <w:r>
        <w:rPr>
          <w:rFonts w:hint="eastAsia" w:hAnsi="宋体" w:cs="宋体"/>
          <w:bCs/>
          <w:snapToGrid/>
          <w:color w:val="auto"/>
          <w:kern w:val="2"/>
          <w:sz w:val="24"/>
          <w:szCs w:val="24"/>
          <w:highlight w:val="none"/>
        </w:rPr>
        <w:t>主要内容：杭州市萧山区第一人民医院超融合（信创）。</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AB75ADE">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b/>
          <w:color w:val="auto"/>
          <w:highlight w:val="none"/>
          <w:lang w:eastAsia="zh-CN"/>
        </w:rPr>
        <w:t>详见招标文件</w:t>
      </w:r>
    </w:p>
    <w:p w14:paraId="54FD82E7">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ascii="宋体" w:hAnsi="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是；</w:t>
      </w:r>
      <w:sdt>
        <w:sdtPr>
          <w:rPr>
            <w:rFonts w:hint="eastAsia" w:ascii="宋体" w:hAnsi="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cs="宋体"/>
            <w:snapToGrid/>
            <w:color w:val="auto"/>
            <w:kern w:val="2"/>
            <w:sz w:val="24"/>
            <w:szCs w:val="24"/>
            <w:highlight w:val="none"/>
          </w:rPr>
        </w:sdtEndPr>
        <w:sdtContent>
          <w:r>
            <w:rPr>
              <w:rFonts w:hint="eastAsia" w:ascii="宋体" w:hAnsi="宋体" w:cs="宋体"/>
              <w:snapToGrid/>
              <w:color w:val="auto"/>
              <w:kern w:val="2"/>
              <w:sz w:val="24"/>
              <w:szCs w:val="24"/>
              <w:highlight w:val="none"/>
            </w:rPr>
            <w:t>☐</w:t>
          </w:r>
        </w:sdtContent>
      </w:sdt>
      <w:r>
        <w:rPr>
          <w:rFonts w:hint="eastAsia" w:ascii="宋体" w:hAnsi="宋体" w:cs="宋体"/>
          <w:snapToGrid/>
          <w:color w:val="auto"/>
          <w:kern w:val="2"/>
          <w:sz w:val="24"/>
          <w:szCs w:val="24"/>
          <w:highlight w:val="none"/>
        </w:rPr>
        <w:t xml:space="preserve"> </w:t>
      </w:r>
      <w:r>
        <w:rPr>
          <w:rFonts w:hint="eastAsia" w:hAnsi="宋体" w:cs="宋体"/>
          <w:b w:val="0"/>
          <w:snapToGrid/>
          <w:color w:val="auto"/>
          <w:kern w:val="2"/>
          <w:sz w:val="24"/>
          <w:szCs w:val="24"/>
          <w:highlight w:val="none"/>
          <w:lang w:val="en-US" w:eastAsia="zh-CN"/>
        </w:rPr>
        <w:t>否</w:t>
      </w:r>
    </w:p>
    <w:p w14:paraId="65BAD5D2">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7" w:name="_Hlk101132948"/>
      <w:r>
        <w:rPr>
          <w:rFonts w:hint="eastAsia" w:ascii="宋体" w:hAnsi="宋体" w:cs="宋体"/>
          <w:b/>
          <w:color w:val="auto"/>
          <w:sz w:val="24"/>
          <w:highlight w:val="none"/>
        </w:rPr>
        <w:t>申请人的资格要求</w:t>
      </w:r>
      <w:bookmarkEnd w:id="7"/>
      <w:r>
        <w:rPr>
          <w:rFonts w:hint="eastAsia" w:ascii="宋体" w:hAnsi="宋体" w:cs="宋体"/>
          <w:b/>
          <w:color w:val="auto"/>
          <w:sz w:val="24"/>
          <w:highlight w:val="none"/>
        </w:rPr>
        <w:t>：</w:t>
      </w:r>
    </w:p>
    <w:p w14:paraId="088C7E09">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3355E62F">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00DC9B1">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3EB47AAF">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5284CBF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48595A">
      <w:pPr>
        <w:spacing w:line="360" w:lineRule="auto"/>
        <w:ind w:firstLine="897" w:firstLineChars="374"/>
        <w:rPr>
          <w:rFonts w:ascii="宋体" w:hAnsi="宋体" w:cs="宋体"/>
          <w:color w:val="auto"/>
          <w:sz w:val="24"/>
          <w:szCs w:val="24"/>
          <w:highlight w:val="none"/>
          <w:u w:val="single"/>
        </w:rPr>
      </w:pPr>
      <w:sdt>
        <w:sdtPr>
          <w:rPr>
            <w:rFonts w:hint="eastAsia" w:ascii="宋体" w:hAnsi="宋体" w:cs="宋体"/>
            <w:color w:val="auto"/>
            <w:kern w:val="0"/>
            <w:sz w:val="24"/>
            <w:highlight w:val="none"/>
          </w:rPr>
          <w:id w:val="147456147"/>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szCs w:val="24"/>
          <w:highlight w:val="none"/>
        </w:rPr>
        <w:t>货物全部由符合政策要求的中小微企业制造，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13AEF699">
      <w:pPr>
        <w:spacing w:line="360" w:lineRule="auto"/>
        <w:ind w:firstLine="897" w:firstLineChars="374"/>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55998"/>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sz w:val="24"/>
          <w:szCs w:val="24"/>
          <w:highlight w:val="none"/>
        </w:rPr>
        <w:t>货物全部由符合政策要求的小微企业制造，</w:t>
      </w:r>
      <w:r>
        <w:rPr>
          <w:rFonts w:hint="eastAsia" w:ascii="宋体" w:hAnsi="宋体" w:cs="宋体"/>
          <w:color w:val="auto"/>
          <w:sz w:val="24"/>
          <w:szCs w:val="24"/>
          <w:highlight w:val="none"/>
          <w:lang w:val="en-US" w:eastAsia="zh-CN"/>
        </w:rPr>
        <w:t>按要求</w:t>
      </w:r>
      <w:r>
        <w:rPr>
          <w:rFonts w:hint="eastAsia" w:ascii="宋体" w:hAnsi="宋体" w:cs="宋体"/>
          <w:color w:val="auto"/>
          <w:sz w:val="24"/>
          <w:szCs w:val="24"/>
          <w:highlight w:val="none"/>
        </w:rPr>
        <w:t>提供中小企业声明函；</w:t>
      </w:r>
    </w:p>
    <w:p w14:paraId="732344D2">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147463126"/>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bookmarkStart w:id="8" w:name="_Hlk101132524"/>
        </w:sdtContent>
      </w:sdt>
      <w:r>
        <w:rPr>
          <w:rFonts w:hint="eastAsia" w:ascii="宋体" w:hAnsi="宋体" w:cs="宋体"/>
          <w:color w:val="auto"/>
          <w:kern w:val="2"/>
          <w:sz w:val="24"/>
          <w:szCs w:val="24"/>
          <w:highlight w:val="none"/>
        </w:rPr>
        <w:t>供应商应</w:t>
      </w:r>
      <w:r>
        <w:rPr>
          <w:rFonts w:hint="eastAsia" w:ascii="宋体" w:hAnsi="宋体" w:cs="宋体"/>
          <w:color w:val="auto"/>
          <w:sz w:val="24"/>
          <w:szCs w:val="24"/>
          <w:highlight w:val="none"/>
        </w:rPr>
        <w:t>以联合体形式参加，并按要求提供联合协议和中小企业声明函，联合协议中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bookmarkEnd w:id="8"/>
    <w:p w14:paraId="7D1E3328">
      <w:pPr>
        <w:spacing w:line="360" w:lineRule="auto"/>
        <w:ind w:firstLine="480" w:firstLineChars="200"/>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2"/>
          <w:sz w:val="24"/>
          <w:szCs w:val="24"/>
          <w:highlight w:val="none"/>
        </w:rPr>
        <w:t>供应商应</w:t>
      </w:r>
      <w:r>
        <w:rPr>
          <w:rFonts w:hint="eastAsia" w:ascii="宋体" w:hAnsi="宋体" w:cs="宋体"/>
          <w:color w:val="auto"/>
          <w:kern w:val="2"/>
          <w:sz w:val="24"/>
          <w:szCs w:val="24"/>
          <w:highlight w:val="none"/>
          <w:lang w:val="en-US" w:eastAsia="zh-CN"/>
        </w:rPr>
        <w:t>以</w:t>
      </w:r>
      <w:r>
        <w:rPr>
          <w:rFonts w:hint="eastAsia" w:ascii="宋体" w:hAnsi="宋体" w:cs="宋体"/>
          <w:color w:val="auto"/>
          <w:sz w:val="24"/>
          <w:szCs w:val="24"/>
          <w:highlight w:val="none"/>
        </w:rPr>
        <w:t>合同分包形式参加，并按要求提供分包意向协议和中小企业声明函，分包意向协议中</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中小企业合同金额应当达到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，其中小微企业合同金额应当达到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w:t>
      </w:r>
      <w:r>
        <w:rPr>
          <w:rFonts w:hint="eastAsia" w:ascii="宋体" w:hAnsi="宋体" w:cs="宋体"/>
          <w:color w:val="auto"/>
          <w:spacing w:val="8"/>
          <w:kern w:val="0"/>
          <w:sz w:val="24"/>
          <w:szCs w:val="24"/>
          <w:highlight w:val="none"/>
        </w:rPr>
        <w:t>如果供应商提供</w:t>
      </w:r>
      <w:r>
        <w:rPr>
          <w:rFonts w:hint="eastAsia" w:ascii="宋体" w:hAnsi="宋体" w:cs="宋体"/>
          <w:color w:val="auto"/>
          <w:spacing w:val="8"/>
          <w:kern w:val="0"/>
          <w:sz w:val="24"/>
          <w:szCs w:val="24"/>
          <w:highlight w:val="none"/>
          <w:lang w:val="en-US" w:eastAsia="zh-CN"/>
        </w:rPr>
        <w:t>的</w:t>
      </w:r>
      <w:r>
        <w:rPr>
          <w:rFonts w:hint="eastAsia" w:ascii="宋体" w:hAnsi="宋体" w:cs="宋体"/>
          <w:color w:val="auto"/>
          <w:spacing w:val="8"/>
          <w:kern w:val="0"/>
          <w:sz w:val="24"/>
          <w:szCs w:val="24"/>
          <w:highlight w:val="none"/>
        </w:rPr>
        <w:t>所有标的均由中小企业制造、承建或承接，并相应达到了前述比例要求，无需再向中小企业分包，</w:t>
      </w:r>
      <w:r>
        <w:rPr>
          <w:rFonts w:hint="eastAsia" w:ascii="宋体" w:hAnsi="宋体" w:cs="宋体"/>
          <w:color w:val="auto"/>
          <w:spacing w:val="0"/>
          <w:kern w:val="2"/>
          <w:sz w:val="24"/>
          <w:szCs w:val="24"/>
          <w:highlight w:val="none"/>
        </w:rPr>
        <w:t>按要求提供</w:t>
      </w:r>
      <w:r>
        <w:rPr>
          <w:rFonts w:hint="eastAsia" w:ascii="宋体" w:hAnsi="宋体" w:cs="宋体"/>
          <w:color w:val="auto"/>
          <w:sz w:val="24"/>
          <w:szCs w:val="24"/>
          <w:highlight w:val="none"/>
        </w:rPr>
        <w:t>中小企业声明函；</w:t>
      </w:r>
    </w:p>
    <w:p w14:paraId="2EB7CA33">
      <w:pPr>
        <w:numPr>
          <w:ilvl w:val="0"/>
          <w:numId w:val="1"/>
        </w:numPr>
        <w:snapToGrid w:val="0"/>
        <w:spacing w:line="360" w:lineRule="auto"/>
        <w:ind w:firstLine="480" w:firstLineChars="200"/>
        <w:jc w:val="left"/>
        <w:rPr>
          <w:rFonts w:hint="eastAsia" w:ascii="宋体" w:hAnsi="宋体" w:cs="宋体"/>
          <w:color w:val="auto"/>
          <w:sz w:val="24"/>
          <w:highlight w:val="none"/>
          <w:lang w:eastAsia="zh-CN"/>
        </w:rPr>
      </w:pP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p>
    <w:p w14:paraId="14BE4DFC">
      <w:pPr>
        <w:spacing w:line="360" w:lineRule="auto"/>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sz w:val="24"/>
            <w:szCs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sz w:val="24"/>
          <w:szCs w:val="24"/>
          <w:highlight w:val="none"/>
          <w:lang w:val="en-US" w:eastAsia="zh-CN"/>
        </w:rPr>
        <w:t>无。</w:t>
      </w:r>
    </w:p>
    <w:p w14:paraId="7817E87D">
      <w:pPr>
        <w:spacing w:line="360" w:lineRule="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lang w:val="en-US" w:eastAsia="zh-CN"/>
            </w:rPr>
            <w:t>☐</w:t>
          </w:r>
        </w:sdtContent>
      </w:sdt>
      <w:r>
        <w:rPr>
          <w:rFonts w:hint="eastAsia" w:ascii="宋体" w:hAnsi="宋体" w:eastAsia="宋体" w:cs="宋体"/>
          <w:color w:val="auto"/>
          <w:sz w:val="24"/>
          <w:szCs w:val="24"/>
          <w:highlight w:val="none"/>
        </w:rPr>
        <w:t>有特定资格要求：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，该特定条件的法律法规据：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D62304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1ABA0E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F5AC3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12</w:t>
      </w:r>
      <w:r>
        <w:rPr>
          <w:rFonts w:hint="eastAsia" w:ascii="宋体" w:hAnsi="宋体" w:eastAsia="宋体" w:cs="宋体"/>
          <w:color w:val="auto"/>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4DD8AF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8ACF18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1118170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3377692F">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AB727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14:paraId="09BF2E7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04D2B2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w:t>
      </w:r>
      <w:bookmarkStart w:id="557" w:name="_GoBack"/>
      <w:bookmarkEnd w:id="557"/>
      <w:r>
        <w:rPr>
          <w:rFonts w:hint="eastAsia" w:ascii="宋体" w:hAnsi="宋体" w:cs="宋体"/>
          <w:color w:val="auto"/>
          <w:sz w:val="24"/>
          <w:highlight w:val="none"/>
          <w:u w:val="single"/>
        </w:rPr>
        <w:t>00秒</w:t>
      </w:r>
      <w:r>
        <w:rPr>
          <w:rFonts w:hint="eastAsia" w:ascii="宋体" w:hAnsi="宋体" w:cs="宋体"/>
          <w:color w:val="auto"/>
          <w:sz w:val="24"/>
          <w:highlight w:val="none"/>
        </w:rPr>
        <w:t>（北京时间）</w:t>
      </w:r>
    </w:p>
    <w:p w14:paraId="764407B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BB9B45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41571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7A11780">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C3692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11AE9A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8209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3A931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cs="宋体"/>
          <w:color w:val="auto"/>
          <w:sz w:val="24"/>
          <w:highlight w:val="none"/>
          <w:lang w:val="en-US" w:eastAsia="zh-CN"/>
        </w:rPr>
        <w:t>项目是否接收备份文件，以前附表说明为准。</w:t>
      </w:r>
      <w:r>
        <w:rPr>
          <w:rFonts w:hint="eastAsia" w:ascii="宋体" w:hAnsi="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EE0372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A41FC0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14:paraId="06A9B49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名    称：杭州市萧山区第一人民医院</w:t>
      </w:r>
    </w:p>
    <w:p w14:paraId="7AD33A0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地    址：萧山区市心南路199号</w:t>
      </w:r>
    </w:p>
    <w:p w14:paraId="5960B1A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传    真：/</w:t>
      </w:r>
    </w:p>
    <w:p w14:paraId="6F010C8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项目联系人（询问）：俞威英</w:t>
      </w:r>
    </w:p>
    <w:p w14:paraId="4A22FE5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项目联系方式（询问）：0571-83807081</w:t>
      </w:r>
    </w:p>
    <w:p w14:paraId="29FBCF7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质疑联系人：孔国飞</w:t>
      </w:r>
    </w:p>
    <w:p w14:paraId="4C8FCB1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质疑联系方式：0571-83807076，0571-83807189</w:t>
      </w:r>
      <w:r>
        <w:rPr>
          <w:rFonts w:hint="eastAsia" w:ascii="宋体" w:hAnsi="宋体" w:cs="宋体"/>
          <w:color w:val="auto"/>
          <w:sz w:val="24"/>
          <w:highlight w:val="none"/>
          <w:lang w:val="en-US" w:eastAsia="zh-CN"/>
        </w:rPr>
        <w:t>（请通过以下路径在线提起质疑：政采云-项目采购-询问质疑投诉-质疑列表）</w:t>
      </w:r>
    </w:p>
    <w:p w14:paraId="3FABFF8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p>
    <w:p w14:paraId="6E72E6F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杭州市公共资源交易中心萧山分中心</w:t>
      </w:r>
    </w:p>
    <w:p w14:paraId="39265FE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杭州市萧山区博学路</w:t>
      </w:r>
      <w:r>
        <w:rPr>
          <w:rFonts w:hint="eastAsia" w:ascii="宋体" w:hAnsi="宋体" w:cs="宋体"/>
          <w:color w:val="auto"/>
          <w:sz w:val="24"/>
          <w:highlight w:val="none"/>
          <w:lang w:val="en-US" w:eastAsia="zh-CN"/>
        </w:rPr>
        <w:t>618号4楼</w:t>
      </w:r>
    </w:p>
    <w:p w14:paraId="35A8E33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14B7278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吴工</w:t>
      </w:r>
    </w:p>
    <w:p w14:paraId="1B67800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0571-89615409</w:t>
      </w:r>
    </w:p>
    <w:p w14:paraId="10C3582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沈先生</w:t>
      </w:r>
    </w:p>
    <w:p w14:paraId="18E6763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质疑联系方式：0571-89615</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40</w:t>
      </w:r>
      <w:r>
        <w:rPr>
          <w:rFonts w:hint="eastAsia" w:ascii="宋体" w:hAnsi="宋体" w:cs="宋体"/>
          <w:color w:val="auto"/>
          <w:sz w:val="24"/>
          <w:highlight w:val="none"/>
          <w:lang w:val="en-US" w:eastAsia="zh-CN"/>
        </w:rPr>
        <w:t>（请通过以下路径在线提起质疑：政采云-项目采购-询问质疑投诉-质疑列表）</w:t>
      </w:r>
    </w:p>
    <w:p w14:paraId="29A4421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rPr>
        <w:t>3.同级政府采购监督管理部门</w:t>
      </w:r>
    </w:p>
    <w:p w14:paraId="26F660B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名    称：萧山区财政局</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浙江省政府采购行政裁决服务中心（杭州）</w:t>
      </w:r>
    </w:p>
    <w:p w14:paraId="722E90F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rPr>
      </w:pPr>
      <w:r>
        <w:rPr>
          <w:rFonts w:hint="eastAsia" w:ascii="宋体" w:hAnsi="宋体" w:cs="宋体"/>
          <w:color w:val="auto"/>
          <w:sz w:val="24"/>
          <w:highlight w:val="none"/>
        </w:rPr>
        <w:t>地    址：</w:t>
      </w:r>
      <w:r>
        <w:rPr>
          <w:rFonts w:hint="eastAsia" w:ascii="宋体" w:hAnsi="宋体" w:eastAsia="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（快递仅限ems或顺丰）</w:t>
      </w:r>
    </w:p>
    <w:p w14:paraId="32FAFD4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p>
    <w:p w14:paraId="0FF1448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rPr>
      </w:pPr>
      <w:r>
        <w:rPr>
          <w:rFonts w:hint="eastAsia" w:ascii="宋体" w:hAnsi="宋体" w:cs="宋体"/>
          <w:color w:val="auto"/>
          <w:sz w:val="24"/>
          <w:highlight w:val="none"/>
        </w:rPr>
        <w:t>联系人 ：</w:t>
      </w:r>
      <w:r>
        <w:rPr>
          <w:rFonts w:hint="eastAsia" w:ascii="宋体" w:hAnsi="宋体" w:cs="宋体"/>
          <w:color w:val="auto"/>
          <w:sz w:val="24"/>
          <w:highlight w:val="none"/>
          <w:lang w:val="en-US" w:eastAsia="zh-CN"/>
        </w:rPr>
        <w:t>朱老师</w:t>
      </w:r>
    </w:p>
    <w:p w14:paraId="0203DCC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cs="宋体"/>
          <w:color w:val="auto"/>
          <w:sz w:val="24"/>
          <w:highlight w:val="none"/>
          <w:lang w:val="en-US" w:eastAsia="zh-CN"/>
        </w:rPr>
        <w:t>0571-87800218</w:t>
      </w:r>
      <w:r>
        <w:rPr>
          <w:rFonts w:hint="eastAsia" w:ascii="宋体" w:hAnsi="宋体" w:cs="宋体"/>
          <w:color w:val="auto"/>
          <w:sz w:val="24"/>
          <w:highlight w:val="none"/>
        </w:rPr>
        <w:t xml:space="preserve"> </w:t>
      </w:r>
    </w:p>
    <w:p w14:paraId="7C10BB2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ascii="宋体" w:hAnsi="宋体" w:cs="宋体"/>
          <w:color w:val="auto"/>
          <w:sz w:val="24"/>
          <w:highlight w:val="none"/>
        </w:rPr>
      </w:pPr>
      <w:r>
        <w:rPr>
          <w:rFonts w:hint="eastAsia" w:ascii="宋体" w:hAnsi="宋体" w:cs="宋体"/>
          <w:color w:val="auto"/>
          <w:sz w:val="24"/>
          <w:highlight w:val="none"/>
          <w:lang w:eastAsia="zh-CN"/>
        </w:rPr>
        <w:t>政策咨询电话：</w:t>
      </w:r>
      <w:r>
        <w:rPr>
          <w:rFonts w:hint="eastAsia" w:ascii="宋体" w:hAnsi="宋体" w:cs="宋体"/>
          <w:color w:val="auto"/>
          <w:sz w:val="24"/>
          <w:highlight w:val="none"/>
        </w:rPr>
        <w:t>0571-82756122</w:t>
      </w:r>
      <w:r>
        <w:rPr>
          <w:rFonts w:hint="eastAsia" w:ascii="宋体" w:hAnsi="宋体" w:eastAsia="宋体" w:cs="宋体"/>
          <w:color w:val="auto"/>
          <w:sz w:val="24"/>
          <w:highlight w:val="none"/>
          <w:lang w:eastAsia="zh-CN"/>
        </w:rPr>
        <w:t>（汤先生）</w:t>
      </w:r>
    </w:p>
    <w:p w14:paraId="5FBC5B69">
      <w:pPr>
        <w:keepNext w:val="0"/>
        <w:keepLines w:val="0"/>
        <w:pageBreakBefore w:val="0"/>
        <w:widowControl w:val="0"/>
        <w:kinsoku/>
        <w:wordWrap/>
        <w:overflowPunct/>
        <w:topLinePunct w:val="0"/>
        <w:autoSpaceDE/>
        <w:autoSpaceDN/>
        <w:bidi w:val="0"/>
        <w:adjustRightInd w:val="0"/>
        <w:snapToGrid w:val="0"/>
        <w:spacing w:line="360" w:lineRule="auto"/>
        <w:ind w:firstLine="420"/>
        <w:jc w:val="left"/>
        <w:textAlignment w:val="auto"/>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517D1C6">
      <w:pPr>
        <w:pStyle w:val="3"/>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6CAC9E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1DBB7C8C">
      <w:pPr>
        <w:jc w:val="center"/>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4"/>
      <w:r>
        <w:rPr>
          <w:rFonts w:hint="eastAsia" w:ascii="宋体" w:hAnsi="宋体" w:cs="宋体"/>
          <w:b/>
          <w:color w:val="auto"/>
          <w:sz w:val="36"/>
          <w:szCs w:val="20"/>
          <w:highlight w:val="none"/>
        </w:rPr>
        <w:t xml:space="preserve"> 投标人须知</w:t>
      </w:r>
      <w:bookmarkEnd w:id="5"/>
    </w:p>
    <w:p w14:paraId="7E92FC27">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89AD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1CEA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1B58E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7FCD2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42CD3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4ABDB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978E81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01DABAE">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货物类</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单一产品或</w:t>
            </w:r>
            <w:r>
              <w:rPr>
                <w:rFonts w:hint="eastAsia" w:ascii="宋体" w:hAnsi="宋体" w:cs="宋体"/>
                <w:color w:val="auto"/>
                <w:kern w:val="0"/>
                <w:sz w:val="24"/>
                <w:szCs w:val="24"/>
                <w:highlight w:val="none"/>
              </w:rPr>
              <w:t>核心产品为：</w:t>
            </w:r>
            <w:r>
              <w:rPr>
                <w:rFonts w:hint="eastAsia" w:ascii="宋体" w:hAnsi="宋体" w:cs="宋体"/>
                <w:color w:val="auto"/>
                <w:kern w:val="0"/>
                <w:sz w:val="24"/>
                <w:szCs w:val="24"/>
                <w:highlight w:val="none"/>
                <w:u w:val="single"/>
              </w:rPr>
              <w:t>★</w:t>
            </w:r>
            <w:r>
              <w:rPr>
                <w:rFonts w:hint="eastAsia" w:ascii="宋体" w:hAnsi="宋体" w:cs="宋体"/>
                <w:color w:val="auto"/>
                <w:sz w:val="24"/>
                <w:szCs w:val="24"/>
                <w:highlight w:val="none"/>
                <w:u w:val="single"/>
              </w:rPr>
              <w:t>国产化服务器（内网）</w:t>
            </w:r>
            <w:r>
              <w:rPr>
                <w:rFonts w:hint="eastAsia" w:ascii="宋体" w:hAnsi="宋体" w:cs="宋体"/>
                <w:color w:val="auto"/>
                <w:sz w:val="24"/>
                <w:szCs w:val="24"/>
                <w:highlight w:val="none"/>
              </w:rPr>
              <w:t>。</w:t>
            </w:r>
          </w:p>
        </w:tc>
      </w:tr>
      <w:tr w14:paraId="4163C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EE92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6C220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07132F0">
            <w:pPr>
              <w:pageBreakBefore w:val="0"/>
              <w:numPr>
                <w:ilvl w:val="0"/>
                <w:numId w:val="0"/>
              </w:numPr>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标的1：</w:t>
            </w:r>
            <w:r>
              <w:rPr>
                <w:rFonts w:hint="eastAsia" w:ascii="宋体" w:hAnsi="宋体" w:eastAsia="宋体" w:cs="宋体"/>
                <w:color w:val="auto"/>
                <w:sz w:val="24"/>
                <w:szCs w:val="24"/>
                <w:highlight w:val="none"/>
                <w:u w:val="single"/>
              </w:rPr>
              <w:t>国产化服务器（DMZ）</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650CC753">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标的2：</w:t>
            </w:r>
            <w:r>
              <w:rPr>
                <w:rFonts w:hint="eastAsia" w:ascii="宋体" w:hAnsi="宋体" w:eastAsia="宋体" w:cs="宋体"/>
                <w:color w:val="auto"/>
                <w:sz w:val="24"/>
                <w:szCs w:val="24"/>
                <w:highlight w:val="none"/>
                <w:u w:val="single"/>
              </w:rPr>
              <w:t>国产化服务器（内网）</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7A8F57F6">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标的3：</w:t>
            </w:r>
            <w:r>
              <w:rPr>
                <w:rFonts w:hint="eastAsia" w:ascii="宋体" w:hAnsi="宋体" w:eastAsia="宋体" w:cs="宋体"/>
                <w:color w:val="auto"/>
                <w:sz w:val="24"/>
                <w:szCs w:val="24"/>
                <w:highlight w:val="none"/>
                <w:u w:val="single"/>
              </w:rPr>
              <w:t>存储交换机（DMZ）</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1855ECA7">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标的4：</w:t>
            </w:r>
            <w:r>
              <w:rPr>
                <w:rFonts w:hint="eastAsia" w:ascii="宋体" w:hAnsi="宋体" w:eastAsia="宋体" w:cs="宋体"/>
                <w:color w:val="auto"/>
                <w:sz w:val="24"/>
                <w:szCs w:val="24"/>
                <w:highlight w:val="none"/>
                <w:u w:val="single"/>
              </w:rPr>
              <w:t>业务交换机（内网）</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2847BECC">
            <w:pPr>
              <w:pageBreakBefore w:val="0"/>
              <w:kinsoku/>
              <w:wordWrap/>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标的5：</w:t>
            </w:r>
            <w:r>
              <w:rPr>
                <w:rFonts w:hint="eastAsia" w:ascii="宋体" w:hAnsi="宋体" w:eastAsia="宋体" w:cs="宋体"/>
                <w:color w:val="auto"/>
                <w:sz w:val="24"/>
                <w:szCs w:val="24"/>
                <w:highlight w:val="none"/>
                <w:u w:val="single"/>
              </w:rPr>
              <w:t>管理交换机（内网）</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工业</w:t>
            </w:r>
            <w:r>
              <w:rPr>
                <w:rFonts w:hint="eastAsia" w:ascii="宋体" w:hAnsi="宋体" w:eastAsia="宋体" w:cs="宋体"/>
                <w:color w:val="auto"/>
                <w:sz w:val="24"/>
                <w:szCs w:val="24"/>
                <w:highlight w:val="none"/>
              </w:rPr>
              <w:t>行业。</w:t>
            </w:r>
          </w:p>
          <w:p w14:paraId="60F1C331">
            <w:pPr>
              <w:pageBreakBefore w:val="0"/>
              <w:kinsoku/>
              <w:wordWrap/>
              <w:overflowPunct/>
              <w:topLinePunct w:val="0"/>
              <w:bidi w:val="0"/>
              <w:snapToGrid w:val="0"/>
              <w:spacing w:line="360" w:lineRule="auto"/>
              <w:textAlignment w:val="auto"/>
              <w:rPr>
                <w:color w:val="auto"/>
                <w:sz w:val="24"/>
                <w:szCs w:val="24"/>
                <w:highlight w:val="none"/>
                <w:lang w:val="en-US"/>
              </w:rPr>
            </w:pPr>
            <w:r>
              <w:rPr>
                <w:rFonts w:hint="eastAsia" w:ascii="宋体" w:hAnsi="宋体" w:cs="宋体"/>
                <w:b w:val="0"/>
                <w:color w:val="auto"/>
                <w:sz w:val="24"/>
                <w:szCs w:val="24"/>
                <w:highlight w:val="none"/>
                <w:lang w:val="en-US" w:eastAsia="zh-CN"/>
              </w:rPr>
              <w:t>注：</w:t>
            </w:r>
            <w:r>
              <w:rPr>
                <w:rFonts w:hint="eastAsia" w:ascii="宋体" w:hAnsi="宋体" w:cs="宋体"/>
                <w:b w:val="0"/>
                <w:color w:val="auto"/>
                <w:sz w:val="24"/>
                <w:szCs w:val="24"/>
                <w:highlight w:val="none"/>
              </w:rPr>
              <w:t>中小企业</w:t>
            </w:r>
            <w:r>
              <w:rPr>
                <w:rFonts w:hint="eastAsia" w:ascii="宋体" w:hAnsi="宋体" w:cs="宋体"/>
                <w:b w:val="0"/>
                <w:color w:val="auto"/>
                <w:sz w:val="24"/>
                <w:szCs w:val="24"/>
                <w:highlight w:val="none"/>
                <w:lang w:val="en-US" w:eastAsia="zh-CN"/>
              </w:rPr>
              <w:t>划型标准详见</w:t>
            </w:r>
            <w:r>
              <w:rPr>
                <w:rFonts w:hint="eastAsia" w:ascii="宋体" w:hAnsi="宋体" w:cs="宋体"/>
                <w:b w:val="0"/>
                <w:color w:val="auto"/>
                <w:sz w:val="24"/>
                <w:szCs w:val="24"/>
                <w:highlight w:val="none"/>
              </w:rPr>
              <w:t>附件</w:t>
            </w:r>
            <w:r>
              <w:rPr>
                <w:rFonts w:hint="eastAsia" w:ascii="宋体" w:hAnsi="宋体" w:cs="宋体"/>
                <w:b w:val="0"/>
                <w:color w:val="auto"/>
                <w:sz w:val="24"/>
                <w:szCs w:val="24"/>
                <w:highlight w:val="none"/>
                <w:lang w:val="en-US" w:eastAsia="zh-CN"/>
              </w:rPr>
              <w:t>8。</w:t>
            </w:r>
          </w:p>
        </w:tc>
      </w:tr>
      <w:tr w14:paraId="6825C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13EA5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436234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3E1A3ED">
            <w:pPr>
              <w:pageBreakBefore w:val="0"/>
              <w:kinsoku/>
              <w:wordWrap/>
              <w:overflowPunct/>
              <w:topLinePunct w:val="0"/>
              <w:bidi w:val="0"/>
              <w:snapToGrid w:val="0"/>
              <w:spacing w:line="360" w:lineRule="auto"/>
              <w:textAlignment w:val="auto"/>
              <w:rPr>
                <w:rFonts w:hint="eastAsia"/>
                <w:color w:val="auto"/>
                <w:sz w:val="24"/>
                <w:szCs w:val="24"/>
                <w:highlight w:val="none"/>
              </w:rPr>
            </w:pPr>
            <w:sdt>
              <w:sdtPr>
                <w:rPr>
                  <w:rFonts w:hint="eastAsia"/>
                  <w:color w:val="auto"/>
                  <w:sz w:val="24"/>
                  <w:szCs w:val="24"/>
                  <w:highlight w:val="none"/>
                </w:rPr>
                <w:id w:val="4658"/>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sym w:font="Wingdings" w:char="F0FE"/>
                </w:r>
              </w:sdtContent>
            </w:sdt>
            <w:r>
              <w:rPr>
                <w:rFonts w:hint="eastAsia"/>
                <w:color w:val="auto"/>
                <w:sz w:val="24"/>
                <w:szCs w:val="24"/>
                <w:highlight w:val="none"/>
              </w:rPr>
              <w:t>本项目不允许采购进口产品。</w:t>
            </w:r>
          </w:p>
          <w:p w14:paraId="59485FB4">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4659"/>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可以就</w:t>
            </w:r>
            <w:r>
              <w:rPr>
                <w:rFonts w:hint="eastAsia"/>
                <w:color w:val="auto"/>
                <w:sz w:val="24"/>
                <w:szCs w:val="24"/>
                <w:highlight w:val="none"/>
                <w:u w:val="single"/>
              </w:rPr>
              <w:t xml:space="preserve">    </w:t>
            </w:r>
            <w:r>
              <w:rPr>
                <w:rFonts w:hint="eastAsia"/>
                <w:color w:val="auto"/>
                <w:sz w:val="24"/>
                <w:szCs w:val="24"/>
                <w:highlight w:val="none"/>
              </w:rPr>
              <w:t>采购进口产品。</w:t>
            </w:r>
            <w:r>
              <w:rPr>
                <w:rFonts w:hint="eastAsia" w:ascii="宋体" w:hAnsi="宋体" w:cs="宋体"/>
                <w:color w:val="auto"/>
                <w:kern w:val="0"/>
                <w:sz w:val="24"/>
                <w:szCs w:val="24"/>
                <w:highlight w:val="none"/>
              </w:rPr>
              <w:t>优先采购向我国企业转让技术、与我国企业签订消化吸收再创新方案的供应商的进口产品，详见</w:t>
            </w:r>
            <w:r>
              <w:rPr>
                <w:rFonts w:hint="eastAsia" w:ascii="宋体" w:hAnsi="宋体" w:cs="宋体"/>
                <w:color w:val="auto"/>
                <w:kern w:val="0"/>
                <w:sz w:val="24"/>
                <w:szCs w:val="24"/>
                <w:highlight w:val="none"/>
                <w:u w:val="single"/>
              </w:rPr>
              <w:t>评分标准</w:t>
            </w:r>
            <w:r>
              <w:rPr>
                <w:rFonts w:hint="eastAsia" w:ascii="宋体" w:hAnsi="宋体" w:cs="宋体"/>
                <w:color w:val="auto"/>
                <w:kern w:val="0"/>
                <w:sz w:val="24"/>
                <w:szCs w:val="24"/>
                <w:highlight w:val="none"/>
              </w:rPr>
              <w:t>。</w:t>
            </w:r>
          </w:p>
        </w:tc>
      </w:tr>
      <w:tr w14:paraId="4E3A1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19379E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09F1F7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364BF34">
            <w:pPr>
              <w:pageBreakBefore w:val="0"/>
              <w:kinsoku/>
              <w:wordWrap/>
              <w:overflowPunct/>
              <w:topLinePunct w:val="0"/>
              <w:bidi w:val="0"/>
              <w:snapToGrid w:val="0"/>
              <w:spacing w:line="360" w:lineRule="auto"/>
              <w:textAlignment w:val="auto"/>
              <w:rPr>
                <w:rFonts w:hint="eastAsia" w:ascii="宋体" w:hAnsi="宋体" w:cs="宋体"/>
                <w:color w:val="auto"/>
                <w:sz w:val="24"/>
                <w:szCs w:val="24"/>
                <w:highlight w:val="none"/>
              </w:rPr>
            </w:pPr>
            <w:sdt>
              <w:sdtPr>
                <w:rPr>
                  <w:rFonts w:hint="eastAsia" w:ascii="宋体" w:hAnsi="宋体" w:cs="宋体"/>
                  <w:color w:val="auto"/>
                  <w:kern w:val="0"/>
                  <w:sz w:val="24"/>
                  <w:szCs w:val="24"/>
                  <w:highlight w:val="none"/>
                </w:rPr>
                <w:id w:val="466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ascii="Wingdings" w:hAnsi="Wingdings" w:cs="宋体"/>
                    <w:color w:val="auto"/>
                    <w:kern w:val="0"/>
                    <w:sz w:val="24"/>
                    <w:szCs w:val="24"/>
                    <w:highlight w:val="none"/>
                  </w:rPr>
                  <w:t></w:t>
                </w:r>
              </w:sdtContent>
            </w:sdt>
            <w:r>
              <w:rPr>
                <w:rFonts w:hint="eastAsia" w:ascii="宋体" w:hAnsi="宋体" w:cs="宋体"/>
                <w:color w:val="auto"/>
                <w:kern w:val="0"/>
                <w:sz w:val="24"/>
                <w:szCs w:val="24"/>
                <w:highlight w:val="none"/>
              </w:rPr>
              <w:t xml:space="preserve"> A</w:t>
            </w:r>
            <w:r>
              <w:rPr>
                <w:rFonts w:hint="eastAsia" w:ascii="宋体" w:hAnsi="宋体" w:cs="宋体"/>
                <w:color w:val="auto"/>
                <w:sz w:val="24"/>
                <w:szCs w:val="24"/>
                <w:highlight w:val="none"/>
              </w:rPr>
              <w:t>同意将非主体、非关键性的</w:t>
            </w:r>
            <w:r>
              <w:rPr>
                <w:rFonts w:hint="eastAsia" w:ascii="宋体" w:hAnsi="宋体" w:cs="宋体"/>
                <w:color w:val="auto"/>
                <w:sz w:val="24"/>
                <w:szCs w:val="24"/>
                <w:highlight w:val="none"/>
                <w:u w:val="single"/>
              </w:rPr>
              <w:t xml:space="preserve"> 运输 </w:t>
            </w:r>
            <w:r>
              <w:rPr>
                <w:rFonts w:hint="eastAsia" w:ascii="宋体" w:hAnsi="宋体" w:cs="宋体"/>
                <w:color w:val="auto"/>
                <w:sz w:val="24"/>
                <w:szCs w:val="24"/>
                <w:highlight w:val="none"/>
              </w:rPr>
              <w:t>工作分包。</w:t>
            </w:r>
          </w:p>
          <w:p w14:paraId="7407DC0E">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61"/>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MS Gothic" w:hAnsi="MS Gothic" w:cs="宋体"/>
                    <w:color w:val="auto"/>
                    <w:kern w:val="0"/>
                    <w:sz w:val="24"/>
                    <w:szCs w:val="24"/>
                    <w:highlight w:val="none"/>
                  </w:rPr>
                  <w:t>☐</w:t>
                </w:r>
              </w:sdtContent>
            </w:sdt>
            <w:r>
              <w:rPr>
                <w:rFonts w:hint="eastAsia" w:ascii="宋体" w:hAnsi="宋体" w:cs="宋体"/>
                <w:color w:val="auto"/>
                <w:kern w:val="0"/>
                <w:sz w:val="24"/>
                <w:szCs w:val="24"/>
                <w:highlight w:val="none"/>
              </w:rPr>
              <w:t xml:space="preserve"> B</w:t>
            </w:r>
            <w:r>
              <w:rPr>
                <w:rFonts w:hint="eastAsia" w:ascii="宋体" w:hAnsi="宋体" w:cs="宋体"/>
                <w:color w:val="auto"/>
                <w:sz w:val="24"/>
                <w:szCs w:val="24"/>
                <w:highlight w:val="none"/>
              </w:rPr>
              <w:t>不同意分包。</w:t>
            </w:r>
          </w:p>
          <w:p w14:paraId="4796CEA2">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注：不得限制大中型企业向小微企业合理分包。</w:t>
            </w:r>
          </w:p>
        </w:tc>
      </w:tr>
      <w:tr w14:paraId="049A91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F0362AF">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56AA5B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0EFFB88">
            <w:pPr>
              <w:pageBreakBefore w:val="0"/>
              <w:kinsoku/>
              <w:wordWrap/>
              <w:overflowPunct/>
              <w:topLinePunct w:val="0"/>
              <w:bidi w:val="0"/>
              <w:snapToGrid w:val="0"/>
              <w:spacing w:line="360" w:lineRule="auto"/>
              <w:textAlignment w:val="auto"/>
              <w:rPr>
                <w:rFonts w:ascii="宋体" w:hAnsi="宋体" w:cs="宋体"/>
                <w:color w:val="auto"/>
                <w:sz w:val="24"/>
                <w:highlight w:val="none"/>
              </w:rPr>
            </w:pPr>
            <w:sdt>
              <w:sdtPr>
                <w:rPr>
                  <w:rFonts w:hint="eastAsia" w:ascii="宋体" w:hAnsi="宋体" w:cs="宋体"/>
                  <w:color w:val="auto"/>
                  <w:kern w:val="0"/>
                  <w:sz w:val="24"/>
                  <w:highlight w:val="none"/>
                </w:rPr>
                <w:id w:val="14747637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A78895D">
            <w:pPr>
              <w:pageBreakBefore w:val="0"/>
              <w:kinsoku/>
              <w:wordWrap/>
              <w:overflowPunct/>
              <w:topLinePunct w:val="0"/>
              <w:bidi w:val="0"/>
              <w:snapToGrid w:val="0"/>
              <w:spacing w:line="360" w:lineRule="auto"/>
              <w:textAlignment w:val="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147480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szCs w:val="20"/>
                <w:highlight w:val="none"/>
              </w:rPr>
              <w:t>。</w:t>
            </w:r>
          </w:p>
          <w:p w14:paraId="46E34D6B">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highlight w:val="none"/>
                </w:rPr>
                <w:id w:val="1474604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eastAsia="宋体" w:cs="宋体"/>
                <w:color w:val="auto"/>
                <w:kern w:val="2"/>
                <w:sz w:val="24"/>
                <w:szCs w:val="24"/>
                <w:highlight w:val="none"/>
                <w:lang w:val="en-US" w:eastAsia="zh-CN" w:bidi="ar-SA"/>
              </w:rPr>
              <w:t>C不统一组织，供应商在获取采购文件后，自行至项目现场考察。</w:t>
            </w:r>
          </w:p>
        </w:tc>
      </w:tr>
      <w:tr w14:paraId="7AA6D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8A8620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F1E4F45">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AC8C8D1">
            <w:pPr>
              <w:pageBreakBefore w:val="0"/>
              <w:kinsoku/>
              <w:wordWrap/>
              <w:overflowPunct/>
              <w:topLinePunct w:val="0"/>
              <w:bidi w:val="0"/>
              <w:snapToGrid w:val="0"/>
              <w:spacing w:line="360" w:lineRule="auto"/>
              <w:textAlignment w:val="auto"/>
              <w:rPr>
                <w:color w:val="auto"/>
                <w:sz w:val="24"/>
                <w:szCs w:val="24"/>
                <w:highlight w:val="none"/>
              </w:rPr>
            </w:pPr>
            <w:sdt>
              <w:sdtPr>
                <w:rPr>
                  <w:rFonts w:hint="eastAsia"/>
                  <w:color w:val="auto"/>
                  <w:sz w:val="24"/>
                  <w:szCs w:val="24"/>
                  <w:highlight w:val="none"/>
                </w:rPr>
                <w:id w:val="4664"/>
                <w14:checkbox>
                  <w14:checked w14:val="1"/>
                  <w14:checkedState w14:val="00FE" w14:font="Wingdings"/>
                  <w14:uncheckedState w14:val="2610" w14:font="MS Gothic"/>
                </w14:checkbox>
              </w:sdtPr>
              <w:sdtEndPr>
                <w:rPr>
                  <w:rFonts w:hint="eastAsia"/>
                  <w:color w:val="auto"/>
                  <w:sz w:val="24"/>
                  <w:szCs w:val="24"/>
                  <w:highlight w:val="none"/>
                </w:rPr>
              </w:sdtEndPr>
              <w:sdtContent>
                <w:r>
                  <w:rPr>
                    <w:rFonts w:hint="eastAsia" w:ascii="Wingdings" w:hAnsi="Wingdings" w:eastAsia="宋体" w:cs="Times New Roman"/>
                    <w:color w:val="auto"/>
                    <w:kern w:val="2"/>
                    <w:sz w:val="24"/>
                    <w:szCs w:val="24"/>
                    <w:highlight w:val="none"/>
                    <w:lang w:val="en-US" w:eastAsia="zh-CN" w:bidi="ar-SA"/>
                  </w:rPr>
                  <w:t>þ</w:t>
                </w:r>
              </w:sdtContent>
            </w:sdt>
            <w:r>
              <w:rPr>
                <w:rFonts w:hint="eastAsia"/>
                <w:color w:val="auto"/>
                <w:sz w:val="24"/>
                <w:szCs w:val="24"/>
                <w:highlight w:val="none"/>
              </w:rPr>
              <w:t>A不要求提供。</w:t>
            </w:r>
          </w:p>
          <w:p w14:paraId="44469E18">
            <w:pPr>
              <w:pageBreakBefore w:val="0"/>
              <w:kinsoku/>
              <w:wordWrap/>
              <w:overflowPunct/>
              <w:topLinePunct w:val="0"/>
              <w:bidi w:val="0"/>
              <w:snapToGrid w:val="0"/>
              <w:spacing w:line="360" w:lineRule="auto"/>
              <w:textAlignment w:val="auto"/>
              <w:rPr>
                <w:rFonts w:hint="eastAsia" w:eastAsia="宋体"/>
                <w:color w:val="auto"/>
                <w:sz w:val="24"/>
                <w:szCs w:val="24"/>
                <w:highlight w:val="none"/>
                <w:lang w:eastAsia="zh-CN"/>
              </w:rPr>
            </w:pPr>
            <w:sdt>
              <w:sdtPr>
                <w:rPr>
                  <w:rFonts w:hint="eastAsia"/>
                  <w:color w:val="auto"/>
                  <w:sz w:val="24"/>
                  <w:szCs w:val="24"/>
                  <w:highlight w:val="none"/>
                </w:rPr>
                <w:id w:val="1026831988"/>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B要求提供</w:t>
            </w:r>
            <w:r>
              <w:rPr>
                <w:rFonts w:hint="eastAsia"/>
                <w:color w:val="auto"/>
                <w:sz w:val="24"/>
                <w:szCs w:val="24"/>
                <w:highlight w:val="none"/>
                <w:lang w:eastAsia="zh-CN"/>
              </w:rPr>
              <w:t>。</w:t>
            </w:r>
          </w:p>
        </w:tc>
      </w:tr>
      <w:tr w14:paraId="4C3BB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29D780">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22AF5AA">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999222F">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sdt>
              <w:sdtPr>
                <w:rPr>
                  <w:rFonts w:hint="eastAsia" w:ascii="宋体" w:hAnsi="宋体" w:cs="宋体"/>
                  <w:color w:val="auto"/>
                  <w:kern w:val="0"/>
                  <w:sz w:val="24"/>
                  <w:szCs w:val="24"/>
                  <w:highlight w:val="none"/>
                </w:rPr>
                <w:id w:val="4670"/>
                <w14:checkbox>
                  <w14:checked w14:val="1"/>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szCs w:val="24"/>
                <w:highlight w:val="none"/>
              </w:rPr>
              <w:t>A</w:t>
            </w:r>
            <w:r>
              <w:rPr>
                <w:rFonts w:hint="eastAsia" w:ascii="宋体" w:hAnsi="宋体" w:cs="宋体"/>
                <w:color w:val="auto"/>
                <w:sz w:val="24"/>
                <w:szCs w:val="24"/>
                <w:highlight w:val="none"/>
              </w:rPr>
              <w:t>不组织。</w:t>
            </w:r>
          </w:p>
          <w:p w14:paraId="2B471AF7">
            <w:pPr>
              <w:pageBreakBefore w:val="0"/>
              <w:kinsoku/>
              <w:wordWrap/>
              <w:overflowPunct/>
              <w:topLinePunct w:val="0"/>
              <w:bidi w:val="0"/>
              <w:snapToGrid w:val="0"/>
              <w:spacing w:line="360" w:lineRule="auto"/>
              <w:textAlignment w:val="auto"/>
              <w:rPr>
                <w:rFonts w:ascii="宋体" w:hAnsi="宋体" w:cs="宋体"/>
                <w:b/>
                <w:color w:val="auto"/>
                <w:kern w:val="0"/>
                <w:sz w:val="24"/>
                <w:szCs w:val="24"/>
                <w:highlight w:val="none"/>
                <w:lang w:val="zh-CN"/>
              </w:rPr>
            </w:pPr>
            <w:sdt>
              <w:sdtPr>
                <w:rPr>
                  <w:rFonts w:hint="eastAsia" w:ascii="宋体" w:hAnsi="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szCs w:val="24"/>
                  <w:highlight w:val="none"/>
                </w:rPr>
              </w:sdtEndPr>
              <w:sdtContent>
                <w:r>
                  <w:rPr>
                    <w:rFonts w:hint="eastAsia" w:ascii="宋体" w:hAnsi="宋体" w:cs="宋体"/>
                    <w:color w:val="auto"/>
                    <w:kern w:val="0"/>
                    <w:sz w:val="24"/>
                    <w:szCs w:val="24"/>
                    <w:highlight w:val="none"/>
                  </w:rPr>
                  <w:t>☐</w:t>
                </w:r>
              </w:sdtContent>
            </w:sdt>
            <w:r>
              <w:rPr>
                <w:rFonts w:hint="eastAsia" w:ascii="宋体" w:hAnsi="宋体" w:cs="宋体"/>
                <w:color w:val="auto"/>
                <w:kern w:val="0"/>
                <w:sz w:val="24"/>
                <w:szCs w:val="24"/>
                <w:highlight w:val="none"/>
              </w:rPr>
              <w:t>B组织。</w:t>
            </w:r>
          </w:p>
        </w:tc>
      </w:tr>
      <w:tr w14:paraId="224FA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auto" w:sz="4" w:space="0"/>
              <w:right w:val="single" w:color="auto" w:sz="4" w:space="0"/>
            </w:tcBorders>
            <w:vAlign w:val="center"/>
          </w:tcPr>
          <w:p w14:paraId="1780AA1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BD9CF5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E32F342">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（1）资格证明文件：见招标文件第二部分11.1。</w:t>
            </w:r>
          </w:p>
          <w:p w14:paraId="28347C14">
            <w:pPr>
              <w:pageBreakBefore w:val="0"/>
              <w:kinsoku/>
              <w:wordWrap/>
              <w:overflowPunct/>
              <w:topLinePunct w:val="0"/>
              <w:bidi w:val="0"/>
              <w:snapToGrid w:val="0"/>
              <w:spacing w:line="360" w:lineRule="auto"/>
              <w:textAlignment w:val="auto"/>
              <w:rPr>
                <w:rFonts w:ascii="宋体" w:hAnsi="宋体" w:cs="宋体"/>
                <w:snapToGrid w:val="0"/>
                <w:color w:val="auto"/>
                <w:kern w:val="0"/>
                <w:sz w:val="24"/>
                <w:szCs w:val="24"/>
                <w:highlight w:val="none"/>
              </w:rPr>
            </w:pPr>
            <w:r>
              <w:rPr>
                <w:rFonts w:hint="eastAsia" w:ascii="宋体" w:hAnsi="宋体" w:cs="宋体"/>
                <w:color w:val="auto"/>
                <w:kern w:val="0"/>
                <w:sz w:val="24"/>
                <w:szCs w:val="24"/>
                <w:highlight w:val="none"/>
                <w:lang w:val="zh-CN"/>
              </w:rPr>
              <w:t>投标人未提供有效的资格证明文件的，视为投标人不具备招标文件中规定的资格要求，投标无效。</w:t>
            </w:r>
          </w:p>
        </w:tc>
      </w:tr>
      <w:tr w14:paraId="083AE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auto" w:sz="4" w:space="0"/>
              <w:bottom w:val="single" w:color="auto" w:sz="4" w:space="0"/>
              <w:right w:val="single" w:color="auto" w:sz="4" w:space="0"/>
            </w:tcBorders>
            <w:vAlign w:val="center"/>
          </w:tcPr>
          <w:p w14:paraId="1B25678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4D5AA7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D7C31A">
            <w:pPr>
              <w:pageBreakBefore w:val="0"/>
              <w:kinsoku/>
              <w:wordWrap/>
              <w:overflowPunct/>
              <w:topLinePunct w:val="0"/>
              <w:bidi w:val="0"/>
              <w:snapToGrid w:val="0"/>
              <w:spacing w:line="360" w:lineRule="auto"/>
              <w:textAlignment w:val="auto"/>
              <w:rPr>
                <w:rFonts w:ascii="宋体" w:hAnsi="宋体" w:cs="宋体"/>
                <w:color w:val="auto"/>
                <w:sz w:val="24"/>
                <w:szCs w:val="24"/>
                <w:highlight w:val="none"/>
              </w:rPr>
            </w:pPr>
            <w:r>
              <w:rPr>
                <w:rFonts w:hint="eastAsia" w:ascii="宋体" w:hAnsi="宋体" w:cs="宋体"/>
                <w:color w:val="auto"/>
                <w:sz w:val="24"/>
                <w:szCs w:val="24"/>
                <w:highlight w:val="none"/>
              </w:rPr>
              <w:t>（2）资信证明文件：根据招标文件第四部分评标标准提供</w:t>
            </w:r>
            <w:r>
              <w:rPr>
                <w:rFonts w:hint="eastAsia" w:ascii="宋体" w:hAnsi="宋体" w:cs="宋体"/>
                <w:color w:val="auto"/>
                <w:sz w:val="24"/>
                <w:highlight w:val="none"/>
                <w:u w:val="single"/>
                <w:lang w:val="en-US" w:eastAsia="zh-CN"/>
              </w:rPr>
              <w:t>有效的</w:t>
            </w:r>
            <w:r>
              <w:rPr>
                <w:rFonts w:hint="eastAsia" w:ascii="宋体" w:hAnsi="宋体" w:cs="宋体"/>
                <w:color w:val="auto"/>
                <w:sz w:val="24"/>
                <w:highlight w:val="none"/>
                <w:u w:val="single"/>
              </w:rPr>
              <w:t>资信证明文件</w:t>
            </w:r>
            <w:r>
              <w:rPr>
                <w:rFonts w:hint="eastAsia" w:ascii="宋体" w:hAnsi="宋体" w:cs="宋体"/>
                <w:color w:val="auto"/>
                <w:sz w:val="24"/>
                <w:szCs w:val="24"/>
                <w:highlight w:val="none"/>
                <w:u w:val="single"/>
              </w:rPr>
              <w:t>。</w:t>
            </w:r>
          </w:p>
        </w:tc>
      </w:tr>
      <w:tr w14:paraId="734EF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3ADE7DE">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E06BE2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F628844">
            <w:pPr>
              <w:pageBreakBefore w:val="0"/>
              <w:kinsoku/>
              <w:wordWrap/>
              <w:overflowPunct/>
              <w:topLinePunct w:val="0"/>
              <w:bidi w:val="0"/>
              <w:snapToGri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616634D9">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2"/>
                  <w:sz w:val="24"/>
                  <w:szCs w:val="24"/>
                  <w:highlight w:val="none"/>
                  <w:lang w:val="en-US" w:eastAsia="zh-CN" w:bidi="ar-SA"/>
                </w:rPr>
                <w:id w:val="147462711"/>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强制采购。产品：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r>
              <w:rPr>
                <w:rFonts w:hint="eastAsia" w:ascii="宋体" w:hAnsi="宋体" w:eastAsia="宋体" w:cs="宋体"/>
                <w:color w:val="auto"/>
                <w:kern w:val="2"/>
                <w:sz w:val="24"/>
                <w:szCs w:val="24"/>
                <w:highlight w:val="none"/>
                <w:u w:val="none"/>
                <w:shd w:val="clear" w:color="auto" w:fill="auto"/>
                <w:lang w:val="en-US" w:eastAsia="zh-CN" w:bidi="ar-SA"/>
              </w:rPr>
              <w:t>。</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对实施政府强制采购，</w:t>
            </w:r>
            <w:r>
              <w:rPr>
                <w:rFonts w:hint="eastAsia" w:ascii="宋体" w:hAnsi="宋体" w:eastAsia="宋体" w:cs="宋体"/>
                <w:b/>
                <w:bCs/>
                <w:color w:val="auto"/>
                <w:kern w:val="0"/>
                <w:sz w:val="24"/>
                <w:highlight w:val="none"/>
                <w:lang w:val="zh-CN"/>
              </w:rPr>
              <w:t>投标人</w:t>
            </w:r>
            <w:r>
              <w:rPr>
                <w:rFonts w:hint="eastAsia" w:ascii="宋体" w:hAnsi="宋体" w:eastAsia="宋体" w:cs="宋体"/>
                <w:b/>
                <w:bCs/>
                <w:color w:val="auto"/>
                <w:kern w:val="0"/>
                <w:sz w:val="24"/>
                <w:highlight w:val="none"/>
              </w:rPr>
              <w:t>就</w:t>
            </w:r>
            <w:r>
              <w:rPr>
                <w:rFonts w:hint="eastAsia" w:ascii="宋体" w:hAnsi="宋体" w:eastAsia="宋体" w:cs="宋体"/>
                <w:b/>
                <w:bCs/>
                <w:color w:val="auto"/>
                <w:kern w:val="0"/>
                <w:sz w:val="24"/>
                <w:highlight w:val="none"/>
                <w:lang w:val="zh-CN"/>
              </w:rPr>
              <w:t>相应的投标产品未</w:t>
            </w:r>
            <w:r>
              <w:rPr>
                <w:rFonts w:hint="eastAsia" w:ascii="宋体" w:hAnsi="宋体" w:eastAsia="宋体" w:cs="宋体"/>
                <w:b/>
                <w:bCs/>
                <w:color w:val="auto"/>
                <w:kern w:val="0"/>
                <w:sz w:val="24"/>
                <w:highlight w:val="none"/>
              </w:rPr>
              <w:t>提供</w:t>
            </w:r>
            <w:r>
              <w:rPr>
                <w:rFonts w:hint="eastAsia" w:ascii="宋体" w:hAnsi="宋体" w:eastAsia="宋体" w:cs="宋体"/>
                <w:b/>
                <w:bCs/>
                <w:color w:val="auto"/>
                <w:kern w:val="0"/>
                <w:sz w:val="24"/>
                <w:highlight w:val="none"/>
                <w:lang w:val="zh-CN"/>
              </w:rPr>
              <w:t>国家确定的认证机构出具的、处于有效期之内的节能产品认证证书的，投标无效</w:t>
            </w:r>
            <w:r>
              <w:rPr>
                <w:rFonts w:hint="eastAsia" w:ascii="宋体" w:hAnsi="宋体" w:eastAsia="宋体" w:cs="宋体"/>
                <w:color w:val="auto"/>
                <w:kern w:val="0"/>
                <w:sz w:val="24"/>
                <w:highlight w:val="none"/>
                <w:lang w:val="zh-CN"/>
              </w:rPr>
              <w:t>。</w:t>
            </w:r>
          </w:p>
          <w:p w14:paraId="2555B5AA">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6572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优先采购节能产品。产品：</w:t>
            </w:r>
            <w:r>
              <w:rPr>
                <w:rFonts w:hint="eastAsia" w:ascii="宋体" w:hAnsi="宋体" w:eastAsia="宋体" w:cs="宋体"/>
                <w:color w:val="auto"/>
                <w:kern w:val="2"/>
                <w:sz w:val="24"/>
                <w:szCs w:val="24"/>
                <w:highlight w:val="none"/>
                <w:u w:val="single"/>
                <w:shd w:val="clear" w:color="FFFFFF" w:fill="D9D9D9"/>
                <w:lang w:val="en-US" w:eastAsia="zh-CN" w:bidi="ar-SA"/>
              </w:rPr>
              <w:t xml:space="preserve">        </w:t>
            </w:r>
          </w:p>
          <w:p w14:paraId="5D01948B">
            <w:pPr>
              <w:pStyle w:val="963"/>
              <w:pageBreakBefore w:val="0"/>
              <w:kinsoku/>
              <w:wordWrap/>
              <w:overflowPunct/>
              <w:topLinePunct w:val="0"/>
              <w:bidi w:val="0"/>
              <w:snapToGrid w:val="0"/>
              <w:spacing w:line="360" w:lineRule="auto"/>
              <w:jc w:val="both"/>
              <w:textAlignment w:val="auto"/>
              <w:rPr>
                <w:rFonts w:hint="eastAsia" w:ascii="宋体" w:hAnsi="宋体" w:eastAsia="宋体" w:cs="宋体"/>
                <w:color w:val="auto"/>
                <w:kern w:val="2"/>
                <w:sz w:val="24"/>
                <w:szCs w:val="24"/>
                <w:highlight w:val="none"/>
                <w:u w:val="single"/>
                <w:shd w:val="clear" w:color="FFFFFF" w:fill="D9D9D9"/>
                <w:lang w:val="en-US" w:eastAsia="zh-CN" w:bidi="ar-SA"/>
              </w:rPr>
            </w:pPr>
            <w:sdt>
              <w:sdtPr>
                <w:rPr>
                  <w:rFonts w:hint="eastAsia" w:ascii="宋体" w:hAnsi="宋体" w:eastAsia="宋体" w:cs="宋体"/>
                  <w:color w:val="auto"/>
                  <w:kern w:val="2"/>
                  <w:sz w:val="24"/>
                  <w:szCs w:val="24"/>
                  <w:highlight w:val="none"/>
                  <w:lang w:val="en-US" w:eastAsia="zh-CN" w:bidi="ar-SA"/>
                </w:rPr>
                <w:id w:val="147477067"/>
                <w14:checkbox>
                  <w14:checked w14:val="1"/>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Wingdings" w:hAnsi="Wingdings" w:eastAsia="宋体" w:cs="宋体"/>
                    <w:color w:val="auto"/>
                    <w:kern w:val="2"/>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优先采购环保产品。产品：</w:t>
            </w:r>
            <w:r>
              <w:rPr>
                <w:rFonts w:hint="eastAsia" w:ascii="宋体" w:hAnsi="宋体" w:eastAsia="宋体" w:cs="宋体"/>
                <w:color w:val="auto"/>
                <w:kern w:val="2"/>
                <w:sz w:val="24"/>
                <w:szCs w:val="24"/>
                <w:highlight w:val="none"/>
                <w:u w:val="single"/>
                <w:shd w:val="clear" w:color="FFFFFF" w:fill="D9D9D9"/>
                <w:lang w:val="en-US" w:eastAsia="zh-CN" w:bidi="ar-SA"/>
              </w:rPr>
              <w:t>国产化服务器（DMZ）、国产化服务器（内网）</w:t>
            </w:r>
          </w:p>
          <w:p w14:paraId="40E22590">
            <w:pPr>
              <w:pageBreakBefore w:val="0"/>
              <w:kinsoku/>
              <w:wordWrap/>
              <w:overflowPunct/>
              <w:topLinePunct w:val="0"/>
              <w:bidi w:val="0"/>
              <w:snapToGrid w:val="0"/>
              <w:spacing w:line="360" w:lineRule="auto"/>
              <w:ind w:firstLine="480" w:firstLineChars="200"/>
              <w:textAlignment w:val="auto"/>
              <w:rPr>
                <w:rFonts w:ascii="宋体" w:hAnsi="宋体" w:cs="宋体"/>
                <w:color w:val="auto"/>
                <w:sz w:val="24"/>
                <w:szCs w:val="24"/>
                <w:highlight w:val="none"/>
              </w:rPr>
            </w:pPr>
            <w:sdt>
              <w:sdtPr>
                <w:rPr>
                  <w:rFonts w:hint="eastAsia" w:ascii="宋体" w:hAnsi="宋体" w:eastAsia="宋体" w:cs="宋体"/>
                  <w:color w:val="auto"/>
                  <w:kern w:val="2"/>
                  <w:sz w:val="24"/>
                  <w:szCs w:val="24"/>
                  <w:highlight w:val="none"/>
                  <w:lang w:val="en-US" w:eastAsia="zh-CN" w:bidi="ar-SA"/>
                </w:rPr>
                <w:id w:val="147451173"/>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MS Gothic" w:hAnsi="MS Gothic"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无。</w:t>
            </w:r>
          </w:p>
        </w:tc>
      </w:tr>
      <w:tr w14:paraId="74636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0EC73B6">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677A3A4">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3E34738">
            <w:pPr>
              <w:pageBreakBefore w:val="0"/>
              <w:kinsoku/>
              <w:wordWrap/>
              <w:overflowPunct/>
              <w:topLinePunct w:val="0"/>
              <w:bidi w:val="0"/>
              <w:snapToGrid w:val="0"/>
              <w:spacing w:line="360" w:lineRule="auto"/>
              <w:jc w:val="left"/>
              <w:textAlignment w:val="auto"/>
              <w:rPr>
                <w:rFonts w:ascii="宋体" w:hAnsi="宋体" w:cs="宋体"/>
                <w:b/>
                <w:color w:val="auto"/>
                <w:kern w:val="0"/>
                <w:sz w:val="24"/>
                <w:szCs w:val="24"/>
                <w:highlight w:val="none"/>
                <w:lang w:val="zh-CN"/>
              </w:rPr>
            </w:pPr>
            <w:r>
              <w:rPr>
                <w:rFonts w:hint="eastAsia" w:ascii="宋体" w:hAnsi="宋体" w:cs="宋体"/>
                <w:color w:val="auto"/>
                <w:kern w:val="0"/>
                <w:sz w:val="24"/>
                <w:szCs w:val="24"/>
                <w:highlight w:val="none"/>
                <w:lang w:val="zh-CN"/>
              </w:rPr>
              <w:t>有关本项目实施所需的所有费用（含税费）均计入报价。</w:t>
            </w:r>
            <w:r>
              <w:rPr>
                <w:rFonts w:hint="eastAsia" w:ascii="宋体" w:hAnsi="宋体" w:cs="宋体"/>
                <w:b/>
                <w:bCs/>
                <w:color w:val="auto"/>
                <w:kern w:val="0"/>
                <w:sz w:val="24"/>
                <w:szCs w:val="24"/>
                <w:highlight w:val="none"/>
                <w:lang w:val="zh-CN"/>
              </w:rPr>
              <w:t>投标文件</w:t>
            </w:r>
            <w:r>
              <w:rPr>
                <w:rFonts w:hint="eastAsia" w:ascii="宋体" w:hAnsi="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szCs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szCs w:val="24"/>
                <w:highlight w:val="none"/>
                <w:lang w:val="zh-CN"/>
              </w:rPr>
              <w:t>提醒：验收时检测费用由采购人承担，不包含在投标总价中。</w:t>
            </w:r>
          </w:p>
          <w:p w14:paraId="2FD8C409">
            <w:pPr>
              <w:pageBreakBefore w:val="0"/>
              <w:kinsoku/>
              <w:wordWrap/>
              <w:overflowPunct/>
              <w:topLinePunct w:val="0"/>
              <w:bidi w:val="0"/>
              <w:snapToGrid w:val="0"/>
              <w:spacing w:line="360" w:lineRule="auto"/>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投标报价出现下列情形的，投标无效：</w:t>
            </w:r>
          </w:p>
          <w:p w14:paraId="3BA8B3AD">
            <w:pPr>
              <w:pageBreakBefore w:val="0"/>
              <w:kinsoku/>
              <w:wordWrap/>
              <w:overflowPunct/>
              <w:topLinePunct w:val="0"/>
              <w:bidi w:val="0"/>
              <w:snapToGrid w:val="0"/>
              <w:spacing w:line="360" w:lineRule="auto"/>
              <w:ind w:firstLine="241" w:firstLineChars="100"/>
              <w:jc w:val="left"/>
              <w:textAlignment w:val="auto"/>
              <w:rPr>
                <w:rFonts w:ascii="宋体" w:hAnsi="宋体" w:cs="宋体"/>
                <w:b/>
                <w:color w:val="auto"/>
                <w:kern w:val="0"/>
                <w:sz w:val="24"/>
                <w:szCs w:val="24"/>
                <w:highlight w:val="none"/>
                <w:lang w:val="zh-CN"/>
              </w:rPr>
            </w:pPr>
            <w:r>
              <w:rPr>
                <w:rFonts w:hint="eastAsia" w:ascii="宋体" w:hAnsi="宋体" w:cs="宋体"/>
                <w:b/>
                <w:color w:val="auto"/>
                <w:kern w:val="0"/>
                <w:sz w:val="24"/>
                <w:szCs w:val="24"/>
                <w:highlight w:val="none"/>
                <w:lang w:val="zh-CN"/>
              </w:rPr>
              <w:t>投标文件出现不是唯一的、有选择性投标报价的；</w:t>
            </w:r>
          </w:p>
          <w:p w14:paraId="2A610A5F">
            <w:pPr>
              <w:pageBreakBefore w:val="0"/>
              <w:kinsoku/>
              <w:wordWrap/>
              <w:overflowPunct/>
              <w:topLinePunct w:val="0"/>
              <w:bidi w:val="0"/>
              <w:snapToGrid w:val="0"/>
              <w:spacing w:line="360" w:lineRule="auto"/>
              <w:ind w:firstLine="241" w:firstLineChars="100"/>
              <w:jc w:val="left"/>
              <w:textAlignment w:val="auto"/>
              <w:rPr>
                <w:rFonts w:ascii="宋体" w:hAnsi="宋体" w:cs="宋体"/>
                <w:color w:val="auto"/>
                <w:kern w:val="0"/>
                <w:sz w:val="24"/>
                <w:szCs w:val="24"/>
                <w:highlight w:val="none"/>
                <w:lang w:val="zh-CN"/>
              </w:rPr>
            </w:pPr>
            <w:r>
              <w:rPr>
                <w:rFonts w:hint="eastAsia" w:ascii="宋体" w:hAnsi="宋体" w:cs="宋体"/>
                <w:b/>
                <w:color w:val="auto"/>
                <w:kern w:val="0"/>
                <w:sz w:val="24"/>
                <w:szCs w:val="24"/>
                <w:highlight w:val="none"/>
                <w:lang w:val="zh-CN"/>
              </w:rPr>
              <w:t>投标报价超过招标文件中规定的预算金额或者最高限价的;</w:t>
            </w:r>
          </w:p>
          <w:p w14:paraId="2C313C91">
            <w:pPr>
              <w:pageBreakBefore w:val="0"/>
              <w:kinsoku/>
              <w:wordWrap/>
              <w:overflowPunct/>
              <w:topLinePunct w:val="0"/>
              <w:bidi w:val="0"/>
              <w:snapToGrid w:val="0"/>
              <w:spacing w:line="360" w:lineRule="auto"/>
              <w:ind w:firstLine="241" w:firstLineChars="100"/>
              <w:textAlignment w:val="auto"/>
              <w:rPr>
                <w:rFonts w:ascii="宋体" w:hAnsi="宋体" w:cs="宋体"/>
                <w:b/>
                <w:color w:val="auto"/>
                <w:sz w:val="24"/>
                <w:szCs w:val="24"/>
                <w:highlight w:val="none"/>
              </w:rPr>
            </w:pPr>
            <w:r>
              <w:rPr>
                <w:rFonts w:hint="eastAsia" w:ascii="宋体" w:hAnsi="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4"/>
                <w:highlight w:val="none"/>
              </w:rPr>
              <w:t>;</w:t>
            </w:r>
          </w:p>
          <w:p w14:paraId="03BDF80D">
            <w:pPr>
              <w:pageBreakBefore w:val="0"/>
              <w:kinsoku/>
              <w:wordWrap/>
              <w:overflowPunct/>
              <w:topLinePunct w:val="0"/>
              <w:bidi w:val="0"/>
              <w:snapToGrid w:val="0"/>
              <w:spacing w:line="360" w:lineRule="auto"/>
              <w:ind w:firstLine="241" w:firstLineChars="100"/>
              <w:textAlignment w:val="auto"/>
              <w:rPr>
                <w:rFonts w:ascii="宋体" w:hAnsi="宋体" w:cs="宋体"/>
                <w:color w:val="auto"/>
                <w:sz w:val="24"/>
                <w:szCs w:val="24"/>
                <w:highlight w:val="none"/>
              </w:rPr>
            </w:pPr>
            <w:r>
              <w:rPr>
                <w:rFonts w:hint="eastAsia" w:ascii="宋体" w:hAnsi="宋体" w:cs="宋体"/>
                <w:b/>
                <w:color w:val="auto"/>
                <w:kern w:val="0"/>
                <w:sz w:val="24"/>
                <w:szCs w:val="24"/>
                <w:highlight w:val="none"/>
              </w:rPr>
              <w:t>投标人对根据修正原则修正后的报价不确认的</w:t>
            </w:r>
            <w:r>
              <w:rPr>
                <w:rFonts w:hint="eastAsia" w:ascii="宋体" w:hAnsi="宋体" w:cs="宋体"/>
                <w:b/>
                <w:color w:val="auto"/>
                <w:sz w:val="24"/>
                <w:szCs w:val="24"/>
                <w:highlight w:val="none"/>
              </w:rPr>
              <w:t>。</w:t>
            </w:r>
          </w:p>
        </w:tc>
      </w:tr>
      <w:tr w14:paraId="6F69A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right w:val="single" w:color="000000" w:sz="2" w:space="0"/>
            </w:tcBorders>
            <w:vAlign w:val="center"/>
          </w:tcPr>
          <w:p w14:paraId="0BE89B7B">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p>
          <w:p w14:paraId="251E52F8">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C9F6913">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0BFF4247">
            <w:pPr>
              <w:pageBreakBefore w:val="0"/>
              <w:kinsoku/>
              <w:wordWrap/>
              <w:overflowPunct/>
              <w:topLinePunct w:val="0"/>
              <w:bidi w:val="0"/>
              <w:snapToGrid w:val="0"/>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BC0B98">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本项目</w:t>
            </w:r>
            <w:r>
              <w:rPr>
                <w:color w:val="auto"/>
                <w:sz w:val="24"/>
                <w:szCs w:val="24"/>
                <w:highlight w:val="none"/>
              </w:rPr>
              <w:t>支持</w:t>
            </w:r>
            <w:r>
              <w:rPr>
                <w:rFonts w:hint="eastAsia"/>
                <w:color w:val="auto"/>
                <w:sz w:val="24"/>
                <w:szCs w:val="24"/>
                <w:highlight w:val="none"/>
              </w:rPr>
              <w:t>《杭州市萧山区政府采购支持中小企业信用融资暂行办法》。</w:t>
            </w:r>
          </w:p>
          <w:p w14:paraId="28F4B89B">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有</w:t>
            </w:r>
            <w:r>
              <w:rPr>
                <w:color w:val="auto"/>
                <w:sz w:val="24"/>
                <w:szCs w:val="24"/>
                <w:highlight w:val="none"/>
              </w:rPr>
              <w:t>融资需求的中标供应商可参照相关规定及银行方案</w:t>
            </w:r>
            <w:r>
              <w:rPr>
                <w:rFonts w:hint="eastAsia"/>
                <w:color w:val="auto"/>
                <w:sz w:val="24"/>
                <w:szCs w:val="24"/>
                <w:highlight w:val="none"/>
              </w:rPr>
              <w:t>凭政府采购合同向相关合作银行提出信用融资（贷款）申请。详见</w:t>
            </w:r>
            <w:r>
              <w:rPr>
                <w:color w:val="auto"/>
                <w:sz w:val="24"/>
                <w:szCs w:val="24"/>
                <w:highlight w:val="none"/>
              </w:rPr>
              <w:fldChar w:fldCharType="begin"/>
            </w:r>
            <w:r>
              <w:rPr>
                <w:color w:val="auto"/>
                <w:sz w:val="24"/>
                <w:szCs w:val="24"/>
                <w:highlight w:val="none"/>
              </w:rPr>
              <w:instrText xml:space="preserve"> HYPERLINK "http://www.xiaoshan.gov.cn/art/2018/12/20/art_1229293109_1559514.html" </w:instrText>
            </w:r>
            <w:r>
              <w:rPr>
                <w:color w:val="auto"/>
                <w:sz w:val="24"/>
                <w:szCs w:val="24"/>
                <w:highlight w:val="none"/>
              </w:rPr>
              <w:fldChar w:fldCharType="separate"/>
            </w:r>
            <w:r>
              <w:rPr>
                <w:rStyle w:val="76"/>
                <w:rFonts w:ascii="仿宋" w:hAnsi="仿宋" w:eastAsia="仿宋" w:cstheme="majorBidi"/>
                <w:snapToGrid/>
                <w:color w:val="auto"/>
                <w:sz w:val="24"/>
                <w:szCs w:val="24"/>
                <w:highlight w:val="none"/>
              </w:rPr>
              <w:t>http://www.xiaoshan.gov.cn/art/2018/12/20/art_1229293109_1559514.html</w:t>
            </w:r>
            <w:r>
              <w:rPr>
                <w:rStyle w:val="76"/>
                <w:rFonts w:ascii="仿宋" w:hAnsi="仿宋" w:eastAsia="仿宋" w:cstheme="majorBidi"/>
                <w:snapToGrid/>
                <w:color w:val="auto"/>
                <w:sz w:val="24"/>
                <w:szCs w:val="24"/>
                <w:highlight w:val="none"/>
              </w:rPr>
              <w:fldChar w:fldCharType="end"/>
            </w:r>
          </w:p>
        </w:tc>
      </w:tr>
      <w:tr w14:paraId="470B4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6A8F4F2">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1C3DCE7">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D3D03DE">
            <w:pPr>
              <w:pStyle w:val="32"/>
              <w:pageBreakBefore w:val="0"/>
              <w:kinsoku/>
              <w:wordWrap/>
              <w:overflowPunct/>
              <w:topLinePunct w:val="0"/>
              <w:bidi w:val="0"/>
              <w:snapToGrid w:val="0"/>
              <w:spacing w:line="360" w:lineRule="auto"/>
              <w:textAlignment w:val="auto"/>
              <w:rPr>
                <w:rFonts w:hint="eastAsia" w:hAnsi="宋体" w:cs="宋体"/>
                <w:color w:val="auto"/>
                <w:kern w:val="28"/>
                <w:sz w:val="24"/>
                <w:szCs w:val="24"/>
                <w:highlight w:val="none"/>
              </w:rPr>
            </w:pPr>
            <w:r>
              <w:rPr>
                <w:rFonts w:hint="eastAsia" w:hAnsi="宋体" w:cs="宋体"/>
                <w:color w:val="auto"/>
                <w:kern w:val="28"/>
                <w:sz w:val="24"/>
                <w:szCs w:val="24"/>
                <w:highlight w:val="none"/>
              </w:rPr>
              <w:t>本项目备份文件是否收取：不收取</w:t>
            </w:r>
          </w:p>
          <w:p w14:paraId="39CA0197">
            <w:pPr>
              <w:pStyle w:val="32"/>
              <w:pageBreakBefore w:val="0"/>
              <w:kinsoku/>
              <w:wordWrap/>
              <w:overflowPunct/>
              <w:topLinePunct w:val="0"/>
              <w:bidi w:val="0"/>
              <w:snapToGrid w:val="0"/>
              <w:spacing w:line="360" w:lineRule="auto"/>
              <w:textAlignment w:val="auto"/>
              <w:rPr>
                <w:rFonts w:ascii="宋体" w:hAnsi="宋体" w:eastAsia="宋体" w:cs="宋体"/>
                <w:snapToGrid w:val="0"/>
                <w:color w:val="auto"/>
                <w:kern w:val="28"/>
                <w:sz w:val="24"/>
                <w:szCs w:val="21"/>
                <w:highlight w:val="none"/>
                <w:lang w:val="en-US" w:eastAsia="zh-CN" w:bidi="ar-SA"/>
              </w:rPr>
            </w:pPr>
            <w:r>
              <w:rPr>
                <w:rFonts w:hint="eastAsia" w:hAnsi="宋体" w:cs="宋体"/>
                <w:b/>
                <w:bCs/>
                <w:color w:val="auto"/>
                <w:kern w:val="28"/>
                <w:sz w:val="24"/>
                <w:szCs w:val="24"/>
                <w:highlight w:val="none"/>
              </w:rPr>
              <w:t>采购人、采购代理机构不强制或变相强制投标人提交备份投标文件。</w:t>
            </w:r>
          </w:p>
        </w:tc>
      </w:tr>
      <w:tr w14:paraId="69B2B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878F10">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0D26B59">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52749DE">
            <w:pPr>
              <w:pageBreakBefore w:val="0"/>
              <w:kinsoku/>
              <w:wordWrap/>
              <w:overflowPunct/>
              <w:topLinePunct w:val="0"/>
              <w:bidi w:val="0"/>
              <w:snapToGrid w:val="0"/>
              <w:spacing w:after="0"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szCs w:val="24"/>
                <w:highlight w:val="none"/>
              </w:rPr>
              <w:t>无。</w:t>
            </w:r>
          </w:p>
        </w:tc>
      </w:tr>
      <w:tr w14:paraId="2C4AD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E2C161">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4CA7CAD0">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5FF3682E">
            <w:pPr>
              <w:pageBreakBefore w:val="0"/>
              <w:kinsoku/>
              <w:wordWrap/>
              <w:overflowPunct/>
              <w:topLinePunct w:val="0"/>
              <w:bidi w:val="0"/>
              <w:snapToGrid w:val="0"/>
              <w:spacing w:after="0" w:line="360" w:lineRule="auto"/>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cs="仿宋_GB2312"/>
                <w:color w:val="auto"/>
                <w:sz w:val="24"/>
                <w:szCs w:val="24"/>
                <w:highlight w:val="none"/>
              </w:rPr>
              <w:t>本项目</w:t>
            </w:r>
            <w:r>
              <w:rPr>
                <w:rFonts w:cs="仿宋_GB2312"/>
                <w:color w:val="auto"/>
                <w:sz w:val="24"/>
                <w:szCs w:val="24"/>
                <w:highlight w:val="none"/>
              </w:rPr>
              <w:t>由采购人</w:t>
            </w:r>
            <w:r>
              <w:rPr>
                <w:rFonts w:hint="eastAsia" w:cs="仿宋_GB2312"/>
                <w:color w:val="auto"/>
                <w:sz w:val="24"/>
                <w:szCs w:val="24"/>
                <w:highlight w:val="none"/>
              </w:rPr>
              <w:t>进行</w:t>
            </w:r>
            <w:r>
              <w:rPr>
                <w:rFonts w:cs="仿宋_GB2312"/>
                <w:color w:val="auto"/>
                <w:sz w:val="24"/>
                <w:szCs w:val="24"/>
                <w:highlight w:val="none"/>
              </w:rPr>
              <w:t>资格文件</w:t>
            </w:r>
            <w:r>
              <w:rPr>
                <w:rFonts w:hint="eastAsia" w:cs="仿宋_GB2312"/>
                <w:color w:val="auto"/>
                <w:sz w:val="24"/>
                <w:szCs w:val="24"/>
                <w:highlight w:val="none"/>
              </w:rPr>
              <w:t>及</w:t>
            </w:r>
            <w:r>
              <w:rPr>
                <w:rFonts w:cs="仿宋_GB2312"/>
                <w:color w:val="auto"/>
                <w:sz w:val="24"/>
                <w:szCs w:val="24"/>
                <w:highlight w:val="none"/>
              </w:rPr>
              <w:t>信用信息</w:t>
            </w:r>
            <w:r>
              <w:rPr>
                <w:rFonts w:hint="eastAsia" w:cs="仿宋_GB2312"/>
                <w:color w:val="auto"/>
                <w:sz w:val="24"/>
                <w:szCs w:val="24"/>
                <w:highlight w:val="none"/>
              </w:rPr>
              <w:t>查询</w:t>
            </w:r>
            <w:r>
              <w:rPr>
                <w:rFonts w:cs="仿宋_GB2312"/>
                <w:color w:val="auto"/>
                <w:sz w:val="24"/>
                <w:szCs w:val="24"/>
                <w:highlight w:val="none"/>
              </w:rPr>
              <w:t>。</w:t>
            </w:r>
          </w:p>
        </w:tc>
      </w:tr>
      <w:tr w14:paraId="6F5FC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3CF722">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eastAsia="宋体"/>
                <w:color w:val="auto"/>
                <w:highlight w:val="none"/>
                <w:lang w:eastAsia="zh-CN"/>
              </w:rPr>
            </w:pPr>
            <w:r>
              <w:rPr>
                <w:rFonts w:hint="eastAsia"/>
                <w:color w:val="auto"/>
                <w:highlight w:val="none"/>
              </w:rPr>
              <w:t>1</w:t>
            </w:r>
            <w:r>
              <w:rPr>
                <w:rFonts w:hint="eastAsia"/>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4E8DD95A">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eastAsia" w:cs="仿宋"/>
                <w:b/>
                <w:color w:val="auto"/>
                <w:sz w:val="24"/>
                <w:szCs w:val="24"/>
                <w:highlight w:val="none"/>
              </w:rPr>
            </w:pPr>
            <w:r>
              <w:rPr>
                <w:rFonts w:hint="eastAsia"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0F8EC342">
            <w:pPr>
              <w:pageBreakBefore w:val="0"/>
              <w:kinsoku/>
              <w:wordWrap/>
              <w:overflowPunct/>
              <w:topLinePunct w:val="0"/>
              <w:bidi w:val="0"/>
              <w:snapToGrid w:val="0"/>
              <w:spacing w:after="0" w:line="360" w:lineRule="auto"/>
              <w:textAlignment w:val="auto"/>
              <w:rPr>
                <w:color w:val="auto"/>
                <w:sz w:val="24"/>
                <w:szCs w:val="24"/>
                <w:highlight w:val="none"/>
                <w:u w:val="single"/>
              </w:rPr>
            </w:pPr>
            <w:r>
              <w:rPr>
                <w:rFonts w:hint="eastAsia"/>
                <w:color w:val="auto"/>
                <w:sz w:val="24"/>
                <w:szCs w:val="24"/>
                <w:highlight w:val="none"/>
              </w:rPr>
              <w:t>采购</w:t>
            </w:r>
            <w:r>
              <w:rPr>
                <w:color w:val="auto"/>
                <w:sz w:val="24"/>
                <w:szCs w:val="24"/>
                <w:highlight w:val="none"/>
              </w:rPr>
              <w:t>人、</w:t>
            </w:r>
            <w:r>
              <w:rPr>
                <w:rFonts w:hint="eastAsia"/>
                <w:color w:val="auto"/>
                <w:sz w:val="24"/>
                <w:szCs w:val="24"/>
                <w:highlight w:val="none"/>
              </w:rPr>
              <w:t>采购</w:t>
            </w:r>
            <w:r>
              <w:rPr>
                <w:color w:val="auto"/>
                <w:sz w:val="24"/>
                <w:szCs w:val="24"/>
                <w:highlight w:val="none"/>
              </w:rPr>
              <w:t>机构质疑接收人</w:t>
            </w:r>
            <w:r>
              <w:rPr>
                <w:rFonts w:hint="eastAsia"/>
                <w:color w:val="auto"/>
                <w:sz w:val="24"/>
                <w:szCs w:val="24"/>
                <w:highlight w:val="none"/>
              </w:rPr>
              <w:t>、联系方式</w:t>
            </w:r>
            <w:r>
              <w:rPr>
                <w:color w:val="auto"/>
                <w:sz w:val="24"/>
                <w:szCs w:val="24"/>
                <w:highlight w:val="none"/>
              </w:rPr>
              <w:t>：</w:t>
            </w:r>
            <w:r>
              <w:rPr>
                <w:rFonts w:hint="eastAsia"/>
                <w:color w:val="auto"/>
                <w:sz w:val="24"/>
                <w:szCs w:val="24"/>
                <w:highlight w:val="none"/>
              </w:rPr>
              <w:t>详见公告</w:t>
            </w:r>
          </w:p>
          <w:p w14:paraId="03B3302A">
            <w:pPr>
              <w:pageBreakBefore w:val="0"/>
              <w:kinsoku/>
              <w:wordWrap/>
              <w:overflowPunct/>
              <w:topLinePunct w:val="0"/>
              <w:bidi w:val="0"/>
              <w:snapToGrid w:val="0"/>
              <w:spacing w:after="0" w:line="360" w:lineRule="auto"/>
              <w:textAlignment w:val="auto"/>
              <w:rPr>
                <w:b/>
                <w:color w:val="auto"/>
                <w:sz w:val="24"/>
                <w:szCs w:val="24"/>
                <w:highlight w:val="none"/>
              </w:rPr>
            </w:pPr>
            <w:r>
              <w:rPr>
                <w:rFonts w:hint="eastAsia"/>
                <w:b/>
                <w:color w:val="auto"/>
                <w:sz w:val="24"/>
                <w:szCs w:val="24"/>
                <w:highlight w:val="none"/>
              </w:rPr>
              <w:t>线上提交质疑方式：政采云线上质疑路径：项目采购-询问质疑投诉-质疑列表。请使用ca签章在每一页质疑文件中加盖电子公章，上传完整附件。</w:t>
            </w:r>
          </w:p>
          <w:p w14:paraId="79B1DCC3">
            <w:pPr>
              <w:pageBreakBefore w:val="0"/>
              <w:kinsoku/>
              <w:wordWrap/>
              <w:overflowPunct/>
              <w:topLinePunct w:val="0"/>
              <w:bidi w:val="0"/>
              <w:snapToGrid w:val="0"/>
              <w:spacing w:after="0" w:line="360" w:lineRule="auto"/>
              <w:textAlignment w:val="auto"/>
              <w:rPr>
                <w:color w:val="auto"/>
                <w:sz w:val="24"/>
                <w:szCs w:val="24"/>
                <w:highlight w:val="none"/>
              </w:rPr>
            </w:pPr>
            <w:r>
              <w:rPr>
                <w:rFonts w:hint="eastAsia"/>
                <w:color w:val="auto"/>
                <w:sz w:val="24"/>
                <w:szCs w:val="24"/>
                <w:highlight w:val="none"/>
              </w:rPr>
              <w:t>本项目涉及资格条件、采购需求、评分办法及采购过程中有关现场考察或开标前答疑会等事项由</w:t>
            </w:r>
            <w:r>
              <w:rPr>
                <w:b/>
                <w:bCs/>
                <w:color w:val="auto"/>
                <w:sz w:val="24"/>
                <w:szCs w:val="24"/>
                <w:highlight w:val="none"/>
              </w:rPr>
              <w:t>采购人</w:t>
            </w:r>
            <w:r>
              <w:rPr>
                <w:color w:val="auto"/>
                <w:sz w:val="24"/>
                <w:szCs w:val="24"/>
                <w:highlight w:val="none"/>
              </w:rPr>
              <w:t>进行答复。</w:t>
            </w:r>
          </w:p>
          <w:p w14:paraId="1B6426E6">
            <w:pPr>
              <w:pageBreakBefore w:val="0"/>
              <w:kinsoku/>
              <w:wordWrap/>
              <w:overflowPunct/>
              <w:topLinePunct w:val="0"/>
              <w:bidi w:val="0"/>
              <w:snapToGrid w:val="0"/>
              <w:spacing w:after="0" w:line="360" w:lineRule="auto"/>
              <w:textAlignment w:val="auto"/>
              <w:rPr>
                <w:rFonts w:hint="eastAsia" w:cs="仿宋_GB2312"/>
                <w:color w:val="auto"/>
                <w:sz w:val="24"/>
                <w:szCs w:val="24"/>
                <w:highlight w:val="none"/>
              </w:rPr>
            </w:pPr>
            <w:r>
              <w:rPr>
                <w:rFonts w:hint="eastAsia"/>
                <w:color w:val="auto"/>
                <w:sz w:val="24"/>
                <w:szCs w:val="24"/>
                <w:highlight w:val="none"/>
              </w:rPr>
              <w:t>涉及</w:t>
            </w:r>
            <w:r>
              <w:rPr>
                <w:color w:val="auto"/>
                <w:sz w:val="24"/>
                <w:szCs w:val="24"/>
                <w:highlight w:val="none"/>
              </w:rPr>
              <w:t>流程规范性、组织程序等</w:t>
            </w:r>
            <w:r>
              <w:rPr>
                <w:rFonts w:hint="eastAsia"/>
                <w:color w:val="auto"/>
                <w:sz w:val="24"/>
                <w:szCs w:val="24"/>
                <w:highlight w:val="none"/>
              </w:rPr>
              <w:t>相关</w:t>
            </w:r>
            <w:r>
              <w:rPr>
                <w:color w:val="auto"/>
                <w:sz w:val="24"/>
                <w:szCs w:val="24"/>
                <w:highlight w:val="none"/>
              </w:rPr>
              <w:t>事项，由</w:t>
            </w:r>
            <w:r>
              <w:rPr>
                <w:rFonts w:hint="eastAsia"/>
                <w:b/>
                <w:bCs/>
                <w:color w:val="auto"/>
                <w:sz w:val="24"/>
                <w:szCs w:val="24"/>
                <w:highlight w:val="none"/>
              </w:rPr>
              <w:t>采购</w:t>
            </w:r>
            <w:r>
              <w:rPr>
                <w:rFonts w:hint="eastAsia"/>
                <w:b/>
                <w:bCs/>
                <w:color w:val="auto"/>
                <w:sz w:val="24"/>
                <w:szCs w:val="24"/>
                <w:highlight w:val="none"/>
                <w:lang w:eastAsia="zh-CN"/>
              </w:rPr>
              <w:t>代理</w:t>
            </w:r>
            <w:r>
              <w:rPr>
                <w:b/>
                <w:bCs/>
                <w:color w:val="auto"/>
                <w:sz w:val="24"/>
                <w:szCs w:val="24"/>
                <w:highlight w:val="none"/>
              </w:rPr>
              <w:t>机构</w:t>
            </w:r>
            <w:r>
              <w:rPr>
                <w:color w:val="auto"/>
                <w:sz w:val="24"/>
                <w:szCs w:val="24"/>
                <w:highlight w:val="none"/>
              </w:rPr>
              <w:t>进行答复。</w:t>
            </w:r>
          </w:p>
        </w:tc>
      </w:tr>
      <w:tr w14:paraId="1106D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5A830A">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eastAsia="宋体"/>
                <w:color w:val="auto"/>
                <w:highlight w:val="none"/>
                <w:lang w:val="en-US" w:eastAsia="zh-CN"/>
              </w:rPr>
            </w:pPr>
            <w:r>
              <w:rPr>
                <w:rFonts w:hint="eastAsia"/>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14EAF191">
            <w:pPr>
              <w:keepNext w:val="0"/>
              <w:keepLines w:val="0"/>
              <w:pageBreakBefore w:val="0"/>
              <w:widowControl w:val="0"/>
              <w:kinsoku/>
              <w:wordWrap/>
              <w:overflowPunct/>
              <w:topLinePunct w:val="0"/>
              <w:bidi w:val="0"/>
              <w:adjustRightInd w:val="0"/>
              <w:snapToGrid w:val="0"/>
              <w:spacing w:after="0" w:line="240" w:lineRule="auto"/>
              <w:jc w:val="center"/>
              <w:textAlignment w:val="auto"/>
              <w:rPr>
                <w:rFonts w:hint="default" w:eastAsia="宋体" w:cs="仿宋"/>
                <w:b/>
                <w:color w:val="auto"/>
                <w:sz w:val="24"/>
                <w:szCs w:val="24"/>
                <w:highlight w:val="none"/>
                <w:lang w:val="en-US" w:eastAsia="zh-CN"/>
              </w:rPr>
            </w:pPr>
            <w:r>
              <w:rPr>
                <w:rFonts w:hint="eastAsia"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3A3EB930">
            <w:pPr>
              <w:pageBreakBefore w:val="0"/>
              <w:kinsoku/>
              <w:wordWrap/>
              <w:overflowPunct/>
              <w:topLinePunct w:val="0"/>
              <w:bidi w:val="0"/>
              <w:snapToGrid w:val="0"/>
              <w:spacing w:line="360" w:lineRule="auto"/>
              <w:textAlignment w:val="auto"/>
              <w:rPr>
                <w:rFonts w:hint="eastAsia"/>
                <w:color w:val="auto"/>
                <w:sz w:val="24"/>
                <w:szCs w:val="24"/>
                <w:highlight w:val="none"/>
              </w:rPr>
            </w:pPr>
            <w:r>
              <w:rPr>
                <w:rFonts w:hint="eastAsia"/>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szCs w:val="24"/>
                <w:highlight w:val="none"/>
                <w:lang w:val="en-US" w:eastAsia="zh-CN"/>
              </w:rPr>
              <w:br w:type="textWrapping"/>
            </w:r>
            <w:r>
              <w:rPr>
                <w:rFonts w:hint="eastAsia"/>
                <w:color w:val="auto"/>
                <w:sz w:val="24"/>
                <w:szCs w:val="24"/>
                <w:highlight w:val="none"/>
                <w:lang w:val="en-US" w:eastAsia="zh-CN"/>
              </w:rPr>
              <w:t>联系电话: 0571-83587785/0571-82816012 联系地址: 萧山区通惠北路2-1号304室</w:t>
            </w:r>
          </w:p>
        </w:tc>
      </w:tr>
      <w:tr w14:paraId="369A4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restart"/>
            <w:tcBorders>
              <w:top w:val="single" w:color="auto" w:sz="4" w:space="0"/>
              <w:left w:val="single" w:color="000000" w:sz="8" w:space="0"/>
              <w:right w:val="single" w:color="000000" w:sz="2" w:space="0"/>
            </w:tcBorders>
            <w:vAlign w:val="center"/>
          </w:tcPr>
          <w:p w14:paraId="54FEA34B">
            <w:pPr>
              <w:keepNext w:val="0"/>
              <w:keepLines w:val="0"/>
              <w:pageBreakBefore w:val="0"/>
              <w:widowControl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556CA0A9">
            <w:pPr>
              <w:keepNext w:val="0"/>
              <w:keepLines w:val="0"/>
              <w:pageBreakBefore w:val="0"/>
              <w:widowControl w:val="0"/>
              <w:kinsoku/>
              <w:wordWrap/>
              <w:overflowPunct/>
              <w:topLinePunct w:val="0"/>
              <w:bidi w:val="0"/>
              <w:adjustRightInd w:val="0"/>
              <w:snapToGrid w:val="0"/>
              <w:spacing w:line="240" w:lineRule="auto"/>
              <w:jc w:val="center"/>
              <w:textAlignment w:val="auto"/>
              <w:rPr>
                <w:rFonts w:ascii="宋体" w:hAnsi="宋体" w:cs="宋体"/>
                <w:b/>
                <w:color w:val="auto"/>
                <w:sz w:val="24"/>
                <w:szCs w:val="24"/>
                <w:highlight w:val="none"/>
              </w:rPr>
            </w:pPr>
            <w:r>
              <w:rPr>
                <w:rFonts w:hint="eastAsia" w:cs="仿宋_GB2312" w:asciiTheme="minorEastAsia" w:hAnsiTheme="minorEastAsia" w:eastAsiaTheme="minorEastAsia"/>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A0FFAD">
            <w:pPr>
              <w:pStyle w:val="3"/>
              <w:pageBreakBefore w:val="0"/>
              <w:kinsoku/>
              <w:wordWrap/>
              <w:overflowPunct/>
              <w:topLinePunct w:val="0"/>
              <w:bidi w:val="0"/>
              <w:snapToGrid w:val="0"/>
              <w:spacing w:line="360" w:lineRule="auto"/>
              <w:ind w:left="0" w:leftChars="0" w:firstLine="0" w:firstLineChars="0"/>
              <w:textAlignment w:val="auto"/>
              <w:rPr>
                <w:color w:val="auto"/>
                <w:highlight w:val="none"/>
              </w:rPr>
            </w:pPr>
            <w:r>
              <w:rPr>
                <w:rFonts w:hint="eastAsia" w:ascii="Times New Roman" w:hAnsi="Times New Roman" w:eastAsia="宋体" w:cs="Times New Roman"/>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0CB31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vAlign w:val="center"/>
          </w:tcPr>
          <w:p w14:paraId="2B3E8172">
            <w:pPr>
              <w:pageBreakBefore w:val="0"/>
              <w:kinsoku/>
              <w:wordWrap/>
              <w:overflowPunct/>
              <w:topLinePunct w:val="0"/>
              <w:bidi w:val="0"/>
              <w:snapToGrid w:val="0"/>
              <w:spacing w:beforeAutospacing="0" w:line="360" w:lineRule="auto"/>
              <w:jc w:val="center"/>
              <w:textAlignment w:val="auto"/>
              <w:rPr>
                <w:rFonts w:hint="eastAsia" w:ascii="宋体" w:hAnsi="宋体" w:cs="宋体"/>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422E15B2">
            <w:pPr>
              <w:pageBreakBefore w:val="0"/>
              <w:kinsoku/>
              <w:wordWrap/>
              <w:overflowPunct/>
              <w:topLinePunct w:val="0"/>
              <w:bidi w:val="0"/>
              <w:snapToGrid w:val="0"/>
              <w:spacing w:beforeAutospacing="0" w:line="360" w:lineRule="auto"/>
              <w:jc w:val="left"/>
              <w:textAlignment w:val="auto"/>
              <w:rPr>
                <w:rFonts w:hint="eastAsia" w:cs="仿宋_GB2312" w:asciiTheme="minorEastAsia" w:hAnsiTheme="minorEastAsia" w:eastAsiaTheme="minorEastAsia"/>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18F8226">
            <w:pPr>
              <w:pageBreakBefore w:val="0"/>
              <w:kinsoku/>
              <w:wordWrap/>
              <w:overflowPunct/>
              <w:topLinePunct w:val="0"/>
              <w:bidi w:val="0"/>
              <w:snapToGrid w:val="0"/>
              <w:spacing w:beforeAutospacing="0" w:line="360" w:lineRule="auto"/>
              <w:textAlignment w:val="auto"/>
              <w:rPr>
                <w:color w:val="auto"/>
                <w:sz w:val="24"/>
                <w:szCs w:val="24"/>
                <w:highlight w:val="none"/>
              </w:rPr>
            </w:pPr>
            <w:sdt>
              <w:sdtPr>
                <w:rPr>
                  <w:rFonts w:hint="eastAsia"/>
                  <w:color w:val="auto"/>
                  <w:sz w:val="24"/>
                  <w:szCs w:val="24"/>
                  <w:highlight w:val="none"/>
                </w:rPr>
                <w:id w:val="4672"/>
                <w14:checkbox>
                  <w14:checked w14:val="0"/>
                  <w14:checkedState w14:val="00FE" w14:font="Wingdings"/>
                  <w14:uncheckedState w14:val="2610" w14:font="MS Gothic"/>
                </w14:checkbox>
              </w:sdtPr>
              <w:sdtEndPr>
                <w:rPr>
                  <w:rFonts w:hint="eastAsia"/>
                  <w:color w:val="auto"/>
                  <w:sz w:val="24"/>
                  <w:szCs w:val="24"/>
                  <w:highlight w:val="none"/>
                </w:rPr>
              </w:sdtEndPr>
              <w:sdtContent>
                <w:r>
                  <w:rPr>
                    <w:rFonts w:hint="eastAsia"/>
                    <w:color w:val="auto"/>
                    <w:sz w:val="24"/>
                    <w:szCs w:val="24"/>
                    <w:highlight w:val="none"/>
                  </w:rPr>
                  <w:t>☐</w:t>
                </w:r>
              </w:sdtContent>
            </w:sdt>
            <w:r>
              <w:rPr>
                <w:rFonts w:hint="eastAsia"/>
                <w:color w:val="auto"/>
                <w:sz w:val="24"/>
                <w:szCs w:val="24"/>
                <w:highlight w:val="none"/>
              </w:rPr>
              <w:t>联合体投标的，联合体各方均需按招标文件第四部分评标标准要求提供资信证明文件，否则视为不符合相关要求。</w:t>
            </w:r>
          </w:p>
          <w:p w14:paraId="67CC8A38">
            <w:pPr>
              <w:pStyle w:val="3"/>
              <w:pageBreakBefore w:val="0"/>
              <w:kinsoku/>
              <w:wordWrap/>
              <w:overflowPunct/>
              <w:topLinePunct w:val="0"/>
              <w:bidi w:val="0"/>
              <w:snapToGrid w:val="0"/>
              <w:spacing w:beforeAutospacing="0" w:line="360" w:lineRule="auto"/>
              <w:ind w:left="0" w:leftChars="0" w:firstLine="0" w:firstLineChars="0"/>
              <w:textAlignment w:val="auto"/>
              <w:rPr>
                <w:rFonts w:hint="eastAsia" w:ascii="宋体" w:hAnsi="宋体" w:cs="宋体"/>
                <w:snapToGrid w:val="0"/>
                <w:color w:val="auto"/>
                <w:kern w:val="28"/>
                <w:sz w:val="24"/>
                <w:szCs w:val="24"/>
                <w:highlight w:val="none"/>
              </w:rPr>
            </w:pPr>
            <w:sdt>
              <w:sdtPr>
                <w:rPr>
                  <w:rFonts w:hint="eastAsia"/>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highlight w:val="none"/>
                  <w:lang w:val="en-US" w:eastAsia="zh-CN" w:bidi="ar-SA"/>
                </w:rPr>
              </w:sdtEndPr>
              <w:sdtContent>
                <w:r>
                  <w:rPr>
                    <w:rFonts w:hint="eastAsia"/>
                    <w:color w:val="auto"/>
                    <w:sz w:val="24"/>
                    <w:szCs w:val="24"/>
                    <w:highlight w:val="none"/>
                  </w:rPr>
                  <w:sym w:font="Wingdings" w:char="F0FE"/>
                </w:r>
              </w:sdtContent>
            </w:sdt>
            <w:r>
              <w:rPr>
                <w:rFonts w:hint="eastAsia" w:ascii="宋体" w:hAnsi="宋体" w:eastAsia="宋体" w:cs="宋体"/>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D5C6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right w:val="single" w:color="000000" w:sz="2" w:space="0"/>
            </w:tcBorders>
          </w:tcPr>
          <w:p w14:paraId="2B1313D1">
            <w:pPr>
              <w:pageBreakBefore w:val="0"/>
              <w:kinsoku/>
              <w:wordWrap/>
              <w:overflowPunct/>
              <w:topLinePunct w:val="0"/>
              <w:bidi w:val="0"/>
              <w:snapToGrid w:val="0"/>
              <w:spacing w:beforeAutospacing="0"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32210755">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05682AFD">
            <w:pPr>
              <w:pageBreakBefore w:val="0"/>
              <w:kinsoku/>
              <w:wordWrap/>
              <w:overflowPunct/>
              <w:topLinePunct w:val="0"/>
              <w:bidi w:val="0"/>
              <w:snapToGrid w:val="0"/>
              <w:spacing w:beforeAutospacing="0" w:line="360" w:lineRule="auto"/>
              <w:textAlignment w:val="auto"/>
              <w:rPr>
                <w:color w:val="auto"/>
                <w:sz w:val="24"/>
                <w:szCs w:val="24"/>
                <w:highlight w:val="none"/>
              </w:rPr>
            </w:pPr>
            <w:r>
              <w:rPr>
                <w:rFonts w:hint="eastAsia" w:ascii="宋体" w:hAnsi="宋体" w:cs="Arial"/>
                <w:color w:val="auto"/>
                <w:kern w:val="0"/>
                <w:sz w:val="24"/>
                <w:highlight w:val="none"/>
              </w:rPr>
              <w:t>招标文件第四部分</w:t>
            </w:r>
            <w:r>
              <w:rPr>
                <w:rFonts w:hint="eastAsia" w:cs="Arial" w:asciiTheme="minorEastAsia" w:hAnsiTheme="minorEastAsia" w:eastAsiaTheme="minorEastAsia"/>
                <w:color w:val="auto"/>
                <w:kern w:val="0"/>
                <w:sz w:val="24"/>
                <w:highlight w:val="none"/>
              </w:rPr>
              <w:t>评审因素对应的要求</w:t>
            </w:r>
            <w:r>
              <w:rPr>
                <w:rFonts w:hint="eastAsia" w:ascii="宋体" w:hAnsi="宋体" w:cs="Arial"/>
                <w:color w:val="auto"/>
                <w:kern w:val="0"/>
                <w:sz w:val="24"/>
                <w:highlight w:val="none"/>
              </w:rPr>
              <w:t>及第五部分采购合同的内容</w:t>
            </w:r>
            <w:r>
              <w:rPr>
                <w:rFonts w:hint="eastAsia" w:cs="Arial" w:asciiTheme="minorEastAsia" w:hAnsiTheme="minorEastAsia" w:eastAsiaTheme="minorEastAsia"/>
                <w:color w:val="auto"/>
                <w:kern w:val="0"/>
                <w:sz w:val="24"/>
                <w:highlight w:val="none"/>
              </w:rPr>
              <w:t>视为采购需求的一部分。</w:t>
            </w:r>
          </w:p>
        </w:tc>
      </w:tr>
      <w:tr w14:paraId="3EEAE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blHeader/>
        </w:trPr>
        <w:tc>
          <w:tcPr>
            <w:tcW w:w="629" w:type="dxa"/>
            <w:vMerge w:val="continue"/>
            <w:tcBorders>
              <w:left w:val="single" w:color="000000" w:sz="8" w:space="0"/>
              <w:bottom w:val="single" w:color="auto" w:sz="4" w:space="0"/>
              <w:right w:val="single" w:color="000000" w:sz="2" w:space="0"/>
            </w:tcBorders>
          </w:tcPr>
          <w:p w14:paraId="36CF9F6F">
            <w:pPr>
              <w:pageBreakBefore w:val="0"/>
              <w:kinsoku/>
              <w:wordWrap/>
              <w:overflowPunct/>
              <w:topLinePunct w:val="0"/>
              <w:bidi w:val="0"/>
              <w:snapToGrid w:val="0"/>
              <w:spacing w:beforeAutospacing="0" w:line="360" w:lineRule="auto"/>
              <w:jc w:val="center"/>
              <w:textAlignment w:val="auto"/>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2FC422F1">
            <w:pPr>
              <w:pageBreakBefore w:val="0"/>
              <w:kinsoku/>
              <w:wordWrap/>
              <w:overflowPunct/>
              <w:topLinePunct w:val="0"/>
              <w:bidi w:val="0"/>
              <w:snapToGrid w:val="0"/>
              <w:spacing w:beforeAutospacing="0" w:line="360" w:lineRule="auto"/>
              <w:jc w:val="center"/>
              <w:textAlignment w:val="auto"/>
              <w:rPr>
                <w:rFonts w:ascii="宋体" w:hAnsi="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869AF4F">
            <w:pPr>
              <w:pageBreakBefore w:val="0"/>
              <w:kinsoku/>
              <w:wordWrap/>
              <w:overflowPunct/>
              <w:topLinePunct w:val="0"/>
              <w:bidi w:val="0"/>
              <w:snapToGrid w:val="0"/>
              <w:spacing w:beforeAutospacing="0" w:line="360" w:lineRule="auto"/>
              <w:textAlignment w:val="auto"/>
              <w:rPr>
                <w:rFonts w:hint="default" w:eastAsia="宋体"/>
                <w:b/>
                <w:bCs/>
                <w:color w:val="auto"/>
                <w:sz w:val="24"/>
                <w:szCs w:val="24"/>
                <w:highlight w:val="none"/>
                <w:lang w:val="en-US" w:eastAsia="zh-CN"/>
              </w:rPr>
            </w:pPr>
            <w:r>
              <w:rPr>
                <w:rFonts w:hint="eastAsia"/>
                <w:b w:val="0"/>
                <w:bCs w:val="0"/>
                <w:color w:val="auto"/>
                <w:sz w:val="24"/>
                <w:szCs w:val="24"/>
                <w:highlight w:val="none"/>
                <w:lang w:eastAsia="zh-CN"/>
              </w:rPr>
              <w:t>本项目每个标项推荐中标候选人数量：</w:t>
            </w:r>
            <w:r>
              <w:rPr>
                <w:rFonts w:hint="eastAsia"/>
                <w:b w:val="0"/>
                <w:bCs w:val="0"/>
                <w:color w:val="auto"/>
                <w:sz w:val="24"/>
                <w:szCs w:val="24"/>
                <w:highlight w:val="none"/>
                <w:lang w:val="en-US" w:eastAsia="zh-CN"/>
              </w:rPr>
              <w:t>1</w:t>
            </w:r>
          </w:p>
        </w:tc>
      </w:tr>
      <w:bookmarkEnd w:id="6"/>
    </w:tbl>
    <w:p w14:paraId="739AAB68">
      <w:pPr>
        <w:pageBreakBefore w:val="0"/>
        <w:kinsoku/>
        <w:wordWrap/>
        <w:overflowPunct/>
        <w:topLinePunct w:val="0"/>
        <w:bidi w:val="0"/>
        <w:snapToGrid w:val="0"/>
        <w:spacing w:beforeAutospacing="0" w:line="360" w:lineRule="auto"/>
        <w:textAlignment w:val="auto"/>
        <w:rPr>
          <w:rFonts w:hint="eastAsia" w:ascii="宋体" w:hAnsi="宋体" w:cs="宋体"/>
          <w:b/>
          <w:color w:val="auto"/>
          <w:sz w:val="32"/>
          <w:szCs w:val="20"/>
          <w:highlight w:val="none"/>
        </w:rPr>
      </w:pPr>
      <w:bookmarkStart w:id="9" w:name="第三部分"/>
      <w:bookmarkStart w:id="10" w:name="_Toc164416483"/>
      <w:r>
        <w:rPr>
          <w:rFonts w:hint="eastAsia" w:ascii="宋体" w:hAnsi="宋体" w:cs="宋体"/>
          <w:b/>
          <w:color w:val="auto"/>
          <w:sz w:val="32"/>
          <w:szCs w:val="20"/>
          <w:highlight w:val="none"/>
        </w:rPr>
        <w:br w:type="page"/>
      </w:r>
    </w:p>
    <w:p w14:paraId="72E90C39">
      <w:pPr>
        <w:pageBreakBefore w:val="0"/>
        <w:kinsoku/>
        <w:wordWrap/>
        <w:overflowPunct/>
        <w:topLinePunct w:val="0"/>
        <w:bidi w:val="0"/>
        <w:adjustRightInd/>
        <w:snapToGrid w:val="0"/>
        <w:spacing w:beforeAutospacing="0" w:line="360" w:lineRule="auto"/>
        <w:ind w:firstLine="3845" w:firstLineChars="1197"/>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F2D6A64">
      <w:pPr>
        <w:pageBreakBefore w:val="0"/>
        <w:kinsoku/>
        <w:wordWrap/>
        <w:overflowPunct/>
        <w:topLinePunct w:val="0"/>
        <w:bidi w:val="0"/>
        <w:snapToGrid w:val="0"/>
        <w:spacing w:beforeAutospacing="0" w:line="360" w:lineRule="auto"/>
        <w:jc w:val="left"/>
        <w:textAlignment w:val="auto"/>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85EE55E">
      <w:pPr>
        <w:pageBreakBefore w:val="0"/>
        <w:kinsoku/>
        <w:wordWrap/>
        <w:overflowPunct/>
        <w:topLinePunct w:val="0"/>
        <w:bidi w:val="0"/>
        <w:snapToGrid w:val="0"/>
        <w:spacing w:beforeAutospacing="0"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6A34D67">
      <w:pPr>
        <w:pageBreakBefore w:val="0"/>
        <w:numPr>
          <w:ilvl w:val="0"/>
          <w:numId w:val="2"/>
        </w:numPr>
        <w:kinsoku/>
        <w:wordWrap/>
        <w:overflowPunct/>
        <w:topLinePunct w:val="0"/>
        <w:bidi w:val="0"/>
        <w:adjustRightInd/>
        <w:snapToGrid w:val="0"/>
        <w:spacing w:beforeAutospacing="0" w:line="360" w:lineRule="auto"/>
        <w:textAlignment w:val="auto"/>
        <w:outlineLvl w:val="0"/>
        <w:rPr>
          <w:rFonts w:ascii="宋体" w:hAnsi="宋体" w:cs="宋体"/>
          <w:b/>
          <w:color w:val="auto"/>
          <w:sz w:val="24"/>
          <w:highlight w:val="none"/>
        </w:rPr>
      </w:pPr>
      <w:r>
        <w:rPr>
          <w:rFonts w:hint="eastAsia" w:ascii="宋体" w:hAnsi="宋体" w:cs="宋体"/>
          <w:b/>
          <w:color w:val="auto"/>
          <w:sz w:val="24"/>
          <w:highlight w:val="none"/>
        </w:rPr>
        <w:t>定义</w:t>
      </w:r>
    </w:p>
    <w:p w14:paraId="52AE4B1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91F8EB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D10F79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8372DA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38C3CF3">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143DF5">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16B2542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CF40F9A">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2485A6B6">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59454B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3.2 支持绿色发展</w:t>
      </w:r>
    </w:p>
    <w:p w14:paraId="69E48598">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4E193A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0BFA902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77109008">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FF851BF">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3.3支持中小企业发展</w:t>
      </w:r>
    </w:p>
    <w:p w14:paraId="6BC30BCD">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4A3FC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622A752A">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CBD4577">
      <w:pPr>
        <w:pageBreakBefore w:val="0"/>
        <w:widowControl/>
        <w:kinsoku/>
        <w:wordWrap/>
        <w:overflowPunct/>
        <w:topLinePunct w:val="0"/>
        <w:bidi w:val="0"/>
        <w:snapToGrid w:val="0"/>
        <w:spacing w:beforeAutospacing="0" w:line="360" w:lineRule="auto"/>
        <w:ind w:firstLine="480" w:firstLineChars="20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A3653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2</w:t>
      </w:r>
      <w:r>
        <w:rPr>
          <w:rFonts w:ascii="宋体" w:hAnsi="宋体" w:cs="宋体"/>
          <w:color w:val="auto"/>
          <w:sz w:val="24"/>
          <w:highlight w:val="none"/>
        </w:rPr>
        <w:t>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2" w:name="_Hlk101132181"/>
      <w:r>
        <w:rPr>
          <w:rFonts w:hint="eastAsia" w:ascii="宋体" w:hAnsi="宋体" w:cs="宋体"/>
          <w:color w:val="auto"/>
          <w:sz w:val="24"/>
          <w:highlight w:val="none"/>
        </w:rPr>
        <w:t>联合协议或者分包意向协议约定小微企业的合同份额占到合同总金额30%以上的</w:t>
      </w:r>
      <w:bookmarkEnd w:id="12"/>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5B501BFE">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A14C65C">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72ECD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59B33444">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A12CE1C">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color w:val="auto"/>
          <w:sz w:val="24"/>
          <w:highlight w:val="none"/>
          <w:lang w:val="en-US" w:eastAsia="zh-CN"/>
        </w:rPr>
        <w:t xml:space="preserve"> </w:t>
      </w:r>
      <w:r>
        <w:rPr>
          <w:rFonts w:hint="eastAsia" w:ascii="宋体" w:hAnsi="宋体" w:cs="宋体"/>
          <w:bCs/>
          <w:color w:val="auto"/>
          <w:sz w:val="24"/>
          <w:highlight w:val="none"/>
        </w:rPr>
        <w:t>支持创新发展</w:t>
      </w:r>
    </w:p>
    <w:p w14:paraId="3E5F86F2">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0F986A86">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6844E85E">
      <w:pPr>
        <w:pageBreakBefore w:val="0"/>
        <w:kinsoku/>
        <w:wordWrap/>
        <w:overflowPunct/>
        <w:topLinePunct w:val="0"/>
        <w:bidi w:val="0"/>
        <w:snapToGrid w:val="0"/>
        <w:spacing w:beforeAutospacing="0" w:line="360" w:lineRule="auto"/>
        <w:ind w:firstLine="240" w:firstLineChars="100"/>
        <w:textAlignment w:val="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74AA85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p>
    <w:p w14:paraId="1B36D3A7">
      <w:pPr>
        <w:pageBreakBefore w:val="0"/>
        <w:kinsoku/>
        <w:wordWrap/>
        <w:overflowPunct/>
        <w:topLinePunct w:val="0"/>
        <w:bidi w:val="0"/>
        <w:snapToGrid w:val="0"/>
        <w:spacing w:beforeAutospacing="0" w:line="360" w:lineRule="auto"/>
        <w:textAlignment w:val="auto"/>
        <w:rPr>
          <w:b/>
          <w:color w:val="auto"/>
          <w:highlight w:val="none"/>
        </w:rPr>
      </w:pPr>
      <w:r>
        <w:rPr>
          <w:rFonts w:hint="eastAsia" w:ascii="宋体" w:hAnsi="宋体" w:eastAsia="宋体" w:cs="宋体"/>
          <w:b/>
          <w:color w:val="auto"/>
          <w:sz w:val="24"/>
          <w:highlight w:val="none"/>
        </w:rPr>
        <w:t>4. 询问、质疑、投诉</w:t>
      </w:r>
    </w:p>
    <w:p w14:paraId="77042F5E">
      <w:pPr>
        <w:pageBreakBefore w:val="0"/>
        <w:kinsoku/>
        <w:wordWrap/>
        <w:overflowPunct/>
        <w:topLinePunct w:val="0"/>
        <w:bidi w:val="0"/>
        <w:snapToGrid w:val="0"/>
        <w:spacing w:beforeAutospacing="0" w:line="360" w:lineRule="auto"/>
        <w:ind w:firstLine="240" w:firstLineChars="1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在线询问、质疑、投诉</w:t>
      </w:r>
    </w:p>
    <w:p w14:paraId="6736C578">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314B7FC">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供应商询问</w:t>
      </w:r>
    </w:p>
    <w:p w14:paraId="72D6E762">
      <w:pPr>
        <w:pageBreakBefore w:val="0"/>
        <w:kinsoku/>
        <w:wordWrap/>
        <w:overflowPunct/>
        <w:topLinePunct w:val="0"/>
        <w:autoSpaceDE w:val="0"/>
        <w:autoSpaceDN w:val="0"/>
        <w:bidi w:val="0"/>
        <w:snapToGrid w:val="0"/>
        <w:spacing w:beforeAutospacing="0" w:line="360" w:lineRule="auto"/>
        <w:ind w:firstLine="480" w:firstLineChars="2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682B157">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zh-CN"/>
        </w:rPr>
        <w:t>供应商质疑</w:t>
      </w:r>
    </w:p>
    <w:p w14:paraId="116BC126">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09226375">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36080613">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3BDBD600">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0DB1F008">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60DF5748">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4.3.3.1供应商的姓名或者名称、地址、邮编、联系人及联系电话；</w:t>
      </w:r>
    </w:p>
    <w:p w14:paraId="73A6F669">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4.3.3.2质疑项目的名称、编号；</w:t>
      </w:r>
    </w:p>
    <w:p w14:paraId="643D64A3">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4.3.3.3具体、明确的质疑事项和与质疑事项相关的请求；</w:t>
      </w:r>
    </w:p>
    <w:p w14:paraId="0647DBD5">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4.3.3.4事实依据；</w:t>
      </w:r>
    </w:p>
    <w:p w14:paraId="1D180E03">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4.3.3.5必要的法律依据；</w:t>
      </w:r>
    </w:p>
    <w:p w14:paraId="69C30E1C">
      <w:pPr>
        <w:pageBreakBefore w:val="0"/>
        <w:kinsoku/>
        <w:wordWrap/>
        <w:overflowPunct/>
        <w:topLinePunct w:val="0"/>
        <w:bidi w:val="0"/>
        <w:snapToGrid w:val="0"/>
        <w:spacing w:beforeAutospacing="0" w:line="360" w:lineRule="auto"/>
        <w:ind w:left="479" w:leftChars="228" w:firstLine="0" w:firstLineChars="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4.3.3.6提出质疑的日期。</w:t>
      </w:r>
    </w:p>
    <w:p w14:paraId="05DDE729">
      <w:pPr>
        <w:pageBreakBefore w:val="0"/>
        <w:kinsoku/>
        <w:wordWrap/>
        <w:overflowPunct/>
        <w:topLinePunct w:val="0"/>
        <w:bidi w:val="0"/>
        <w:snapToGrid w:val="0"/>
        <w:spacing w:beforeAutospacing="0" w:line="360" w:lineRule="auto"/>
        <w:ind w:left="479" w:leftChars="228" w:firstLine="0" w:firstLineChars="0"/>
        <w:textAlignment w:val="auto"/>
        <w:rPr>
          <w:color w:val="auto"/>
          <w:highlight w:val="none"/>
        </w:rPr>
      </w:pPr>
      <w:r>
        <w:rPr>
          <w:rFonts w:hint="eastAsia"/>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0E1868E4">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4.3.4对同一采购程序环节的质疑，供应商须在法定质疑期内一次性提出。</w:t>
      </w:r>
    </w:p>
    <w:p w14:paraId="658C493D">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4.3.5采购人或者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4"/>
          <w:highlight w:val="none"/>
          <w:lang w:val="zh-CN" w:eastAsia="zh-CN"/>
        </w:rPr>
        <w:t>采购代理机构</w:t>
      </w:r>
      <w:r>
        <w:rPr>
          <w:rFonts w:hint="eastAsia" w:ascii="宋体" w:hAnsi="宋体" w:eastAsia="宋体" w:cs="宋体"/>
          <w:color w:val="auto"/>
          <w:sz w:val="24"/>
          <w:highlight w:val="none"/>
          <w:lang w:val="zh-CN"/>
        </w:rPr>
        <w:t>在质疑回复后5个工作日内，在浙江政府采购网的“其他公告”栏目公开质疑答复，答复内容应当完整。质疑函作为附件上传。</w:t>
      </w:r>
    </w:p>
    <w:p w14:paraId="20A83290">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4.3.6询问或者质疑事项可能影响采购结果的，采购人应当暂停签订合同，已经签订合同的，应当中止履行合同。</w:t>
      </w:r>
    </w:p>
    <w:p w14:paraId="78F7909A">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14:paraId="440A8FA2">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2B7192E6">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4.4.2供应商投诉的事项不得超出已质疑事项的范围，基于质疑答复内容提出的投诉事项除外。</w:t>
      </w:r>
    </w:p>
    <w:p w14:paraId="40054B5F">
      <w:pPr>
        <w:pageBreakBefore w:val="0"/>
        <w:kinsoku/>
        <w:wordWrap/>
        <w:overflowPunct/>
        <w:topLinePunct w:val="0"/>
        <w:bidi w:val="0"/>
        <w:snapToGrid w:val="0"/>
        <w:spacing w:beforeAutospacing="0" w:line="360" w:lineRule="auto"/>
        <w:ind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4.4.3供应商投诉应当有明确的请求和必要的证明材料。</w:t>
      </w:r>
    </w:p>
    <w:p w14:paraId="1C5DDEBA">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4.4.4 以联合体形式参加政府采购活动的，其投诉应当由组成联合体的所有供应商共同提出。</w:t>
      </w:r>
    </w:p>
    <w:p w14:paraId="3BA36111">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w:t>
      </w:r>
      <w:r>
        <w:rPr>
          <w:rFonts w:hint="eastAsia"/>
          <w:color w:val="auto"/>
          <w:highlight w:val="none"/>
          <w:lang w:val="en-US" w:eastAsia="zh-CN"/>
        </w:rPr>
        <w:t>老师</w:t>
      </w:r>
      <w:r>
        <w:rPr>
          <w:rFonts w:hint="eastAsia"/>
          <w:color w:val="auto"/>
          <w:highlight w:val="none"/>
        </w:rPr>
        <w:t>，电话：</w:t>
      </w:r>
      <w:r>
        <w:rPr>
          <w:rFonts w:hint="eastAsia" w:ascii="宋体" w:hAnsi="宋体" w:eastAsia="宋体" w:cs="宋体"/>
          <w:i w:val="0"/>
          <w:caps w:val="0"/>
          <w:color w:val="auto"/>
          <w:spacing w:val="0"/>
          <w:sz w:val="24"/>
          <w:szCs w:val="24"/>
          <w:highlight w:val="none"/>
          <w:lang w:val="en-US" w:eastAsia="zh-CN"/>
        </w:rPr>
        <w:t>0571-87800218</w:t>
      </w:r>
      <w:r>
        <w:rPr>
          <w:rFonts w:hint="eastAsia"/>
          <w:color w:val="auto"/>
          <w:highlight w:val="none"/>
        </w:rPr>
        <w:t>。</w:t>
      </w:r>
    </w:p>
    <w:p w14:paraId="2645437C">
      <w:pPr>
        <w:pageBreakBefore w:val="0"/>
        <w:kinsoku/>
        <w:wordWrap/>
        <w:overflowPunct/>
        <w:topLinePunct w:val="0"/>
        <w:bidi w:val="0"/>
        <w:adjustRightInd w:val="0"/>
        <w:snapToGrid w:val="0"/>
        <w:spacing w:beforeAutospacing="0" w:line="360" w:lineRule="auto"/>
        <w:ind w:firstLine="480" w:firstLineChars="200"/>
        <w:textAlignment w:val="auto"/>
        <w:rPr>
          <w:rFonts w:hint="eastAsia" w:ascii="宋体" w:hAnsi="宋体" w:cs="仿宋"/>
          <w:color w:val="auto"/>
          <w:sz w:val="24"/>
          <w:highlight w:val="none"/>
        </w:rPr>
      </w:pPr>
      <w:r>
        <w:rPr>
          <w:rFonts w:hint="eastAsia" w:ascii="宋体" w:hAnsi="宋体" w:cs="仿宋"/>
          <w:color w:val="auto"/>
          <w:sz w:val="24"/>
          <w:highlight w:val="none"/>
        </w:rPr>
        <w:t>4.5 补偿救济</w:t>
      </w:r>
    </w:p>
    <w:p w14:paraId="7BA5FFFC">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8ABD527">
      <w:pPr>
        <w:pStyle w:val="886"/>
        <w:pageBreakBefore w:val="0"/>
        <w:shd w:val="clear" w:color="auto" w:fill="FFFFFF"/>
        <w:kinsoku/>
        <w:wordWrap/>
        <w:overflowPunct/>
        <w:topLinePunct w:val="0"/>
        <w:bidi w:val="0"/>
        <w:snapToGrid w:val="0"/>
        <w:spacing w:before="0" w:beforeAutospacing="0" w:after="0" w:afterAutospacing="0" w:line="360" w:lineRule="auto"/>
        <w:ind w:firstLine="400"/>
        <w:contextualSpacing/>
        <w:textAlignment w:val="auto"/>
        <w:rPr>
          <w:rFonts w:hint="eastAsia" w:ascii="宋体" w:hAnsi="宋体" w:eastAsia="宋体" w:cs="宋体"/>
          <w:color w:val="auto"/>
          <w:sz w:val="24"/>
          <w:highlight w:val="none"/>
          <w:lang w:val="zh-CN" w:eastAsia="zh-CN"/>
        </w:rPr>
      </w:pPr>
      <w:r>
        <w:rPr>
          <w:rFonts w:hint="eastAsia"/>
          <w:color w:val="auto"/>
          <w:highlight w:val="none"/>
        </w:rPr>
        <w:t>投诉书范本及制作说明详见附件3。</w:t>
      </w:r>
    </w:p>
    <w:p w14:paraId="784B381D">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2077103">
      <w:pPr>
        <w:pageBreakBefore w:val="0"/>
        <w:kinsoku/>
        <w:wordWrap/>
        <w:overflowPunct/>
        <w:topLinePunct w:val="0"/>
        <w:bidi w:val="0"/>
        <w:snapToGrid w:val="0"/>
        <w:spacing w:beforeAutospacing="0" w:line="360" w:lineRule="auto"/>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5．招标文件的构成</w:t>
      </w:r>
    </w:p>
    <w:p w14:paraId="1F70717D">
      <w:pPr>
        <w:pageBreakBefore w:val="0"/>
        <w:kinsoku/>
        <w:wordWrap/>
        <w:overflowPunct/>
        <w:topLinePunct w:val="0"/>
        <w:autoSpaceDE w:val="0"/>
        <w:autoSpaceDN w:val="0"/>
        <w:bidi w:val="0"/>
        <w:snapToGrid w:val="0"/>
        <w:spacing w:beforeAutospacing="0" w:line="360" w:lineRule="auto"/>
        <w:ind w:firstLine="240" w:firstLineChars="1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5.1 招标文件包括下列文件及附件：</w:t>
      </w:r>
    </w:p>
    <w:p w14:paraId="2E7B7B82">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int="eastAsia" w:ascii="宋体" w:hAnsi="宋体" w:eastAsia="宋体" w:cs="宋体"/>
          <w:snapToGrid/>
          <w:color w:val="auto"/>
          <w:kern w:val="2"/>
          <w:sz w:val="24"/>
          <w:szCs w:val="24"/>
          <w:highlight w:val="none"/>
          <w:lang w:val="zh-CN" w:eastAsia="zh-CN" w:bidi="ar-SA"/>
        </w:rPr>
      </w:pPr>
      <w:r>
        <w:rPr>
          <w:rFonts w:hint="eastAsia" w:ascii="宋体" w:hAnsi="宋体" w:eastAsia="宋体" w:cs="宋体"/>
          <w:snapToGrid/>
          <w:color w:val="auto"/>
          <w:kern w:val="2"/>
          <w:sz w:val="24"/>
          <w:szCs w:val="24"/>
          <w:highlight w:val="none"/>
          <w:lang w:val="zh-CN" w:eastAsia="zh-CN" w:bidi="ar-SA"/>
        </w:rPr>
        <w:t>5.1.1招标公告；</w:t>
      </w:r>
    </w:p>
    <w:p w14:paraId="44476872">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w:t>
      </w:r>
      <w:r>
        <w:rPr>
          <w:rFonts w:hint="eastAsia" w:ascii="宋体" w:hAnsi="宋体" w:eastAsia="宋体" w:cs="宋体"/>
          <w:snapToGrid/>
          <w:color w:val="auto"/>
          <w:kern w:val="2"/>
          <w:sz w:val="24"/>
          <w:szCs w:val="24"/>
          <w:highlight w:val="none"/>
          <w:lang w:val="zh-CN" w:eastAsia="zh-CN" w:bidi="ar-SA"/>
        </w:rPr>
        <w:t>.1.2投标人须知</w:t>
      </w:r>
      <w:r>
        <w:rPr>
          <w:rFonts w:hint="eastAsia" w:hAnsi="宋体" w:cs="宋体"/>
          <w:color w:val="auto"/>
          <w:sz w:val="24"/>
          <w:szCs w:val="24"/>
          <w:highlight w:val="none"/>
        </w:rPr>
        <w:t>；</w:t>
      </w:r>
    </w:p>
    <w:p w14:paraId="0FA55BD6">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5.1.3采购需求；</w:t>
      </w:r>
    </w:p>
    <w:p w14:paraId="7E77C965">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5.1.4评标办法；</w:t>
      </w:r>
    </w:p>
    <w:p w14:paraId="6F055E0A">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szCs w:val="24"/>
          <w:highlight w:val="none"/>
        </w:rPr>
        <w:t>5.1.5拟签订的合同文本；</w:t>
      </w:r>
    </w:p>
    <w:p w14:paraId="55B6E1E4">
      <w:pPr>
        <w:pStyle w:val="32"/>
        <w:pageBreakBefore w:val="0"/>
        <w:tabs>
          <w:tab w:val="left" w:pos="840"/>
        </w:tabs>
        <w:kinsoku/>
        <w:wordWrap/>
        <w:overflowPunct/>
        <w:topLinePunct w:val="0"/>
        <w:bidi w:val="0"/>
        <w:snapToGrid w:val="0"/>
        <w:spacing w:beforeAutospacing="0" w:line="360" w:lineRule="auto"/>
        <w:ind w:firstLine="960" w:firstLineChars="400"/>
        <w:textAlignment w:val="auto"/>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8EB3ED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91C7DC2">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27CB79E1">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C5FFF63">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896DA1">
      <w:pPr>
        <w:pageBreakBefore w:val="0"/>
        <w:kinsoku/>
        <w:wordWrap/>
        <w:overflowPunct/>
        <w:topLinePunct w:val="0"/>
        <w:bidi w:val="0"/>
        <w:adjustRightInd/>
        <w:snapToGrid w:val="0"/>
        <w:spacing w:beforeAutospacing="0" w:line="360" w:lineRule="auto"/>
        <w:jc w:val="center"/>
        <w:textAlignment w:val="auto"/>
        <w:outlineLvl w:val="0"/>
        <w:rPr>
          <w:rFonts w:ascii="宋体" w:hAnsi="宋体" w:cs="宋体"/>
          <w:b/>
          <w:color w:val="auto"/>
          <w:sz w:val="32"/>
          <w:szCs w:val="21"/>
          <w:highlight w:val="none"/>
        </w:rPr>
      </w:pPr>
      <w:r>
        <w:rPr>
          <w:rFonts w:hint="eastAsia" w:ascii="宋体" w:hAnsi="宋体" w:cs="宋体"/>
          <w:b/>
          <w:color w:val="auto"/>
          <w:sz w:val="32"/>
          <w:szCs w:val="21"/>
          <w:highlight w:val="none"/>
        </w:rPr>
        <w:t>三、投标</w:t>
      </w:r>
    </w:p>
    <w:p w14:paraId="2E710487">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3F32DC05">
      <w:pPr>
        <w:pageBreakBefore w:val="0"/>
        <w:kinsoku/>
        <w:wordWrap/>
        <w:overflowPunct/>
        <w:topLinePunct w:val="0"/>
        <w:bidi w:val="0"/>
        <w:snapToGrid w:val="0"/>
        <w:spacing w:beforeAutospacing="0" w:line="360" w:lineRule="auto"/>
        <w:ind w:firstLine="480" w:firstLineChars="200"/>
        <w:textAlignment w:val="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78AB6409">
      <w:pPr>
        <w:pStyle w:val="32"/>
        <w:pageBreakBefore w:val="0"/>
        <w:numPr>
          <w:ilvl w:val="0"/>
          <w:numId w:val="3"/>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开标前答疑会或现场考察</w:t>
      </w:r>
    </w:p>
    <w:p w14:paraId="52F16FF9">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B9973D5">
      <w:pPr>
        <w:pStyle w:val="32"/>
        <w:pageBreakBefore w:val="0"/>
        <w:numPr>
          <w:ilvl w:val="0"/>
          <w:numId w:val="3"/>
        </w:numPr>
        <w:kinsoku/>
        <w:wordWrap/>
        <w:overflowPunct/>
        <w:topLinePunct w:val="0"/>
        <w:bidi w:val="0"/>
        <w:snapToGrid w:val="0"/>
        <w:spacing w:beforeAutospacing="0" w:line="36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投标保证金</w:t>
      </w:r>
    </w:p>
    <w:p w14:paraId="7E938264">
      <w:pPr>
        <w:pStyle w:val="5"/>
        <w:pageBreakBefore w:val="0"/>
        <w:kinsoku/>
        <w:wordWrap/>
        <w:overflowPunct/>
        <w:topLinePunct w:val="0"/>
        <w:bidi w:val="0"/>
        <w:snapToGrid w:val="0"/>
        <w:spacing w:beforeAutospacing="0" w:line="360" w:lineRule="auto"/>
        <w:ind w:firstLine="470" w:firstLineChars="196"/>
        <w:textAlignment w:val="auto"/>
        <w:rPr>
          <w:rFonts w:hAnsi="宋体" w:cs="宋体"/>
          <w:color w:val="auto"/>
          <w:sz w:val="24"/>
          <w:highlight w:val="none"/>
        </w:rPr>
      </w:pPr>
      <w:r>
        <w:rPr>
          <w:rFonts w:hint="eastAsia" w:hAnsi="宋体" w:cs="宋体"/>
          <w:color w:val="auto"/>
          <w:sz w:val="24"/>
          <w:highlight w:val="none"/>
        </w:rPr>
        <w:t>本项目不需缴纳投标保证金。</w:t>
      </w:r>
    </w:p>
    <w:p w14:paraId="170533AF">
      <w:pPr>
        <w:pStyle w:val="32"/>
        <w:pageBreakBefore w:val="0"/>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B4C201A">
      <w:pPr>
        <w:pageBreakBefore w:val="0"/>
        <w:kinsoku/>
        <w:wordWrap/>
        <w:overflowPunct/>
        <w:topLinePunct w:val="0"/>
        <w:autoSpaceDE w:val="0"/>
        <w:autoSpaceDN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4851FE7">
      <w:pPr>
        <w:pStyle w:val="32"/>
        <w:pageBreakBefore w:val="0"/>
        <w:numPr>
          <w:ilvl w:val="0"/>
          <w:numId w:val="4"/>
        </w:numPr>
        <w:kinsoku/>
        <w:wordWrap/>
        <w:overflowPunct/>
        <w:topLinePunct w:val="0"/>
        <w:bidi w:val="0"/>
        <w:snapToGrid w:val="0"/>
        <w:spacing w:beforeAutospacing="0" w:line="360" w:lineRule="auto"/>
        <w:textAlignment w:val="auto"/>
        <w:rPr>
          <w:rFonts w:hint="eastAsia" w:hAnsi="宋体" w:cs="宋体"/>
          <w:b/>
          <w:color w:val="auto"/>
          <w:sz w:val="24"/>
          <w:szCs w:val="24"/>
          <w:highlight w:val="none"/>
        </w:rPr>
      </w:pPr>
      <w:r>
        <w:rPr>
          <w:rFonts w:hint="eastAsia" w:hAnsi="宋体" w:cs="宋体"/>
          <w:b/>
          <w:color w:val="auto"/>
          <w:sz w:val="24"/>
          <w:szCs w:val="24"/>
          <w:highlight w:val="none"/>
        </w:rPr>
        <w:t>投标文件的组成</w:t>
      </w:r>
    </w:p>
    <w:p w14:paraId="7F3728A2">
      <w:pPr>
        <w:pageBreakBefore w:val="0"/>
        <w:kinsoku/>
        <w:wordWrap/>
        <w:overflowPunct/>
        <w:topLinePunct w:val="0"/>
        <w:bidi w:val="0"/>
        <w:snapToGrid w:val="0"/>
        <w:spacing w:beforeAutospacing="0" w:line="360" w:lineRule="auto"/>
        <w:ind w:firstLine="482" w:firstLineChars="200"/>
        <w:textAlignment w:val="auto"/>
        <w:rPr>
          <w:rFonts w:hint="eastAsia" w:hAnsi="宋体" w:cs="宋体"/>
          <w:b/>
          <w:color w:val="auto"/>
          <w:sz w:val="24"/>
          <w:szCs w:val="24"/>
          <w:highlight w:val="none"/>
        </w:rPr>
      </w:pPr>
      <w:r>
        <w:rPr>
          <w:rFonts w:hint="eastAsia" w:ascii="宋体" w:hAnsi="宋体" w:cs="宋体"/>
          <w:b/>
          <w:snapToGrid w:val="0"/>
          <w:color w:val="auto"/>
          <w:sz w:val="24"/>
          <w:highlight w:val="none"/>
        </w:rPr>
        <w:t>▲投标文件至少应包括以下文件。</w:t>
      </w:r>
    </w:p>
    <w:p w14:paraId="2FCE154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CBDB204">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86E621B">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3" w:name="_Hlk101259339"/>
      <w:r>
        <w:rPr>
          <w:rFonts w:hint="eastAsia" w:ascii="宋体" w:hAnsi="宋体" w:cs="宋体"/>
          <w:snapToGrid w:val="0"/>
          <w:color w:val="auto"/>
          <w:kern w:val="28"/>
          <w:sz w:val="24"/>
          <w:szCs w:val="20"/>
          <w:highlight w:val="none"/>
        </w:rPr>
        <w:t>联合协议</w:t>
      </w:r>
      <w:bookmarkEnd w:id="13"/>
      <w:r>
        <w:rPr>
          <w:rFonts w:hint="eastAsia" w:ascii="宋体" w:hAnsi="宋体" w:cs="宋体"/>
          <w:snapToGrid w:val="0"/>
          <w:color w:val="auto"/>
          <w:kern w:val="28"/>
          <w:sz w:val="24"/>
          <w:szCs w:val="20"/>
          <w:highlight w:val="none"/>
        </w:rPr>
        <w:t>（如果有)；</w:t>
      </w:r>
    </w:p>
    <w:p w14:paraId="78E5680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78A56A">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FB6BFD7">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4E42882">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61A053C8">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4EBAE6DF">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4CFEEC">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577E304">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A159600">
      <w:pPr>
        <w:pageBreakBefore w:val="0"/>
        <w:kinsoku/>
        <w:wordWrap/>
        <w:overflowPunct/>
        <w:topLinePunct w:val="0"/>
        <w:bidi w:val="0"/>
        <w:snapToGrid w:val="0"/>
        <w:spacing w:beforeAutospacing="0" w:line="360" w:lineRule="auto"/>
        <w:ind w:left="420" w:leftChars="20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AAB742D">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855433F">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10BFB70">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F7036B2">
      <w:pPr>
        <w:pageBreakBefore w:val="0"/>
        <w:kinsoku/>
        <w:wordWrap/>
        <w:overflowPunct/>
        <w:topLinePunct w:val="0"/>
        <w:bidi w:val="0"/>
        <w:snapToGrid w:val="0"/>
        <w:spacing w:beforeAutospacing="0" w:line="360" w:lineRule="auto"/>
        <w:ind w:firstLine="960" w:firstLineChars="400"/>
        <w:textAlignment w:val="auto"/>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5C1BA1A5">
      <w:pPr>
        <w:pStyle w:val="964"/>
        <w:pageBreakBefore w:val="0"/>
        <w:kinsoku/>
        <w:wordWrap/>
        <w:overflowPunct/>
        <w:topLinePunct w:val="0"/>
        <w:bidi w:val="0"/>
        <w:adjustRightInd w:val="0"/>
        <w:snapToGrid w:val="0"/>
        <w:spacing w:beforeAutospacing="0" w:line="360" w:lineRule="auto"/>
        <w:ind w:firstLine="960" w:firstLineChars="400"/>
        <w:textAlignment w:val="auto"/>
        <w:rPr>
          <w:color w:val="auto"/>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5EAACE50">
      <w:pPr>
        <w:pageBreakBefore w:val="0"/>
        <w:kinsoku/>
        <w:wordWrap/>
        <w:overflowPunct/>
        <w:topLinePunct w:val="0"/>
        <w:bidi w:val="0"/>
        <w:snapToGrid w:val="0"/>
        <w:spacing w:beforeAutospacing="0" w:line="360" w:lineRule="auto"/>
        <w:ind w:firstLine="960" w:firstLineChars="400"/>
        <w:textAlignment w:val="auto"/>
        <w:rPr>
          <w:rFonts w:ascii="宋体" w:hAnsi="宋体" w:cs="宋体"/>
          <w:color w:val="auto"/>
          <w:sz w:val="24"/>
          <w:highlight w:val="none"/>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w:t>
      </w:r>
    </w:p>
    <w:p w14:paraId="40F1A6A9">
      <w:pPr>
        <w:pageBreakBefore w:val="0"/>
        <w:kinsoku/>
        <w:wordWrap/>
        <w:overflowPunct/>
        <w:topLinePunct w:val="0"/>
        <w:bidi w:val="0"/>
        <w:snapToGrid w:val="0"/>
        <w:spacing w:beforeAutospacing="0" w:line="360" w:lineRule="auto"/>
        <w:ind w:firstLine="723" w:firstLineChars="300"/>
        <w:textAlignment w:val="auto"/>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D68BE94">
      <w:pPr>
        <w:pageBreakBefore w:val="0"/>
        <w:kinsoku/>
        <w:wordWrap/>
        <w:overflowPunct/>
        <w:topLinePunct w:val="0"/>
        <w:bidi w:val="0"/>
        <w:snapToGrid w:val="0"/>
        <w:spacing w:beforeAutospacing="0" w:line="360" w:lineRule="auto"/>
        <w:ind w:firstLine="723" w:firstLineChars="300"/>
        <w:textAlignment w:val="auto"/>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5F88B2B7">
      <w:pPr>
        <w:pageBreakBefore w:val="0"/>
        <w:kinsoku/>
        <w:wordWrap/>
        <w:overflowPunct/>
        <w:topLinePunct w:val="0"/>
        <w:bidi w:val="0"/>
        <w:snapToGrid w:val="0"/>
        <w:spacing w:beforeAutospacing="0" w:line="360" w:lineRule="auto"/>
        <w:ind w:firstLine="720" w:firstLineChars="300"/>
        <w:textAlignment w:val="auto"/>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5288E49">
      <w:pPr>
        <w:pStyle w:val="128"/>
        <w:pageBreakBefore w:val="0"/>
        <w:kinsoku/>
        <w:wordWrap/>
        <w:overflowPunct/>
        <w:topLinePunct w:val="0"/>
        <w:bidi w:val="0"/>
        <w:snapToGrid w:val="0"/>
        <w:spacing w:before="0" w:beforeAutospacing="0" w:line="360" w:lineRule="auto"/>
        <w:ind w:left="0" w:leftChars="0" w:firstLine="0" w:firstLineChars="0"/>
        <w:textAlignment w:val="auto"/>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10F0ABF">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119C862B">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AD939A">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6573806">
      <w:pPr>
        <w:pageBreakBefore w:val="0"/>
        <w:numPr>
          <w:ilvl w:val="0"/>
          <w:numId w:val="5"/>
        </w:numPr>
        <w:kinsoku/>
        <w:wordWrap/>
        <w:overflowPunct/>
        <w:topLinePunct w:val="0"/>
        <w:bidi w:val="0"/>
        <w:snapToGrid w:val="0"/>
        <w:spacing w:beforeAutospacing="0"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投标文件的签署、盖章</w:t>
      </w:r>
    </w:p>
    <w:p w14:paraId="2019078F">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53D32B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2F007E">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425969D0">
      <w:pPr>
        <w:pStyle w:val="128"/>
        <w:pageBreakBefore w:val="0"/>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313388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81C18C6">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7184BB4D">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340CB0E3">
      <w:pPr>
        <w:pStyle w:val="32"/>
        <w:pageBreakBefore w:val="0"/>
        <w:numPr>
          <w:ilvl w:val="0"/>
          <w:numId w:val="6"/>
        </w:numPr>
        <w:kinsoku/>
        <w:wordWrap/>
        <w:overflowPunct/>
        <w:topLinePunct w:val="0"/>
        <w:bidi w:val="0"/>
        <w:snapToGrid w:val="0"/>
        <w:spacing w:beforeAutospacing="0" w:line="360" w:lineRule="auto"/>
        <w:textAlignment w:val="auto"/>
        <w:rPr>
          <w:rFonts w:hAnsi="宋体" w:cs="宋体"/>
          <w:b/>
          <w:color w:val="auto"/>
          <w:sz w:val="24"/>
          <w:szCs w:val="24"/>
          <w:highlight w:val="none"/>
        </w:rPr>
      </w:pPr>
      <w:r>
        <w:rPr>
          <w:rFonts w:hint="eastAsia" w:hAnsi="宋体" w:cs="宋体"/>
          <w:b/>
          <w:color w:val="auto"/>
          <w:sz w:val="24"/>
          <w:szCs w:val="24"/>
          <w:highlight w:val="none"/>
        </w:rPr>
        <w:t>备份投标文件</w:t>
      </w:r>
    </w:p>
    <w:p w14:paraId="2D5DD178">
      <w:pPr>
        <w:pStyle w:val="32"/>
        <w:pageBreakBefore w:val="0"/>
        <w:kinsoku/>
        <w:wordWrap/>
        <w:overflowPunct/>
        <w:topLinePunct w:val="0"/>
        <w:bidi w:val="0"/>
        <w:snapToGrid w:val="0"/>
        <w:spacing w:beforeAutospacing="0" w:line="360" w:lineRule="auto"/>
        <w:ind w:firstLine="360" w:firstLineChars="150"/>
        <w:textAlignment w:val="auto"/>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75A600A">
      <w:pPr>
        <w:pStyle w:val="32"/>
        <w:pageBreakBefore w:val="0"/>
        <w:kinsoku/>
        <w:wordWrap/>
        <w:overflowPunct/>
        <w:topLinePunct w:val="0"/>
        <w:bidi w:val="0"/>
        <w:snapToGrid w:val="0"/>
        <w:spacing w:beforeAutospacing="0" w:line="360" w:lineRule="auto"/>
        <w:ind w:firstLine="480" w:firstLineChars="200"/>
        <w:textAlignment w:val="auto"/>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8F4C0BE">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68530FCA">
      <w:pPr>
        <w:pStyle w:val="32"/>
        <w:pageBreakBefore w:val="0"/>
        <w:kinsoku/>
        <w:wordWrap/>
        <w:overflowPunct/>
        <w:topLinePunct w:val="0"/>
        <w:bidi w:val="0"/>
        <w:snapToGrid w:val="0"/>
        <w:spacing w:beforeAutospacing="0" w:line="360" w:lineRule="auto"/>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57A176A5">
      <w:pPr>
        <w:pStyle w:val="32"/>
        <w:pageBreakBefore w:val="0"/>
        <w:kinsoku/>
        <w:wordWrap/>
        <w:overflowPunct/>
        <w:topLinePunct w:val="0"/>
        <w:bidi w:val="0"/>
        <w:snapToGrid w:val="0"/>
        <w:spacing w:beforeAutospacing="0" w:line="360" w:lineRule="auto"/>
        <w:ind w:firstLine="479" w:firstLineChars="199"/>
        <w:textAlignment w:val="auto"/>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97843B5">
      <w:pPr>
        <w:pStyle w:val="128"/>
        <w:pageBreakBefore w:val="0"/>
        <w:numPr>
          <w:ilvl w:val="0"/>
          <w:numId w:val="7"/>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投标文件的无效处理</w:t>
      </w:r>
    </w:p>
    <w:p w14:paraId="7D915E4C">
      <w:pPr>
        <w:pStyle w:val="24"/>
        <w:pageBreakBefore w:val="0"/>
        <w:kinsoku/>
        <w:wordWrap/>
        <w:overflowPunct/>
        <w:topLinePunct w:val="0"/>
        <w:bidi w:val="0"/>
        <w:snapToGrid w:val="0"/>
        <w:spacing w:beforeAutospacing="0" w:line="360" w:lineRule="auto"/>
        <w:ind w:firstLine="360" w:firstLineChars="150"/>
        <w:textAlignment w:val="auto"/>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330C4038">
      <w:pPr>
        <w:pStyle w:val="128"/>
        <w:pageBreakBefore w:val="0"/>
        <w:numPr>
          <w:ilvl w:val="0"/>
          <w:numId w:val="7"/>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投标有效期</w:t>
      </w:r>
    </w:p>
    <w:p w14:paraId="018E2920">
      <w:pPr>
        <w:pageBreakBefore w:val="0"/>
        <w:kinsoku/>
        <w:wordWrap/>
        <w:overflowPunct/>
        <w:topLinePunct w:val="0"/>
        <w:bidi w:val="0"/>
        <w:snapToGrid w:val="0"/>
        <w:spacing w:beforeAutospacing="0" w:line="360" w:lineRule="auto"/>
        <w:ind w:firstLine="480" w:firstLineChars="200"/>
        <w:textAlignment w:val="auto"/>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4BF154EF">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EB8D6BB">
      <w:pPr>
        <w:pStyle w:val="128"/>
        <w:pageBreakBefore w:val="0"/>
        <w:kinsoku/>
        <w:wordWrap/>
        <w:overflowPunct/>
        <w:topLinePunct w:val="0"/>
        <w:bidi w:val="0"/>
        <w:snapToGrid w:val="0"/>
        <w:spacing w:before="0" w:beforeAutospacing="0" w:line="360" w:lineRule="auto"/>
        <w:ind w:firstLine="480"/>
        <w:textAlignment w:val="auto"/>
        <w:rPr>
          <w:rFonts w:hint="eastAsia"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935281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3AD89FE9">
      <w:pPr>
        <w:pStyle w:val="128"/>
        <w:pageBreakBefore w:val="0"/>
        <w:kinsoku/>
        <w:wordWrap/>
        <w:overflowPunct/>
        <w:topLinePunct w:val="0"/>
        <w:bidi w:val="0"/>
        <w:snapToGrid w:val="0"/>
        <w:spacing w:before="0" w:beforeAutospacing="0" w:line="360" w:lineRule="auto"/>
        <w:ind w:left="0" w:leftChars="0" w:firstLine="0" w:firstLineChars="0"/>
        <w:jc w:val="center"/>
        <w:textAlignment w:val="auto"/>
        <w:rPr>
          <w:rFonts w:ascii="宋体" w:hAnsi="宋体" w:cs="宋体"/>
          <w:b/>
          <w:color w:val="auto"/>
          <w:sz w:val="32"/>
          <w:highlight w:val="none"/>
        </w:rPr>
      </w:pPr>
      <w:r>
        <w:rPr>
          <w:rFonts w:hint="eastAsia" w:ascii="宋体" w:hAnsi="宋体" w:cs="宋体"/>
          <w:b/>
          <w:color w:val="auto"/>
          <w:sz w:val="32"/>
          <w:highlight w:val="none"/>
        </w:rPr>
        <w:t>四、开标</w:t>
      </w:r>
    </w:p>
    <w:p w14:paraId="6EFEE0D4">
      <w:pPr>
        <w:pStyle w:val="554"/>
        <w:pageBreakBefore w:val="0"/>
        <w:kinsoku/>
        <w:wordWrap/>
        <w:overflowPunct/>
        <w:topLinePunct w:val="0"/>
        <w:bidi w:val="0"/>
        <w:snapToGrid w:val="0"/>
        <w:spacing w:before="0" w:beforeAutospacing="0" w:line="360" w:lineRule="auto"/>
        <w:ind w:left="0" w:leftChars="0" w:firstLine="0" w:firstLineChars="0"/>
        <w:contextualSpacing/>
        <w:textAlignment w:val="auto"/>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4B68BF1C">
      <w:pPr>
        <w:pStyle w:val="554"/>
        <w:pageBreakBefore w:val="0"/>
        <w:kinsoku/>
        <w:wordWrap/>
        <w:overflowPunct/>
        <w:topLinePunct w:val="0"/>
        <w:bidi w:val="0"/>
        <w:snapToGrid w:val="0"/>
        <w:spacing w:before="0" w:beforeAutospacing="0" w:line="360" w:lineRule="auto"/>
        <w:ind w:left="0" w:firstLine="480" w:firstLineChars="200"/>
        <w:contextualSpacing/>
        <w:textAlignment w:val="auto"/>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2A5445FB">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4E48036A">
      <w:pPr>
        <w:pStyle w:val="554"/>
        <w:pageBreakBefore w:val="0"/>
        <w:kinsoku/>
        <w:wordWrap/>
        <w:overflowPunct/>
        <w:topLinePunct w:val="0"/>
        <w:bidi w:val="0"/>
        <w:snapToGrid w:val="0"/>
        <w:spacing w:before="0" w:beforeAutospacing="0" w:line="360" w:lineRule="auto"/>
        <w:ind w:left="0" w:firstLine="240" w:firstLineChars="100"/>
        <w:contextualSpacing/>
        <w:textAlignment w:val="auto"/>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5982064">
      <w:pPr>
        <w:pStyle w:val="128"/>
        <w:pageBreakBefore w:val="0"/>
        <w:kinsoku/>
        <w:wordWrap/>
        <w:overflowPunct/>
        <w:topLinePunct w:val="0"/>
        <w:bidi w:val="0"/>
        <w:snapToGrid w:val="0"/>
        <w:spacing w:before="0" w:beforeAutospacing="0" w:line="360" w:lineRule="auto"/>
        <w:ind w:left="0" w:leftChars="0" w:firstLine="0" w:firstLineChars="0"/>
        <w:jc w:val="center"/>
        <w:textAlignment w:val="auto"/>
        <w:rPr>
          <w:rFonts w:hint="eastAsia" w:ascii="宋体" w:hAnsi="宋体" w:cs="宋体"/>
          <w:b/>
          <w:color w:val="auto"/>
          <w:sz w:val="24"/>
          <w:highlight w:val="none"/>
        </w:rPr>
      </w:pPr>
      <w:r>
        <w:rPr>
          <w:rFonts w:hint="eastAsia" w:ascii="宋体" w:hAnsi="宋体" w:cs="宋体"/>
          <w:b/>
          <w:color w:val="auto"/>
          <w:sz w:val="32"/>
          <w:highlight w:val="none"/>
          <w:lang w:eastAsia="zh-CN"/>
        </w:rPr>
        <w:t>五</w:t>
      </w:r>
      <w:r>
        <w:rPr>
          <w:rFonts w:hint="eastAsia" w:ascii="宋体" w:hAnsi="宋体" w:cs="宋体"/>
          <w:b/>
          <w:color w:val="auto"/>
          <w:sz w:val="32"/>
          <w:highlight w:val="none"/>
        </w:rPr>
        <w:t>、</w:t>
      </w:r>
      <w:r>
        <w:rPr>
          <w:rFonts w:hint="eastAsia" w:ascii="宋体" w:hAnsi="宋体" w:cs="宋体"/>
          <w:b/>
          <w:color w:val="auto"/>
          <w:sz w:val="32"/>
          <w:highlight w:val="none"/>
          <w:lang w:eastAsia="zh-CN"/>
        </w:rPr>
        <w:t>资格审查</w:t>
      </w:r>
    </w:p>
    <w:p w14:paraId="6300535A">
      <w:pPr>
        <w:pageBreakBefore w:val="0"/>
        <w:widowControl/>
        <w:numPr>
          <w:ilvl w:val="0"/>
          <w:numId w:val="8"/>
        </w:numPr>
        <w:kinsoku/>
        <w:wordWrap/>
        <w:overflowPunct/>
        <w:topLinePunct w:val="0"/>
        <w:bidi w:val="0"/>
        <w:snapToGrid w:val="0"/>
        <w:spacing w:beforeAutospacing="0" w:line="360" w:lineRule="auto"/>
        <w:jc w:val="left"/>
        <w:textAlignment w:val="auto"/>
        <w:rPr>
          <w:rFonts w:ascii="宋体" w:hAnsi="宋体" w:cs="宋体"/>
          <w:b/>
          <w:color w:val="auto"/>
          <w:sz w:val="24"/>
          <w:szCs w:val="20"/>
          <w:highlight w:val="none"/>
        </w:rPr>
      </w:pPr>
      <w:r>
        <w:rPr>
          <w:rFonts w:hint="eastAsia" w:ascii="宋体" w:hAnsi="宋体" w:cs="宋体"/>
          <w:b/>
          <w:color w:val="auto"/>
          <w:sz w:val="24"/>
          <w:szCs w:val="20"/>
          <w:highlight w:val="none"/>
        </w:rPr>
        <w:t>资格审查</w:t>
      </w:r>
    </w:p>
    <w:p w14:paraId="12E9A32F">
      <w:pPr>
        <w:pageBreakBefore w:val="0"/>
        <w:kinsoku/>
        <w:wordWrap/>
        <w:overflowPunct/>
        <w:topLinePunct w:val="0"/>
        <w:bidi w:val="0"/>
        <w:snapToGrid w:val="0"/>
        <w:spacing w:beforeAutospacing="0" w:line="360" w:lineRule="auto"/>
        <w:ind w:firstLine="480" w:firstLineChars="200"/>
        <w:textAlignment w:val="auto"/>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484CCA44">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66B67DC">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4CE6239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6283A724">
      <w:pPr>
        <w:pStyle w:val="128"/>
        <w:pageBreakBefore w:val="0"/>
        <w:numPr>
          <w:ilvl w:val="0"/>
          <w:numId w:val="8"/>
        </w:numPr>
        <w:kinsoku/>
        <w:wordWrap/>
        <w:overflowPunct/>
        <w:topLinePunct w:val="0"/>
        <w:bidi w:val="0"/>
        <w:snapToGrid w:val="0"/>
        <w:spacing w:before="0" w:beforeAutospacing="0" w:line="360" w:lineRule="auto"/>
        <w:ind w:left="0" w:leftChars="0"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信用信息查询</w:t>
      </w:r>
    </w:p>
    <w:p w14:paraId="3A8A065E">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val="en-US" w:eastAsia="zh-CN"/>
        </w:rPr>
        <w:t>采购人或采购代理机构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将在资格审查时通过“信用中国”网站(www.creditchina.gov.cn)、中国政府采购网(www.ccgp.gov.cn)渠道查询投标人接受资格审查时的信用记录。</w:t>
      </w:r>
    </w:p>
    <w:p w14:paraId="5690ADCC">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5B276CF">
      <w:pPr>
        <w:pStyle w:val="128"/>
        <w:pageBreakBefore w:val="0"/>
        <w:kinsoku/>
        <w:wordWrap/>
        <w:overflowPunct/>
        <w:topLinePunct w:val="0"/>
        <w:bidi w:val="0"/>
        <w:snapToGrid w:val="0"/>
        <w:spacing w:before="0" w:beforeAutospacing="0" w:line="360" w:lineRule="auto"/>
        <w:ind w:firstLine="495" w:firstLineChars="0"/>
        <w:textAlignment w:val="auto"/>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87E573">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6FAF1B25">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六</w:t>
      </w:r>
      <w:r>
        <w:rPr>
          <w:rFonts w:hint="eastAsia" w:ascii="宋体" w:hAnsi="宋体" w:cs="宋体"/>
          <w:b/>
          <w:color w:val="auto"/>
          <w:sz w:val="32"/>
          <w:szCs w:val="32"/>
          <w:highlight w:val="none"/>
        </w:rPr>
        <w:t>、评标</w:t>
      </w:r>
    </w:p>
    <w:p w14:paraId="393AF460">
      <w:pPr>
        <w:pageBreakBefore w:val="0"/>
        <w:kinsoku/>
        <w:wordWrap/>
        <w:overflowPunct/>
        <w:topLinePunct w:val="0"/>
        <w:bidi w:val="0"/>
        <w:snapToGrid w:val="0"/>
        <w:spacing w:beforeAutospacing="0" w:line="360" w:lineRule="auto"/>
        <w:textAlignment w:val="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6C6EC00">
      <w:pPr>
        <w:pageBreakBefore w:val="0"/>
        <w:kinsoku/>
        <w:wordWrap/>
        <w:overflowPunct/>
        <w:topLinePunct w:val="0"/>
        <w:bidi w:val="0"/>
        <w:snapToGrid w:val="0"/>
        <w:spacing w:beforeAutospacing="0" w:line="360" w:lineRule="auto"/>
        <w:jc w:val="center"/>
        <w:textAlignment w:val="auto"/>
        <w:outlineLvl w:val="0"/>
        <w:rPr>
          <w:rFonts w:ascii="宋体" w:hAnsi="宋体" w:cs="宋体"/>
          <w:b/>
          <w:color w:val="auto"/>
          <w:sz w:val="32"/>
          <w:szCs w:val="32"/>
          <w:highlight w:val="none"/>
        </w:rPr>
      </w:pPr>
      <w:r>
        <w:rPr>
          <w:rFonts w:hint="eastAsia" w:ascii="宋体" w:hAnsi="宋体" w:cs="宋体"/>
          <w:b/>
          <w:color w:val="auto"/>
          <w:sz w:val="32"/>
          <w:szCs w:val="32"/>
          <w:highlight w:val="none"/>
          <w:lang w:eastAsia="zh-CN"/>
        </w:rPr>
        <w:t>七</w:t>
      </w:r>
      <w:r>
        <w:rPr>
          <w:rFonts w:hint="eastAsia" w:ascii="宋体" w:hAnsi="宋体" w:cs="宋体"/>
          <w:b/>
          <w:color w:val="auto"/>
          <w:sz w:val="32"/>
          <w:szCs w:val="32"/>
          <w:highlight w:val="none"/>
        </w:rPr>
        <w:t>、定标</w:t>
      </w:r>
    </w:p>
    <w:p w14:paraId="002374A7">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22. 确定中标供应商</w:t>
      </w:r>
    </w:p>
    <w:p w14:paraId="10E7EB04">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highlight w:val="none"/>
          <w:lang w:eastAsia="zh-CN"/>
        </w:rPr>
        <w:t>，</w:t>
      </w:r>
      <w:r>
        <w:rPr>
          <w:rFonts w:hint="eastAsia" w:ascii="宋体" w:hAnsi="宋体" w:cs="宋体"/>
          <w:color w:val="auto"/>
          <w:szCs w:val="24"/>
          <w:highlight w:val="none"/>
        </w:rPr>
        <w:t>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0D6FB0E4">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291E5A2">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53FC5EDF">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A1435DE">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17E26D82">
      <w:pPr>
        <w:pStyle w:val="3"/>
        <w:pageBreakBefore w:val="0"/>
        <w:tabs>
          <w:tab w:val="clear" w:pos="432"/>
        </w:tabs>
        <w:kinsoku/>
        <w:wordWrap/>
        <w:overflowPunct/>
        <w:topLinePunct w:val="0"/>
        <w:bidi w:val="0"/>
        <w:snapToGrid w:val="0"/>
        <w:spacing w:beforeAutospacing="0" w:line="360" w:lineRule="auto"/>
        <w:ind w:left="12" w:hanging="12"/>
        <w:textAlignment w:val="auto"/>
        <w:rPr>
          <w:color w:val="auto"/>
          <w:highlight w:val="none"/>
        </w:rPr>
      </w:pPr>
      <w:r>
        <w:rPr>
          <w:rFonts w:hint="default" w:cs="仿宋_GB2312" w:asciiTheme="minorEastAsia" w:hAnsiTheme="minorEastAsia" w:eastAsiaTheme="minorEastAsia"/>
          <w:b/>
          <w:bCs/>
          <w:color w:val="auto"/>
          <w:kern w:val="2"/>
          <w:sz w:val="24"/>
          <w:szCs w:val="24"/>
          <w:highlight w:val="none"/>
          <w:lang w:val="zh-CN" w:eastAsia="zh-CN" w:bidi="ar-SA"/>
        </w:rPr>
        <w:t>24.</w:t>
      </w:r>
      <w:r>
        <w:rPr>
          <w:rFonts w:hint="default" w:cs="仿宋_GB2312" w:asciiTheme="minorEastAsia" w:hAnsiTheme="minorEastAsia" w:eastAsiaTheme="minorEastAsia"/>
          <w:b/>
          <w:bCs/>
          <w:color w:val="auto"/>
          <w:kern w:val="2"/>
          <w:sz w:val="24"/>
          <w:szCs w:val="24"/>
          <w:highlight w:val="none"/>
          <w:lang w:val="zh-CN" w:eastAsia="zh-CN"/>
        </w:rPr>
        <w:t>及时复核供应商材料。</w:t>
      </w:r>
      <w:r>
        <w:rPr>
          <w:rFonts w:hint="default" w:cs="仿宋_GB2312" w:asciiTheme="minorEastAsia" w:hAnsiTheme="minorEastAsia" w:eastAsiaTheme="minorEastAsia"/>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2ECE5A3A">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八</w:t>
      </w:r>
      <w:r>
        <w:rPr>
          <w:rFonts w:hint="eastAsia" w:ascii="宋体" w:hAnsi="宋体" w:cs="宋体"/>
          <w:b/>
          <w:color w:val="auto"/>
          <w:sz w:val="32"/>
          <w:highlight w:val="none"/>
        </w:rPr>
        <w:t>、合同授予</w:t>
      </w:r>
    </w:p>
    <w:p w14:paraId="0F369D68">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5</w:t>
      </w:r>
      <w:r>
        <w:rPr>
          <w:rFonts w:hint="eastAsia" w:cs="宋体"/>
          <w:b/>
          <w:color w:val="auto"/>
          <w:highlight w:val="none"/>
        </w:rPr>
        <w:t xml:space="preserve">. </w:t>
      </w:r>
      <w:r>
        <w:rPr>
          <w:rFonts w:hint="eastAsia" w:cs="宋体"/>
          <w:color w:val="auto"/>
          <w:highlight w:val="none"/>
        </w:rPr>
        <w:t>合同主要条款详见第五部分拟签订的合同文本。</w:t>
      </w:r>
    </w:p>
    <w:p w14:paraId="6BDDB1FB">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6</w:t>
      </w:r>
      <w:r>
        <w:rPr>
          <w:rFonts w:hint="eastAsia" w:cs="宋体"/>
          <w:b/>
          <w:color w:val="auto"/>
          <w:highlight w:val="none"/>
        </w:rPr>
        <w:t>. 合同的签订</w:t>
      </w:r>
    </w:p>
    <w:p w14:paraId="491C8E44">
      <w:pPr>
        <w:pageBreakBefore w:val="0"/>
        <w:widowControl/>
        <w:shd w:val="clear" w:color="auto" w:fill="FFFFFF"/>
        <w:kinsoku/>
        <w:wordWrap/>
        <w:overflowPunct/>
        <w:topLinePunct w:val="0"/>
        <w:bidi w:val="0"/>
        <w:snapToGrid w:val="0"/>
        <w:spacing w:beforeAutospacing="0" w:line="360" w:lineRule="auto"/>
        <w:ind w:firstLine="480"/>
        <w:jc w:val="left"/>
        <w:textAlignment w:val="auto"/>
        <w:rPr>
          <w:rFonts w:ascii="宋体" w:hAnsi="宋体" w:cs="宋体"/>
          <w:color w:val="auto"/>
          <w:kern w:val="0"/>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973A49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61199A00">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.3如签订合同并生效后，供应商无故拒绝或延期，除按照合同条款处理外，列入不良行为记录一次，并给予通报。</w:t>
      </w:r>
    </w:p>
    <w:p w14:paraId="6D1D285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.4中标供应商拒绝与采购人签订合同的，采购人可以按照评审报告推荐的中标或者成交候选人名单排序，确定下一候选人为中标供应商，也可以重新开展政府采购活动。</w:t>
      </w:r>
    </w:p>
    <w:p w14:paraId="72564827">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.5采购合同由采购人与中标供应商根据招标文件、投标文件等内容通过政府采购电子交易平台在线签订，自动备案。</w:t>
      </w:r>
    </w:p>
    <w:p w14:paraId="42637EB8">
      <w:pPr>
        <w:pStyle w:val="24"/>
        <w:pageBreakBefore w:val="0"/>
        <w:kinsoku/>
        <w:wordWrap/>
        <w:overflowPunct/>
        <w:topLinePunct w:val="0"/>
        <w:bidi w:val="0"/>
        <w:snapToGrid w:val="0"/>
        <w:spacing w:beforeAutospacing="0" w:line="360" w:lineRule="auto"/>
        <w:ind w:left="479" w:hanging="479" w:hangingChars="199"/>
        <w:textAlignment w:val="auto"/>
        <w:rPr>
          <w:rFonts w:cs="宋体"/>
          <w:b/>
          <w:color w:val="auto"/>
          <w:highlight w:val="none"/>
        </w:rPr>
      </w:pPr>
      <w:r>
        <w:rPr>
          <w:rFonts w:hint="eastAsia" w:cs="宋体"/>
          <w:b/>
          <w:color w:val="auto"/>
          <w:highlight w:val="none"/>
        </w:rPr>
        <w:t>2</w:t>
      </w:r>
      <w:r>
        <w:rPr>
          <w:rFonts w:hint="eastAsia" w:cs="宋体"/>
          <w:b/>
          <w:color w:val="auto"/>
          <w:highlight w:val="none"/>
          <w:lang w:val="en-US" w:eastAsia="zh-CN"/>
        </w:rPr>
        <w:t>7</w:t>
      </w:r>
      <w:r>
        <w:rPr>
          <w:rFonts w:hint="eastAsia" w:cs="宋体"/>
          <w:b/>
          <w:color w:val="auto"/>
          <w:highlight w:val="none"/>
        </w:rPr>
        <w:t>. 履约保证金</w:t>
      </w:r>
    </w:p>
    <w:p w14:paraId="55574A3F">
      <w:pPr>
        <w:pageBreakBefore w:val="0"/>
        <w:tabs>
          <w:tab w:val="left" w:pos="0"/>
        </w:tabs>
        <w:kinsoku/>
        <w:wordWrap/>
        <w:overflowPunct/>
        <w:topLinePunct w:val="0"/>
        <w:bidi w:val="0"/>
        <w:snapToGrid w:val="0"/>
        <w:spacing w:beforeAutospacing="0" w:line="360" w:lineRule="auto"/>
        <w:ind w:firstLine="482"/>
        <w:textAlignment w:val="auto"/>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65263904">
      <w:pPr>
        <w:pageBreakBefore w:val="0"/>
        <w:tabs>
          <w:tab w:val="left" w:pos="0"/>
        </w:tabs>
        <w:kinsoku/>
        <w:wordWrap/>
        <w:overflowPunct/>
        <w:topLinePunct w:val="0"/>
        <w:bidi w:val="0"/>
        <w:snapToGrid w:val="0"/>
        <w:spacing w:beforeAutospacing="0" w:line="360" w:lineRule="auto"/>
        <w:ind w:firstLine="482"/>
        <w:textAlignment w:val="auto"/>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7B4E7B2B">
      <w:pPr>
        <w:pStyle w:val="3"/>
        <w:pageBreakBefore w:val="0"/>
        <w:numPr>
          <w:ilvl w:val="0"/>
          <w:numId w:val="0"/>
        </w:numPr>
        <w:kinsoku/>
        <w:wordWrap/>
        <w:overflowPunct/>
        <w:topLinePunct w:val="0"/>
        <w:bidi w:val="0"/>
        <w:snapToGrid w:val="0"/>
        <w:spacing w:beforeAutospacing="0" w:line="360" w:lineRule="auto"/>
        <w:ind w:leftChars="0"/>
        <w:textAlignment w:val="auto"/>
        <w:rPr>
          <w:color w:val="auto"/>
          <w:highlight w:val="none"/>
        </w:rPr>
      </w:pPr>
      <w:r>
        <w:rPr>
          <w:rFonts w:hint="eastAsia" w:ascii="宋体" w:hAnsi="宋体" w:eastAsia="宋体" w:cs="Times New Roman"/>
          <w:b/>
          <w:bCs/>
          <w:color w:val="auto"/>
          <w:kern w:val="2"/>
          <w:sz w:val="24"/>
          <w:szCs w:val="32"/>
          <w:highlight w:val="none"/>
          <w:lang w:val="en-US" w:eastAsia="zh-CN"/>
        </w:rPr>
        <w:t>28.</w:t>
      </w:r>
      <w:r>
        <w:rPr>
          <w:rFonts w:ascii="宋体" w:hAnsi="宋体" w:eastAsia="宋体" w:cs="Times New Roman"/>
          <w:b/>
          <w:bCs/>
          <w:color w:val="auto"/>
          <w:kern w:val="2"/>
          <w:sz w:val="24"/>
          <w:szCs w:val="32"/>
          <w:highlight w:val="none"/>
          <w:lang w:val="en-US"/>
        </w:rPr>
        <w:t>预付款</w:t>
      </w:r>
    </w:p>
    <w:p w14:paraId="7C404575">
      <w:pPr>
        <w:pageBreakBefore w:val="0"/>
        <w:kinsoku/>
        <w:wordWrap/>
        <w:overflowPunct/>
        <w:topLinePunct w:val="0"/>
        <w:bidi w:val="0"/>
        <w:adjustRightInd/>
        <w:snapToGrid w:val="0"/>
        <w:spacing w:beforeAutospacing="0" w:line="360" w:lineRule="auto"/>
        <w:ind w:firstLine="480" w:firstLineChars="200"/>
        <w:textAlignment w:val="auto"/>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1C32D1AC">
      <w:pPr>
        <w:pageBreakBefore w:val="0"/>
        <w:kinsoku/>
        <w:wordWrap/>
        <w:overflowPunct/>
        <w:topLinePunct w:val="0"/>
        <w:bidi w:val="0"/>
        <w:snapToGrid w:val="0"/>
        <w:spacing w:beforeAutospacing="0" w:line="360" w:lineRule="auto"/>
        <w:ind w:firstLine="3357" w:firstLineChars="1045"/>
        <w:textAlignment w:val="auto"/>
        <w:rPr>
          <w:rFonts w:ascii="宋体" w:hAnsi="宋体" w:cs="宋体"/>
          <w:b/>
          <w:color w:val="auto"/>
          <w:sz w:val="24"/>
          <w:highlight w:val="none"/>
        </w:rPr>
      </w:pPr>
      <w:r>
        <w:rPr>
          <w:rFonts w:hint="eastAsia" w:ascii="宋体" w:hAnsi="宋体" w:cs="宋体"/>
          <w:b/>
          <w:color w:val="auto"/>
          <w:sz w:val="32"/>
          <w:highlight w:val="none"/>
          <w:lang w:eastAsia="zh-CN"/>
        </w:rPr>
        <w:t>九</w:t>
      </w:r>
      <w:r>
        <w:rPr>
          <w:rFonts w:hint="eastAsia" w:ascii="宋体" w:hAnsi="宋体" w:cs="宋体"/>
          <w:b/>
          <w:color w:val="auto"/>
          <w:sz w:val="32"/>
          <w:highlight w:val="none"/>
        </w:rPr>
        <w:t>、电子交易活动的中止</w:t>
      </w:r>
    </w:p>
    <w:p w14:paraId="50048C7F">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ascii="宋体" w:hAnsi="宋体" w:cs="宋体"/>
          <w:b/>
          <w:bCs/>
          <w:color w:val="auto"/>
          <w:kern w:val="2"/>
          <w:sz w:val="24"/>
          <w:szCs w:val="20"/>
          <w:highlight w:val="none"/>
        </w:rPr>
        <w:t>2</w:t>
      </w:r>
      <w:r>
        <w:rPr>
          <w:rFonts w:hint="eastAsia" w:ascii="宋体" w:hAnsi="宋体" w:cs="宋体"/>
          <w:b/>
          <w:bCs/>
          <w:color w:val="auto"/>
          <w:kern w:val="2"/>
          <w:sz w:val="24"/>
          <w:szCs w:val="24"/>
          <w:highlight w:val="none"/>
          <w:lang w:val="en-US" w:eastAsia="zh-CN"/>
        </w:rPr>
        <w:t>9</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EB3433A">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.1电子交易平台发生故障而无法登录访问的； </w:t>
      </w:r>
    </w:p>
    <w:p w14:paraId="48B65ADE">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.2电子交易平台应用或数据库出现错误，不能进行正常操作的；</w:t>
      </w:r>
    </w:p>
    <w:p w14:paraId="60AFE195">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.3电子交易平台发现严重安全漏洞，有潜在泄密危险的；</w:t>
      </w:r>
    </w:p>
    <w:p w14:paraId="7993E3D0">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 xml:space="preserve">.4病毒发作导致不能进行正常操作的； </w:t>
      </w:r>
    </w:p>
    <w:p w14:paraId="08ABF1BB">
      <w:pPr>
        <w:pStyle w:val="128"/>
        <w:pageBreakBefore w:val="0"/>
        <w:kinsoku/>
        <w:wordWrap/>
        <w:overflowPunct/>
        <w:topLinePunct w:val="0"/>
        <w:bidi w:val="0"/>
        <w:snapToGrid w:val="0"/>
        <w:spacing w:before="0" w:beforeAutospacing="0" w:line="360" w:lineRule="auto"/>
        <w:ind w:firstLine="48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9</w:t>
      </w:r>
      <w:r>
        <w:rPr>
          <w:rFonts w:hint="eastAsia" w:ascii="宋体" w:hAnsi="宋体" w:cs="宋体"/>
          <w:color w:val="auto"/>
          <w:highlight w:val="none"/>
        </w:rPr>
        <w:t>.5其他无法保证电子交易的公平、公正和安全的情况。</w:t>
      </w:r>
    </w:p>
    <w:p w14:paraId="1DF2F81C">
      <w:pPr>
        <w:pStyle w:val="128"/>
        <w:pageBreakBefore w:val="0"/>
        <w:kinsoku/>
        <w:wordWrap/>
        <w:overflowPunct/>
        <w:topLinePunct w:val="0"/>
        <w:bidi w:val="0"/>
        <w:snapToGrid w:val="0"/>
        <w:spacing w:before="0" w:beforeAutospacing="0" w:line="360" w:lineRule="auto"/>
        <w:ind w:firstLine="0" w:firstLineChars="0"/>
        <w:textAlignment w:val="auto"/>
        <w:rPr>
          <w:rFonts w:ascii="宋体" w:hAnsi="宋体" w:cs="宋体"/>
          <w:color w:val="auto"/>
          <w:highlight w:val="none"/>
        </w:rPr>
      </w:pPr>
      <w:r>
        <w:rPr>
          <w:rFonts w:hint="eastAsia" w:ascii="宋体" w:hAnsi="宋体" w:cs="宋体"/>
          <w:color w:val="auto"/>
          <w:highlight w:val="none"/>
          <w:lang w:val="en-US" w:eastAsia="zh-CN"/>
        </w:rPr>
        <w:t>30</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41FFBB7">
      <w:pPr>
        <w:pageBreakBefore w:val="0"/>
        <w:kinsoku/>
        <w:wordWrap/>
        <w:overflowPunct/>
        <w:topLinePunct w:val="0"/>
        <w:bidi w:val="0"/>
        <w:snapToGrid w:val="0"/>
        <w:spacing w:beforeAutospacing="0" w:line="360" w:lineRule="auto"/>
        <w:ind w:left="120" w:leftChars="57" w:firstLine="482" w:firstLineChars="150"/>
        <w:jc w:val="center"/>
        <w:textAlignment w:val="auto"/>
        <w:rPr>
          <w:rFonts w:ascii="宋体" w:hAnsi="宋体" w:cs="宋体"/>
          <w:b/>
          <w:color w:val="auto"/>
          <w:sz w:val="32"/>
          <w:highlight w:val="none"/>
        </w:rPr>
      </w:pPr>
      <w:r>
        <w:rPr>
          <w:rFonts w:hint="eastAsia" w:ascii="宋体" w:hAnsi="宋体" w:cs="宋体"/>
          <w:b/>
          <w:color w:val="auto"/>
          <w:sz w:val="32"/>
          <w:highlight w:val="none"/>
          <w:lang w:eastAsia="zh-CN"/>
        </w:rPr>
        <w:t>十</w:t>
      </w:r>
      <w:r>
        <w:rPr>
          <w:rFonts w:hint="eastAsia" w:ascii="宋体" w:hAnsi="宋体" w:cs="宋体"/>
          <w:b/>
          <w:color w:val="auto"/>
          <w:sz w:val="32"/>
          <w:highlight w:val="none"/>
        </w:rPr>
        <w:t>、验收</w:t>
      </w:r>
    </w:p>
    <w:p w14:paraId="0571AA9C">
      <w:pPr>
        <w:pStyle w:val="24"/>
        <w:pageBreakBefore w:val="0"/>
        <w:kinsoku/>
        <w:wordWrap/>
        <w:overflowPunct/>
        <w:topLinePunct w:val="0"/>
        <w:bidi w:val="0"/>
        <w:snapToGrid w:val="0"/>
        <w:spacing w:beforeAutospacing="0" w:line="360" w:lineRule="auto"/>
        <w:ind w:firstLine="0" w:firstLineChars="0"/>
        <w:textAlignment w:val="auto"/>
        <w:rPr>
          <w:rFonts w:cs="宋体"/>
          <w:b/>
          <w:color w:val="auto"/>
          <w:highlight w:val="none"/>
        </w:rPr>
      </w:pPr>
      <w:r>
        <w:rPr>
          <w:rFonts w:hint="eastAsia" w:cs="宋体"/>
          <w:b/>
          <w:color w:val="auto"/>
          <w:highlight w:val="none"/>
        </w:rPr>
        <w:t>3</w:t>
      </w:r>
      <w:r>
        <w:rPr>
          <w:rFonts w:hint="eastAsia" w:cs="宋体"/>
          <w:b/>
          <w:color w:val="auto"/>
          <w:highlight w:val="none"/>
          <w:lang w:val="en-US" w:eastAsia="zh-CN"/>
        </w:rPr>
        <w:t>1</w:t>
      </w:r>
      <w:r>
        <w:rPr>
          <w:rFonts w:hint="eastAsia" w:cs="宋体"/>
          <w:b/>
          <w:color w:val="auto"/>
          <w:highlight w:val="none"/>
        </w:rPr>
        <w:t>.</w:t>
      </w:r>
      <w:r>
        <w:rPr>
          <w:rFonts w:hint="eastAsia" w:cs="宋体"/>
          <w:b/>
          <w:color w:val="auto"/>
          <w:highlight w:val="none"/>
          <w:lang w:val="en-US" w:eastAsia="zh-CN"/>
        </w:rPr>
        <w:t xml:space="preserve"> </w:t>
      </w:r>
      <w:r>
        <w:rPr>
          <w:rFonts w:hint="eastAsia" w:cs="宋体"/>
          <w:b/>
          <w:color w:val="auto"/>
          <w:highlight w:val="none"/>
        </w:rPr>
        <w:t>验收</w:t>
      </w:r>
    </w:p>
    <w:p w14:paraId="5E674D67">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995A48">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.2采购人可以邀请参加本项目的其他投标人或者第三方机构参与验收。参与验收的投标人或者第三方机构的意见作为验收书的参考资料一并存档。</w:t>
      </w:r>
    </w:p>
    <w:p w14:paraId="651007CC">
      <w:pPr>
        <w:pageBreakBefore w:val="0"/>
        <w:tabs>
          <w:tab w:val="left" w:pos="0"/>
        </w:tabs>
        <w:kinsoku/>
        <w:wordWrap/>
        <w:overflowPunct/>
        <w:topLinePunct w:val="0"/>
        <w:bidi w:val="0"/>
        <w:snapToGrid w:val="0"/>
        <w:spacing w:beforeAutospacing="0" w:line="360" w:lineRule="auto"/>
        <w:ind w:firstLine="480"/>
        <w:textAlignment w:val="auto"/>
        <w:rPr>
          <w:rFonts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7AE46BE">
      <w:pPr>
        <w:pageBreakBefore w:val="0"/>
        <w:tabs>
          <w:tab w:val="left" w:pos="0"/>
        </w:tabs>
        <w:kinsoku/>
        <w:wordWrap/>
        <w:overflowPunct/>
        <w:topLinePunct w:val="0"/>
        <w:bidi w:val="0"/>
        <w:snapToGrid w:val="0"/>
        <w:spacing w:beforeAutospacing="0" w:line="360" w:lineRule="auto"/>
        <w:ind w:firstLine="480"/>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403820"/>
      <w:bookmarkEnd w:id="15"/>
      <w:bookmarkStart w:id="16" w:name="_Hlt68073093"/>
      <w:bookmarkEnd w:id="16"/>
      <w:bookmarkStart w:id="17" w:name="_Hlt74729768"/>
      <w:bookmarkEnd w:id="17"/>
      <w:bookmarkStart w:id="18" w:name="_Hlt68072990"/>
      <w:bookmarkEnd w:id="18"/>
      <w:bookmarkStart w:id="19" w:name="_Hlt75236290"/>
      <w:bookmarkEnd w:id="19"/>
      <w:bookmarkStart w:id="20" w:name="_Hlt75236011"/>
      <w:bookmarkEnd w:id="20"/>
      <w:bookmarkStart w:id="21" w:name="_Hlt68057669"/>
      <w:bookmarkEnd w:id="21"/>
      <w:bookmarkStart w:id="22" w:name="_Hlt68072998"/>
      <w:bookmarkEnd w:id="22"/>
      <w:bookmarkStart w:id="23" w:name="_Hlt74714665"/>
      <w:bookmarkEnd w:id="23"/>
      <w:bookmarkStart w:id="24" w:name="_Hlt74707468"/>
      <w:bookmarkEnd w:id="24"/>
      <w:bookmarkStart w:id="25" w:name="_Hlt75236101"/>
      <w:bookmarkEnd w:id="25"/>
      <w:bookmarkStart w:id="26" w:name="_Hlt74730295"/>
      <w:bookmarkEnd w:id="26"/>
      <w:r>
        <w:rPr>
          <w:rFonts w:hint="eastAsia" w:ascii="宋体" w:hAnsi="宋体" w:cs="宋体"/>
          <w:color w:val="auto"/>
          <w:kern w:val="0"/>
          <w:sz w:val="24"/>
          <w:highlight w:val="none"/>
          <w:lang w:eastAsia="zh-CN"/>
        </w:rPr>
        <w:t>。</w:t>
      </w:r>
    </w:p>
    <w:p w14:paraId="69A5B267">
      <w:pPr>
        <w:pageBreakBefore w:val="0"/>
        <w:kinsoku/>
        <w:wordWrap/>
        <w:overflowPunct/>
        <w:topLinePunct w:val="0"/>
        <w:bidi w:val="0"/>
        <w:snapToGrid w:val="0"/>
        <w:spacing w:beforeAutospacing="0" w:line="360" w:lineRule="auto"/>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br w:type="page"/>
      </w:r>
    </w:p>
    <w:p w14:paraId="324332C3">
      <w:pPr>
        <w:pStyle w:val="3"/>
        <w:rPr>
          <w:rFonts w:hint="eastAsia"/>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7995C62C">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2D856BD2">
      <w:pPr>
        <w:snapToGrid w:val="0"/>
        <w:rPr>
          <w:rStyle w:val="962"/>
          <w:rFonts w:hint="eastAsia"/>
          <w:i w:val="0"/>
          <w:iCs w:val="0"/>
          <w:color w:val="auto"/>
          <w:highlight w:val="none"/>
        </w:rPr>
      </w:pPr>
      <w:r>
        <w:rPr>
          <w:rStyle w:val="962"/>
          <w:rFonts w:hint="eastAsia"/>
          <w:i w:val="0"/>
          <w:iCs w:val="0"/>
          <w:color w:val="auto"/>
          <w:highlight w:val="none"/>
        </w:rPr>
        <w:t>属于实质性要求条款的，请用符号“▲”标明，否则属于非实质性要求。“★”系产品采购项目中单一产品或核心产品。</w:t>
      </w:r>
    </w:p>
    <w:p w14:paraId="178B7168">
      <w:pPr>
        <w:pStyle w:val="3"/>
        <w:numPr>
          <w:ilvl w:val="0"/>
          <w:numId w:val="9"/>
        </w:numPr>
        <w:jc w:val="center"/>
        <w:rPr>
          <w:rFonts w:hint="eastAsia" w:ascii="仿宋" w:hAnsi="仿宋" w:eastAsia="仿宋" w:cs="仿宋"/>
          <w:color w:val="auto"/>
          <w:highlight w:val="none"/>
        </w:rPr>
      </w:pPr>
      <w:r>
        <w:rPr>
          <w:color w:val="auto"/>
          <w:highlight w:val="none"/>
        </w:rPr>
        <w:t>招标一览表</w:t>
      </w:r>
    </w:p>
    <w:p w14:paraId="50DF415B">
      <w:pPr>
        <w:pStyle w:val="6"/>
        <w:rPr>
          <w:rFonts w:hint="eastAsia" w:ascii="仿宋" w:hAnsi="仿宋" w:eastAsia="仿宋" w:cs="仿宋"/>
          <w:color w:val="auto"/>
          <w:highlight w:val="none"/>
        </w:rPr>
      </w:pPr>
      <w:r>
        <w:rPr>
          <w:rFonts w:hint="eastAsia" w:ascii="仿宋" w:hAnsi="仿宋" w:eastAsia="仿宋" w:cs="仿宋"/>
          <w:color w:val="auto"/>
          <w:highlight w:val="none"/>
        </w:rPr>
        <w:t xml:space="preserve">标项一：杭州市萧山区第一人民医院超融合（信创）政府采购项目 </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1216"/>
        <w:gridCol w:w="2768"/>
        <w:gridCol w:w="1996"/>
      </w:tblGrid>
      <w:tr w14:paraId="41B4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5048A70E">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03" w:type="dxa"/>
            <w:tcMar>
              <w:top w:w="15" w:type="dxa"/>
              <w:left w:w="15" w:type="dxa"/>
              <w:bottom w:w="0" w:type="dxa"/>
              <w:right w:w="15" w:type="dxa"/>
            </w:tcMar>
            <w:vAlign w:val="center"/>
          </w:tcPr>
          <w:p w14:paraId="4F9163F9">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品目</w:t>
            </w:r>
            <w:r>
              <w:rPr>
                <w:rFonts w:hint="eastAsia" w:ascii="仿宋" w:hAnsi="仿宋" w:eastAsia="仿宋" w:cs="仿宋"/>
                <w:color w:val="auto"/>
                <w:highlight w:val="none"/>
              </w:rPr>
              <w:t>名称</w:t>
            </w:r>
          </w:p>
        </w:tc>
        <w:tc>
          <w:tcPr>
            <w:tcW w:w="508" w:type="dxa"/>
            <w:tcMar>
              <w:top w:w="15" w:type="dxa"/>
              <w:left w:w="15" w:type="dxa"/>
              <w:bottom w:w="0" w:type="dxa"/>
              <w:right w:w="15" w:type="dxa"/>
            </w:tcMar>
            <w:vAlign w:val="center"/>
          </w:tcPr>
          <w:p w14:paraId="79FA9FCA">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565" w:type="dxa"/>
            <w:tcMar>
              <w:top w:w="15" w:type="dxa"/>
              <w:left w:w="15" w:type="dxa"/>
              <w:bottom w:w="0" w:type="dxa"/>
              <w:right w:w="15" w:type="dxa"/>
            </w:tcMar>
            <w:vAlign w:val="center"/>
          </w:tcPr>
          <w:p w14:paraId="625D2BBD">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单位</w:t>
            </w:r>
          </w:p>
        </w:tc>
        <w:tc>
          <w:tcPr>
            <w:tcW w:w="1216" w:type="dxa"/>
            <w:vAlign w:val="center"/>
          </w:tcPr>
          <w:p w14:paraId="2C698A7A">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预算（元）</w:t>
            </w:r>
          </w:p>
        </w:tc>
        <w:tc>
          <w:tcPr>
            <w:tcW w:w="2768" w:type="dxa"/>
            <w:vAlign w:val="center"/>
          </w:tcPr>
          <w:p w14:paraId="250AB09E">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简要规格描述或基本情况介绍</w:t>
            </w:r>
          </w:p>
        </w:tc>
        <w:tc>
          <w:tcPr>
            <w:tcW w:w="1996" w:type="dxa"/>
            <w:vAlign w:val="center"/>
          </w:tcPr>
          <w:p w14:paraId="668CE414">
            <w:pPr>
              <w:keepNext w:val="0"/>
              <w:keepLines w:val="0"/>
              <w:pageBreakBefore w:val="0"/>
              <w:widowControl w:val="0"/>
              <w:tabs>
                <w:tab w:val="left" w:pos="0"/>
              </w:tabs>
              <w:kinsoku/>
              <w:wordWrap/>
              <w:overflowPunct/>
              <w:topLinePunct w:val="0"/>
              <w:autoSpaceDE/>
              <w:autoSpaceDN/>
              <w:bidi w:val="0"/>
              <w:adjustRightInd w:val="0"/>
              <w:snapToGrid w:val="0"/>
              <w:spacing w:after="0"/>
              <w:jc w:val="center"/>
              <w:rPr>
                <w:rFonts w:hint="eastAsia" w:ascii="仿宋" w:hAnsi="仿宋" w:eastAsia="仿宋" w:cs="仿宋"/>
                <w:color w:val="auto"/>
                <w:highlight w:val="none"/>
              </w:rPr>
            </w:pPr>
            <w:r>
              <w:rPr>
                <w:rFonts w:hint="eastAsia" w:ascii="仿宋" w:hAnsi="仿宋" w:eastAsia="仿宋" w:cs="仿宋"/>
                <w:color w:val="auto"/>
                <w:highlight w:val="none"/>
              </w:rPr>
              <w:t>最高限价（元）</w:t>
            </w:r>
          </w:p>
        </w:tc>
      </w:tr>
      <w:tr w14:paraId="7832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3" w:hRule="atLeast"/>
        </w:trPr>
        <w:tc>
          <w:tcPr>
            <w:tcW w:w="523" w:type="dxa"/>
            <w:tcMar>
              <w:top w:w="15" w:type="dxa"/>
              <w:left w:w="15" w:type="dxa"/>
              <w:bottom w:w="0" w:type="dxa"/>
              <w:right w:w="15" w:type="dxa"/>
            </w:tcMar>
            <w:vAlign w:val="center"/>
          </w:tcPr>
          <w:p w14:paraId="6889CECC">
            <w:pPr>
              <w:keepNext w:val="0"/>
              <w:keepLines w:val="0"/>
              <w:pageBreakBefore w:val="0"/>
              <w:widowControl w:val="0"/>
              <w:tabs>
                <w:tab w:val="left" w:pos="0"/>
              </w:tabs>
              <w:kinsoku/>
              <w:wordWrap/>
              <w:overflowPunct/>
              <w:topLinePunct w:val="0"/>
              <w:autoSpaceDE/>
              <w:autoSpaceDN/>
              <w:bidi w:val="0"/>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103" w:type="dxa"/>
            <w:tcMar>
              <w:top w:w="15" w:type="dxa"/>
              <w:left w:w="15" w:type="dxa"/>
              <w:bottom w:w="0" w:type="dxa"/>
              <w:right w:w="15" w:type="dxa"/>
            </w:tcMar>
            <w:vAlign w:val="center"/>
          </w:tcPr>
          <w:p w14:paraId="51AAE062">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A02010104服务器</w:t>
            </w:r>
          </w:p>
        </w:tc>
        <w:tc>
          <w:tcPr>
            <w:tcW w:w="508" w:type="dxa"/>
            <w:tcMar>
              <w:top w:w="15" w:type="dxa"/>
              <w:left w:w="15" w:type="dxa"/>
              <w:bottom w:w="0" w:type="dxa"/>
              <w:right w:w="15" w:type="dxa"/>
            </w:tcMar>
            <w:vAlign w:val="center"/>
          </w:tcPr>
          <w:p w14:paraId="53C6BFC7">
            <w:pPr>
              <w:keepNext w:val="0"/>
              <w:keepLines w:val="0"/>
              <w:pageBreakBefore w:val="0"/>
              <w:widowControl w:val="0"/>
              <w:kinsoku/>
              <w:wordWrap/>
              <w:overflowPunct/>
              <w:topLinePunct w:val="0"/>
              <w:autoSpaceDE/>
              <w:autoSpaceDN/>
              <w:bidi w:val="0"/>
              <w:adjustRightInd w:val="0"/>
              <w:snapToGrid w:val="0"/>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565" w:type="dxa"/>
            <w:tcMar>
              <w:top w:w="15" w:type="dxa"/>
              <w:left w:w="15" w:type="dxa"/>
              <w:bottom w:w="0" w:type="dxa"/>
              <w:right w:w="15" w:type="dxa"/>
            </w:tcMar>
            <w:vAlign w:val="center"/>
          </w:tcPr>
          <w:p w14:paraId="7ECCC812">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1216" w:type="dxa"/>
            <w:vAlign w:val="center"/>
          </w:tcPr>
          <w:p w14:paraId="7AF38912">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1515000.00</w:t>
            </w:r>
          </w:p>
        </w:tc>
        <w:tc>
          <w:tcPr>
            <w:tcW w:w="2768" w:type="dxa"/>
            <w:vAlign w:val="center"/>
          </w:tcPr>
          <w:p w14:paraId="1BF7F9CA">
            <w:pPr>
              <w:keepNext w:val="0"/>
              <w:keepLines w:val="0"/>
              <w:pageBreakBefore w:val="0"/>
              <w:widowControl w:val="0"/>
              <w:tabs>
                <w:tab w:val="left" w:pos="0"/>
              </w:tabs>
              <w:kinsoku/>
              <w:wordWrap/>
              <w:overflowPunct/>
              <w:topLinePunct w:val="0"/>
              <w:autoSpaceDE/>
              <w:autoSpaceDN/>
              <w:bidi w:val="0"/>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详见二、招标需求-1、技术需求-（二）技术指标要求-1.1国产化服务器（DMZ）1.2国产化服务器（内网）</w:t>
            </w:r>
          </w:p>
        </w:tc>
        <w:tc>
          <w:tcPr>
            <w:tcW w:w="1996" w:type="dxa"/>
            <w:vAlign w:val="center"/>
          </w:tcPr>
          <w:p w14:paraId="6E00ACAE">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rPr>
              <w:t>1515000.00</w:t>
            </w:r>
          </w:p>
        </w:tc>
      </w:tr>
      <w:tr w14:paraId="1BA3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0" w:hRule="atLeast"/>
        </w:trPr>
        <w:tc>
          <w:tcPr>
            <w:tcW w:w="523" w:type="dxa"/>
            <w:tcMar>
              <w:top w:w="15" w:type="dxa"/>
              <w:left w:w="15" w:type="dxa"/>
              <w:bottom w:w="0" w:type="dxa"/>
              <w:right w:w="15" w:type="dxa"/>
            </w:tcMar>
            <w:vAlign w:val="center"/>
          </w:tcPr>
          <w:p w14:paraId="10209257">
            <w:pPr>
              <w:keepNext w:val="0"/>
              <w:keepLines w:val="0"/>
              <w:pageBreakBefore w:val="0"/>
              <w:widowControl w:val="0"/>
              <w:tabs>
                <w:tab w:val="left" w:pos="0"/>
              </w:tabs>
              <w:kinsoku/>
              <w:wordWrap/>
              <w:overflowPunct/>
              <w:topLinePunct w:val="0"/>
              <w:autoSpaceDE/>
              <w:autoSpaceDN/>
              <w:bidi w:val="0"/>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103" w:type="dxa"/>
            <w:tcMar>
              <w:top w:w="15" w:type="dxa"/>
              <w:left w:w="15" w:type="dxa"/>
              <w:bottom w:w="0" w:type="dxa"/>
              <w:right w:w="15" w:type="dxa"/>
            </w:tcMar>
            <w:vAlign w:val="center"/>
          </w:tcPr>
          <w:p w14:paraId="678D9414">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A02010202交换设备</w:t>
            </w:r>
          </w:p>
        </w:tc>
        <w:tc>
          <w:tcPr>
            <w:tcW w:w="508" w:type="dxa"/>
            <w:tcMar>
              <w:top w:w="15" w:type="dxa"/>
              <w:left w:w="15" w:type="dxa"/>
              <w:bottom w:w="0" w:type="dxa"/>
              <w:right w:w="15" w:type="dxa"/>
            </w:tcMar>
            <w:vAlign w:val="center"/>
          </w:tcPr>
          <w:p w14:paraId="69BFB63A">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565" w:type="dxa"/>
            <w:tcMar>
              <w:top w:w="15" w:type="dxa"/>
              <w:left w:w="15" w:type="dxa"/>
              <w:bottom w:w="0" w:type="dxa"/>
              <w:right w:w="15" w:type="dxa"/>
            </w:tcMar>
            <w:vAlign w:val="center"/>
          </w:tcPr>
          <w:p w14:paraId="67513C4B">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批</w:t>
            </w:r>
          </w:p>
        </w:tc>
        <w:tc>
          <w:tcPr>
            <w:tcW w:w="1216" w:type="dxa"/>
            <w:vAlign w:val="center"/>
          </w:tcPr>
          <w:p w14:paraId="771897F5">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lang w:bidi="ar"/>
              </w:rPr>
            </w:pPr>
            <w:r>
              <w:rPr>
                <w:rFonts w:hint="eastAsia" w:ascii="仿宋" w:hAnsi="仿宋" w:eastAsia="仿宋" w:cs="仿宋"/>
                <w:color w:val="auto"/>
                <w:highlight w:val="none"/>
                <w:lang w:bidi="ar"/>
              </w:rPr>
              <w:t>135000.00</w:t>
            </w:r>
          </w:p>
        </w:tc>
        <w:tc>
          <w:tcPr>
            <w:tcW w:w="2768" w:type="dxa"/>
            <w:vAlign w:val="center"/>
          </w:tcPr>
          <w:p w14:paraId="7A52FAC3">
            <w:pPr>
              <w:keepNext w:val="0"/>
              <w:keepLines w:val="0"/>
              <w:pageBreakBefore w:val="0"/>
              <w:widowControl w:val="0"/>
              <w:tabs>
                <w:tab w:val="left" w:pos="0"/>
              </w:tabs>
              <w:kinsoku/>
              <w:wordWrap/>
              <w:overflowPunct/>
              <w:topLinePunct w:val="0"/>
              <w:autoSpaceDE/>
              <w:autoSpaceDN/>
              <w:bidi w:val="0"/>
              <w:adjustRightInd w:val="0"/>
              <w:snapToGrid w:val="0"/>
              <w:jc w:val="center"/>
              <w:rPr>
                <w:rFonts w:hint="eastAsia" w:ascii="仿宋" w:hAnsi="仿宋" w:eastAsia="仿宋" w:cs="仿宋"/>
                <w:color w:val="auto"/>
                <w:highlight w:val="none"/>
              </w:rPr>
            </w:pPr>
            <w:r>
              <w:rPr>
                <w:rFonts w:hint="eastAsia" w:ascii="仿宋" w:hAnsi="仿宋" w:eastAsia="仿宋" w:cs="仿宋"/>
                <w:color w:val="auto"/>
                <w:highlight w:val="none"/>
                <w:lang w:eastAsia="zh-Hans"/>
              </w:rPr>
              <w:t>详见二、招标需求-1、技术需求-（二）技术指标要求-1.3存储交换机（DMZ）1.4业务交换机（内网）1.5管理交换机（内网）</w:t>
            </w:r>
          </w:p>
        </w:tc>
        <w:tc>
          <w:tcPr>
            <w:tcW w:w="1996" w:type="dxa"/>
            <w:vAlign w:val="center"/>
          </w:tcPr>
          <w:p w14:paraId="04EE806E">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bCs/>
                <w:color w:val="auto"/>
                <w:kern w:val="2"/>
                <w:highlight w:val="none"/>
              </w:rPr>
            </w:pPr>
            <w:r>
              <w:rPr>
                <w:rFonts w:hint="eastAsia" w:ascii="仿宋" w:hAnsi="仿宋" w:eastAsia="仿宋" w:cs="仿宋"/>
                <w:bCs/>
                <w:color w:val="auto"/>
                <w:kern w:val="2"/>
                <w:highlight w:val="none"/>
              </w:rPr>
              <w:t>135000.00</w:t>
            </w:r>
          </w:p>
        </w:tc>
      </w:tr>
      <w:tr w14:paraId="1613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4" w:hRule="atLeast"/>
        </w:trPr>
        <w:tc>
          <w:tcPr>
            <w:tcW w:w="2699" w:type="dxa"/>
            <w:gridSpan w:val="4"/>
            <w:tcMar>
              <w:top w:w="15" w:type="dxa"/>
              <w:left w:w="15" w:type="dxa"/>
              <w:bottom w:w="0" w:type="dxa"/>
              <w:right w:w="15" w:type="dxa"/>
            </w:tcMar>
            <w:vAlign w:val="center"/>
          </w:tcPr>
          <w:p w14:paraId="68C3DA68">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合计</w:t>
            </w:r>
          </w:p>
        </w:tc>
        <w:tc>
          <w:tcPr>
            <w:tcW w:w="1216" w:type="dxa"/>
            <w:vAlign w:val="center"/>
          </w:tcPr>
          <w:p w14:paraId="1502D751">
            <w:pPr>
              <w:keepNext w:val="0"/>
              <w:keepLines w:val="0"/>
              <w:pageBreakBefore w:val="0"/>
              <w:widowControl w:val="0"/>
              <w:kinsoku/>
              <w:wordWrap/>
              <w:overflowPunct/>
              <w:topLinePunct w:val="0"/>
              <w:autoSpaceDE/>
              <w:autoSpaceDN/>
              <w:bidi w:val="0"/>
              <w:adjustRightInd w:val="0"/>
              <w:snapToGrid w:val="0"/>
              <w:jc w:val="center"/>
              <w:textAlignment w:val="center"/>
              <w:rPr>
                <w:rFonts w:hint="default" w:ascii="仿宋" w:hAnsi="仿宋" w:eastAsia="仿宋" w:cs="仿宋"/>
                <w:color w:val="auto"/>
                <w:highlight w:val="none"/>
                <w:lang w:val="en-US" w:eastAsia="zh-CN" w:bidi="ar"/>
              </w:rPr>
            </w:pPr>
            <w:r>
              <w:rPr>
                <w:rFonts w:hint="eastAsia" w:ascii="仿宋" w:hAnsi="仿宋" w:eastAsia="仿宋" w:cs="仿宋"/>
                <w:color w:val="auto"/>
                <w:highlight w:val="none"/>
                <w:lang w:val="en-US" w:eastAsia="zh-CN" w:bidi="ar"/>
              </w:rPr>
              <w:t>1650000.00</w:t>
            </w:r>
          </w:p>
        </w:tc>
        <w:tc>
          <w:tcPr>
            <w:tcW w:w="2768" w:type="dxa"/>
            <w:vAlign w:val="center"/>
          </w:tcPr>
          <w:p w14:paraId="2232F3C0">
            <w:pPr>
              <w:keepNext w:val="0"/>
              <w:keepLines w:val="0"/>
              <w:pageBreakBefore w:val="0"/>
              <w:widowControl w:val="0"/>
              <w:tabs>
                <w:tab w:val="left" w:pos="0"/>
              </w:tabs>
              <w:kinsoku/>
              <w:wordWrap/>
              <w:overflowPunct/>
              <w:topLinePunct w:val="0"/>
              <w:autoSpaceDE/>
              <w:autoSpaceDN/>
              <w:bidi w:val="0"/>
              <w:adjustRightInd w:val="0"/>
              <w:snapToGrid w:val="0"/>
              <w:jc w:val="center"/>
              <w:rPr>
                <w:rFonts w:hint="eastAsia" w:ascii="仿宋" w:hAnsi="仿宋" w:eastAsia="仿宋" w:cs="仿宋"/>
                <w:color w:val="auto"/>
                <w:highlight w:val="none"/>
              </w:rPr>
            </w:pPr>
          </w:p>
        </w:tc>
        <w:tc>
          <w:tcPr>
            <w:tcW w:w="1996" w:type="dxa"/>
            <w:vAlign w:val="center"/>
          </w:tcPr>
          <w:p w14:paraId="746A7C23">
            <w:pPr>
              <w:keepNext w:val="0"/>
              <w:keepLines w:val="0"/>
              <w:pageBreakBefore w:val="0"/>
              <w:widowControl w:val="0"/>
              <w:kinsoku/>
              <w:wordWrap/>
              <w:overflowPunct/>
              <w:topLinePunct w:val="0"/>
              <w:autoSpaceDE/>
              <w:autoSpaceDN/>
              <w:bidi w:val="0"/>
              <w:adjustRightInd w:val="0"/>
              <w:snapToGrid w:val="0"/>
              <w:jc w:val="center"/>
              <w:textAlignment w:val="center"/>
              <w:rPr>
                <w:rFonts w:hint="default" w:ascii="仿宋" w:hAnsi="仿宋" w:eastAsia="仿宋" w:cs="仿宋"/>
                <w:bCs/>
                <w:color w:val="auto"/>
                <w:kern w:val="2"/>
                <w:highlight w:val="none"/>
                <w:lang w:val="en-US" w:eastAsia="zh-CN"/>
              </w:rPr>
            </w:pPr>
            <w:r>
              <w:rPr>
                <w:rFonts w:hint="eastAsia" w:ascii="仿宋" w:hAnsi="仿宋" w:eastAsia="仿宋" w:cs="仿宋"/>
                <w:bCs/>
                <w:color w:val="auto"/>
                <w:kern w:val="2"/>
                <w:highlight w:val="none"/>
                <w:lang w:val="en-US" w:eastAsia="zh-CN"/>
              </w:rPr>
              <w:t>1650000.00</w:t>
            </w:r>
          </w:p>
        </w:tc>
      </w:tr>
    </w:tbl>
    <w:p w14:paraId="0959BE78">
      <w:pPr>
        <w:pStyle w:val="3"/>
        <w:numPr>
          <w:ilvl w:val="0"/>
          <w:numId w:val="0"/>
        </w:numPr>
        <w:ind w:left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注：▲投标人需在投标（开标）一览表中明确投标报价（总价）、各产品报价、各品目分项小计报价，总价及各品目分项小计报价均不得超过上表各最高限价。（投标人可在备注栏填写各品目分项小计报价）</w:t>
      </w:r>
    </w:p>
    <w:p w14:paraId="44EB9402">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66FEFA0">
      <w:pPr>
        <w:pStyle w:val="3"/>
        <w:numPr>
          <w:ilvl w:val="0"/>
          <w:numId w:val="9"/>
        </w:numPr>
        <w:jc w:val="center"/>
        <w:rPr>
          <w:rFonts w:hint="eastAsia" w:ascii="仿宋" w:hAnsi="仿宋" w:eastAsia="仿宋" w:cs="仿宋"/>
          <w:color w:val="auto"/>
          <w:highlight w:val="none"/>
        </w:rPr>
      </w:pPr>
      <w:r>
        <w:rPr>
          <w:rFonts w:hint="eastAsia" w:ascii="仿宋" w:eastAsia="仿宋" w:cs="仿宋"/>
          <w:color w:val="auto"/>
          <w:highlight w:val="none"/>
          <w:lang w:val="en-US" w:eastAsia="zh-CN"/>
        </w:rPr>
        <w:t>招标</w:t>
      </w:r>
      <w:r>
        <w:rPr>
          <w:rFonts w:hint="eastAsia" w:ascii="仿宋" w:hAnsi="仿宋" w:eastAsia="仿宋" w:cs="仿宋"/>
          <w:color w:val="auto"/>
          <w:highlight w:val="none"/>
        </w:rPr>
        <w:t>需求</w:t>
      </w:r>
    </w:p>
    <w:p w14:paraId="2B8E0965">
      <w:pPr>
        <w:numPr>
          <w:ilvl w:val="0"/>
          <w:numId w:val="10"/>
        </w:numPr>
        <w:rPr>
          <w:rFonts w:hint="eastAsia" w:ascii="仿宋" w:hAnsi="仿宋" w:eastAsia="仿宋" w:cs="仿宋"/>
          <w:color w:val="auto"/>
          <w:highlight w:val="none"/>
        </w:rPr>
      </w:pPr>
      <w:r>
        <w:rPr>
          <w:rFonts w:hint="eastAsia" w:ascii="仿宋" w:hAnsi="仿宋" w:eastAsia="仿宋" w:cs="仿宋"/>
          <w:color w:val="auto"/>
          <w:highlight w:val="none"/>
        </w:rPr>
        <w:t>技术需求：</w:t>
      </w:r>
    </w:p>
    <w:p w14:paraId="2DEAC59B">
      <w:pPr>
        <w:pStyle w:val="2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hAnsi="宋体" w:cs="宋体"/>
          <w:strike w:val="0"/>
          <w:color w:val="auto"/>
          <w:szCs w:val="24"/>
          <w:highlight w:val="none"/>
          <w:lang w:val="en-US"/>
        </w:rPr>
      </w:pPr>
      <w:r>
        <w:rPr>
          <w:rFonts w:hint="eastAsia" w:hAnsi="宋体" w:cs="宋体"/>
          <w:strike w:val="0"/>
          <w:color w:val="auto"/>
          <w:szCs w:val="24"/>
          <w:highlight w:val="none"/>
          <w:lang w:val="en-US"/>
        </w:rPr>
        <w:t>本项目计划通过建设超融合服务器，用于满足综合办公系统等内网业务改造及互联网医院等前置业务改造所需要的硬件资源需求，以满足医院信息化发展的资源需求，同时通过超融合服务器的部署，实现IT资源的简化管理，提高基础设施的可靠性、可扩展性，实现资源的合理利用及数据安全保护。</w:t>
      </w:r>
    </w:p>
    <w:p w14:paraId="62A5BD60">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（一）货物清单</w:t>
      </w:r>
    </w:p>
    <w:tbl>
      <w:tblPr>
        <w:tblStyle w:val="62"/>
        <w:tblW w:w="58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108"/>
        <w:gridCol w:w="636"/>
        <w:gridCol w:w="3684"/>
        <w:gridCol w:w="672"/>
        <w:gridCol w:w="660"/>
        <w:gridCol w:w="896"/>
        <w:gridCol w:w="1284"/>
        <w:gridCol w:w="1060"/>
      </w:tblGrid>
      <w:tr w14:paraId="11FBB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75" w:hRule="atLeast"/>
          <w:jc w:val="center"/>
        </w:trPr>
        <w:tc>
          <w:tcPr>
            <w:tcW w:w="1108" w:type="dxa"/>
            <w:tcBorders>
              <w:tl2br w:val="nil"/>
              <w:tr2bl w:val="nil"/>
            </w:tcBorders>
            <w:tcMar>
              <w:left w:w="108" w:type="dxa"/>
              <w:right w:w="108" w:type="dxa"/>
            </w:tcMar>
            <w:vAlign w:val="center"/>
          </w:tcPr>
          <w:p w14:paraId="21A428D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品目名称</w:t>
            </w:r>
          </w:p>
        </w:tc>
        <w:tc>
          <w:tcPr>
            <w:tcW w:w="636" w:type="dxa"/>
            <w:tcBorders>
              <w:tl2br w:val="nil"/>
              <w:tr2bl w:val="nil"/>
            </w:tcBorders>
            <w:tcMar>
              <w:left w:w="108" w:type="dxa"/>
              <w:right w:w="108" w:type="dxa"/>
            </w:tcMar>
            <w:vAlign w:val="center"/>
          </w:tcPr>
          <w:p w14:paraId="31C05AD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684" w:type="dxa"/>
            <w:tcBorders>
              <w:tl2br w:val="nil"/>
              <w:tr2bl w:val="nil"/>
            </w:tcBorders>
            <w:tcMar>
              <w:left w:w="108" w:type="dxa"/>
              <w:right w:w="108" w:type="dxa"/>
            </w:tcMar>
            <w:vAlign w:val="center"/>
          </w:tcPr>
          <w:p w14:paraId="3B689DB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672" w:type="dxa"/>
            <w:tcBorders>
              <w:tl2br w:val="nil"/>
              <w:tr2bl w:val="nil"/>
            </w:tcBorders>
            <w:tcMar>
              <w:left w:w="108" w:type="dxa"/>
              <w:right w:w="108" w:type="dxa"/>
            </w:tcMar>
            <w:vAlign w:val="center"/>
          </w:tcPr>
          <w:p w14:paraId="3776C87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60" w:type="dxa"/>
            <w:tcBorders>
              <w:tl2br w:val="nil"/>
              <w:tr2bl w:val="nil"/>
            </w:tcBorders>
            <w:tcMar>
              <w:left w:w="108" w:type="dxa"/>
              <w:right w:w="108" w:type="dxa"/>
            </w:tcMar>
            <w:vAlign w:val="center"/>
          </w:tcPr>
          <w:p w14:paraId="62F4B7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896" w:type="dxa"/>
            <w:tcBorders>
              <w:tl2br w:val="nil"/>
              <w:tr2bl w:val="nil"/>
            </w:tcBorders>
            <w:tcMar>
              <w:left w:w="108" w:type="dxa"/>
              <w:right w:w="108" w:type="dxa"/>
            </w:tcMar>
            <w:vAlign w:val="center"/>
          </w:tcPr>
          <w:p w14:paraId="40C91A5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最高限价（元）</w:t>
            </w:r>
          </w:p>
        </w:tc>
        <w:tc>
          <w:tcPr>
            <w:tcW w:w="1284" w:type="dxa"/>
            <w:tcBorders>
              <w:tl2br w:val="nil"/>
              <w:tr2bl w:val="nil"/>
            </w:tcBorders>
            <w:tcMar>
              <w:left w:w="108" w:type="dxa"/>
              <w:right w:w="108" w:type="dxa"/>
            </w:tcMar>
            <w:vAlign w:val="center"/>
          </w:tcPr>
          <w:p w14:paraId="6126D3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是否为中国强制性产品（CCC）</w:t>
            </w:r>
          </w:p>
        </w:tc>
        <w:tc>
          <w:tcPr>
            <w:tcW w:w="1060" w:type="dxa"/>
            <w:tcBorders>
              <w:tl2br w:val="nil"/>
              <w:tr2bl w:val="nil"/>
            </w:tcBorders>
            <w:tcMar>
              <w:left w:w="108" w:type="dxa"/>
              <w:right w:w="108" w:type="dxa"/>
            </w:tcMar>
            <w:vAlign w:val="center"/>
          </w:tcPr>
          <w:p w14:paraId="297BEB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是否为强制采购节能产品</w:t>
            </w:r>
          </w:p>
        </w:tc>
      </w:tr>
      <w:tr w14:paraId="14401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 w:hRule="atLeast"/>
          <w:jc w:val="center"/>
        </w:trPr>
        <w:tc>
          <w:tcPr>
            <w:tcW w:w="1108" w:type="dxa"/>
            <w:vMerge w:val="restart"/>
            <w:tcBorders>
              <w:tl2br w:val="nil"/>
              <w:tr2bl w:val="nil"/>
            </w:tcBorders>
            <w:tcMar>
              <w:left w:w="108" w:type="dxa"/>
              <w:right w:w="108" w:type="dxa"/>
            </w:tcMar>
            <w:vAlign w:val="center"/>
          </w:tcPr>
          <w:p w14:paraId="01C62C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服务器</w:t>
            </w:r>
          </w:p>
        </w:tc>
        <w:tc>
          <w:tcPr>
            <w:tcW w:w="636" w:type="dxa"/>
            <w:tcBorders>
              <w:tl2br w:val="nil"/>
              <w:tr2bl w:val="nil"/>
            </w:tcBorders>
            <w:tcMar>
              <w:left w:w="108" w:type="dxa"/>
              <w:right w:w="108" w:type="dxa"/>
            </w:tcMar>
            <w:vAlign w:val="center"/>
          </w:tcPr>
          <w:p w14:paraId="2A9F51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684" w:type="dxa"/>
            <w:tcBorders>
              <w:tl2br w:val="nil"/>
              <w:tr2bl w:val="nil"/>
            </w:tcBorders>
            <w:tcMar>
              <w:left w:w="108" w:type="dxa"/>
              <w:right w:w="108" w:type="dxa"/>
            </w:tcMar>
            <w:vAlign w:val="center"/>
          </w:tcPr>
          <w:p w14:paraId="3CFC1F8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国产化服务器（DMZ）</w:t>
            </w:r>
          </w:p>
        </w:tc>
        <w:tc>
          <w:tcPr>
            <w:tcW w:w="672" w:type="dxa"/>
            <w:tcBorders>
              <w:tl2br w:val="nil"/>
              <w:tr2bl w:val="nil"/>
            </w:tcBorders>
            <w:tcMar>
              <w:left w:w="108" w:type="dxa"/>
              <w:right w:w="108" w:type="dxa"/>
            </w:tcMar>
            <w:vAlign w:val="center"/>
          </w:tcPr>
          <w:p w14:paraId="2F5329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0" w:type="dxa"/>
            <w:tcBorders>
              <w:tl2br w:val="nil"/>
              <w:tr2bl w:val="nil"/>
            </w:tcBorders>
            <w:tcMar>
              <w:left w:w="108" w:type="dxa"/>
              <w:right w:w="108" w:type="dxa"/>
            </w:tcMar>
            <w:vAlign w:val="center"/>
          </w:tcPr>
          <w:p w14:paraId="247B80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96" w:type="dxa"/>
            <w:tcBorders>
              <w:tl2br w:val="nil"/>
              <w:tr2bl w:val="nil"/>
            </w:tcBorders>
            <w:shd w:val="clear" w:color="auto" w:fill="auto"/>
            <w:tcMar>
              <w:left w:w="108" w:type="dxa"/>
              <w:right w:w="108" w:type="dxa"/>
            </w:tcMar>
            <w:vAlign w:val="center"/>
          </w:tcPr>
          <w:p w14:paraId="39DC9AAB">
            <w:pPr>
              <w:tabs>
                <w:tab w:val="left" w:pos="0"/>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699000</w:t>
            </w:r>
          </w:p>
        </w:tc>
        <w:tc>
          <w:tcPr>
            <w:tcW w:w="1284" w:type="dxa"/>
            <w:tcBorders>
              <w:tl2br w:val="nil"/>
              <w:tr2bl w:val="nil"/>
            </w:tcBorders>
            <w:tcMar>
              <w:left w:w="108" w:type="dxa"/>
              <w:right w:w="108" w:type="dxa"/>
            </w:tcMar>
            <w:vAlign w:val="center"/>
          </w:tcPr>
          <w:p w14:paraId="30F4D2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1060" w:type="dxa"/>
            <w:tcBorders>
              <w:tl2br w:val="nil"/>
              <w:tr2bl w:val="nil"/>
            </w:tcBorders>
            <w:tcMar>
              <w:left w:w="108" w:type="dxa"/>
              <w:right w:w="108" w:type="dxa"/>
            </w:tcMar>
            <w:vAlign w:val="center"/>
          </w:tcPr>
          <w:p w14:paraId="3B49AB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74889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 w:hRule="atLeast"/>
          <w:jc w:val="center"/>
        </w:trPr>
        <w:tc>
          <w:tcPr>
            <w:tcW w:w="1108" w:type="dxa"/>
            <w:vMerge w:val="continue"/>
            <w:tcBorders>
              <w:tl2br w:val="nil"/>
              <w:tr2bl w:val="nil"/>
            </w:tcBorders>
            <w:tcMar>
              <w:left w:w="108" w:type="dxa"/>
              <w:right w:w="108" w:type="dxa"/>
            </w:tcMar>
            <w:vAlign w:val="center"/>
          </w:tcPr>
          <w:p w14:paraId="7A6BDBFB">
            <w:pPr>
              <w:jc w:val="center"/>
              <w:rPr>
                <w:rFonts w:hint="eastAsia" w:ascii="宋体" w:hAnsi="宋体" w:eastAsia="宋体" w:cs="宋体"/>
                <w:color w:val="auto"/>
                <w:sz w:val="21"/>
                <w:szCs w:val="21"/>
                <w:highlight w:val="none"/>
              </w:rPr>
            </w:pPr>
          </w:p>
        </w:tc>
        <w:tc>
          <w:tcPr>
            <w:tcW w:w="636" w:type="dxa"/>
            <w:tcBorders>
              <w:tl2br w:val="nil"/>
              <w:tr2bl w:val="nil"/>
            </w:tcBorders>
            <w:tcMar>
              <w:left w:w="108" w:type="dxa"/>
              <w:right w:w="108" w:type="dxa"/>
            </w:tcMar>
            <w:vAlign w:val="center"/>
          </w:tcPr>
          <w:p w14:paraId="16E32E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684" w:type="dxa"/>
            <w:tcBorders>
              <w:tl2br w:val="nil"/>
              <w:tr2bl w:val="nil"/>
            </w:tcBorders>
            <w:tcMar>
              <w:left w:w="108" w:type="dxa"/>
              <w:right w:w="108" w:type="dxa"/>
            </w:tcMar>
            <w:vAlign w:val="center"/>
          </w:tcPr>
          <w:p w14:paraId="2472806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★国产化服务器（内网）</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核心产品）</w:t>
            </w:r>
          </w:p>
        </w:tc>
        <w:tc>
          <w:tcPr>
            <w:tcW w:w="672" w:type="dxa"/>
            <w:tcBorders>
              <w:tl2br w:val="nil"/>
              <w:tr2bl w:val="nil"/>
            </w:tcBorders>
            <w:tcMar>
              <w:left w:w="108" w:type="dxa"/>
              <w:right w:w="108" w:type="dxa"/>
            </w:tcMar>
            <w:vAlign w:val="center"/>
          </w:tcPr>
          <w:p w14:paraId="57B4D4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60" w:type="dxa"/>
            <w:tcBorders>
              <w:tl2br w:val="nil"/>
              <w:tr2bl w:val="nil"/>
            </w:tcBorders>
            <w:tcMar>
              <w:left w:w="108" w:type="dxa"/>
              <w:right w:w="108" w:type="dxa"/>
            </w:tcMar>
            <w:vAlign w:val="center"/>
          </w:tcPr>
          <w:p w14:paraId="4F5746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96" w:type="dxa"/>
            <w:tcBorders>
              <w:tl2br w:val="nil"/>
              <w:tr2bl w:val="nil"/>
            </w:tcBorders>
            <w:shd w:val="clear" w:color="auto" w:fill="auto"/>
            <w:tcMar>
              <w:left w:w="108" w:type="dxa"/>
              <w:right w:w="108" w:type="dxa"/>
            </w:tcMar>
            <w:vAlign w:val="center"/>
          </w:tcPr>
          <w:p w14:paraId="19E31BEA">
            <w:pPr>
              <w:tabs>
                <w:tab w:val="left" w:pos="0"/>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816000</w:t>
            </w:r>
          </w:p>
        </w:tc>
        <w:tc>
          <w:tcPr>
            <w:tcW w:w="1284" w:type="dxa"/>
            <w:tcBorders>
              <w:tl2br w:val="nil"/>
              <w:tr2bl w:val="nil"/>
            </w:tcBorders>
            <w:tcMar>
              <w:left w:w="108" w:type="dxa"/>
              <w:right w:w="108" w:type="dxa"/>
            </w:tcMar>
            <w:vAlign w:val="center"/>
          </w:tcPr>
          <w:p w14:paraId="623C68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1060" w:type="dxa"/>
            <w:tcBorders>
              <w:tl2br w:val="nil"/>
              <w:tr2bl w:val="nil"/>
            </w:tcBorders>
            <w:tcMar>
              <w:left w:w="108" w:type="dxa"/>
              <w:right w:w="108" w:type="dxa"/>
            </w:tcMar>
            <w:vAlign w:val="center"/>
          </w:tcPr>
          <w:p w14:paraId="428B49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1CF0F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 w:hRule="atLeast"/>
          <w:jc w:val="center"/>
        </w:trPr>
        <w:tc>
          <w:tcPr>
            <w:tcW w:w="1108" w:type="dxa"/>
            <w:vMerge w:val="restart"/>
            <w:tcBorders>
              <w:tl2br w:val="nil"/>
              <w:tr2bl w:val="nil"/>
            </w:tcBorders>
            <w:tcMar>
              <w:left w:w="108" w:type="dxa"/>
              <w:right w:w="108" w:type="dxa"/>
            </w:tcMar>
            <w:vAlign w:val="center"/>
          </w:tcPr>
          <w:p w14:paraId="364D419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w:t>
            </w:r>
          </w:p>
        </w:tc>
        <w:tc>
          <w:tcPr>
            <w:tcW w:w="636" w:type="dxa"/>
            <w:tcBorders>
              <w:tl2br w:val="nil"/>
              <w:tr2bl w:val="nil"/>
            </w:tcBorders>
            <w:tcMar>
              <w:left w:w="108" w:type="dxa"/>
              <w:right w:w="108" w:type="dxa"/>
            </w:tcMar>
            <w:vAlign w:val="center"/>
          </w:tcPr>
          <w:p w14:paraId="4CDAA7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684" w:type="dxa"/>
            <w:tcBorders>
              <w:tl2br w:val="nil"/>
              <w:tr2bl w:val="nil"/>
            </w:tcBorders>
            <w:tcMar>
              <w:left w:w="108" w:type="dxa"/>
              <w:right w:w="108" w:type="dxa"/>
            </w:tcMar>
            <w:vAlign w:val="center"/>
          </w:tcPr>
          <w:p w14:paraId="7B60A0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存储交换机（DMZ）</w:t>
            </w:r>
          </w:p>
        </w:tc>
        <w:tc>
          <w:tcPr>
            <w:tcW w:w="672" w:type="dxa"/>
            <w:tcBorders>
              <w:tl2br w:val="nil"/>
              <w:tr2bl w:val="nil"/>
            </w:tcBorders>
            <w:tcMar>
              <w:left w:w="108" w:type="dxa"/>
              <w:right w:w="108" w:type="dxa"/>
            </w:tcMar>
            <w:vAlign w:val="center"/>
          </w:tcPr>
          <w:p w14:paraId="450493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0" w:type="dxa"/>
            <w:tcBorders>
              <w:tl2br w:val="nil"/>
              <w:tr2bl w:val="nil"/>
            </w:tcBorders>
            <w:tcMar>
              <w:left w:w="108" w:type="dxa"/>
              <w:right w:w="108" w:type="dxa"/>
            </w:tcMar>
            <w:vAlign w:val="center"/>
          </w:tcPr>
          <w:p w14:paraId="5B9AE7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96" w:type="dxa"/>
            <w:tcBorders>
              <w:tl2br w:val="nil"/>
              <w:tr2bl w:val="nil"/>
            </w:tcBorders>
            <w:shd w:val="clear" w:color="auto" w:fill="auto"/>
            <w:tcMar>
              <w:left w:w="108" w:type="dxa"/>
              <w:right w:w="108" w:type="dxa"/>
            </w:tcMar>
            <w:vAlign w:val="center"/>
          </w:tcPr>
          <w:p w14:paraId="6E5CA615">
            <w:pPr>
              <w:tabs>
                <w:tab w:val="left" w:pos="0"/>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45000</w:t>
            </w:r>
          </w:p>
        </w:tc>
        <w:tc>
          <w:tcPr>
            <w:tcW w:w="1284" w:type="dxa"/>
            <w:tcBorders>
              <w:tl2br w:val="nil"/>
              <w:tr2bl w:val="nil"/>
            </w:tcBorders>
            <w:tcMar>
              <w:left w:w="108" w:type="dxa"/>
              <w:right w:w="108" w:type="dxa"/>
            </w:tcMar>
            <w:vAlign w:val="center"/>
          </w:tcPr>
          <w:p w14:paraId="60BE18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1060" w:type="dxa"/>
            <w:tcBorders>
              <w:tl2br w:val="nil"/>
              <w:tr2bl w:val="nil"/>
            </w:tcBorders>
            <w:tcMar>
              <w:left w:w="108" w:type="dxa"/>
              <w:right w:w="108" w:type="dxa"/>
            </w:tcMar>
            <w:vAlign w:val="center"/>
          </w:tcPr>
          <w:p w14:paraId="77AF58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46EBA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 w:hRule="atLeast"/>
          <w:jc w:val="center"/>
        </w:trPr>
        <w:tc>
          <w:tcPr>
            <w:tcW w:w="1108" w:type="dxa"/>
            <w:vMerge w:val="continue"/>
            <w:tcBorders>
              <w:tl2br w:val="nil"/>
              <w:tr2bl w:val="nil"/>
            </w:tcBorders>
            <w:tcMar>
              <w:left w:w="108" w:type="dxa"/>
              <w:right w:w="108" w:type="dxa"/>
            </w:tcMar>
            <w:vAlign w:val="center"/>
          </w:tcPr>
          <w:p w14:paraId="62752A94">
            <w:pPr>
              <w:rPr>
                <w:rFonts w:hint="eastAsia" w:ascii="宋体" w:hAnsi="宋体" w:eastAsia="宋体" w:cs="宋体"/>
                <w:color w:val="auto"/>
                <w:sz w:val="21"/>
                <w:szCs w:val="21"/>
                <w:highlight w:val="none"/>
              </w:rPr>
            </w:pPr>
          </w:p>
        </w:tc>
        <w:tc>
          <w:tcPr>
            <w:tcW w:w="636" w:type="dxa"/>
            <w:tcBorders>
              <w:tl2br w:val="nil"/>
              <w:tr2bl w:val="nil"/>
            </w:tcBorders>
            <w:tcMar>
              <w:left w:w="108" w:type="dxa"/>
              <w:right w:w="108" w:type="dxa"/>
            </w:tcMar>
            <w:vAlign w:val="center"/>
          </w:tcPr>
          <w:p w14:paraId="43EF65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684" w:type="dxa"/>
            <w:tcBorders>
              <w:tl2br w:val="nil"/>
              <w:tr2bl w:val="nil"/>
            </w:tcBorders>
            <w:tcMar>
              <w:left w:w="108" w:type="dxa"/>
              <w:right w:w="108" w:type="dxa"/>
            </w:tcMar>
            <w:vAlign w:val="center"/>
          </w:tcPr>
          <w:p w14:paraId="521D80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业务交换机（内网）</w:t>
            </w:r>
          </w:p>
        </w:tc>
        <w:tc>
          <w:tcPr>
            <w:tcW w:w="672" w:type="dxa"/>
            <w:tcBorders>
              <w:tl2br w:val="nil"/>
              <w:tr2bl w:val="nil"/>
            </w:tcBorders>
            <w:tcMar>
              <w:left w:w="108" w:type="dxa"/>
              <w:right w:w="108" w:type="dxa"/>
            </w:tcMar>
            <w:vAlign w:val="center"/>
          </w:tcPr>
          <w:p w14:paraId="50D6E3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0" w:type="dxa"/>
            <w:tcBorders>
              <w:tl2br w:val="nil"/>
              <w:tr2bl w:val="nil"/>
            </w:tcBorders>
            <w:tcMar>
              <w:left w:w="108" w:type="dxa"/>
              <w:right w:w="108" w:type="dxa"/>
            </w:tcMar>
            <w:vAlign w:val="center"/>
          </w:tcPr>
          <w:p w14:paraId="5EE53F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96" w:type="dxa"/>
            <w:tcBorders>
              <w:tl2br w:val="nil"/>
              <w:tr2bl w:val="nil"/>
            </w:tcBorders>
            <w:shd w:val="clear" w:color="auto" w:fill="auto"/>
            <w:tcMar>
              <w:left w:w="108" w:type="dxa"/>
              <w:right w:w="108" w:type="dxa"/>
            </w:tcMar>
            <w:vAlign w:val="center"/>
          </w:tcPr>
          <w:p w14:paraId="28372539">
            <w:pPr>
              <w:tabs>
                <w:tab w:val="left" w:pos="0"/>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45000</w:t>
            </w:r>
          </w:p>
        </w:tc>
        <w:tc>
          <w:tcPr>
            <w:tcW w:w="1284" w:type="dxa"/>
            <w:tcBorders>
              <w:tl2br w:val="nil"/>
              <w:tr2bl w:val="nil"/>
            </w:tcBorders>
            <w:tcMar>
              <w:left w:w="108" w:type="dxa"/>
              <w:right w:w="108" w:type="dxa"/>
            </w:tcMar>
            <w:vAlign w:val="center"/>
          </w:tcPr>
          <w:p w14:paraId="1BC83E9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1060" w:type="dxa"/>
            <w:tcBorders>
              <w:tl2br w:val="nil"/>
              <w:tr2bl w:val="nil"/>
            </w:tcBorders>
            <w:tcMar>
              <w:left w:w="108" w:type="dxa"/>
              <w:right w:w="108" w:type="dxa"/>
            </w:tcMar>
            <w:vAlign w:val="center"/>
          </w:tcPr>
          <w:p w14:paraId="6C16EF6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79E31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3" w:hRule="atLeast"/>
          <w:jc w:val="center"/>
        </w:trPr>
        <w:tc>
          <w:tcPr>
            <w:tcW w:w="1108" w:type="dxa"/>
            <w:vMerge w:val="continue"/>
            <w:tcBorders>
              <w:tl2br w:val="nil"/>
              <w:tr2bl w:val="nil"/>
            </w:tcBorders>
            <w:tcMar>
              <w:left w:w="108" w:type="dxa"/>
              <w:right w:w="108" w:type="dxa"/>
            </w:tcMar>
            <w:vAlign w:val="center"/>
          </w:tcPr>
          <w:p w14:paraId="58BE5A49">
            <w:pPr>
              <w:rPr>
                <w:rFonts w:hint="eastAsia" w:ascii="宋体" w:hAnsi="宋体" w:eastAsia="宋体" w:cs="宋体"/>
                <w:color w:val="auto"/>
                <w:sz w:val="21"/>
                <w:szCs w:val="21"/>
                <w:highlight w:val="none"/>
              </w:rPr>
            </w:pPr>
          </w:p>
        </w:tc>
        <w:tc>
          <w:tcPr>
            <w:tcW w:w="636" w:type="dxa"/>
            <w:tcBorders>
              <w:tl2br w:val="nil"/>
              <w:tr2bl w:val="nil"/>
            </w:tcBorders>
            <w:tcMar>
              <w:left w:w="108" w:type="dxa"/>
              <w:right w:w="108" w:type="dxa"/>
            </w:tcMar>
            <w:vAlign w:val="center"/>
          </w:tcPr>
          <w:p w14:paraId="199A75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684" w:type="dxa"/>
            <w:tcBorders>
              <w:tl2br w:val="nil"/>
              <w:tr2bl w:val="nil"/>
            </w:tcBorders>
            <w:tcMar>
              <w:left w:w="108" w:type="dxa"/>
              <w:right w:w="108" w:type="dxa"/>
            </w:tcMar>
            <w:vAlign w:val="center"/>
          </w:tcPr>
          <w:p w14:paraId="558AD3A3">
            <w:pP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rPr>
              <w:t>管理交换机（内网）</w:t>
            </w:r>
          </w:p>
        </w:tc>
        <w:tc>
          <w:tcPr>
            <w:tcW w:w="672" w:type="dxa"/>
            <w:tcBorders>
              <w:tl2br w:val="nil"/>
              <w:tr2bl w:val="nil"/>
            </w:tcBorders>
            <w:tcMar>
              <w:left w:w="108" w:type="dxa"/>
              <w:right w:w="108" w:type="dxa"/>
            </w:tcMar>
            <w:vAlign w:val="center"/>
          </w:tcPr>
          <w:p w14:paraId="49E5FDB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60" w:type="dxa"/>
            <w:tcBorders>
              <w:tl2br w:val="nil"/>
              <w:tr2bl w:val="nil"/>
            </w:tcBorders>
            <w:tcMar>
              <w:left w:w="108" w:type="dxa"/>
              <w:right w:w="108" w:type="dxa"/>
            </w:tcMar>
            <w:vAlign w:val="center"/>
          </w:tcPr>
          <w:p w14:paraId="174325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c>
          <w:tcPr>
            <w:tcW w:w="896" w:type="dxa"/>
            <w:tcBorders>
              <w:tl2br w:val="nil"/>
              <w:tr2bl w:val="nil"/>
            </w:tcBorders>
            <w:shd w:val="clear" w:color="auto" w:fill="auto"/>
            <w:tcMar>
              <w:left w:w="108" w:type="dxa"/>
              <w:right w:w="108" w:type="dxa"/>
            </w:tcMar>
            <w:vAlign w:val="center"/>
          </w:tcPr>
          <w:p w14:paraId="21FD885C">
            <w:pPr>
              <w:tabs>
                <w:tab w:val="left" w:pos="0"/>
              </w:tabs>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45000</w:t>
            </w:r>
          </w:p>
        </w:tc>
        <w:tc>
          <w:tcPr>
            <w:tcW w:w="1284" w:type="dxa"/>
            <w:tcBorders>
              <w:tl2br w:val="nil"/>
              <w:tr2bl w:val="nil"/>
            </w:tcBorders>
            <w:tcMar>
              <w:left w:w="108" w:type="dxa"/>
              <w:right w:w="108" w:type="dxa"/>
            </w:tcMar>
            <w:vAlign w:val="center"/>
          </w:tcPr>
          <w:p w14:paraId="060B3F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c>
          <w:tcPr>
            <w:tcW w:w="1060" w:type="dxa"/>
            <w:tcBorders>
              <w:tl2br w:val="nil"/>
              <w:tr2bl w:val="nil"/>
            </w:tcBorders>
            <w:tcMar>
              <w:left w:w="108" w:type="dxa"/>
              <w:right w:w="108" w:type="dxa"/>
            </w:tcMar>
            <w:vAlign w:val="center"/>
          </w:tcPr>
          <w:p w14:paraId="787D4C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bl>
    <w:p w14:paraId="77E0981B">
      <w:pPr>
        <w:snapToGrid w:val="0"/>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（二）技术指标要求</w:t>
      </w:r>
    </w:p>
    <w:p w14:paraId="30B5A68D">
      <w:pPr>
        <w:snapToGrid w:val="0"/>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1.1国产化服务器（DMZ）</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643"/>
        <w:gridCol w:w="1440"/>
        <w:gridCol w:w="5560"/>
      </w:tblGrid>
      <w:tr w14:paraId="370C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2" w:type="dxa"/>
            <w:gridSpan w:val="2"/>
            <w:vAlign w:val="center"/>
          </w:tcPr>
          <w:p w14:paraId="07B164F1">
            <w:pPr>
              <w:rPr>
                <w:rFonts w:hint="eastAsia" w:ascii="宋体" w:hAnsi="宋体" w:eastAsia="宋体" w:cs="宋体"/>
                <w:color w:val="auto"/>
                <w:sz w:val="21"/>
                <w:szCs w:val="21"/>
                <w:highlight w:val="none"/>
              </w:rPr>
            </w:pPr>
            <w:bookmarkStart w:id="28" w:name="_Hlk201748070"/>
            <w:r>
              <w:rPr>
                <w:rFonts w:hint="eastAsia" w:ascii="宋体" w:hAnsi="宋体" w:eastAsia="宋体" w:cs="宋体"/>
                <w:color w:val="auto"/>
                <w:sz w:val="21"/>
                <w:szCs w:val="21"/>
                <w:highlight w:val="none"/>
              </w:rPr>
              <w:t>指标分类</w:t>
            </w:r>
          </w:p>
        </w:tc>
        <w:tc>
          <w:tcPr>
            <w:tcW w:w="643" w:type="dxa"/>
            <w:vAlign w:val="center"/>
          </w:tcPr>
          <w:p w14:paraId="6AFFE00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一级指标</w:t>
            </w:r>
          </w:p>
        </w:tc>
        <w:tc>
          <w:tcPr>
            <w:tcW w:w="1440" w:type="dxa"/>
            <w:vAlign w:val="center"/>
          </w:tcPr>
          <w:p w14:paraId="7542F6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二级指标</w:t>
            </w:r>
          </w:p>
        </w:tc>
        <w:tc>
          <w:tcPr>
            <w:tcW w:w="5560" w:type="dxa"/>
            <w:vAlign w:val="center"/>
          </w:tcPr>
          <w:p w14:paraId="24F5FF6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指标要求</w:t>
            </w:r>
          </w:p>
        </w:tc>
      </w:tr>
      <w:tr w14:paraId="6EF5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7D0CF1E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6" w:type="dxa"/>
            <w:vMerge w:val="restart"/>
            <w:vAlign w:val="center"/>
          </w:tcPr>
          <w:p w14:paraId="74AA6B7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产品规格</w:t>
            </w:r>
          </w:p>
        </w:tc>
        <w:tc>
          <w:tcPr>
            <w:tcW w:w="643" w:type="dxa"/>
            <w:vAlign w:val="center"/>
          </w:tcPr>
          <w:p w14:paraId="48E88D3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*CPU规格</w:t>
            </w:r>
          </w:p>
        </w:tc>
        <w:tc>
          <w:tcPr>
            <w:tcW w:w="1440" w:type="dxa"/>
            <w:vAlign w:val="center"/>
          </w:tcPr>
          <w:p w14:paraId="1C7E559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*CPU信息</w:t>
            </w:r>
          </w:p>
        </w:tc>
        <w:tc>
          <w:tcPr>
            <w:tcW w:w="5560" w:type="dxa"/>
            <w:vAlign w:val="center"/>
          </w:tcPr>
          <w:p w14:paraId="35A751A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≥2颗C86架构处理器，单颗主频2.7GHz，核数32核，线程数64，末级缓存64MB，功耗110W，最高内存频率3200MHz</w:t>
            </w:r>
            <w:r>
              <w:rPr>
                <w:rFonts w:hint="eastAsia" w:ascii="宋体" w:hAnsi="宋体" w:eastAsia="宋体" w:cs="宋体"/>
                <w:color w:val="auto"/>
                <w:sz w:val="21"/>
                <w:szCs w:val="21"/>
                <w:highlight w:val="none"/>
                <w:lang w:eastAsia="zh-CN"/>
              </w:rPr>
              <w:t>。</w:t>
            </w:r>
          </w:p>
        </w:tc>
      </w:tr>
      <w:tr w14:paraId="5AB2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BF2EC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26" w:type="dxa"/>
            <w:vMerge w:val="continue"/>
            <w:vAlign w:val="center"/>
          </w:tcPr>
          <w:p w14:paraId="116E9FC3">
            <w:pPr>
              <w:rPr>
                <w:rFonts w:hint="eastAsia" w:ascii="宋体" w:hAnsi="宋体" w:eastAsia="宋体" w:cs="宋体"/>
                <w:color w:val="auto"/>
                <w:sz w:val="21"/>
                <w:szCs w:val="21"/>
                <w:highlight w:val="none"/>
              </w:rPr>
            </w:pPr>
          </w:p>
        </w:tc>
        <w:tc>
          <w:tcPr>
            <w:tcW w:w="643" w:type="dxa"/>
            <w:vMerge w:val="restart"/>
            <w:vAlign w:val="center"/>
          </w:tcPr>
          <w:p w14:paraId="301D96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主板规格</w:t>
            </w:r>
          </w:p>
        </w:tc>
        <w:tc>
          <w:tcPr>
            <w:tcW w:w="1440" w:type="dxa"/>
            <w:vAlign w:val="center"/>
          </w:tcPr>
          <w:p w14:paraId="7A28D7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*主板支持的CPU和内存情况</w:t>
            </w:r>
          </w:p>
        </w:tc>
        <w:tc>
          <w:tcPr>
            <w:tcW w:w="5560" w:type="dxa"/>
            <w:vAlign w:val="center"/>
          </w:tcPr>
          <w:p w14:paraId="0BE83B8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支持≥2颗CPU</w:t>
            </w:r>
            <w:r>
              <w:rPr>
                <w:rFonts w:hint="eastAsia" w:ascii="宋体" w:hAnsi="宋体" w:eastAsia="宋体" w:cs="宋体"/>
                <w:color w:val="auto"/>
                <w:sz w:val="21"/>
                <w:szCs w:val="21"/>
                <w:highlight w:val="none"/>
                <w:lang w:eastAsia="zh-CN"/>
              </w:rPr>
              <w:t>；</w:t>
            </w:r>
          </w:p>
          <w:p w14:paraId="674199B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支持≥1.5T内存</w:t>
            </w:r>
            <w:r>
              <w:rPr>
                <w:rFonts w:hint="eastAsia" w:ascii="宋体" w:hAnsi="宋体" w:eastAsia="宋体" w:cs="宋体"/>
                <w:color w:val="auto"/>
                <w:sz w:val="21"/>
                <w:szCs w:val="21"/>
                <w:highlight w:val="none"/>
                <w:lang w:eastAsia="zh-CN"/>
              </w:rPr>
              <w:t>。</w:t>
            </w:r>
          </w:p>
        </w:tc>
      </w:tr>
      <w:tr w14:paraId="1500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1C5DB5E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26" w:type="dxa"/>
            <w:vMerge w:val="continue"/>
            <w:vAlign w:val="center"/>
          </w:tcPr>
          <w:p w14:paraId="52180EDF">
            <w:pPr>
              <w:rPr>
                <w:rFonts w:hint="eastAsia" w:ascii="宋体" w:hAnsi="宋体" w:eastAsia="宋体" w:cs="宋体"/>
                <w:color w:val="auto"/>
                <w:sz w:val="21"/>
                <w:szCs w:val="21"/>
                <w:highlight w:val="none"/>
              </w:rPr>
            </w:pPr>
          </w:p>
        </w:tc>
        <w:tc>
          <w:tcPr>
            <w:tcW w:w="643" w:type="dxa"/>
            <w:vMerge w:val="continue"/>
            <w:vAlign w:val="center"/>
          </w:tcPr>
          <w:p w14:paraId="7FFF6470">
            <w:pPr>
              <w:rPr>
                <w:rFonts w:hint="eastAsia" w:ascii="宋体" w:hAnsi="宋体" w:eastAsia="宋体" w:cs="宋体"/>
                <w:color w:val="auto"/>
                <w:sz w:val="21"/>
                <w:szCs w:val="21"/>
                <w:highlight w:val="none"/>
              </w:rPr>
            </w:pPr>
          </w:p>
        </w:tc>
        <w:tc>
          <w:tcPr>
            <w:tcW w:w="1440" w:type="dxa"/>
            <w:vAlign w:val="center"/>
          </w:tcPr>
          <w:p w14:paraId="03BD1E5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*主板内存槽数量</w:t>
            </w:r>
          </w:p>
        </w:tc>
        <w:tc>
          <w:tcPr>
            <w:tcW w:w="5560" w:type="dxa"/>
            <w:vAlign w:val="center"/>
          </w:tcPr>
          <w:p w14:paraId="0940C632">
            <w:pPr>
              <w:rPr>
                <w:rFonts w:hint="eastAsia" w:ascii="宋体" w:hAnsi="宋体" w:eastAsia="宋体" w:cs="宋体"/>
                <w:strike/>
                <w:color w:val="auto"/>
                <w:sz w:val="21"/>
                <w:szCs w:val="21"/>
                <w:highlight w:val="none"/>
                <w:lang w:eastAsia="zh-CN"/>
              </w:rPr>
            </w:pPr>
            <w:r>
              <w:rPr>
                <w:rFonts w:hint="eastAsia" w:ascii="宋体" w:hAnsi="宋体" w:eastAsia="宋体" w:cs="宋体"/>
                <w:color w:val="auto"/>
                <w:sz w:val="21"/>
                <w:szCs w:val="21"/>
                <w:highlight w:val="none"/>
              </w:rPr>
              <w:t>内存插槽数量应不少于24个</w:t>
            </w:r>
            <w:r>
              <w:rPr>
                <w:rFonts w:hint="eastAsia" w:ascii="宋体" w:hAnsi="宋体" w:eastAsia="宋体" w:cs="宋体"/>
                <w:color w:val="auto"/>
                <w:sz w:val="21"/>
                <w:szCs w:val="21"/>
                <w:highlight w:val="none"/>
                <w:lang w:eastAsia="zh-CN"/>
              </w:rPr>
              <w:t>。</w:t>
            </w:r>
          </w:p>
        </w:tc>
      </w:tr>
      <w:tr w14:paraId="64A2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4293B3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426" w:type="dxa"/>
            <w:vMerge w:val="continue"/>
            <w:vAlign w:val="center"/>
          </w:tcPr>
          <w:p w14:paraId="37613D41">
            <w:pPr>
              <w:rPr>
                <w:rFonts w:hint="eastAsia" w:ascii="宋体" w:hAnsi="宋体" w:eastAsia="宋体" w:cs="宋体"/>
                <w:color w:val="auto"/>
                <w:sz w:val="21"/>
                <w:szCs w:val="21"/>
                <w:highlight w:val="none"/>
              </w:rPr>
            </w:pPr>
          </w:p>
        </w:tc>
        <w:tc>
          <w:tcPr>
            <w:tcW w:w="643" w:type="dxa"/>
            <w:vMerge w:val="continue"/>
            <w:vAlign w:val="center"/>
          </w:tcPr>
          <w:p w14:paraId="2877CA0B">
            <w:pPr>
              <w:rPr>
                <w:rFonts w:hint="eastAsia" w:ascii="宋体" w:hAnsi="宋体" w:eastAsia="宋体" w:cs="宋体"/>
                <w:color w:val="auto"/>
                <w:sz w:val="21"/>
                <w:szCs w:val="21"/>
                <w:highlight w:val="none"/>
              </w:rPr>
            </w:pPr>
          </w:p>
        </w:tc>
        <w:tc>
          <w:tcPr>
            <w:tcW w:w="1440" w:type="dxa"/>
            <w:vAlign w:val="center"/>
          </w:tcPr>
          <w:p w14:paraId="168EE3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*主板存储接口</w:t>
            </w:r>
          </w:p>
        </w:tc>
        <w:tc>
          <w:tcPr>
            <w:tcW w:w="5560" w:type="dxa"/>
            <w:vAlign w:val="center"/>
          </w:tcPr>
          <w:p w14:paraId="02B13DF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 SATA、SAS等存储接口</w:t>
            </w:r>
            <w:r>
              <w:rPr>
                <w:rFonts w:hint="eastAsia" w:ascii="宋体" w:hAnsi="宋体" w:eastAsia="宋体" w:cs="宋体"/>
                <w:color w:val="auto"/>
                <w:sz w:val="21"/>
                <w:szCs w:val="21"/>
                <w:highlight w:val="none"/>
                <w:lang w:eastAsia="zh-CN"/>
              </w:rPr>
              <w:t>。</w:t>
            </w:r>
          </w:p>
        </w:tc>
      </w:tr>
      <w:tr w14:paraId="5BA0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172C8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426" w:type="dxa"/>
            <w:vMerge w:val="continue"/>
            <w:vAlign w:val="center"/>
          </w:tcPr>
          <w:p w14:paraId="3B87DB6C">
            <w:pPr>
              <w:rPr>
                <w:rFonts w:hint="eastAsia" w:ascii="宋体" w:hAnsi="宋体" w:eastAsia="宋体" w:cs="宋体"/>
                <w:color w:val="auto"/>
                <w:sz w:val="21"/>
                <w:szCs w:val="21"/>
                <w:highlight w:val="none"/>
              </w:rPr>
            </w:pPr>
          </w:p>
        </w:tc>
        <w:tc>
          <w:tcPr>
            <w:tcW w:w="643" w:type="dxa"/>
            <w:vMerge w:val="continue"/>
            <w:vAlign w:val="center"/>
          </w:tcPr>
          <w:p w14:paraId="65F99FA4">
            <w:pPr>
              <w:rPr>
                <w:rFonts w:hint="eastAsia" w:ascii="宋体" w:hAnsi="宋体" w:eastAsia="宋体" w:cs="宋体"/>
                <w:color w:val="auto"/>
                <w:sz w:val="21"/>
                <w:szCs w:val="21"/>
                <w:highlight w:val="none"/>
              </w:rPr>
            </w:pPr>
          </w:p>
        </w:tc>
        <w:tc>
          <w:tcPr>
            <w:tcW w:w="1440" w:type="dxa"/>
            <w:vAlign w:val="center"/>
          </w:tcPr>
          <w:p w14:paraId="346E358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*PCIe 插槽接口</w:t>
            </w:r>
          </w:p>
        </w:tc>
        <w:tc>
          <w:tcPr>
            <w:tcW w:w="5560" w:type="dxa"/>
            <w:vAlign w:val="center"/>
          </w:tcPr>
          <w:p w14:paraId="0307C1C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 PCIe3.0 或以上的高速串行计算机扩展总线标准，PCIe 的接口速率与位宽需保证向下兼容</w:t>
            </w:r>
            <w:r>
              <w:rPr>
                <w:rFonts w:hint="eastAsia" w:ascii="宋体" w:hAnsi="宋体" w:eastAsia="宋体" w:cs="宋体"/>
                <w:color w:val="auto"/>
                <w:sz w:val="21"/>
                <w:szCs w:val="21"/>
                <w:highlight w:val="none"/>
                <w:lang w:eastAsia="zh-CN"/>
              </w:rPr>
              <w:t>。</w:t>
            </w:r>
          </w:p>
        </w:tc>
      </w:tr>
      <w:tr w14:paraId="15F3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E9E137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26" w:type="dxa"/>
            <w:vMerge w:val="continue"/>
            <w:vAlign w:val="center"/>
          </w:tcPr>
          <w:p w14:paraId="515E2F26">
            <w:pPr>
              <w:rPr>
                <w:rFonts w:hint="eastAsia" w:ascii="宋体" w:hAnsi="宋体" w:eastAsia="宋体" w:cs="宋体"/>
                <w:color w:val="auto"/>
                <w:sz w:val="21"/>
                <w:szCs w:val="21"/>
                <w:highlight w:val="none"/>
              </w:rPr>
            </w:pPr>
          </w:p>
        </w:tc>
        <w:tc>
          <w:tcPr>
            <w:tcW w:w="643" w:type="dxa"/>
            <w:vMerge w:val="continue"/>
            <w:vAlign w:val="center"/>
          </w:tcPr>
          <w:p w14:paraId="25439A00">
            <w:pPr>
              <w:rPr>
                <w:rFonts w:hint="eastAsia" w:ascii="宋体" w:hAnsi="宋体" w:eastAsia="宋体" w:cs="宋体"/>
                <w:color w:val="auto"/>
                <w:sz w:val="21"/>
                <w:szCs w:val="21"/>
                <w:highlight w:val="none"/>
              </w:rPr>
            </w:pPr>
          </w:p>
        </w:tc>
        <w:tc>
          <w:tcPr>
            <w:tcW w:w="1440" w:type="dxa"/>
            <w:vAlign w:val="center"/>
          </w:tcPr>
          <w:p w14:paraId="2D77B9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*主板PCIe插槽数量及规格</w:t>
            </w:r>
          </w:p>
        </w:tc>
        <w:tc>
          <w:tcPr>
            <w:tcW w:w="5560" w:type="dxa"/>
            <w:vAlign w:val="center"/>
          </w:tcPr>
          <w:p w14:paraId="6519483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PCIe 插槽总数不少于7个</w:t>
            </w:r>
            <w:r>
              <w:rPr>
                <w:rFonts w:hint="eastAsia" w:ascii="宋体" w:hAnsi="宋体" w:eastAsia="宋体" w:cs="宋体"/>
                <w:color w:val="auto"/>
                <w:sz w:val="21"/>
                <w:szCs w:val="21"/>
                <w:highlight w:val="none"/>
                <w:lang w:eastAsia="zh-CN"/>
              </w:rPr>
              <w:t>。</w:t>
            </w:r>
          </w:p>
        </w:tc>
      </w:tr>
      <w:tr w14:paraId="7B7E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45890D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426" w:type="dxa"/>
            <w:vMerge w:val="continue"/>
            <w:vAlign w:val="center"/>
          </w:tcPr>
          <w:p w14:paraId="35D8CB8F">
            <w:pPr>
              <w:rPr>
                <w:rFonts w:hint="eastAsia" w:ascii="宋体" w:hAnsi="宋体" w:eastAsia="宋体" w:cs="宋体"/>
                <w:color w:val="auto"/>
                <w:sz w:val="21"/>
                <w:szCs w:val="21"/>
                <w:highlight w:val="none"/>
              </w:rPr>
            </w:pPr>
          </w:p>
        </w:tc>
        <w:tc>
          <w:tcPr>
            <w:tcW w:w="643" w:type="dxa"/>
            <w:vMerge w:val="restart"/>
            <w:vAlign w:val="center"/>
          </w:tcPr>
          <w:p w14:paraId="58253A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*内存规格</w:t>
            </w:r>
          </w:p>
        </w:tc>
        <w:tc>
          <w:tcPr>
            <w:tcW w:w="1440" w:type="dxa"/>
            <w:vAlign w:val="center"/>
          </w:tcPr>
          <w:p w14:paraId="274A1A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*内存数量</w:t>
            </w:r>
          </w:p>
        </w:tc>
        <w:tc>
          <w:tcPr>
            <w:tcW w:w="5560" w:type="dxa"/>
            <w:vAlign w:val="center"/>
          </w:tcPr>
          <w:p w14:paraId="60F03DC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w:t>
            </w:r>
          </w:p>
        </w:tc>
      </w:tr>
      <w:tr w14:paraId="53CB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C2D7E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426" w:type="dxa"/>
            <w:vMerge w:val="continue"/>
            <w:vAlign w:val="center"/>
          </w:tcPr>
          <w:p w14:paraId="385BDE7B">
            <w:pPr>
              <w:rPr>
                <w:rFonts w:hint="eastAsia" w:ascii="宋体" w:hAnsi="宋体" w:eastAsia="宋体" w:cs="宋体"/>
                <w:color w:val="auto"/>
                <w:sz w:val="21"/>
                <w:szCs w:val="21"/>
                <w:highlight w:val="none"/>
              </w:rPr>
            </w:pPr>
          </w:p>
        </w:tc>
        <w:tc>
          <w:tcPr>
            <w:tcW w:w="643" w:type="dxa"/>
            <w:vMerge w:val="continue"/>
            <w:vAlign w:val="center"/>
          </w:tcPr>
          <w:p w14:paraId="3772DB91">
            <w:pPr>
              <w:rPr>
                <w:rFonts w:hint="eastAsia" w:ascii="宋体" w:hAnsi="宋体" w:eastAsia="宋体" w:cs="宋体"/>
                <w:color w:val="auto"/>
                <w:sz w:val="21"/>
                <w:szCs w:val="21"/>
                <w:highlight w:val="none"/>
              </w:rPr>
            </w:pPr>
          </w:p>
        </w:tc>
        <w:tc>
          <w:tcPr>
            <w:tcW w:w="1440" w:type="dxa"/>
            <w:vAlign w:val="center"/>
          </w:tcPr>
          <w:p w14:paraId="4C5E1D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*内存规格</w:t>
            </w:r>
          </w:p>
        </w:tc>
        <w:tc>
          <w:tcPr>
            <w:tcW w:w="5560" w:type="dxa"/>
            <w:vAlign w:val="center"/>
          </w:tcPr>
          <w:p w14:paraId="518E1BB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≥64G DDR4 3200MHz ECC</w:t>
            </w:r>
            <w:r>
              <w:rPr>
                <w:rFonts w:hint="eastAsia" w:ascii="宋体" w:hAnsi="宋体" w:eastAsia="宋体" w:cs="宋体"/>
                <w:color w:val="auto"/>
                <w:sz w:val="21"/>
                <w:szCs w:val="21"/>
                <w:highlight w:val="none"/>
                <w:lang w:eastAsia="zh-CN"/>
              </w:rPr>
              <w:t>。</w:t>
            </w:r>
          </w:p>
        </w:tc>
      </w:tr>
      <w:bookmarkEnd w:id="28"/>
      <w:tr w14:paraId="234A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4FF864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426" w:type="dxa"/>
            <w:vMerge w:val="continue"/>
            <w:vAlign w:val="center"/>
          </w:tcPr>
          <w:p w14:paraId="74A29FDE">
            <w:pPr>
              <w:rPr>
                <w:rFonts w:hint="eastAsia" w:ascii="宋体" w:hAnsi="宋体" w:eastAsia="宋体" w:cs="宋体"/>
                <w:color w:val="auto"/>
                <w:sz w:val="21"/>
                <w:szCs w:val="21"/>
                <w:highlight w:val="none"/>
              </w:rPr>
            </w:pPr>
          </w:p>
        </w:tc>
        <w:tc>
          <w:tcPr>
            <w:tcW w:w="643" w:type="dxa"/>
            <w:vMerge w:val="continue"/>
            <w:vAlign w:val="center"/>
          </w:tcPr>
          <w:p w14:paraId="3C8B1C74">
            <w:pPr>
              <w:rPr>
                <w:rFonts w:hint="eastAsia" w:ascii="宋体" w:hAnsi="宋体" w:eastAsia="宋体" w:cs="宋体"/>
                <w:color w:val="auto"/>
                <w:sz w:val="21"/>
                <w:szCs w:val="21"/>
                <w:highlight w:val="none"/>
              </w:rPr>
            </w:pPr>
          </w:p>
        </w:tc>
        <w:tc>
          <w:tcPr>
            <w:tcW w:w="1440" w:type="dxa"/>
            <w:vAlign w:val="center"/>
          </w:tcPr>
          <w:p w14:paraId="0068C74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*内存通道</w:t>
            </w:r>
          </w:p>
        </w:tc>
        <w:tc>
          <w:tcPr>
            <w:tcW w:w="5560" w:type="dxa"/>
            <w:vAlign w:val="center"/>
          </w:tcPr>
          <w:p w14:paraId="40566B0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支持多个内存接口通道</w:t>
            </w:r>
            <w:r>
              <w:rPr>
                <w:rFonts w:hint="eastAsia" w:ascii="宋体" w:hAnsi="宋体" w:eastAsia="宋体" w:cs="宋体"/>
                <w:color w:val="auto"/>
                <w:sz w:val="21"/>
                <w:szCs w:val="21"/>
                <w:highlight w:val="none"/>
                <w:lang w:eastAsia="zh-CN"/>
              </w:rPr>
              <w:t>。</w:t>
            </w:r>
          </w:p>
        </w:tc>
      </w:tr>
      <w:tr w14:paraId="08E5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9EC1BB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426" w:type="dxa"/>
            <w:vMerge w:val="continue"/>
            <w:vAlign w:val="center"/>
          </w:tcPr>
          <w:p w14:paraId="31F10FBB">
            <w:pPr>
              <w:rPr>
                <w:rFonts w:hint="eastAsia" w:ascii="宋体" w:hAnsi="宋体" w:eastAsia="宋体" w:cs="宋体"/>
                <w:color w:val="auto"/>
                <w:sz w:val="21"/>
                <w:szCs w:val="21"/>
                <w:highlight w:val="none"/>
              </w:rPr>
            </w:pPr>
          </w:p>
        </w:tc>
        <w:tc>
          <w:tcPr>
            <w:tcW w:w="643" w:type="dxa"/>
            <w:vMerge w:val="restart"/>
            <w:vAlign w:val="center"/>
          </w:tcPr>
          <w:p w14:paraId="07F54C4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*存储规格</w:t>
            </w:r>
          </w:p>
        </w:tc>
        <w:tc>
          <w:tcPr>
            <w:tcW w:w="1440" w:type="dxa"/>
            <w:vAlign w:val="center"/>
          </w:tcPr>
          <w:p w14:paraId="687B32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*硬盘插槽数量及规格</w:t>
            </w:r>
          </w:p>
        </w:tc>
        <w:tc>
          <w:tcPr>
            <w:tcW w:w="5560" w:type="dxa"/>
            <w:vAlign w:val="center"/>
          </w:tcPr>
          <w:p w14:paraId="595ABBD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配置≥12个3.5寸硬盘插槽，支持SATA、SAS接口SSD</w:t>
            </w:r>
            <w:r>
              <w:rPr>
                <w:rFonts w:hint="eastAsia" w:ascii="宋体" w:hAnsi="宋体" w:eastAsia="宋体" w:cs="宋体"/>
                <w:color w:val="auto"/>
                <w:sz w:val="21"/>
                <w:szCs w:val="21"/>
                <w:highlight w:val="none"/>
                <w:lang w:eastAsia="zh-CN"/>
              </w:rPr>
              <w:t>。</w:t>
            </w:r>
          </w:p>
        </w:tc>
      </w:tr>
      <w:tr w14:paraId="5AF0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F015B3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426" w:type="dxa"/>
            <w:vMerge w:val="continue"/>
            <w:vAlign w:val="center"/>
          </w:tcPr>
          <w:p w14:paraId="52164173">
            <w:pPr>
              <w:rPr>
                <w:rFonts w:hint="eastAsia" w:ascii="宋体" w:hAnsi="宋体" w:eastAsia="宋体" w:cs="宋体"/>
                <w:color w:val="auto"/>
                <w:sz w:val="21"/>
                <w:szCs w:val="21"/>
                <w:highlight w:val="none"/>
              </w:rPr>
            </w:pPr>
          </w:p>
        </w:tc>
        <w:tc>
          <w:tcPr>
            <w:tcW w:w="643" w:type="dxa"/>
            <w:vMerge w:val="continue"/>
            <w:vAlign w:val="center"/>
          </w:tcPr>
          <w:p w14:paraId="3AD9B025">
            <w:pPr>
              <w:rPr>
                <w:rFonts w:hint="eastAsia" w:ascii="宋体" w:hAnsi="宋体" w:eastAsia="宋体" w:cs="宋体"/>
                <w:color w:val="auto"/>
                <w:sz w:val="21"/>
                <w:szCs w:val="21"/>
                <w:highlight w:val="none"/>
              </w:rPr>
            </w:pPr>
          </w:p>
        </w:tc>
        <w:tc>
          <w:tcPr>
            <w:tcW w:w="1440" w:type="dxa"/>
            <w:vAlign w:val="center"/>
          </w:tcPr>
          <w:p w14:paraId="4C474D5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*硬磁盘实配容量及硬盘实配数量</w:t>
            </w:r>
          </w:p>
        </w:tc>
        <w:tc>
          <w:tcPr>
            <w:tcW w:w="5560" w:type="dxa"/>
            <w:vAlign w:val="center"/>
          </w:tcPr>
          <w:p w14:paraId="666ECA8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系统盘：≥2块*240GB SATA SSD</w:t>
            </w:r>
            <w:r>
              <w:rPr>
                <w:rFonts w:hint="eastAsia" w:ascii="宋体" w:hAnsi="宋体" w:eastAsia="宋体" w:cs="宋体"/>
                <w:color w:val="auto"/>
                <w:sz w:val="21"/>
                <w:szCs w:val="21"/>
                <w:highlight w:val="none"/>
                <w:lang w:eastAsia="zh-CN"/>
              </w:rPr>
              <w:t>；</w:t>
            </w:r>
          </w:p>
          <w:p w14:paraId="1406166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数据盘：≥10块*3.84T SSD</w:t>
            </w:r>
            <w:r>
              <w:rPr>
                <w:rFonts w:hint="eastAsia" w:ascii="宋体" w:hAnsi="宋体" w:eastAsia="宋体" w:cs="宋体"/>
                <w:color w:val="auto"/>
                <w:sz w:val="21"/>
                <w:szCs w:val="21"/>
                <w:highlight w:val="none"/>
                <w:lang w:eastAsia="zh-CN"/>
              </w:rPr>
              <w:t>。</w:t>
            </w:r>
          </w:p>
        </w:tc>
      </w:tr>
      <w:tr w14:paraId="16AB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847B9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426" w:type="dxa"/>
            <w:vMerge w:val="continue"/>
            <w:vAlign w:val="center"/>
          </w:tcPr>
          <w:p w14:paraId="229F1495">
            <w:pPr>
              <w:rPr>
                <w:rFonts w:hint="eastAsia" w:ascii="宋体" w:hAnsi="宋体" w:eastAsia="宋体" w:cs="宋体"/>
                <w:color w:val="auto"/>
                <w:sz w:val="21"/>
                <w:szCs w:val="21"/>
                <w:highlight w:val="none"/>
              </w:rPr>
            </w:pPr>
          </w:p>
        </w:tc>
        <w:tc>
          <w:tcPr>
            <w:tcW w:w="643" w:type="dxa"/>
            <w:vAlign w:val="center"/>
          </w:tcPr>
          <w:p w14:paraId="4BE54BE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*网络规格</w:t>
            </w:r>
          </w:p>
        </w:tc>
        <w:tc>
          <w:tcPr>
            <w:tcW w:w="1440" w:type="dxa"/>
            <w:vAlign w:val="center"/>
          </w:tcPr>
          <w:p w14:paraId="369DCA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*网口速率和数量</w:t>
            </w:r>
          </w:p>
        </w:tc>
        <w:tc>
          <w:tcPr>
            <w:tcW w:w="5560" w:type="dxa"/>
            <w:vAlign w:val="center"/>
          </w:tcPr>
          <w:p w14:paraId="5E6D002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≥4千兆电口+4万兆光口（含光模块）</w:t>
            </w:r>
            <w:r>
              <w:rPr>
                <w:rFonts w:hint="eastAsia" w:ascii="宋体" w:hAnsi="宋体" w:eastAsia="宋体" w:cs="宋体"/>
                <w:color w:val="auto"/>
                <w:sz w:val="21"/>
                <w:szCs w:val="21"/>
                <w:highlight w:val="none"/>
                <w:lang w:eastAsia="zh-CN"/>
              </w:rPr>
              <w:t>。</w:t>
            </w:r>
          </w:p>
        </w:tc>
      </w:tr>
      <w:tr w14:paraId="6850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B55C2B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426" w:type="dxa"/>
            <w:vMerge w:val="continue"/>
            <w:vAlign w:val="center"/>
          </w:tcPr>
          <w:p w14:paraId="641BD320">
            <w:pPr>
              <w:rPr>
                <w:rFonts w:hint="eastAsia" w:ascii="宋体" w:hAnsi="宋体" w:eastAsia="宋体" w:cs="宋体"/>
                <w:color w:val="auto"/>
                <w:sz w:val="21"/>
                <w:szCs w:val="21"/>
                <w:highlight w:val="none"/>
              </w:rPr>
            </w:pPr>
          </w:p>
        </w:tc>
        <w:tc>
          <w:tcPr>
            <w:tcW w:w="643" w:type="dxa"/>
            <w:vMerge w:val="restart"/>
            <w:vAlign w:val="center"/>
          </w:tcPr>
          <w:p w14:paraId="1A7F5B0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*外部接口规格</w:t>
            </w:r>
          </w:p>
        </w:tc>
        <w:tc>
          <w:tcPr>
            <w:tcW w:w="1440" w:type="dxa"/>
            <w:vAlign w:val="center"/>
          </w:tcPr>
          <w:p w14:paraId="22D2E9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*显示接口</w:t>
            </w:r>
          </w:p>
        </w:tc>
        <w:tc>
          <w:tcPr>
            <w:tcW w:w="5560" w:type="dxa"/>
            <w:vAlign w:val="center"/>
          </w:tcPr>
          <w:p w14:paraId="1060B01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显示接口类型支持 VGA等</w:t>
            </w:r>
            <w:r>
              <w:rPr>
                <w:rFonts w:hint="eastAsia" w:ascii="宋体" w:hAnsi="宋体" w:eastAsia="宋体" w:cs="宋体"/>
                <w:color w:val="auto"/>
                <w:sz w:val="21"/>
                <w:szCs w:val="21"/>
                <w:highlight w:val="none"/>
                <w:lang w:eastAsia="zh-CN"/>
              </w:rPr>
              <w:t>。</w:t>
            </w:r>
          </w:p>
        </w:tc>
      </w:tr>
      <w:tr w14:paraId="6FE1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7248D26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426" w:type="dxa"/>
            <w:vMerge w:val="continue"/>
            <w:vAlign w:val="center"/>
          </w:tcPr>
          <w:p w14:paraId="6EBDD705">
            <w:pPr>
              <w:rPr>
                <w:rFonts w:hint="eastAsia" w:ascii="宋体" w:hAnsi="宋体" w:eastAsia="宋体" w:cs="宋体"/>
                <w:color w:val="auto"/>
                <w:sz w:val="21"/>
                <w:szCs w:val="21"/>
                <w:highlight w:val="none"/>
              </w:rPr>
            </w:pPr>
          </w:p>
        </w:tc>
        <w:tc>
          <w:tcPr>
            <w:tcW w:w="643" w:type="dxa"/>
            <w:vMerge w:val="continue"/>
            <w:vAlign w:val="center"/>
          </w:tcPr>
          <w:p w14:paraId="03EECDD6">
            <w:pPr>
              <w:rPr>
                <w:rFonts w:hint="eastAsia" w:ascii="宋体" w:hAnsi="宋体" w:eastAsia="宋体" w:cs="宋体"/>
                <w:color w:val="auto"/>
                <w:sz w:val="21"/>
                <w:szCs w:val="21"/>
                <w:highlight w:val="none"/>
              </w:rPr>
            </w:pPr>
          </w:p>
        </w:tc>
        <w:tc>
          <w:tcPr>
            <w:tcW w:w="1440" w:type="dxa"/>
            <w:vAlign w:val="center"/>
          </w:tcPr>
          <w:p w14:paraId="7B5B375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*USB 接口</w:t>
            </w:r>
          </w:p>
        </w:tc>
        <w:tc>
          <w:tcPr>
            <w:tcW w:w="5560" w:type="dxa"/>
            <w:vAlign w:val="center"/>
          </w:tcPr>
          <w:p w14:paraId="756647E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配备不少于4个USB接口，接口满足2.0及以上</w:t>
            </w:r>
            <w:r>
              <w:rPr>
                <w:rFonts w:hint="eastAsia" w:ascii="宋体" w:hAnsi="宋体" w:eastAsia="宋体" w:cs="宋体"/>
                <w:color w:val="auto"/>
                <w:sz w:val="21"/>
                <w:szCs w:val="21"/>
                <w:highlight w:val="none"/>
                <w:lang w:eastAsia="zh-CN"/>
              </w:rPr>
              <w:t>。</w:t>
            </w:r>
          </w:p>
        </w:tc>
      </w:tr>
      <w:tr w14:paraId="6C32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40521FD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426" w:type="dxa"/>
            <w:vMerge w:val="continue"/>
            <w:vAlign w:val="center"/>
          </w:tcPr>
          <w:p w14:paraId="299CF033">
            <w:pPr>
              <w:rPr>
                <w:rFonts w:hint="eastAsia" w:ascii="宋体" w:hAnsi="宋体" w:eastAsia="宋体" w:cs="宋体"/>
                <w:color w:val="auto"/>
                <w:sz w:val="21"/>
                <w:szCs w:val="21"/>
                <w:highlight w:val="none"/>
              </w:rPr>
            </w:pPr>
          </w:p>
        </w:tc>
        <w:tc>
          <w:tcPr>
            <w:tcW w:w="643" w:type="dxa"/>
            <w:vMerge w:val="restart"/>
            <w:vAlign w:val="center"/>
          </w:tcPr>
          <w:p w14:paraId="04B78DA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*电源规格</w:t>
            </w:r>
          </w:p>
        </w:tc>
        <w:tc>
          <w:tcPr>
            <w:tcW w:w="1440" w:type="dxa"/>
            <w:vAlign w:val="center"/>
          </w:tcPr>
          <w:p w14:paraId="10C0F65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*电源模块数量</w:t>
            </w:r>
          </w:p>
        </w:tc>
        <w:tc>
          <w:tcPr>
            <w:tcW w:w="5560" w:type="dxa"/>
            <w:vAlign w:val="center"/>
          </w:tcPr>
          <w:p w14:paraId="361614E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≥2个</w:t>
            </w:r>
            <w:r>
              <w:rPr>
                <w:rFonts w:hint="eastAsia" w:ascii="宋体" w:hAnsi="宋体" w:eastAsia="宋体" w:cs="宋体"/>
                <w:color w:val="auto"/>
                <w:sz w:val="21"/>
                <w:szCs w:val="21"/>
                <w:highlight w:val="none"/>
                <w:lang w:eastAsia="zh-CN"/>
              </w:rPr>
              <w:t>。</w:t>
            </w:r>
          </w:p>
        </w:tc>
      </w:tr>
      <w:tr w14:paraId="717A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BA1D73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426" w:type="dxa"/>
            <w:vMerge w:val="continue"/>
            <w:vAlign w:val="center"/>
          </w:tcPr>
          <w:p w14:paraId="6AC93410">
            <w:pPr>
              <w:rPr>
                <w:rFonts w:hint="eastAsia" w:ascii="宋体" w:hAnsi="宋体" w:eastAsia="宋体" w:cs="宋体"/>
                <w:color w:val="auto"/>
                <w:sz w:val="21"/>
                <w:szCs w:val="21"/>
                <w:highlight w:val="none"/>
              </w:rPr>
            </w:pPr>
          </w:p>
        </w:tc>
        <w:tc>
          <w:tcPr>
            <w:tcW w:w="643" w:type="dxa"/>
            <w:vMerge w:val="continue"/>
            <w:vAlign w:val="center"/>
          </w:tcPr>
          <w:p w14:paraId="43DF2BAB">
            <w:pPr>
              <w:rPr>
                <w:rFonts w:hint="eastAsia" w:ascii="宋体" w:hAnsi="宋体" w:eastAsia="宋体" w:cs="宋体"/>
                <w:color w:val="auto"/>
                <w:sz w:val="21"/>
                <w:szCs w:val="21"/>
                <w:highlight w:val="none"/>
              </w:rPr>
            </w:pPr>
          </w:p>
        </w:tc>
        <w:tc>
          <w:tcPr>
            <w:tcW w:w="1440" w:type="dxa"/>
            <w:vAlign w:val="center"/>
          </w:tcPr>
          <w:p w14:paraId="639B21A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*电源功率</w:t>
            </w:r>
          </w:p>
        </w:tc>
        <w:tc>
          <w:tcPr>
            <w:tcW w:w="5560" w:type="dxa"/>
            <w:vAlign w:val="center"/>
          </w:tcPr>
          <w:p w14:paraId="5166D80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单电源模块功率≥1300w</w:t>
            </w:r>
            <w:r>
              <w:rPr>
                <w:rFonts w:hint="eastAsia" w:ascii="宋体" w:hAnsi="宋体" w:eastAsia="宋体" w:cs="宋体"/>
                <w:color w:val="auto"/>
                <w:sz w:val="21"/>
                <w:szCs w:val="21"/>
                <w:highlight w:val="none"/>
                <w:lang w:eastAsia="zh-CN"/>
              </w:rPr>
              <w:t>。</w:t>
            </w:r>
          </w:p>
        </w:tc>
      </w:tr>
      <w:tr w14:paraId="0A4C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2106E8F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426" w:type="dxa"/>
            <w:vMerge w:val="continue"/>
            <w:vAlign w:val="center"/>
          </w:tcPr>
          <w:p w14:paraId="212346BC">
            <w:pPr>
              <w:rPr>
                <w:rFonts w:hint="eastAsia" w:ascii="宋体" w:hAnsi="宋体" w:eastAsia="宋体" w:cs="宋体"/>
                <w:color w:val="auto"/>
                <w:sz w:val="21"/>
                <w:szCs w:val="21"/>
                <w:highlight w:val="none"/>
              </w:rPr>
            </w:pPr>
          </w:p>
        </w:tc>
        <w:tc>
          <w:tcPr>
            <w:tcW w:w="643" w:type="dxa"/>
            <w:vMerge w:val="restart"/>
            <w:vAlign w:val="center"/>
          </w:tcPr>
          <w:p w14:paraId="615D645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*整机规格</w:t>
            </w:r>
          </w:p>
        </w:tc>
        <w:tc>
          <w:tcPr>
            <w:tcW w:w="1440" w:type="dxa"/>
            <w:vAlign w:val="center"/>
          </w:tcPr>
          <w:p w14:paraId="56DEAF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*外观和结构</w:t>
            </w:r>
          </w:p>
        </w:tc>
        <w:tc>
          <w:tcPr>
            <w:tcW w:w="5560" w:type="dxa"/>
            <w:vAlign w:val="center"/>
          </w:tcPr>
          <w:p w14:paraId="38064C6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a）服务器的零部件应紧固无松动，可插拔部件应可靠连接，开关、按钮和其它控制部件应灵活可靠，布局应方便使用</w:t>
            </w:r>
            <w:r>
              <w:rPr>
                <w:rFonts w:hint="eastAsia" w:ascii="宋体" w:hAnsi="宋体" w:eastAsia="宋体" w:cs="宋体"/>
                <w:color w:val="auto"/>
                <w:sz w:val="21"/>
                <w:szCs w:val="21"/>
                <w:highlight w:val="none"/>
                <w:lang w:eastAsia="zh-CN"/>
              </w:rPr>
              <w:t>。</w:t>
            </w:r>
          </w:p>
          <w:p w14:paraId="64AEBD8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b）产品表面不应有明显的凹痕、划伤、裂缝、变形和污染等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表面涂层均匀，不应起泡、龟裂、脱落和磨损，金属零部件无锈蚀及其它机械损伤</w:t>
            </w:r>
            <w:r>
              <w:rPr>
                <w:rFonts w:hint="eastAsia" w:ascii="宋体" w:hAnsi="宋体" w:eastAsia="宋体" w:cs="宋体"/>
                <w:color w:val="auto"/>
                <w:sz w:val="21"/>
                <w:szCs w:val="21"/>
                <w:highlight w:val="none"/>
                <w:lang w:eastAsia="zh-CN"/>
              </w:rPr>
              <w:t>。</w:t>
            </w:r>
          </w:p>
          <w:p w14:paraId="1EA8B16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c）产品表面说明功能的文字、符号和标志应清晰、端正且牢固</w:t>
            </w:r>
            <w:r>
              <w:rPr>
                <w:rFonts w:hint="eastAsia" w:ascii="宋体" w:hAnsi="宋体" w:eastAsia="宋体" w:cs="宋体"/>
                <w:color w:val="auto"/>
                <w:sz w:val="21"/>
                <w:szCs w:val="21"/>
                <w:highlight w:val="none"/>
                <w:lang w:eastAsia="zh-CN"/>
              </w:rPr>
              <w:t>。</w:t>
            </w:r>
          </w:p>
          <w:p w14:paraId="48AB082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d）应在服务器的显著位置提供运行状态的指示功能，并在随机文件中明确具体含义</w:t>
            </w:r>
            <w:r>
              <w:rPr>
                <w:rFonts w:hint="eastAsia" w:ascii="宋体" w:hAnsi="宋体" w:eastAsia="宋体" w:cs="宋体"/>
                <w:color w:val="auto"/>
                <w:sz w:val="21"/>
                <w:szCs w:val="21"/>
                <w:highlight w:val="none"/>
                <w:lang w:eastAsia="zh-CN"/>
              </w:rPr>
              <w:t>。</w:t>
            </w:r>
          </w:p>
          <w:p w14:paraId="64646F1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eastAsia="宋体" w:cs="宋体"/>
                <w:color w:val="auto"/>
                <w:sz w:val="21"/>
                <w:szCs w:val="21"/>
                <w:highlight w:val="none"/>
                <w:lang w:eastAsia="zh-CN"/>
              </w:rPr>
              <w:t>。</w:t>
            </w:r>
          </w:p>
          <w:p w14:paraId="7C05FA8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f）高密度服务器应给出CPU</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个数与机柜高度</w:t>
            </w:r>
            <w:r>
              <w:rPr>
                <w:rFonts w:hint="eastAsia" w:ascii="宋体" w:hAnsi="宋体" w:eastAsia="宋体" w:cs="宋体"/>
                <w:color w:val="auto"/>
                <w:sz w:val="21"/>
                <w:szCs w:val="21"/>
                <w:highlight w:val="none"/>
                <w:lang w:eastAsia="zh-CN"/>
              </w:rPr>
              <w:t>。</w:t>
            </w:r>
          </w:p>
          <w:p w14:paraId="0C67EF1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 服务器尺寸具体要求在随机文件中明确</w:t>
            </w:r>
            <w:r>
              <w:rPr>
                <w:rFonts w:hint="eastAsia" w:ascii="宋体" w:hAnsi="宋体" w:eastAsia="宋体" w:cs="宋体"/>
                <w:color w:val="auto"/>
                <w:sz w:val="21"/>
                <w:szCs w:val="21"/>
                <w:highlight w:val="none"/>
                <w:lang w:eastAsia="zh-CN"/>
              </w:rPr>
              <w:t>。</w:t>
            </w:r>
          </w:p>
        </w:tc>
      </w:tr>
      <w:tr w14:paraId="3D4C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2BAAC9E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426" w:type="dxa"/>
            <w:vMerge w:val="continue"/>
            <w:vAlign w:val="center"/>
          </w:tcPr>
          <w:p w14:paraId="52103F77">
            <w:pPr>
              <w:rPr>
                <w:rFonts w:hint="eastAsia" w:ascii="宋体" w:hAnsi="宋体" w:eastAsia="宋体" w:cs="宋体"/>
                <w:color w:val="auto"/>
                <w:sz w:val="21"/>
                <w:szCs w:val="21"/>
                <w:highlight w:val="none"/>
              </w:rPr>
            </w:pPr>
          </w:p>
        </w:tc>
        <w:tc>
          <w:tcPr>
            <w:tcW w:w="643" w:type="dxa"/>
            <w:vMerge w:val="continue"/>
            <w:vAlign w:val="center"/>
          </w:tcPr>
          <w:p w14:paraId="545F99F0">
            <w:pPr>
              <w:rPr>
                <w:rFonts w:hint="eastAsia" w:ascii="宋体" w:hAnsi="宋体" w:eastAsia="宋体" w:cs="宋体"/>
                <w:color w:val="auto"/>
                <w:sz w:val="21"/>
                <w:szCs w:val="21"/>
                <w:highlight w:val="none"/>
              </w:rPr>
            </w:pPr>
          </w:p>
        </w:tc>
        <w:tc>
          <w:tcPr>
            <w:tcW w:w="1440" w:type="dxa"/>
            <w:vAlign w:val="center"/>
          </w:tcPr>
          <w:p w14:paraId="72A160A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*尺寸（高×宽×深）</w:t>
            </w:r>
          </w:p>
        </w:tc>
        <w:tc>
          <w:tcPr>
            <w:tcW w:w="5560" w:type="dxa"/>
            <w:vAlign w:val="center"/>
          </w:tcPr>
          <w:p w14:paraId="3404F58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供应商给出产品尺寸；设计应遵循标准化、系列化的要求；机箱的内部结构符合通用部件的安装需要</w:t>
            </w:r>
            <w:r>
              <w:rPr>
                <w:rFonts w:hint="eastAsia" w:ascii="宋体" w:hAnsi="宋体" w:eastAsia="宋体" w:cs="宋体"/>
                <w:color w:val="auto"/>
                <w:sz w:val="21"/>
                <w:szCs w:val="21"/>
                <w:highlight w:val="none"/>
                <w:lang w:eastAsia="zh-CN"/>
              </w:rPr>
              <w:t>。</w:t>
            </w:r>
          </w:p>
        </w:tc>
      </w:tr>
      <w:tr w14:paraId="2119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295DE2E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426" w:type="dxa"/>
            <w:vMerge w:val="continue"/>
            <w:vAlign w:val="center"/>
          </w:tcPr>
          <w:p w14:paraId="11D5ACA1">
            <w:pPr>
              <w:rPr>
                <w:rFonts w:hint="eastAsia" w:ascii="宋体" w:hAnsi="宋体" w:eastAsia="宋体" w:cs="宋体"/>
                <w:color w:val="auto"/>
                <w:sz w:val="21"/>
                <w:szCs w:val="21"/>
                <w:highlight w:val="none"/>
              </w:rPr>
            </w:pPr>
          </w:p>
        </w:tc>
        <w:tc>
          <w:tcPr>
            <w:tcW w:w="643" w:type="dxa"/>
            <w:vMerge w:val="continue"/>
            <w:vAlign w:val="center"/>
          </w:tcPr>
          <w:p w14:paraId="4D4C5CA0">
            <w:pPr>
              <w:rPr>
                <w:rFonts w:hint="eastAsia" w:ascii="宋体" w:hAnsi="宋体" w:eastAsia="宋体" w:cs="宋体"/>
                <w:color w:val="auto"/>
                <w:sz w:val="21"/>
                <w:szCs w:val="21"/>
                <w:highlight w:val="none"/>
              </w:rPr>
            </w:pPr>
          </w:p>
        </w:tc>
        <w:tc>
          <w:tcPr>
            <w:tcW w:w="1440" w:type="dxa"/>
            <w:vAlign w:val="center"/>
          </w:tcPr>
          <w:p w14:paraId="058A528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*环境适应性</w:t>
            </w:r>
          </w:p>
        </w:tc>
        <w:tc>
          <w:tcPr>
            <w:tcW w:w="5560" w:type="dxa"/>
            <w:vAlign w:val="center"/>
          </w:tcPr>
          <w:p w14:paraId="268D985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气候环境适应性应符合GB/T9813.3的有关规定，工作温度 10～35℃，贮存运输温度-40～55℃；工作相对湿度35%～80%，贮存运输相对湿度20％～93%（40℃）；大气压86～106kPa</w:t>
            </w:r>
            <w:r>
              <w:rPr>
                <w:rFonts w:hint="eastAsia" w:ascii="宋体" w:hAnsi="宋体" w:eastAsia="宋体" w:cs="宋体"/>
                <w:color w:val="auto"/>
                <w:sz w:val="21"/>
                <w:szCs w:val="21"/>
                <w:highlight w:val="none"/>
                <w:lang w:eastAsia="zh-CN"/>
              </w:rPr>
              <w:t>。</w:t>
            </w:r>
          </w:p>
        </w:tc>
      </w:tr>
      <w:tr w14:paraId="0790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4B8E363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p>
        </w:tc>
        <w:tc>
          <w:tcPr>
            <w:tcW w:w="426" w:type="dxa"/>
            <w:vMerge w:val="continue"/>
            <w:vAlign w:val="center"/>
          </w:tcPr>
          <w:p w14:paraId="48469980">
            <w:pPr>
              <w:rPr>
                <w:rFonts w:hint="eastAsia" w:ascii="宋体" w:hAnsi="宋体" w:eastAsia="宋体" w:cs="宋体"/>
                <w:color w:val="auto"/>
                <w:sz w:val="21"/>
                <w:szCs w:val="21"/>
                <w:highlight w:val="none"/>
              </w:rPr>
            </w:pPr>
          </w:p>
        </w:tc>
        <w:tc>
          <w:tcPr>
            <w:tcW w:w="643" w:type="dxa"/>
            <w:vMerge w:val="continue"/>
            <w:vAlign w:val="center"/>
          </w:tcPr>
          <w:p w14:paraId="586B6B22">
            <w:pPr>
              <w:rPr>
                <w:rFonts w:hint="eastAsia" w:ascii="宋体" w:hAnsi="宋体" w:eastAsia="宋体" w:cs="宋体"/>
                <w:color w:val="auto"/>
                <w:sz w:val="21"/>
                <w:szCs w:val="21"/>
                <w:highlight w:val="none"/>
              </w:rPr>
            </w:pPr>
          </w:p>
        </w:tc>
        <w:tc>
          <w:tcPr>
            <w:tcW w:w="1440" w:type="dxa"/>
            <w:vAlign w:val="center"/>
          </w:tcPr>
          <w:p w14:paraId="7D20989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*机械环境适应性</w:t>
            </w:r>
          </w:p>
        </w:tc>
        <w:tc>
          <w:tcPr>
            <w:tcW w:w="5560" w:type="dxa"/>
            <w:vAlign w:val="center"/>
          </w:tcPr>
          <w:p w14:paraId="253C5B0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机械环境适应性应符合GB/T9813.3的有关规定</w:t>
            </w:r>
            <w:r>
              <w:rPr>
                <w:rFonts w:hint="eastAsia" w:ascii="宋体" w:hAnsi="宋体" w:eastAsia="宋体" w:cs="宋体"/>
                <w:color w:val="auto"/>
                <w:sz w:val="21"/>
                <w:szCs w:val="21"/>
                <w:highlight w:val="none"/>
                <w:lang w:eastAsia="zh-CN"/>
              </w:rPr>
              <w:t>。</w:t>
            </w:r>
          </w:p>
        </w:tc>
      </w:tr>
      <w:tr w14:paraId="3930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45E1E9B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p>
        </w:tc>
        <w:tc>
          <w:tcPr>
            <w:tcW w:w="426" w:type="dxa"/>
            <w:vMerge w:val="continue"/>
            <w:vAlign w:val="center"/>
          </w:tcPr>
          <w:p w14:paraId="65BB2A8C">
            <w:pPr>
              <w:rPr>
                <w:rFonts w:hint="eastAsia" w:ascii="宋体" w:hAnsi="宋体" w:eastAsia="宋体" w:cs="宋体"/>
                <w:color w:val="auto"/>
                <w:sz w:val="21"/>
                <w:szCs w:val="21"/>
                <w:highlight w:val="none"/>
              </w:rPr>
            </w:pPr>
          </w:p>
        </w:tc>
        <w:tc>
          <w:tcPr>
            <w:tcW w:w="643" w:type="dxa"/>
            <w:vMerge w:val="continue"/>
            <w:vAlign w:val="center"/>
          </w:tcPr>
          <w:p w14:paraId="043126DC">
            <w:pPr>
              <w:rPr>
                <w:rFonts w:hint="eastAsia" w:ascii="宋体" w:hAnsi="宋体" w:eastAsia="宋体" w:cs="宋体"/>
                <w:color w:val="auto"/>
                <w:sz w:val="21"/>
                <w:szCs w:val="21"/>
                <w:highlight w:val="none"/>
              </w:rPr>
            </w:pPr>
          </w:p>
        </w:tc>
        <w:tc>
          <w:tcPr>
            <w:tcW w:w="1440" w:type="dxa"/>
            <w:vAlign w:val="center"/>
          </w:tcPr>
          <w:p w14:paraId="4AC578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*噪声</w:t>
            </w:r>
          </w:p>
        </w:tc>
        <w:tc>
          <w:tcPr>
            <w:tcW w:w="5560" w:type="dxa"/>
            <w:vAlign w:val="center"/>
          </w:tcPr>
          <w:p w14:paraId="584BE21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符合GB/T 9813.3的有关规定，在产品说明中给出具体测试值塔式服务器噪声在空闲状态下不大于50dB</w:t>
            </w:r>
            <w:r>
              <w:rPr>
                <w:rFonts w:hint="eastAsia" w:ascii="宋体" w:hAnsi="宋体" w:eastAsia="宋体" w:cs="宋体"/>
                <w:color w:val="auto"/>
                <w:sz w:val="21"/>
                <w:szCs w:val="21"/>
                <w:highlight w:val="none"/>
                <w:lang w:eastAsia="zh-CN"/>
              </w:rPr>
              <w:t>。</w:t>
            </w:r>
          </w:p>
        </w:tc>
      </w:tr>
      <w:tr w14:paraId="531F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725C25B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p>
        </w:tc>
        <w:tc>
          <w:tcPr>
            <w:tcW w:w="426" w:type="dxa"/>
            <w:vMerge w:val="continue"/>
            <w:vAlign w:val="center"/>
          </w:tcPr>
          <w:p w14:paraId="541F8BDC">
            <w:pPr>
              <w:rPr>
                <w:rFonts w:hint="eastAsia" w:ascii="宋体" w:hAnsi="宋体" w:eastAsia="宋体" w:cs="宋体"/>
                <w:color w:val="auto"/>
                <w:sz w:val="21"/>
                <w:szCs w:val="21"/>
                <w:highlight w:val="none"/>
              </w:rPr>
            </w:pPr>
          </w:p>
        </w:tc>
        <w:tc>
          <w:tcPr>
            <w:tcW w:w="643" w:type="dxa"/>
            <w:vAlign w:val="center"/>
          </w:tcPr>
          <w:p w14:paraId="1ACFFD2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w:t>
            </w:r>
          </w:p>
          <w:p w14:paraId="5945618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440" w:type="dxa"/>
            <w:vAlign w:val="center"/>
          </w:tcPr>
          <w:p w14:paraId="55BBFD8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*机柜尺寸</w:t>
            </w:r>
          </w:p>
        </w:tc>
        <w:tc>
          <w:tcPr>
            <w:tcW w:w="5560" w:type="dxa"/>
            <w:vAlign w:val="center"/>
          </w:tcPr>
          <w:p w14:paraId="27FA947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符合标准机柜尺寸</w:t>
            </w:r>
            <w:r>
              <w:rPr>
                <w:rFonts w:hint="eastAsia" w:ascii="宋体" w:hAnsi="宋体" w:eastAsia="宋体" w:cs="宋体"/>
                <w:color w:val="auto"/>
                <w:sz w:val="21"/>
                <w:szCs w:val="21"/>
                <w:highlight w:val="none"/>
                <w:lang w:eastAsia="zh-CN"/>
              </w:rPr>
              <w:t>。</w:t>
            </w:r>
          </w:p>
        </w:tc>
      </w:tr>
      <w:tr w14:paraId="5DA3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1059CB4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426" w:type="dxa"/>
            <w:vMerge w:val="restart"/>
            <w:vAlign w:val="center"/>
          </w:tcPr>
          <w:p w14:paraId="3CEC1EB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功能要求</w:t>
            </w:r>
          </w:p>
        </w:tc>
        <w:tc>
          <w:tcPr>
            <w:tcW w:w="643" w:type="dxa"/>
            <w:vAlign w:val="center"/>
          </w:tcPr>
          <w:p w14:paraId="19C7EFD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*主板功能</w:t>
            </w:r>
          </w:p>
        </w:tc>
        <w:tc>
          <w:tcPr>
            <w:tcW w:w="1440" w:type="dxa"/>
            <w:vAlign w:val="center"/>
          </w:tcPr>
          <w:p w14:paraId="653369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*主板外部接口种类</w:t>
            </w:r>
          </w:p>
        </w:tc>
        <w:tc>
          <w:tcPr>
            <w:tcW w:w="5560" w:type="dxa"/>
            <w:vAlign w:val="center"/>
          </w:tcPr>
          <w:p w14:paraId="1DA21A2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支持USB、显示、管理等接口，如：VGA、USB3.0接口、BMC管理端口等</w:t>
            </w:r>
            <w:r>
              <w:rPr>
                <w:rFonts w:hint="eastAsia" w:ascii="宋体" w:hAnsi="宋体" w:eastAsia="宋体" w:cs="宋体"/>
                <w:color w:val="auto"/>
                <w:sz w:val="21"/>
                <w:szCs w:val="21"/>
                <w:highlight w:val="none"/>
                <w:lang w:eastAsia="zh-CN"/>
              </w:rPr>
              <w:t>。</w:t>
            </w:r>
          </w:p>
        </w:tc>
      </w:tr>
      <w:tr w14:paraId="79B6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FA2750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p>
        </w:tc>
        <w:tc>
          <w:tcPr>
            <w:tcW w:w="426" w:type="dxa"/>
            <w:vMerge w:val="continue"/>
            <w:vAlign w:val="center"/>
          </w:tcPr>
          <w:p w14:paraId="4ACFFCE1">
            <w:pPr>
              <w:rPr>
                <w:rFonts w:hint="eastAsia" w:ascii="宋体" w:hAnsi="宋体" w:eastAsia="宋体" w:cs="宋体"/>
                <w:color w:val="auto"/>
                <w:sz w:val="21"/>
                <w:szCs w:val="21"/>
                <w:highlight w:val="none"/>
              </w:rPr>
            </w:pPr>
          </w:p>
        </w:tc>
        <w:tc>
          <w:tcPr>
            <w:tcW w:w="643" w:type="dxa"/>
            <w:vAlign w:val="center"/>
          </w:tcPr>
          <w:p w14:paraId="60DECE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*网络功能</w:t>
            </w:r>
          </w:p>
        </w:tc>
        <w:tc>
          <w:tcPr>
            <w:tcW w:w="1440" w:type="dxa"/>
            <w:vAlign w:val="center"/>
          </w:tcPr>
          <w:p w14:paraId="13DB354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*网络功能</w:t>
            </w:r>
          </w:p>
        </w:tc>
        <w:tc>
          <w:tcPr>
            <w:tcW w:w="5560" w:type="dxa"/>
            <w:vAlign w:val="center"/>
          </w:tcPr>
          <w:p w14:paraId="15B0573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支持网络连接、网络访问、数据交换和网络管控功能</w:t>
            </w:r>
            <w:r>
              <w:rPr>
                <w:rFonts w:hint="eastAsia" w:ascii="宋体" w:hAnsi="宋体" w:eastAsia="宋体" w:cs="宋体"/>
                <w:color w:val="auto"/>
                <w:sz w:val="21"/>
                <w:szCs w:val="21"/>
                <w:highlight w:val="none"/>
                <w:lang w:eastAsia="zh-CN"/>
              </w:rPr>
              <w:t>。</w:t>
            </w:r>
          </w:p>
        </w:tc>
      </w:tr>
      <w:tr w14:paraId="45920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7D7AC2E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tc>
        <w:tc>
          <w:tcPr>
            <w:tcW w:w="426" w:type="dxa"/>
            <w:vMerge w:val="continue"/>
            <w:vAlign w:val="center"/>
          </w:tcPr>
          <w:p w14:paraId="4CF30D77">
            <w:pPr>
              <w:rPr>
                <w:rFonts w:hint="eastAsia" w:ascii="宋体" w:hAnsi="宋体" w:eastAsia="宋体" w:cs="宋体"/>
                <w:color w:val="auto"/>
                <w:sz w:val="21"/>
                <w:szCs w:val="21"/>
                <w:highlight w:val="none"/>
              </w:rPr>
            </w:pPr>
          </w:p>
        </w:tc>
        <w:tc>
          <w:tcPr>
            <w:tcW w:w="643" w:type="dxa"/>
            <w:vMerge w:val="restart"/>
            <w:vAlign w:val="center"/>
          </w:tcPr>
          <w:p w14:paraId="499328E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w:t>
            </w:r>
          </w:p>
          <w:p w14:paraId="524D37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p>
        </w:tc>
        <w:tc>
          <w:tcPr>
            <w:tcW w:w="1440" w:type="dxa"/>
            <w:vAlign w:val="center"/>
          </w:tcPr>
          <w:p w14:paraId="36E8A5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*计算处理</w:t>
            </w:r>
          </w:p>
        </w:tc>
        <w:tc>
          <w:tcPr>
            <w:tcW w:w="5560" w:type="dxa"/>
            <w:vAlign w:val="center"/>
          </w:tcPr>
          <w:p w14:paraId="734A7D4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支持通用计算及虚拟化功能。处理器需集成整型计算单元、浮点计算单元、内存控制器、I/O模块等，处理器与存储部件、网络部件、I/O部件等组成计算系统，提供数据处理、网络接入等计算相关功能</w:t>
            </w:r>
            <w:r>
              <w:rPr>
                <w:rFonts w:hint="eastAsia" w:ascii="宋体" w:hAnsi="宋体" w:eastAsia="宋体" w:cs="宋体"/>
                <w:color w:val="auto"/>
                <w:sz w:val="21"/>
                <w:szCs w:val="21"/>
                <w:highlight w:val="none"/>
                <w:lang w:eastAsia="zh-CN"/>
              </w:rPr>
              <w:t>。</w:t>
            </w:r>
          </w:p>
        </w:tc>
      </w:tr>
      <w:tr w14:paraId="6AE0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4DA19C3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426" w:type="dxa"/>
            <w:vMerge w:val="continue"/>
            <w:vAlign w:val="center"/>
          </w:tcPr>
          <w:p w14:paraId="347A4BDC">
            <w:pPr>
              <w:rPr>
                <w:rFonts w:hint="eastAsia" w:ascii="宋体" w:hAnsi="宋体" w:eastAsia="宋体" w:cs="宋体"/>
                <w:color w:val="auto"/>
                <w:sz w:val="21"/>
                <w:szCs w:val="21"/>
                <w:highlight w:val="none"/>
              </w:rPr>
            </w:pPr>
          </w:p>
        </w:tc>
        <w:tc>
          <w:tcPr>
            <w:tcW w:w="643" w:type="dxa"/>
            <w:vMerge w:val="continue"/>
            <w:vAlign w:val="center"/>
          </w:tcPr>
          <w:p w14:paraId="633657DD">
            <w:pPr>
              <w:rPr>
                <w:rFonts w:hint="eastAsia" w:ascii="宋体" w:hAnsi="宋体" w:eastAsia="宋体" w:cs="宋体"/>
                <w:color w:val="auto"/>
                <w:sz w:val="21"/>
                <w:szCs w:val="21"/>
                <w:highlight w:val="none"/>
              </w:rPr>
            </w:pPr>
          </w:p>
        </w:tc>
        <w:tc>
          <w:tcPr>
            <w:tcW w:w="1440" w:type="dxa"/>
            <w:vAlign w:val="center"/>
          </w:tcPr>
          <w:p w14:paraId="750D4B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*密码算法实现</w:t>
            </w:r>
          </w:p>
        </w:tc>
        <w:tc>
          <w:tcPr>
            <w:tcW w:w="5560" w:type="dxa"/>
            <w:vAlign w:val="center"/>
          </w:tcPr>
          <w:p w14:paraId="1F54849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CPU芯片应符合GM/T 0008的相关规定，或芯片密码模块应符合GB/T37092或GM/T 0028相关规定</w:t>
            </w:r>
            <w:r>
              <w:rPr>
                <w:rFonts w:hint="eastAsia" w:ascii="宋体" w:hAnsi="宋体" w:eastAsia="宋体" w:cs="宋体"/>
                <w:color w:val="auto"/>
                <w:sz w:val="21"/>
                <w:szCs w:val="21"/>
                <w:highlight w:val="none"/>
                <w:lang w:eastAsia="zh-CN"/>
              </w:rPr>
              <w:t>。</w:t>
            </w:r>
          </w:p>
        </w:tc>
      </w:tr>
      <w:tr w14:paraId="36F3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B57488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426" w:type="dxa"/>
            <w:vMerge w:val="continue"/>
            <w:vAlign w:val="center"/>
          </w:tcPr>
          <w:p w14:paraId="1DC13E98">
            <w:pPr>
              <w:rPr>
                <w:rFonts w:hint="eastAsia" w:ascii="宋体" w:hAnsi="宋体" w:eastAsia="宋体" w:cs="宋体"/>
                <w:color w:val="auto"/>
                <w:sz w:val="21"/>
                <w:szCs w:val="21"/>
                <w:highlight w:val="none"/>
              </w:rPr>
            </w:pPr>
          </w:p>
        </w:tc>
        <w:tc>
          <w:tcPr>
            <w:tcW w:w="643" w:type="dxa"/>
            <w:vMerge w:val="restart"/>
            <w:vAlign w:val="center"/>
          </w:tcPr>
          <w:p w14:paraId="5AB448D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*电源功能</w:t>
            </w:r>
          </w:p>
        </w:tc>
        <w:tc>
          <w:tcPr>
            <w:tcW w:w="1440" w:type="dxa"/>
            <w:vAlign w:val="center"/>
          </w:tcPr>
          <w:p w14:paraId="62B7F10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*电源热插拔</w:t>
            </w:r>
          </w:p>
        </w:tc>
        <w:tc>
          <w:tcPr>
            <w:tcW w:w="5560" w:type="dxa"/>
            <w:vAlign w:val="center"/>
          </w:tcPr>
          <w:p w14:paraId="4F08F51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整机电源模块应具备热插拔功能</w:t>
            </w:r>
            <w:r>
              <w:rPr>
                <w:rFonts w:hint="eastAsia" w:ascii="宋体" w:hAnsi="宋体" w:eastAsia="宋体" w:cs="宋体"/>
                <w:color w:val="auto"/>
                <w:sz w:val="21"/>
                <w:szCs w:val="21"/>
                <w:highlight w:val="none"/>
                <w:lang w:eastAsia="zh-CN"/>
              </w:rPr>
              <w:t>。</w:t>
            </w:r>
          </w:p>
        </w:tc>
      </w:tr>
      <w:tr w14:paraId="22ED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25D6EC5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426" w:type="dxa"/>
            <w:vMerge w:val="continue"/>
            <w:vAlign w:val="center"/>
          </w:tcPr>
          <w:p w14:paraId="2BA106D6">
            <w:pPr>
              <w:rPr>
                <w:rFonts w:hint="eastAsia" w:ascii="宋体" w:hAnsi="宋体" w:eastAsia="宋体" w:cs="宋体"/>
                <w:color w:val="auto"/>
                <w:sz w:val="21"/>
                <w:szCs w:val="21"/>
                <w:highlight w:val="none"/>
              </w:rPr>
            </w:pPr>
          </w:p>
        </w:tc>
        <w:tc>
          <w:tcPr>
            <w:tcW w:w="643" w:type="dxa"/>
            <w:vMerge w:val="continue"/>
            <w:vAlign w:val="center"/>
          </w:tcPr>
          <w:p w14:paraId="5B3A25D8">
            <w:pPr>
              <w:rPr>
                <w:rFonts w:hint="eastAsia" w:ascii="宋体" w:hAnsi="宋体" w:eastAsia="宋体" w:cs="宋体"/>
                <w:color w:val="auto"/>
                <w:sz w:val="21"/>
                <w:szCs w:val="21"/>
                <w:highlight w:val="none"/>
              </w:rPr>
            </w:pPr>
          </w:p>
        </w:tc>
        <w:tc>
          <w:tcPr>
            <w:tcW w:w="1440" w:type="dxa"/>
            <w:vAlign w:val="center"/>
          </w:tcPr>
          <w:p w14:paraId="2EF9E60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*电源过流保护</w:t>
            </w:r>
          </w:p>
        </w:tc>
        <w:tc>
          <w:tcPr>
            <w:tcW w:w="5560" w:type="dxa"/>
            <w:vAlign w:val="center"/>
          </w:tcPr>
          <w:p w14:paraId="3B456DD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支持过流及短路保护的功能</w:t>
            </w:r>
            <w:r>
              <w:rPr>
                <w:rFonts w:hint="eastAsia" w:ascii="宋体" w:hAnsi="宋体" w:eastAsia="宋体" w:cs="宋体"/>
                <w:color w:val="auto"/>
                <w:sz w:val="21"/>
                <w:szCs w:val="21"/>
                <w:highlight w:val="none"/>
                <w:lang w:eastAsia="zh-CN"/>
              </w:rPr>
              <w:t>。</w:t>
            </w:r>
          </w:p>
        </w:tc>
      </w:tr>
      <w:tr w14:paraId="4199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950A4C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426" w:type="dxa"/>
            <w:vMerge w:val="continue"/>
            <w:vAlign w:val="center"/>
          </w:tcPr>
          <w:p w14:paraId="23267186">
            <w:pPr>
              <w:rPr>
                <w:rFonts w:hint="eastAsia" w:ascii="宋体" w:hAnsi="宋体" w:eastAsia="宋体" w:cs="宋体"/>
                <w:color w:val="auto"/>
                <w:sz w:val="21"/>
                <w:szCs w:val="21"/>
                <w:highlight w:val="none"/>
              </w:rPr>
            </w:pPr>
          </w:p>
        </w:tc>
        <w:tc>
          <w:tcPr>
            <w:tcW w:w="643" w:type="dxa"/>
            <w:vAlign w:val="center"/>
          </w:tcPr>
          <w:p w14:paraId="0CBB81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*整功能</w:t>
            </w:r>
          </w:p>
        </w:tc>
        <w:tc>
          <w:tcPr>
            <w:tcW w:w="1440" w:type="dxa"/>
            <w:vAlign w:val="center"/>
          </w:tcPr>
          <w:p w14:paraId="28E43E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*散热方式</w:t>
            </w:r>
          </w:p>
        </w:tc>
        <w:tc>
          <w:tcPr>
            <w:tcW w:w="5560" w:type="dxa"/>
            <w:vAlign w:val="center"/>
          </w:tcPr>
          <w:p w14:paraId="2DFEC79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支持风冷或液冷等散热方式</w:t>
            </w:r>
            <w:r>
              <w:rPr>
                <w:rFonts w:hint="eastAsia" w:ascii="宋体" w:hAnsi="宋体" w:eastAsia="宋体" w:cs="宋体"/>
                <w:color w:val="auto"/>
                <w:sz w:val="21"/>
                <w:szCs w:val="21"/>
                <w:highlight w:val="none"/>
                <w:lang w:eastAsia="zh-CN"/>
              </w:rPr>
              <w:t>。</w:t>
            </w:r>
          </w:p>
        </w:tc>
      </w:tr>
      <w:tr w14:paraId="6F5A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47784B4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426" w:type="dxa"/>
            <w:vMerge w:val="continue"/>
            <w:vAlign w:val="center"/>
          </w:tcPr>
          <w:p w14:paraId="3FFA88F7">
            <w:pPr>
              <w:rPr>
                <w:rFonts w:hint="eastAsia" w:ascii="宋体" w:hAnsi="宋体" w:eastAsia="宋体" w:cs="宋体"/>
                <w:color w:val="auto"/>
                <w:sz w:val="21"/>
                <w:szCs w:val="21"/>
                <w:highlight w:val="none"/>
              </w:rPr>
            </w:pPr>
          </w:p>
        </w:tc>
        <w:tc>
          <w:tcPr>
            <w:tcW w:w="643" w:type="dxa"/>
            <w:vMerge w:val="restart"/>
            <w:vAlign w:val="center"/>
          </w:tcPr>
          <w:p w14:paraId="40F70FD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*管系统</w:t>
            </w:r>
          </w:p>
          <w:p w14:paraId="7537900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p>
        </w:tc>
        <w:tc>
          <w:tcPr>
            <w:tcW w:w="1440" w:type="dxa"/>
            <w:vAlign w:val="center"/>
          </w:tcPr>
          <w:p w14:paraId="391D0DC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*BMC固件基础功能</w:t>
            </w:r>
          </w:p>
        </w:tc>
        <w:tc>
          <w:tcPr>
            <w:tcW w:w="5560" w:type="dxa"/>
            <w:vAlign w:val="center"/>
          </w:tcPr>
          <w:p w14:paraId="4963035D">
            <w:pPr>
              <w:numPr>
                <w:ilvl w:val="0"/>
                <w:numId w:val="11"/>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管理接口：支持多种管理接口，满足各种方式的系统集成，可与任何标</w:t>
            </w:r>
            <w:r>
              <w:rPr>
                <w:rFonts w:hint="eastAsia" w:ascii="宋体" w:hAnsi="宋体" w:eastAsia="宋体" w:cs="宋体"/>
                <w:color w:val="auto"/>
                <w:sz w:val="21"/>
                <w:szCs w:val="21"/>
                <w:highlight w:val="none"/>
                <w:lang w:eastAsia="zh-CN"/>
              </w:rPr>
              <w:t>。</w:t>
            </w:r>
          </w:p>
          <w:p w14:paraId="22B6F1FC">
            <w:pPr>
              <w:numPr>
                <w:ilvl w:val="0"/>
                <w:numId w:val="11"/>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准管理系统集成，支持如下所示的接口：IPMI、CLI、SNMP、HTTPS</w:t>
            </w:r>
            <w:r>
              <w:rPr>
                <w:rFonts w:hint="eastAsia" w:ascii="宋体" w:hAnsi="宋体" w:eastAsia="宋体" w:cs="宋体"/>
                <w:color w:val="auto"/>
                <w:sz w:val="21"/>
                <w:szCs w:val="21"/>
                <w:highlight w:val="none"/>
                <w:lang w:eastAsia="zh-CN"/>
              </w:rPr>
              <w:t>。</w:t>
            </w:r>
          </w:p>
          <w:p w14:paraId="5F6E20F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3)故障检测：提供丰富的故障检测功能，精确定位硬件故障。</w:t>
            </w:r>
          </w:p>
          <w:p w14:paraId="7BEAD65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4)告警管理：支持告警管理及SNMP Trap(V1/V2c/V3), Email Alert 、syslog服务多种格式告警上报，保障设备7*24小时高可靠运行</w:t>
            </w:r>
            <w:r>
              <w:rPr>
                <w:rFonts w:hint="eastAsia" w:ascii="宋体" w:hAnsi="宋体" w:eastAsia="宋体" w:cs="宋体"/>
                <w:color w:val="auto"/>
                <w:sz w:val="21"/>
                <w:szCs w:val="21"/>
                <w:highlight w:val="none"/>
                <w:lang w:eastAsia="zh-CN"/>
              </w:rPr>
              <w:t>。</w:t>
            </w:r>
          </w:p>
          <w:p w14:paraId="60D3CD6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5)虚拟KVM：提供方便的远程维护手段，在系统故障时也无需现场操作</w:t>
            </w:r>
            <w:r>
              <w:rPr>
                <w:rFonts w:hint="eastAsia" w:ascii="宋体" w:hAnsi="宋体" w:eastAsia="宋体" w:cs="宋体"/>
                <w:color w:val="auto"/>
                <w:sz w:val="21"/>
                <w:szCs w:val="21"/>
                <w:highlight w:val="none"/>
                <w:lang w:eastAsia="zh-CN"/>
              </w:rPr>
              <w:t>。</w:t>
            </w:r>
          </w:p>
          <w:p w14:paraId="3FE8C8B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6)虚拟媒体：支持将本地媒体设备或镜像、USB设备、文件夹虚拟为远程服务器的媒体设备，简化操作系统安装的复杂度</w:t>
            </w:r>
            <w:r>
              <w:rPr>
                <w:rFonts w:hint="eastAsia" w:ascii="宋体" w:hAnsi="宋体" w:eastAsia="宋体" w:cs="宋体"/>
                <w:color w:val="auto"/>
                <w:sz w:val="21"/>
                <w:szCs w:val="21"/>
                <w:highlight w:val="none"/>
                <w:lang w:eastAsia="zh-CN"/>
              </w:rPr>
              <w:t>。</w:t>
            </w:r>
          </w:p>
          <w:p w14:paraId="5F08BE0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7)基于web的用户界面：支持可视化的图像界面，只需通过简单的界面点击即可快速完成设置和查询任务</w:t>
            </w:r>
            <w:r>
              <w:rPr>
                <w:rFonts w:hint="eastAsia" w:ascii="宋体" w:hAnsi="宋体" w:eastAsia="宋体" w:cs="宋体"/>
                <w:color w:val="auto"/>
                <w:sz w:val="21"/>
                <w:szCs w:val="21"/>
                <w:highlight w:val="none"/>
                <w:lang w:eastAsia="zh-CN"/>
              </w:rPr>
              <w:t>。</w:t>
            </w:r>
          </w:p>
          <w:p w14:paraId="6D6EF87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8)宕机截屏和屏幕快照：支持宕机自动截屏，保留最后的宕机屏幕；提供屏幕截图功能，能快速抓取屏幕，便于定时巡检</w:t>
            </w:r>
            <w:r>
              <w:rPr>
                <w:rFonts w:hint="eastAsia" w:ascii="宋体" w:hAnsi="宋体" w:eastAsia="宋体" w:cs="宋体"/>
                <w:color w:val="auto"/>
                <w:sz w:val="21"/>
                <w:szCs w:val="21"/>
                <w:highlight w:val="none"/>
                <w:lang w:eastAsia="zh-CN"/>
              </w:rPr>
              <w:t>。</w:t>
            </w:r>
          </w:p>
          <w:p w14:paraId="553E087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9)软件双镜像备份：当前运行的软件完全崩溃时，可以从备份镜像启动</w:t>
            </w:r>
            <w:r>
              <w:rPr>
                <w:rFonts w:hint="eastAsia" w:ascii="宋体" w:hAnsi="宋体" w:eastAsia="宋体" w:cs="宋体"/>
                <w:color w:val="auto"/>
                <w:sz w:val="21"/>
                <w:szCs w:val="21"/>
                <w:highlight w:val="none"/>
                <w:lang w:eastAsia="zh-CN"/>
              </w:rPr>
              <w:t>。</w:t>
            </w:r>
          </w:p>
          <w:p w14:paraId="47D7184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10)支持智能电源管理：功率封顶技术助您轻松提高部署密度，动态节能技术助您有效降低运营费用</w:t>
            </w:r>
            <w:r>
              <w:rPr>
                <w:rFonts w:hint="eastAsia" w:ascii="宋体" w:hAnsi="宋体" w:eastAsia="宋体" w:cs="宋体"/>
                <w:color w:val="auto"/>
                <w:sz w:val="21"/>
                <w:szCs w:val="21"/>
                <w:highlight w:val="none"/>
                <w:lang w:eastAsia="zh-CN"/>
              </w:rPr>
              <w:t>。</w:t>
            </w:r>
          </w:p>
          <w:p w14:paraId="21CBBA0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11)IPv6：支持IPv6功能，方便构建全IPv6环境，为您提供充沛的IP地址资源</w:t>
            </w:r>
            <w:r>
              <w:rPr>
                <w:rFonts w:hint="eastAsia" w:ascii="宋体" w:hAnsi="宋体" w:eastAsia="宋体" w:cs="宋体"/>
                <w:color w:val="auto"/>
                <w:sz w:val="21"/>
                <w:szCs w:val="21"/>
                <w:highlight w:val="none"/>
                <w:lang w:eastAsia="zh-CN"/>
              </w:rPr>
              <w:t>。</w:t>
            </w:r>
          </w:p>
          <w:p w14:paraId="1FAC950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12)NC-SI功能：支持NC-SI（Network Controller Sideband Interface）功能，可以使您通过业务网口方便的访问BMC系统。默认关闭。</w:t>
            </w:r>
          </w:p>
          <w:p w14:paraId="3ADD27D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13)电源控制：支持虚拟电源按钮，实现开机、关机、重启等</w:t>
            </w:r>
            <w:r>
              <w:rPr>
                <w:rFonts w:hint="eastAsia" w:ascii="宋体" w:hAnsi="宋体" w:eastAsia="宋体" w:cs="宋体"/>
                <w:color w:val="auto"/>
                <w:sz w:val="21"/>
                <w:szCs w:val="21"/>
                <w:highlight w:val="none"/>
                <w:lang w:eastAsia="zh-CN"/>
              </w:rPr>
              <w:t>。</w:t>
            </w:r>
          </w:p>
          <w:p w14:paraId="514F6E0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14)UID远程控制：可通过手动按UID按钮或者BMC命令远程控制使灯熄灭或灯亮,便于在机房中找寻设备</w:t>
            </w:r>
            <w:r>
              <w:rPr>
                <w:rFonts w:hint="eastAsia" w:ascii="宋体" w:hAnsi="宋体" w:eastAsia="宋体" w:cs="宋体"/>
                <w:color w:val="auto"/>
                <w:sz w:val="21"/>
                <w:szCs w:val="21"/>
                <w:highlight w:val="none"/>
                <w:lang w:eastAsia="zh-CN"/>
              </w:rPr>
              <w:t>。</w:t>
            </w:r>
          </w:p>
          <w:p w14:paraId="16F0CD5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15)固件升级：支持BMC/BIOS/CPLD/PSU等设备固件更新</w:t>
            </w:r>
            <w:r>
              <w:rPr>
                <w:rFonts w:hint="eastAsia" w:ascii="宋体" w:hAnsi="宋体" w:eastAsia="宋体" w:cs="宋体"/>
                <w:color w:val="auto"/>
                <w:sz w:val="21"/>
                <w:szCs w:val="21"/>
                <w:highlight w:val="none"/>
                <w:lang w:eastAsia="zh-CN"/>
              </w:rPr>
              <w:t>。</w:t>
            </w:r>
          </w:p>
        </w:tc>
      </w:tr>
      <w:tr w14:paraId="604C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5CDA7B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426" w:type="dxa"/>
            <w:vMerge w:val="continue"/>
            <w:vAlign w:val="center"/>
          </w:tcPr>
          <w:p w14:paraId="52AD70BD">
            <w:pPr>
              <w:rPr>
                <w:rFonts w:hint="eastAsia" w:ascii="宋体" w:hAnsi="宋体" w:eastAsia="宋体" w:cs="宋体"/>
                <w:color w:val="auto"/>
                <w:sz w:val="21"/>
                <w:szCs w:val="21"/>
                <w:highlight w:val="none"/>
              </w:rPr>
            </w:pPr>
          </w:p>
        </w:tc>
        <w:tc>
          <w:tcPr>
            <w:tcW w:w="643" w:type="dxa"/>
            <w:vMerge w:val="continue"/>
            <w:vAlign w:val="center"/>
          </w:tcPr>
          <w:p w14:paraId="3763233A">
            <w:pPr>
              <w:rPr>
                <w:rFonts w:hint="eastAsia" w:ascii="宋体" w:hAnsi="宋体" w:eastAsia="宋体" w:cs="宋体"/>
                <w:color w:val="auto"/>
                <w:sz w:val="21"/>
                <w:szCs w:val="21"/>
                <w:highlight w:val="none"/>
              </w:rPr>
            </w:pPr>
          </w:p>
        </w:tc>
        <w:tc>
          <w:tcPr>
            <w:tcW w:w="1440" w:type="dxa"/>
            <w:vAlign w:val="center"/>
          </w:tcPr>
          <w:p w14:paraId="0FB42E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*BIOS固件基础功能</w:t>
            </w:r>
          </w:p>
        </w:tc>
        <w:tc>
          <w:tcPr>
            <w:tcW w:w="5560" w:type="dxa"/>
            <w:vAlign w:val="center"/>
          </w:tcPr>
          <w:p w14:paraId="72F3482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a）支持查看固件版本、内存信息、主板信息、处理器信息和系统时间信息功能</w:t>
            </w:r>
            <w:r>
              <w:rPr>
                <w:rFonts w:hint="eastAsia" w:ascii="宋体" w:hAnsi="宋体" w:eastAsia="宋体" w:cs="宋体"/>
                <w:color w:val="auto"/>
                <w:sz w:val="21"/>
                <w:szCs w:val="21"/>
                <w:highlight w:val="none"/>
                <w:lang w:eastAsia="zh-CN"/>
              </w:rPr>
              <w:t>。</w:t>
            </w:r>
          </w:p>
          <w:p w14:paraId="3C20CCA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b）支持上电初始化界面显示CPU信息、内存信息、固件版本和部分快捷键信息功能</w:t>
            </w:r>
            <w:r>
              <w:rPr>
                <w:rFonts w:hint="eastAsia" w:ascii="宋体" w:hAnsi="宋体" w:eastAsia="宋体" w:cs="宋体"/>
                <w:color w:val="auto"/>
                <w:sz w:val="21"/>
                <w:szCs w:val="21"/>
                <w:highlight w:val="none"/>
                <w:lang w:eastAsia="zh-CN"/>
              </w:rPr>
              <w:t>。</w:t>
            </w:r>
          </w:p>
          <w:p w14:paraId="00C67E4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c）支持设置界面中英文显示切换功能</w:t>
            </w:r>
            <w:r>
              <w:rPr>
                <w:rFonts w:hint="eastAsia" w:ascii="宋体" w:hAnsi="宋体" w:eastAsia="宋体" w:cs="宋体"/>
                <w:color w:val="auto"/>
                <w:sz w:val="21"/>
                <w:szCs w:val="21"/>
                <w:highlight w:val="none"/>
                <w:lang w:eastAsia="zh-CN"/>
              </w:rPr>
              <w:t>。</w:t>
            </w:r>
          </w:p>
          <w:p w14:paraId="395B1D0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d）支持查看 PCIe 设备信息，SATA设备信息功能</w:t>
            </w:r>
            <w:r>
              <w:rPr>
                <w:rFonts w:hint="eastAsia" w:ascii="宋体" w:hAnsi="宋体" w:eastAsia="宋体" w:cs="宋体"/>
                <w:color w:val="auto"/>
                <w:sz w:val="21"/>
                <w:szCs w:val="21"/>
                <w:highlight w:val="none"/>
                <w:lang w:eastAsia="zh-CN"/>
              </w:rPr>
              <w:t>。</w:t>
            </w:r>
          </w:p>
          <w:p w14:paraId="0D0E6D1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e）支持操作系统安装和引导功能，应并向操作系统提供计算机主板信息和服务接口</w:t>
            </w:r>
            <w:r>
              <w:rPr>
                <w:rFonts w:hint="eastAsia" w:ascii="宋体" w:hAnsi="宋体" w:eastAsia="宋体" w:cs="宋体"/>
                <w:color w:val="auto"/>
                <w:sz w:val="21"/>
                <w:szCs w:val="21"/>
                <w:highlight w:val="none"/>
                <w:lang w:eastAsia="zh-CN"/>
              </w:rPr>
              <w:t>。</w:t>
            </w:r>
          </w:p>
          <w:p w14:paraId="793D685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f）支持设置启动顺序，并按照设置的启动顺序启动功能</w:t>
            </w:r>
            <w:r>
              <w:rPr>
                <w:rFonts w:hint="eastAsia" w:ascii="宋体" w:hAnsi="宋体" w:eastAsia="宋体" w:cs="宋体"/>
                <w:color w:val="auto"/>
                <w:sz w:val="21"/>
                <w:szCs w:val="21"/>
                <w:highlight w:val="none"/>
                <w:lang w:eastAsia="zh-CN"/>
              </w:rPr>
              <w:t>。</w:t>
            </w:r>
          </w:p>
          <w:p w14:paraId="1467583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g）支持安全启动功能</w:t>
            </w:r>
            <w:r>
              <w:rPr>
                <w:rFonts w:hint="eastAsia" w:ascii="宋体" w:hAnsi="宋体" w:eastAsia="宋体" w:cs="宋体"/>
                <w:color w:val="auto"/>
                <w:sz w:val="21"/>
                <w:szCs w:val="21"/>
                <w:highlight w:val="none"/>
                <w:lang w:eastAsia="zh-CN"/>
              </w:rPr>
              <w:t>。</w:t>
            </w:r>
          </w:p>
          <w:p w14:paraId="6AF3D59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h）支持设置口令、修改口令、验证口令功能</w:t>
            </w:r>
            <w:r>
              <w:rPr>
                <w:rFonts w:hint="eastAsia" w:ascii="宋体" w:hAnsi="宋体" w:eastAsia="宋体" w:cs="宋体"/>
                <w:color w:val="auto"/>
                <w:sz w:val="21"/>
                <w:szCs w:val="21"/>
                <w:highlight w:val="none"/>
                <w:lang w:eastAsia="zh-CN"/>
              </w:rPr>
              <w:t>。</w:t>
            </w:r>
          </w:p>
          <w:p w14:paraId="6126D95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i）支持板载显示控制或独立显卡的显示控制功能</w:t>
            </w:r>
            <w:r>
              <w:rPr>
                <w:rFonts w:hint="eastAsia" w:ascii="宋体" w:hAnsi="宋体" w:eastAsia="宋体" w:cs="宋体"/>
                <w:color w:val="auto"/>
                <w:sz w:val="21"/>
                <w:szCs w:val="21"/>
                <w:highlight w:val="none"/>
                <w:lang w:eastAsia="zh-CN"/>
              </w:rPr>
              <w:t>。</w:t>
            </w:r>
          </w:p>
          <w:p w14:paraId="63BAB29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j）支持 RAID 识别和启动功能</w:t>
            </w:r>
            <w:r>
              <w:rPr>
                <w:rFonts w:hint="eastAsia" w:ascii="宋体" w:hAnsi="宋体" w:eastAsia="宋体" w:cs="宋体"/>
                <w:color w:val="auto"/>
                <w:sz w:val="21"/>
                <w:szCs w:val="21"/>
                <w:highlight w:val="none"/>
                <w:lang w:eastAsia="zh-CN"/>
              </w:rPr>
              <w:t>。</w:t>
            </w:r>
          </w:p>
          <w:p w14:paraId="3131C69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k）支持串口重定向功能</w:t>
            </w:r>
            <w:r>
              <w:rPr>
                <w:rFonts w:hint="eastAsia" w:ascii="宋体" w:hAnsi="宋体" w:eastAsia="宋体" w:cs="宋体"/>
                <w:color w:val="auto"/>
                <w:sz w:val="21"/>
                <w:szCs w:val="21"/>
                <w:highlight w:val="none"/>
                <w:lang w:eastAsia="zh-CN"/>
              </w:rPr>
              <w:t>。</w:t>
            </w:r>
          </w:p>
          <w:p w14:paraId="49092B9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l）支持固件更新功能</w:t>
            </w:r>
            <w:r>
              <w:rPr>
                <w:rFonts w:hint="eastAsia" w:ascii="宋体" w:hAnsi="宋体" w:eastAsia="宋体" w:cs="宋体"/>
                <w:color w:val="auto"/>
                <w:sz w:val="21"/>
                <w:szCs w:val="21"/>
                <w:highlight w:val="none"/>
                <w:lang w:eastAsia="zh-CN"/>
              </w:rPr>
              <w:t>。</w:t>
            </w:r>
          </w:p>
          <w:p w14:paraId="174517D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m）支持 BIOS 固件设置的恢复出厂功能</w:t>
            </w:r>
            <w:r>
              <w:rPr>
                <w:rFonts w:hint="eastAsia" w:ascii="宋体" w:hAnsi="宋体" w:eastAsia="宋体" w:cs="宋体"/>
                <w:color w:val="auto"/>
                <w:sz w:val="21"/>
                <w:szCs w:val="21"/>
                <w:highlight w:val="none"/>
                <w:lang w:eastAsia="zh-CN"/>
              </w:rPr>
              <w:t>。</w:t>
            </w:r>
          </w:p>
          <w:p w14:paraId="20B0DB4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n）支持网络引导启用和关闭功能</w:t>
            </w:r>
            <w:r>
              <w:rPr>
                <w:rFonts w:hint="eastAsia" w:ascii="宋体" w:hAnsi="宋体" w:eastAsia="宋体" w:cs="宋体"/>
                <w:color w:val="auto"/>
                <w:sz w:val="21"/>
                <w:szCs w:val="21"/>
                <w:highlight w:val="none"/>
                <w:lang w:eastAsia="zh-CN"/>
              </w:rPr>
              <w:t>。</w:t>
            </w:r>
          </w:p>
        </w:tc>
      </w:tr>
      <w:tr w14:paraId="24EF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B6DD1F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p>
        </w:tc>
        <w:tc>
          <w:tcPr>
            <w:tcW w:w="426" w:type="dxa"/>
            <w:vMerge w:val="continue"/>
            <w:vAlign w:val="center"/>
          </w:tcPr>
          <w:p w14:paraId="4348A382">
            <w:pPr>
              <w:rPr>
                <w:rFonts w:hint="eastAsia" w:ascii="宋体" w:hAnsi="宋体" w:eastAsia="宋体" w:cs="宋体"/>
                <w:color w:val="auto"/>
                <w:sz w:val="21"/>
                <w:szCs w:val="21"/>
                <w:highlight w:val="none"/>
              </w:rPr>
            </w:pPr>
          </w:p>
        </w:tc>
        <w:tc>
          <w:tcPr>
            <w:tcW w:w="643" w:type="dxa"/>
            <w:vMerge w:val="continue"/>
            <w:vAlign w:val="center"/>
          </w:tcPr>
          <w:p w14:paraId="081BD976">
            <w:pPr>
              <w:rPr>
                <w:rFonts w:hint="eastAsia" w:ascii="宋体" w:hAnsi="宋体" w:eastAsia="宋体" w:cs="宋体"/>
                <w:color w:val="auto"/>
                <w:sz w:val="21"/>
                <w:szCs w:val="21"/>
                <w:highlight w:val="none"/>
              </w:rPr>
            </w:pPr>
          </w:p>
        </w:tc>
        <w:tc>
          <w:tcPr>
            <w:tcW w:w="1440" w:type="dxa"/>
            <w:vAlign w:val="center"/>
          </w:tcPr>
          <w:p w14:paraId="679911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*远程控制</w:t>
            </w:r>
          </w:p>
        </w:tc>
        <w:tc>
          <w:tcPr>
            <w:tcW w:w="5560" w:type="dxa"/>
            <w:vAlign w:val="center"/>
          </w:tcPr>
          <w:p w14:paraId="0CD88D7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支持远程关机和重新启动功能</w:t>
            </w:r>
            <w:r>
              <w:rPr>
                <w:rFonts w:hint="eastAsia" w:ascii="宋体" w:hAnsi="宋体" w:eastAsia="宋体" w:cs="宋体"/>
                <w:color w:val="auto"/>
                <w:sz w:val="21"/>
                <w:szCs w:val="21"/>
                <w:highlight w:val="none"/>
                <w:lang w:eastAsia="zh-CN"/>
              </w:rPr>
              <w:t>。</w:t>
            </w:r>
          </w:p>
        </w:tc>
      </w:tr>
      <w:tr w14:paraId="4977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7406258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p>
        </w:tc>
        <w:tc>
          <w:tcPr>
            <w:tcW w:w="426" w:type="dxa"/>
            <w:vMerge w:val="continue"/>
            <w:vAlign w:val="center"/>
          </w:tcPr>
          <w:p w14:paraId="2ADB7894">
            <w:pPr>
              <w:rPr>
                <w:rFonts w:hint="eastAsia" w:ascii="宋体" w:hAnsi="宋体" w:eastAsia="宋体" w:cs="宋体"/>
                <w:color w:val="auto"/>
                <w:sz w:val="21"/>
                <w:szCs w:val="21"/>
                <w:highlight w:val="none"/>
              </w:rPr>
            </w:pPr>
          </w:p>
        </w:tc>
        <w:tc>
          <w:tcPr>
            <w:tcW w:w="643" w:type="dxa"/>
            <w:vMerge w:val="restart"/>
            <w:vAlign w:val="center"/>
          </w:tcPr>
          <w:p w14:paraId="40AD7E0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*操作系统及驱动功能</w:t>
            </w:r>
          </w:p>
        </w:tc>
        <w:tc>
          <w:tcPr>
            <w:tcW w:w="1440" w:type="dxa"/>
            <w:vAlign w:val="center"/>
          </w:tcPr>
          <w:p w14:paraId="5AC908E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*操作系统及驱动的升级</w:t>
            </w:r>
          </w:p>
        </w:tc>
        <w:tc>
          <w:tcPr>
            <w:tcW w:w="5560" w:type="dxa"/>
            <w:vAlign w:val="center"/>
          </w:tcPr>
          <w:p w14:paraId="6D67FD8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支持通过网络、闪存盘对操作系统、驱动进行升级</w:t>
            </w:r>
            <w:r>
              <w:rPr>
                <w:rFonts w:hint="eastAsia" w:ascii="宋体" w:hAnsi="宋体" w:eastAsia="宋体" w:cs="宋体"/>
                <w:color w:val="auto"/>
                <w:sz w:val="21"/>
                <w:szCs w:val="21"/>
                <w:highlight w:val="none"/>
                <w:lang w:eastAsia="zh-CN"/>
              </w:rPr>
              <w:t>。</w:t>
            </w:r>
          </w:p>
        </w:tc>
      </w:tr>
      <w:tr w14:paraId="32851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78B213E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p>
        </w:tc>
        <w:tc>
          <w:tcPr>
            <w:tcW w:w="426" w:type="dxa"/>
            <w:vMerge w:val="continue"/>
            <w:vAlign w:val="center"/>
          </w:tcPr>
          <w:p w14:paraId="62B3756A">
            <w:pPr>
              <w:rPr>
                <w:rFonts w:hint="eastAsia" w:ascii="宋体" w:hAnsi="宋体" w:eastAsia="宋体" w:cs="宋体"/>
                <w:color w:val="auto"/>
                <w:sz w:val="21"/>
                <w:szCs w:val="21"/>
                <w:highlight w:val="none"/>
              </w:rPr>
            </w:pPr>
          </w:p>
        </w:tc>
        <w:tc>
          <w:tcPr>
            <w:tcW w:w="643" w:type="dxa"/>
            <w:vMerge w:val="continue"/>
            <w:vAlign w:val="center"/>
          </w:tcPr>
          <w:p w14:paraId="19AC4957">
            <w:pPr>
              <w:rPr>
                <w:rFonts w:hint="eastAsia" w:ascii="宋体" w:hAnsi="宋体" w:eastAsia="宋体" w:cs="宋体"/>
                <w:color w:val="auto"/>
                <w:sz w:val="21"/>
                <w:szCs w:val="21"/>
                <w:highlight w:val="none"/>
              </w:rPr>
            </w:pPr>
          </w:p>
        </w:tc>
        <w:tc>
          <w:tcPr>
            <w:tcW w:w="1440" w:type="dxa"/>
            <w:vAlign w:val="center"/>
          </w:tcPr>
          <w:p w14:paraId="01863C5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*操作系统功能</w:t>
            </w:r>
          </w:p>
        </w:tc>
        <w:tc>
          <w:tcPr>
            <w:tcW w:w="5560" w:type="dxa"/>
            <w:vAlign w:val="center"/>
          </w:tcPr>
          <w:p w14:paraId="28DF77A0">
            <w:pPr>
              <w:numPr>
                <w:ilvl w:val="0"/>
                <w:numId w:val="1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支持访问控制、安全审计、网络接入鉴别等功能</w:t>
            </w:r>
            <w:r>
              <w:rPr>
                <w:rFonts w:hint="eastAsia" w:ascii="宋体" w:hAnsi="宋体" w:eastAsia="宋体" w:cs="宋体"/>
                <w:color w:val="auto"/>
                <w:sz w:val="21"/>
                <w:szCs w:val="21"/>
                <w:highlight w:val="none"/>
                <w:lang w:eastAsia="zh-CN"/>
              </w:rPr>
              <w:t>。</w:t>
            </w:r>
          </w:p>
          <w:p w14:paraId="15C49B4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 操作系统其他功能应满足操作系统政府采购需求标准中加*的指标要求</w:t>
            </w:r>
            <w:r>
              <w:rPr>
                <w:rFonts w:hint="eastAsia" w:ascii="宋体" w:hAnsi="宋体" w:eastAsia="宋体" w:cs="宋体"/>
                <w:color w:val="auto"/>
                <w:sz w:val="21"/>
                <w:szCs w:val="21"/>
                <w:highlight w:val="none"/>
                <w:lang w:eastAsia="zh-CN"/>
              </w:rPr>
              <w:t>。</w:t>
            </w:r>
          </w:p>
        </w:tc>
      </w:tr>
      <w:tr w14:paraId="0345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6C7D9E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p>
        </w:tc>
        <w:tc>
          <w:tcPr>
            <w:tcW w:w="426" w:type="dxa"/>
            <w:vMerge w:val="continue"/>
            <w:vAlign w:val="center"/>
          </w:tcPr>
          <w:p w14:paraId="2BFF2994">
            <w:pPr>
              <w:rPr>
                <w:rFonts w:hint="eastAsia" w:ascii="宋体" w:hAnsi="宋体" w:eastAsia="宋体" w:cs="宋体"/>
                <w:color w:val="auto"/>
                <w:sz w:val="21"/>
                <w:szCs w:val="21"/>
                <w:highlight w:val="none"/>
              </w:rPr>
            </w:pPr>
          </w:p>
        </w:tc>
        <w:tc>
          <w:tcPr>
            <w:tcW w:w="643" w:type="dxa"/>
            <w:vAlign w:val="center"/>
          </w:tcPr>
          <w:p w14:paraId="76EAEC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*中文信息处理功能</w:t>
            </w:r>
          </w:p>
        </w:tc>
        <w:tc>
          <w:tcPr>
            <w:tcW w:w="1440" w:type="dxa"/>
            <w:vAlign w:val="center"/>
          </w:tcPr>
          <w:p w14:paraId="2D8C679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*中文信息处理</w:t>
            </w:r>
          </w:p>
        </w:tc>
        <w:tc>
          <w:tcPr>
            <w:tcW w:w="5560" w:type="dxa"/>
            <w:vAlign w:val="center"/>
          </w:tcPr>
          <w:p w14:paraId="7E6EFF5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 GB 18030 的有关规定</w:t>
            </w:r>
            <w:r>
              <w:rPr>
                <w:rFonts w:hint="eastAsia" w:ascii="宋体" w:hAnsi="宋体" w:eastAsia="宋体" w:cs="宋体"/>
                <w:color w:val="auto"/>
                <w:sz w:val="21"/>
                <w:szCs w:val="21"/>
                <w:highlight w:val="none"/>
                <w:lang w:eastAsia="zh-CN"/>
              </w:rPr>
              <w:t>。</w:t>
            </w:r>
          </w:p>
        </w:tc>
      </w:tr>
      <w:tr w14:paraId="08602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265AC63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426" w:type="dxa"/>
            <w:vMerge w:val="continue"/>
            <w:vAlign w:val="center"/>
          </w:tcPr>
          <w:p w14:paraId="0373ED6E">
            <w:pPr>
              <w:rPr>
                <w:rFonts w:hint="eastAsia" w:ascii="宋体" w:hAnsi="宋体" w:eastAsia="宋体" w:cs="宋体"/>
                <w:color w:val="auto"/>
                <w:sz w:val="21"/>
                <w:szCs w:val="21"/>
                <w:highlight w:val="none"/>
              </w:rPr>
            </w:pPr>
          </w:p>
        </w:tc>
        <w:tc>
          <w:tcPr>
            <w:tcW w:w="643" w:type="dxa"/>
            <w:vAlign w:val="center"/>
          </w:tcPr>
          <w:p w14:paraId="116842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*固件安全要求</w:t>
            </w:r>
          </w:p>
        </w:tc>
        <w:tc>
          <w:tcPr>
            <w:tcW w:w="1440" w:type="dxa"/>
            <w:vAlign w:val="center"/>
          </w:tcPr>
          <w:p w14:paraId="67C12D1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*故障检测</w:t>
            </w:r>
          </w:p>
        </w:tc>
        <w:tc>
          <w:tcPr>
            <w:tcW w:w="5560" w:type="dxa"/>
            <w:vAlign w:val="center"/>
          </w:tcPr>
          <w:p w14:paraId="78EBC7E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支持故障检测功能，可以检测到具体的 FRU（内存、硬盘等）的故障并发出告警</w:t>
            </w:r>
            <w:r>
              <w:rPr>
                <w:rFonts w:hint="eastAsia" w:ascii="宋体" w:hAnsi="宋体" w:eastAsia="宋体" w:cs="宋体"/>
                <w:color w:val="auto"/>
                <w:sz w:val="21"/>
                <w:szCs w:val="21"/>
                <w:highlight w:val="none"/>
                <w:lang w:eastAsia="zh-CN"/>
              </w:rPr>
              <w:t>。</w:t>
            </w:r>
          </w:p>
        </w:tc>
      </w:tr>
      <w:tr w14:paraId="1C93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0523EF1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426" w:type="dxa"/>
            <w:vMerge w:val="restart"/>
            <w:vAlign w:val="center"/>
          </w:tcPr>
          <w:p w14:paraId="148700F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安全要求</w:t>
            </w:r>
          </w:p>
        </w:tc>
        <w:tc>
          <w:tcPr>
            <w:tcW w:w="643" w:type="dxa"/>
            <w:vMerge w:val="restart"/>
            <w:vAlign w:val="center"/>
          </w:tcPr>
          <w:p w14:paraId="6B3CE4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*系统安全要求</w:t>
            </w:r>
          </w:p>
        </w:tc>
        <w:tc>
          <w:tcPr>
            <w:tcW w:w="1440" w:type="dxa"/>
            <w:vAlign w:val="center"/>
          </w:tcPr>
          <w:p w14:paraId="1EBD96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*弱口令字典检查</w:t>
            </w:r>
          </w:p>
        </w:tc>
        <w:tc>
          <w:tcPr>
            <w:tcW w:w="5560" w:type="dxa"/>
            <w:vAlign w:val="center"/>
          </w:tcPr>
          <w:p w14:paraId="426583F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支持弱口令字典检查功能，出现在弱口令字典中的字符串不能被设置为用户口令</w:t>
            </w:r>
            <w:r>
              <w:rPr>
                <w:rFonts w:hint="eastAsia" w:ascii="宋体" w:hAnsi="宋体" w:eastAsia="宋体" w:cs="宋体"/>
                <w:color w:val="auto"/>
                <w:sz w:val="21"/>
                <w:szCs w:val="21"/>
                <w:highlight w:val="none"/>
                <w:lang w:eastAsia="zh-CN"/>
              </w:rPr>
              <w:t>。</w:t>
            </w:r>
          </w:p>
        </w:tc>
      </w:tr>
      <w:tr w14:paraId="5CFF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08DD775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426" w:type="dxa"/>
            <w:vMerge w:val="continue"/>
            <w:vAlign w:val="center"/>
          </w:tcPr>
          <w:p w14:paraId="5752D6F1">
            <w:pPr>
              <w:rPr>
                <w:rFonts w:hint="eastAsia" w:ascii="宋体" w:hAnsi="宋体" w:eastAsia="宋体" w:cs="宋体"/>
                <w:color w:val="auto"/>
                <w:sz w:val="21"/>
                <w:szCs w:val="21"/>
                <w:highlight w:val="none"/>
              </w:rPr>
            </w:pPr>
          </w:p>
        </w:tc>
        <w:tc>
          <w:tcPr>
            <w:tcW w:w="643" w:type="dxa"/>
            <w:vMerge w:val="continue"/>
            <w:vAlign w:val="center"/>
          </w:tcPr>
          <w:p w14:paraId="79781B83">
            <w:pPr>
              <w:rPr>
                <w:rFonts w:hint="eastAsia" w:ascii="宋体" w:hAnsi="宋体" w:eastAsia="宋体" w:cs="宋体"/>
                <w:color w:val="auto"/>
                <w:sz w:val="21"/>
                <w:szCs w:val="21"/>
                <w:highlight w:val="none"/>
              </w:rPr>
            </w:pPr>
          </w:p>
        </w:tc>
        <w:tc>
          <w:tcPr>
            <w:tcW w:w="1440" w:type="dxa"/>
            <w:vAlign w:val="center"/>
          </w:tcPr>
          <w:p w14:paraId="49F75D1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*白名单访问控制</w:t>
            </w:r>
          </w:p>
        </w:tc>
        <w:tc>
          <w:tcPr>
            <w:tcW w:w="5560" w:type="dxa"/>
            <w:vAlign w:val="center"/>
          </w:tcPr>
          <w:p w14:paraId="27BEEB5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支持基于时间、IP或MAC白名单访问控制</w:t>
            </w:r>
            <w:r>
              <w:rPr>
                <w:rFonts w:hint="eastAsia" w:ascii="宋体" w:hAnsi="宋体" w:eastAsia="宋体" w:cs="宋体"/>
                <w:color w:val="auto"/>
                <w:sz w:val="21"/>
                <w:szCs w:val="21"/>
                <w:highlight w:val="none"/>
                <w:lang w:eastAsia="zh-CN"/>
              </w:rPr>
              <w:t>。</w:t>
            </w:r>
          </w:p>
        </w:tc>
      </w:tr>
      <w:tr w14:paraId="5534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79127D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9</w:t>
            </w:r>
          </w:p>
        </w:tc>
        <w:tc>
          <w:tcPr>
            <w:tcW w:w="426" w:type="dxa"/>
            <w:vMerge w:val="continue"/>
            <w:vAlign w:val="center"/>
          </w:tcPr>
          <w:p w14:paraId="568C7C14">
            <w:pPr>
              <w:rPr>
                <w:rFonts w:hint="eastAsia" w:ascii="宋体" w:hAnsi="宋体" w:eastAsia="宋体" w:cs="宋体"/>
                <w:color w:val="auto"/>
                <w:sz w:val="21"/>
                <w:szCs w:val="21"/>
                <w:highlight w:val="none"/>
              </w:rPr>
            </w:pPr>
          </w:p>
        </w:tc>
        <w:tc>
          <w:tcPr>
            <w:tcW w:w="643" w:type="dxa"/>
            <w:vMerge w:val="continue"/>
            <w:vAlign w:val="center"/>
          </w:tcPr>
          <w:p w14:paraId="02556842">
            <w:pPr>
              <w:rPr>
                <w:rFonts w:hint="eastAsia" w:ascii="宋体" w:hAnsi="宋体" w:eastAsia="宋体" w:cs="宋体"/>
                <w:color w:val="auto"/>
                <w:sz w:val="21"/>
                <w:szCs w:val="21"/>
                <w:highlight w:val="none"/>
              </w:rPr>
            </w:pPr>
          </w:p>
        </w:tc>
        <w:tc>
          <w:tcPr>
            <w:tcW w:w="1440" w:type="dxa"/>
            <w:vAlign w:val="center"/>
          </w:tcPr>
          <w:p w14:paraId="744B44C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*二次鉴别</w:t>
            </w:r>
          </w:p>
        </w:tc>
        <w:tc>
          <w:tcPr>
            <w:tcW w:w="5560" w:type="dxa"/>
            <w:vAlign w:val="center"/>
          </w:tcPr>
          <w:p w14:paraId="085C3AC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支持二次鉴别功能。对于用户配置、权限配置、公钥导入等重要的管理操作，已登录用户应通过二次鉴别后，才能执行操作</w:t>
            </w:r>
            <w:r>
              <w:rPr>
                <w:rFonts w:hint="eastAsia" w:ascii="宋体" w:hAnsi="宋体" w:eastAsia="宋体" w:cs="宋体"/>
                <w:color w:val="auto"/>
                <w:sz w:val="21"/>
                <w:szCs w:val="21"/>
                <w:highlight w:val="none"/>
                <w:lang w:eastAsia="zh-CN"/>
              </w:rPr>
              <w:t>。</w:t>
            </w:r>
          </w:p>
        </w:tc>
      </w:tr>
      <w:tr w14:paraId="09FCB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204842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0</w:t>
            </w:r>
          </w:p>
        </w:tc>
        <w:tc>
          <w:tcPr>
            <w:tcW w:w="426" w:type="dxa"/>
            <w:vMerge w:val="continue"/>
            <w:vAlign w:val="center"/>
          </w:tcPr>
          <w:p w14:paraId="6FBAA589">
            <w:pPr>
              <w:rPr>
                <w:rFonts w:hint="eastAsia" w:ascii="宋体" w:hAnsi="宋体" w:eastAsia="宋体" w:cs="宋体"/>
                <w:color w:val="auto"/>
                <w:sz w:val="21"/>
                <w:szCs w:val="21"/>
                <w:highlight w:val="none"/>
              </w:rPr>
            </w:pPr>
          </w:p>
        </w:tc>
        <w:tc>
          <w:tcPr>
            <w:tcW w:w="643" w:type="dxa"/>
            <w:vMerge w:val="continue"/>
            <w:vAlign w:val="center"/>
          </w:tcPr>
          <w:p w14:paraId="07265551">
            <w:pPr>
              <w:rPr>
                <w:rFonts w:hint="eastAsia" w:ascii="宋体" w:hAnsi="宋体" w:eastAsia="宋体" w:cs="宋体"/>
                <w:color w:val="auto"/>
                <w:sz w:val="21"/>
                <w:szCs w:val="21"/>
                <w:highlight w:val="none"/>
              </w:rPr>
            </w:pPr>
          </w:p>
        </w:tc>
        <w:tc>
          <w:tcPr>
            <w:tcW w:w="1440" w:type="dxa"/>
            <w:vAlign w:val="center"/>
          </w:tcPr>
          <w:p w14:paraId="65377EC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*密码证书安全加密存储</w:t>
            </w:r>
          </w:p>
        </w:tc>
        <w:tc>
          <w:tcPr>
            <w:tcW w:w="5560" w:type="dxa"/>
            <w:vAlign w:val="center"/>
          </w:tcPr>
          <w:p w14:paraId="54BC20F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支持对带外管理系统中的用户口令和证书等敏感信息进行加密存储，禁止使用私有的和业界已知不安全的密码算法</w:t>
            </w:r>
            <w:r>
              <w:rPr>
                <w:rFonts w:hint="eastAsia" w:ascii="宋体" w:hAnsi="宋体" w:eastAsia="宋体" w:cs="宋体"/>
                <w:color w:val="auto"/>
                <w:sz w:val="21"/>
                <w:szCs w:val="21"/>
                <w:highlight w:val="none"/>
                <w:lang w:eastAsia="zh-CN"/>
              </w:rPr>
              <w:t>。</w:t>
            </w:r>
          </w:p>
        </w:tc>
      </w:tr>
      <w:tr w14:paraId="4CAF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34A5FB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1</w:t>
            </w:r>
          </w:p>
        </w:tc>
        <w:tc>
          <w:tcPr>
            <w:tcW w:w="426" w:type="dxa"/>
            <w:vMerge w:val="continue"/>
            <w:vAlign w:val="center"/>
          </w:tcPr>
          <w:p w14:paraId="67716717">
            <w:pPr>
              <w:rPr>
                <w:rFonts w:hint="eastAsia" w:ascii="宋体" w:hAnsi="宋体" w:eastAsia="宋体" w:cs="宋体"/>
                <w:color w:val="auto"/>
                <w:sz w:val="21"/>
                <w:szCs w:val="21"/>
                <w:highlight w:val="none"/>
              </w:rPr>
            </w:pPr>
          </w:p>
        </w:tc>
        <w:tc>
          <w:tcPr>
            <w:tcW w:w="643" w:type="dxa"/>
            <w:vMerge w:val="continue"/>
            <w:vAlign w:val="center"/>
          </w:tcPr>
          <w:p w14:paraId="2A15CEE4">
            <w:pPr>
              <w:rPr>
                <w:rFonts w:hint="eastAsia" w:ascii="宋体" w:hAnsi="宋体" w:eastAsia="宋体" w:cs="宋体"/>
                <w:color w:val="auto"/>
                <w:sz w:val="21"/>
                <w:szCs w:val="21"/>
                <w:highlight w:val="none"/>
              </w:rPr>
            </w:pPr>
          </w:p>
        </w:tc>
        <w:tc>
          <w:tcPr>
            <w:tcW w:w="1440" w:type="dxa"/>
            <w:vAlign w:val="center"/>
          </w:tcPr>
          <w:p w14:paraId="216C40D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*敏感信息安全加密传输</w:t>
            </w:r>
          </w:p>
        </w:tc>
        <w:tc>
          <w:tcPr>
            <w:tcW w:w="5560" w:type="dxa"/>
            <w:vAlign w:val="center"/>
          </w:tcPr>
          <w:p w14:paraId="45A5365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支持使用安全的传输加密协议（如SSH或HTTPS等）传输用户的敏感信息</w:t>
            </w:r>
            <w:r>
              <w:rPr>
                <w:rFonts w:hint="eastAsia" w:ascii="宋体" w:hAnsi="宋体" w:eastAsia="宋体" w:cs="宋体"/>
                <w:color w:val="auto"/>
                <w:sz w:val="21"/>
                <w:szCs w:val="21"/>
                <w:highlight w:val="none"/>
                <w:lang w:eastAsia="zh-CN"/>
              </w:rPr>
              <w:t>。</w:t>
            </w:r>
          </w:p>
        </w:tc>
      </w:tr>
      <w:tr w14:paraId="42FA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791DBA0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2</w:t>
            </w:r>
          </w:p>
        </w:tc>
        <w:tc>
          <w:tcPr>
            <w:tcW w:w="426" w:type="dxa"/>
            <w:vMerge w:val="continue"/>
            <w:vAlign w:val="center"/>
          </w:tcPr>
          <w:p w14:paraId="3F4F863C">
            <w:pPr>
              <w:rPr>
                <w:rFonts w:hint="eastAsia" w:ascii="宋体" w:hAnsi="宋体" w:eastAsia="宋体" w:cs="宋体"/>
                <w:color w:val="auto"/>
                <w:sz w:val="21"/>
                <w:szCs w:val="21"/>
                <w:highlight w:val="none"/>
              </w:rPr>
            </w:pPr>
          </w:p>
        </w:tc>
        <w:tc>
          <w:tcPr>
            <w:tcW w:w="643" w:type="dxa"/>
            <w:vAlign w:val="center"/>
          </w:tcPr>
          <w:p w14:paraId="2A75490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*信息安全要求</w:t>
            </w:r>
          </w:p>
        </w:tc>
        <w:tc>
          <w:tcPr>
            <w:tcW w:w="1440" w:type="dxa"/>
            <w:vAlign w:val="center"/>
          </w:tcPr>
          <w:p w14:paraId="4D3AB5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*研发过程安全</w:t>
            </w:r>
          </w:p>
        </w:tc>
        <w:tc>
          <w:tcPr>
            <w:tcW w:w="5560" w:type="dxa"/>
            <w:vAlign w:val="center"/>
          </w:tcPr>
          <w:p w14:paraId="011C721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供应商承诺，生产商已建立从需求、设计、开发、测试、维护端到端的开发流程管理机制，输出和保存开发流程中每个阶段的产品需求清单、设计文档、开发文档、测试记录等材料，保证各个流程可追溯</w:t>
            </w:r>
            <w:r>
              <w:rPr>
                <w:rFonts w:hint="eastAsia" w:ascii="宋体" w:hAnsi="宋体" w:eastAsia="宋体" w:cs="宋体"/>
                <w:color w:val="auto"/>
                <w:sz w:val="21"/>
                <w:szCs w:val="21"/>
                <w:highlight w:val="none"/>
                <w:lang w:eastAsia="zh-CN"/>
              </w:rPr>
              <w:t>。</w:t>
            </w:r>
          </w:p>
        </w:tc>
      </w:tr>
      <w:tr w14:paraId="7CFB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19FCECE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426" w:type="dxa"/>
            <w:vMerge w:val="continue"/>
            <w:vAlign w:val="center"/>
          </w:tcPr>
          <w:p w14:paraId="16944E32">
            <w:pPr>
              <w:rPr>
                <w:rFonts w:hint="eastAsia" w:ascii="宋体" w:hAnsi="宋体" w:eastAsia="宋体" w:cs="宋体"/>
                <w:color w:val="auto"/>
                <w:sz w:val="21"/>
                <w:szCs w:val="21"/>
                <w:highlight w:val="none"/>
              </w:rPr>
            </w:pPr>
          </w:p>
        </w:tc>
        <w:tc>
          <w:tcPr>
            <w:tcW w:w="643" w:type="dxa"/>
            <w:vAlign w:val="center"/>
          </w:tcPr>
          <w:p w14:paraId="163B701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*物理安全</w:t>
            </w:r>
          </w:p>
        </w:tc>
        <w:tc>
          <w:tcPr>
            <w:tcW w:w="1440" w:type="dxa"/>
            <w:vAlign w:val="center"/>
          </w:tcPr>
          <w:p w14:paraId="5D11C98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*物理安全</w:t>
            </w:r>
          </w:p>
        </w:tc>
        <w:tc>
          <w:tcPr>
            <w:tcW w:w="5560" w:type="dxa"/>
            <w:vAlign w:val="center"/>
          </w:tcPr>
          <w:p w14:paraId="340CB03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安全要求应符合 GB 4943.1 的规定</w:t>
            </w:r>
            <w:r>
              <w:rPr>
                <w:rFonts w:hint="eastAsia" w:ascii="宋体" w:hAnsi="宋体" w:eastAsia="宋体" w:cs="宋体"/>
                <w:color w:val="auto"/>
                <w:sz w:val="21"/>
                <w:szCs w:val="21"/>
                <w:highlight w:val="none"/>
                <w:lang w:eastAsia="zh-CN"/>
              </w:rPr>
              <w:t>。</w:t>
            </w:r>
          </w:p>
        </w:tc>
      </w:tr>
      <w:tr w14:paraId="17DC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4F269AD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426" w:type="dxa"/>
            <w:vMerge w:val="continue"/>
            <w:vAlign w:val="center"/>
          </w:tcPr>
          <w:p w14:paraId="727DB5A7">
            <w:pPr>
              <w:rPr>
                <w:rFonts w:hint="eastAsia" w:ascii="宋体" w:hAnsi="宋体" w:eastAsia="宋体" w:cs="宋体"/>
                <w:color w:val="auto"/>
                <w:sz w:val="21"/>
                <w:szCs w:val="21"/>
                <w:highlight w:val="none"/>
              </w:rPr>
            </w:pPr>
          </w:p>
        </w:tc>
        <w:tc>
          <w:tcPr>
            <w:tcW w:w="643" w:type="dxa"/>
            <w:vAlign w:val="center"/>
          </w:tcPr>
          <w:p w14:paraId="288CE1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*限用物质的限量要求</w:t>
            </w:r>
          </w:p>
        </w:tc>
        <w:tc>
          <w:tcPr>
            <w:tcW w:w="1440" w:type="dxa"/>
            <w:vAlign w:val="center"/>
          </w:tcPr>
          <w:p w14:paraId="7B9FED6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*限用物质的限量要求</w:t>
            </w:r>
          </w:p>
        </w:tc>
        <w:tc>
          <w:tcPr>
            <w:tcW w:w="5560" w:type="dxa"/>
            <w:vAlign w:val="center"/>
          </w:tcPr>
          <w:p w14:paraId="197D831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限用物质的限量应符合 GB/T 26572的要求</w:t>
            </w:r>
            <w:r>
              <w:rPr>
                <w:rFonts w:hint="eastAsia" w:ascii="宋体" w:hAnsi="宋体" w:eastAsia="宋体" w:cs="宋体"/>
                <w:color w:val="auto"/>
                <w:sz w:val="21"/>
                <w:szCs w:val="21"/>
                <w:highlight w:val="none"/>
                <w:lang w:eastAsia="zh-CN"/>
              </w:rPr>
              <w:t>。</w:t>
            </w:r>
          </w:p>
        </w:tc>
      </w:tr>
      <w:tr w14:paraId="1235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12B7D1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5</w:t>
            </w:r>
          </w:p>
        </w:tc>
        <w:tc>
          <w:tcPr>
            <w:tcW w:w="426" w:type="dxa"/>
            <w:vMerge w:val="restart"/>
            <w:vAlign w:val="center"/>
          </w:tcPr>
          <w:p w14:paraId="1D3FDB5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性能要求</w:t>
            </w:r>
          </w:p>
        </w:tc>
        <w:tc>
          <w:tcPr>
            <w:tcW w:w="643" w:type="dxa"/>
            <w:vMerge w:val="restart"/>
            <w:vAlign w:val="center"/>
          </w:tcPr>
          <w:p w14:paraId="618B58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w:t>
            </w:r>
          </w:p>
          <w:p w14:paraId="530B355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w:t>
            </w:r>
          </w:p>
        </w:tc>
        <w:tc>
          <w:tcPr>
            <w:tcW w:w="1440" w:type="dxa"/>
            <w:vAlign w:val="center"/>
          </w:tcPr>
          <w:p w14:paraId="4B15E32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*CPU主频</w:t>
            </w:r>
          </w:p>
        </w:tc>
        <w:tc>
          <w:tcPr>
            <w:tcW w:w="5560" w:type="dxa"/>
            <w:vAlign w:val="center"/>
          </w:tcPr>
          <w:p w14:paraId="1512849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≥2.7GHz</w:t>
            </w:r>
            <w:r>
              <w:rPr>
                <w:rFonts w:hint="eastAsia" w:ascii="宋体" w:hAnsi="宋体" w:eastAsia="宋体" w:cs="宋体"/>
                <w:color w:val="auto"/>
                <w:sz w:val="21"/>
                <w:szCs w:val="21"/>
                <w:highlight w:val="none"/>
                <w:lang w:val="en-US" w:eastAsia="zh-CN"/>
              </w:rPr>
              <w:t xml:space="preserve"> 。</w:t>
            </w:r>
          </w:p>
        </w:tc>
      </w:tr>
      <w:tr w14:paraId="02D3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0ACD1D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c>
          <w:tcPr>
            <w:tcW w:w="426" w:type="dxa"/>
            <w:vMerge w:val="continue"/>
            <w:vAlign w:val="center"/>
          </w:tcPr>
          <w:p w14:paraId="32498438">
            <w:pPr>
              <w:rPr>
                <w:rFonts w:hint="eastAsia" w:ascii="宋体" w:hAnsi="宋体" w:eastAsia="宋体" w:cs="宋体"/>
                <w:color w:val="auto"/>
                <w:sz w:val="21"/>
                <w:szCs w:val="21"/>
                <w:highlight w:val="none"/>
              </w:rPr>
            </w:pPr>
          </w:p>
        </w:tc>
        <w:tc>
          <w:tcPr>
            <w:tcW w:w="643" w:type="dxa"/>
            <w:vMerge w:val="continue"/>
            <w:vAlign w:val="center"/>
          </w:tcPr>
          <w:p w14:paraId="40691276">
            <w:pPr>
              <w:rPr>
                <w:rFonts w:hint="eastAsia" w:ascii="宋体" w:hAnsi="宋体" w:eastAsia="宋体" w:cs="宋体"/>
                <w:color w:val="auto"/>
                <w:sz w:val="21"/>
                <w:szCs w:val="21"/>
                <w:highlight w:val="none"/>
              </w:rPr>
            </w:pPr>
          </w:p>
        </w:tc>
        <w:tc>
          <w:tcPr>
            <w:tcW w:w="1440" w:type="dxa"/>
            <w:vAlign w:val="center"/>
          </w:tcPr>
          <w:p w14:paraId="0CCFF51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*单CPU核数</w:t>
            </w:r>
          </w:p>
        </w:tc>
        <w:tc>
          <w:tcPr>
            <w:tcW w:w="5560" w:type="dxa"/>
            <w:vAlign w:val="center"/>
          </w:tcPr>
          <w:p w14:paraId="7AB9B96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p>
        </w:tc>
      </w:tr>
      <w:tr w14:paraId="739B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8C7D87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426" w:type="dxa"/>
            <w:vMerge w:val="continue"/>
            <w:vAlign w:val="center"/>
          </w:tcPr>
          <w:p w14:paraId="1BAD0A5C">
            <w:pPr>
              <w:rPr>
                <w:rFonts w:hint="eastAsia" w:ascii="宋体" w:hAnsi="宋体" w:eastAsia="宋体" w:cs="宋体"/>
                <w:color w:val="auto"/>
                <w:sz w:val="21"/>
                <w:szCs w:val="21"/>
                <w:highlight w:val="none"/>
              </w:rPr>
            </w:pPr>
          </w:p>
        </w:tc>
        <w:tc>
          <w:tcPr>
            <w:tcW w:w="643" w:type="dxa"/>
            <w:vMerge w:val="continue"/>
            <w:vAlign w:val="center"/>
          </w:tcPr>
          <w:p w14:paraId="1FF24507">
            <w:pPr>
              <w:rPr>
                <w:rFonts w:hint="eastAsia" w:ascii="宋体" w:hAnsi="宋体" w:eastAsia="宋体" w:cs="宋体"/>
                <w:color w:val="auto"/>
                <w:sz w:val="21"/>
                <w:szCs w:val="21"/>
                <w:highlight w:val="none"/>
              </w:rPr>
            </w:pPr>
          </w:p>
        </w:tc>
        <w:tc>
          <w:tcPr>
            <w:tcW w:w="1440" w:type="dxa"/>
            <w:vAlign w:val="center"/>
          </w:tcPr>
          <w:p w14:paraId="0120F77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*单CPU末级缓存容量</w:t>
            </w:r>
          </w:p>
        </w:tc>
        <w:tc>
          <w:tcPr>
            <w:tcW w:w="5560" w:type="dxa"/>
            <w:vAlign w:val="center"/>
          </w:tcPr>
          <w:p w14:paraId="223E948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≥64MB</w:t>
            </w:r>
            <w:r>
              <w:rPr>
                <w:rFonts w:hint="eastAsia" w:ascii="宋体" w:hAnsi="宋体" w:eastAsia="宋体" w:cs="宋体"/>
                <w:color w:val="auto"/>
                <w:sz w:val="21"/>
                <w:szCs w:val="21"/>
                <w:highlight w:val="none"/>
                <w:lang w:val="en-US" w:eastAsia="zh-CN"/>
              </w:rPr>
              <w:t xml:space="preserve"> 。</w:t>
            </w:r>
          </w:p>
        </w:tc>
      </w:tr>
      <w:tr w14:paraId="63F4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04AA4F6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426" w:type="dxa"/>
            <w:vMerge w:val="continue"/>
            <w:vAlign w:val="center"/>
          </w:tcPr>
          <w:p w14:paraId="18337300">
            <w:pPr>
              <w:rPr>
                <w:rFonts w:hint="eastAsia" w:ascii="宋体" w:hAnsi="宋体" w:eastAsia="宋体" w:cs="宋体"/>
                <w:color w:val="auto"/>
                <w:sz w:val="21"/>
                <w:szCs w:val="21"/>
                <w:highlight w:val="none"/>
              </w:rPr>
            </w:pPr>
          </w:p>
        </w:tc>
        <w:tc>
          <w:tcPr>
            <w:tcW w:w="643" w:type="dxa"/>
            <w:vAlign w:val="center"/>
          </w:tcPr>
          <w:p w14:paraId="16442E9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*内存性能</w:t>
            </w:r>
          </w:p>
        </w:tc>
        <w:tc>
          <w:tcPr>
            <w:tcW w:w="1440" w:type="dxa"/>
            <w:vAlign w:val="center"/>
          </w:tcPr>
          <w:p w14:paraId="744BE4A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*内存速率</w:t>
            </w:r>
          </w:p>
        </w:tc>
        <w:tc>
          <w:tcPr>
            <w:tcW w:w="5560" w:type="dxa"/>
            <w:vAlign w:val="center"/>
          </w:tcPr>
          <w:p w14:paraId="322271C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≥3200MT/s</w:t>
            </w:r>
            <w:r>
              <w:rPr>
                <w:rFonts w:hint="eastAsia" w:ascii="宋体" w:hAnsi="宋体" w:eastAsia="宋体" w:cs="宋体"/>
                <w:color w:val="auto"/>
                <w:sz w:val="21"/>
                <w:szCs w:val="21"/>
                <w:highlight w:val="none"/>
                <w:lang w:val="en-US" w:eastAsia="zh-CN"/>
              </w:rPr>
              <w:t xml:space="preserve"> 。</w:t>
            </w:r>
          </w:p>
        </w:tc>
      </w:tr>
      <w:tr w14:paraId="3BBA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D641EE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w:t>
            </w:r>
          </w:p>
        </w:tc>
        <w:tc>
          <w:tcPr>
            <w:tcW w:w="426" w:type="dxa"/>
            <w:vMerge w:val="continue"/>
            <w:vAlign w:val="center"/>
          </w:tcPr>
          <w:p w14:paraId="1F43723A">
            <w:pPr>
              <w:rPr>
                <w:rFonts w:hint="eastAsia" w:ascii="宋体" w:hAnsi="宋体" w:eastAsia="宋体" w:cs="宋体"/>
                <w:color w:val="auto"/>
                <w:sz w:val="21"/>
                <w:szCs w:val="21"/>
                <w:highlight w:val="none"/>
              </w:rPr>
            </w:pPr>
          </w:p>
        </w:tc>
        <w:tc>
          <w:tcPr>
            <w:tcW w:w="643" w:type="dxa"/>
            <w:vAlign w:val="center"/>
          </w:tcPr>
          <w:p w14:paraId="1C7D26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*电源能耗</w:t>
            </w:r>
          </w:p>
        </w:tc>
        <w:tc>
          <w:tcPr>
            <w:tcW w:w="1440" w:type="dxa"/>
            <w:vAlign w:val="center"/>
          </w:tcPr>
          <w:p w14:paraId="429486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*电源能耗</w:t>
            </w:r>
          </w:p>
        </w:tc>
        <w:tc>
          <w:tcPr>
            <w:tcW w:w="5560" w:type="dxa"/>
            <w:vAlign w:val="center"/>
          </w:tcPr>
          <w:p w14:paraId="3CBE583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 GB/T 9813.3 的有关规定</w:t>
            </w:r>
            <w:r>
              <w:rPr>
                <w:rFonts w:hint="eastAsia" w:ascii="宋体" w:hAnsi="宋体" w:eastAsia="宋体" w:cs="宋体"/>
                <w:color w:val="auto"/>
                <w:sz w:val="21"/>
                <w:szCs w:val="21"/>
                <w:highlight w:val="none"/>
                <w:lang w:eastAsia="zh-CN"/>
              </w:rPr>
              <w:t>。</w:t>
            </w:r>
          </w:p>
        </w:tc>
      </w:tr>
      <w:tr w14:paraId="2F1E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15B79C3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426" w:type="dxa"/>
            <w:vMerge w:val="restart"/>
            <w:vAlign w:val="center"/>
          </w:tcPr>
          <w:p w14:paraId="3FF07B3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兼容要求</w:t>
            </w:r>
          </w:p>
        </w:tc>
        <w:tc>
          <w:tcPr>
            <w:tcW w:w="643" w:type="dxa"/>
            <w:vMerge w:val="restart"/>
            <w:vAlign w:val="center"/>
          </w:tcPr>
          <w:p w14:paraId="07B3BE4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*部件兼容性要求</w:t>
            </w:r>
          </w:p>
        </w:tc>
        <w:tc>
          <w:tcPr>
            <w:tcW w:w="1440" w:type="dxa"/>
            <w:vAlign w:val="center"/>
          </w:tcPr>
          <w:p w14:paraId="159786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*内存兼容性</w:t>
            </w:r>
          </w:p>
        </w:tc>
        <w:tc>
          <w:tcPr>
            <w:tcW w:w="5560" w:type="dxa"/>
            <w:vAlign w:val="center"/>
          </w:tcPr>
          <w:p w14:paraId="71178A3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适配3种及以上厂商的内存产品，且均不低于产品支持的内存规格</w:t>
            </w:r>
            <w:r>
              <w:rPr>
                <w:rFonts w:hint="eastAsia" w:ascii="宋体" w:hAnsi="宋体" w:eastAsia="宋体" w:cs="宋体"/>
                <w:color w:val="auto"/>
                <w:sz w:val="21"/>
                <w:szCs w:val="21"/>
                <w:highlight w:val="none"/>
                <w:lang w:eastAsia="zh-CN"/>
              </w:rPr>
              <w:t>。</w:t>
            </w:r>
          </w:p>
        </w:tc>
      </w:tr>
      <w:tr w14:paraId="3264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EB8363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p>
        </w:tc>
        <w:tc>
          <w:tcPr>
            <w:tcW w:w="426" w:type="dxa"/>
            <w:vMerge w:val="continue"/>
            <w:vAlign w:val="center"/>
          </w:tcPr>
          <w:p w14:paraId="3C0531D4">
            <w:pPr>
              <w:rPr>
                <w:rFonts w:hint="eastAsia" w:ascii="宋体" w:hAnsi="宋体" w:eastAsia="宋体" w:cs="宋体"/>
                <w:color w:val="auto"/>
                <w:sz w:val="21"/>
                <w:szCs w:val="21"/>
                <w:highlight w:val="none"/>
              </w:rPr>
            </w:pPr>
          </w:p>
        </w:tc>
        <w:tc>
          <w:tcPr>
            <w:tcW w:w="643" w:type="dxa"/>
            <w:vMerge w:val="continue"/>
            <w:vAlign w:val="center"/>
          </w:tcPr>
          <w:p w14:paraId="2E5554EE">
            <w:pPr>
              <w:rPr>
                <w:rFonts w:hint="eastAsia" w:ascii="宋体" w:hAnsi="宋体" w:eastAsia="宋体" w:cs="宋体"/>
                <w:color w:val="auto"/>
                <w:sz w:val="21"/>
                <w:szCs w:val="21"/>
                <w:highlight w:val="none"/>
              </w:rPr>
            </w:pPr>
          </w:p>
        </w:tc>
        <w:tc>
          <w:tcPr>
            <w:tcW w:w="1440" w:type="dxa"/>
            <w:vAlign w:val="center"/>
          </w:tcPr>
          <w:p w14:paraId="1AA7E9C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*固态存储兼容性</w:t>
            </w:r>
          </w:p>
        </w:tc>
        <w:tc>
          <w:tcPr>
            <w:tcW w:w="5560" w:type="dxa"/>
            <w:vAlign w:val="center"/>
          </w:tcPr>
          <w:p w14:paraId="36C1584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适配3种或以上厂商的固态存储产品，且均不低于产品支持的固态存储设备规格</w:t>
            </w:r>
            <w:r>
              <w:rPr>
                <w:rFonts w:hint="eastAsia" w:ascii="宋体" w:hAnsi="宋体" w:eastAsia="宋体" w:cs="宋体"/>
                <w:color w:val="auto"/>
                <w:sz w:val="21"/>
                <w:szCs w:val="21"/>
                <w:highlight w:val="none"/>
                <w:lang w:eastAsia="zh-CN"/>
              </w:rPr>
              <w:t>。</w:t>
            </w:r>
          </w:p>
        </w:tc>
      </w:tr>
      <w:tr w14:paraId="72CC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7150A9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2</w:t>
            </w:r>
          </w:p>
        </w:tc>
        <w:tc>
          <w:tcPr>
            <w:tcW w:w="426" w:type="dxa"/>
            <w:vMerge w:val="continue"/>
            <w:vAlign w:val="center"/>
          </w:tcPr>
          <w:p w14:paraId="5D43A961">
            <w:pPr>
              <w:rPr>
                <w:rFonts w:hint="eastAsia" w:ascii="宋体" w:hAnsi="宋体" w:eastAsia="宋体" w:cs="宋体"/>
                <w:color w:val="auto"/>
                <w:sz w:val="21"/>
                <w:szCs w:val="21"/>
                <w:highlight w:val="none"/>
              </w:rPr>
            </w:pPr>
          </w:p>
        </w:tc>
        <w:tc>
          <w:tcPr>
            <w:tcW w:w="643" w:type="dxa"/>
            <w:vMerge w:val="continue"/>
            <w:vAlign w:val="center"/>
          </w:tcPr>
          <w:p w14:paraId="07C5D15F">
            <w:pPr>
              <w:rPr>
                <w:rFonts w:hint="eastAsia" w:ascii="宋体" w:hAnsi="宋体" w:eastAsia="宋体" w:cs="宋体"/>
                <w:color w:val="auto"/>
                <w:sz w:val="21"/>
                <w:szCs w:val="21"/>
                <w:highlight w:val="none"/>
              </w:rPr>
            </w:pPr>
          </w:p>
        </w:tc>
        <w:tc>
          <w:tcPr>
            <w:tcW w:w="1440" w:type="dxa"/>
            <w:vAlign w:val="center"/>
          </w:tcPr>
          <w:p w14:paraId="4AFDE8E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*网卡兼容性</w:t>
            </w:r>
          </w:p>
        </w:tc>
        <w:tc>
          <w:tcPr>
            <w:tcW w:w="5560" w:type="dxa"/>
            <w:vAlign w:val="center"/>
          </w:tcPr>
          <w:p w14:paraId="09DCB30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网卡应适配两种或以上厂商产品</w:t>
            </w:r>
            <w:r>
              <w:rPr>
                <w:rFonts w:hint="eastAsia" w:ascii="宋体" w:hAnsi="宋体" w:eastAsia="宋体" w:cs="宋体"/>
                <w:color w:val="auto"/>
                <w:sz w:val="21"/>
                <w:szCs w:val="21"/>
                <w:highlight w:val="none"/>
                <w:lang w:eastAsia="zh-CN"/>
              </w:rPr>
              <w:t>。</w:t>
            </w:r>
          </w:p>
        </w:tc>
      </w:tr>
      <w:tr w14:paraId="45FD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2EB504C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3</w:t>
            </w:r>
          </w:p>
        </w:tc>
        <w:tc>
          <w:tcPr>
            <w:tcW w:w="426" w:type="dxa"/>
            <w:vMerge w:val="continue"/>
            <w:vAlign w:val="center"/>
          </w:tcPr>
          <w:p w14:paraId="718547FE">
            <w:pPr>
              <w:rPr>
                <w:rFonts w:hint="eastAsia" w:ascii="宋体" w:hAnsi="宋体" w:eastAsia="宋体" w:cs="宋体"/>
                <w:color w:val="auto"/>
                <w:sz w:val="21"/>
                <w:szCs w:val="21"/>
                <w:highlight w:val="none"/>
              </w:rPr>
            </w:pPr>
          </w:p>
        </w:tc>
        <w:tc>
          <w:tcPr>
            <w:tcW w:w="643" w:type="dxa"/>
            <w:vMerge w:val="continue"/>
            <w:vAlign w:val="center"/>
          </w:tcPr>
          <w:p w14:paraId="2127C539">
            <w:pPr>
              <w:rPr>
                <w:rFonts w:hint="eastAsia" w:ascii="宋体" w:hAnsi="宋体" w:eastAsia="宋体" w:cs="宋体"/>
                <w:color w:val="auto"/>
                <w:sz w:val="21"/>
                <w:szCs w:val="21"/>
                <w:highlight w:val="none"/>
              </w:rPr>
            </w:pPr>
          </w:p>
        </w:tc>
        <w:tc>
          <w:tcPr>
            <w:tcW w:w="1440" w:type="dxa"/>
            <w:vAlign w:val="center"/>
          </w:tcPr>
          <w:p w14:paraId="0DC5EF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*功能卡兼容性</w:t>
            </w:r>
          </w:p>
        </w:tc>
        <w:tc>
          <w:tcPr>
            <w:tcW w:w="5560" w:type="dxa"/>
            <w:vAlign w:val="center"/>
          </w:tcPr>
          <w:p w14:paraId="7D83D7E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内置或适配符合PCIe 的功能卡，如：网络功能卡、存储功能卡及图形显示功能卡</w:t>
            </w:r>
            <w:r>
              <w:rPr>
                <w:rFonts w:hint="eastAsia" w:ascii="宋体" w:hAnsi="宋体" w:eastAsia="宋体" w:cs="宋体"/>
                <w:color w:val="auto"/>
                <w:sz w:val="21"/>
                <w:szCs w:val="21"/>
                <w:highlight w:val="none"/>
                <w:lang w:eastAsia="zh-CN"/>
              </w:rPr>
              <w:t>。</w:t>
            </w:r>
          </w:p>
        </w:tc>
      </w:tr>
      <w:tr w14:paraId="1BC2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2D6B573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4</w:t>
            </w:r>
          </w:p>
        </w:tc>
        <w:tc>
          <w:tcPr>
            <w:tcW w:w="426" w:type="dxa"/>
            <w:vMerge w:val="continue"/>
            <w:vAlign w:val="center"/>
          </w:tcPr>
          <w:p w14:paraId="09FCAC59">
            <w:pPr>
              <w:rPr>
                <w:rFonts w:hint="eastAsia" w:ascii="宋体" w:hAnsi="宋体" w:eastAsia="宋体" w:cs="宋体"/>
                <w:color w:val="auto"/>
                <w:sz w:val="21"/>
                <w:szCs w:val="21"/>
                <w:highlight w:val="none"/>
              </w:rPr>
            </w:pPr>
          </w:p>
        </w:tc>
        <w:tc>
          <w:tcPr>
            <w:tcW w:w="643" w:type="dxa"/>
            <w:vAlign w:val="center"/>
          </w:tcPr>
          <w:p w14:paraId="3D6C98F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*外设兼容性</w:t>
            </w:r>
          </w:p>
        </w:tc>
        <w:tc>
          <w:tcPr>
            <w:tcW w:w="1440" w:type="dxa"/>
            <w:vAlign w:val="center"/>
          </w:tcPr>
          <w:p w14:paraId="0A3606C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*外设兼容性</w:t>
            </w:r>
          </w:p>
        </w:tc>
        <w:tc>
          <w:tcPr>
            <w:tcW w:w="5560" w:type="dxa"/>
            <w:vAlign w:val="center"/>
          </w:tcPr>
          <w:p w14:paraId="55AE536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兼容多种主流生产商的外部设备，包括显示器、键盘、鼠标、闪存盘、移动硬盘、USB光驱及KVM等，要求使用不同厂商的外部设备时，系统均能正常识别和安装驱动</w:t>
            </w:r>
            <w:r>
              <w:rPr>
                <w:rFonts w:hint="eastAsia" w:ascii="宋体" w:hAnsi="宋体" w:eastAsia="宋体" w:cs="宋体"/>
                <w:color w:val="auto"/>
                <w:sz w:val="21"/>
                <w:szCs w:val="21"/>
                <w:highlight w:val="none"/>
                <w:lang w:eastAsia="zh-CN"/>
              </w:rPr>
              <w:t>。</w:t>
            </w:r>
          </w:p>
        </w:tc>
      </w:tr>
      <w:tr w14:paraId="2980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19FB342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5</w:t>
            </w:r>
          </w:p>
        </w:tc>
        <w:tc>
          <w:tcPr>
            <w:tcW w:w="426" w:type="dxa"/>
            <w:vMerge w:val="continue"/>
            <w:vAlign w:val="center"/>
          </w:tcPr>
          <w:p w14:paraId="550CC1B0">
            <w:pPr>
              <w:rPr>
                <w:rFonts w:hint="eastAsia" w:ascii="宋体" w:hAnsi="宋体" w:eastAsia="宋体" w:cs="宋体"/>
                <w:color w:val="auto"/>
                <w:sz w:val="21"/>
                <w:szCs w:val="21"/>
                <w:highlight w:val="none"/>
              </w:rPr>
            </w:pPr>
          </w:p>
        </w:tc>
        <w:tc>
          <w:tcPr>
            <w:tcW w:w="643" w:type="dxa"/>
            <w:vMerge w:val="restart"/>
            <w:vAlign w:val="center"/>
          </w:tcPr>
          <w:p w14:paraId="656F71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*软件兼容性</w:t>
            </w:r>
          </w:p>
        </w:tc>
        <w:tc>
          <w:tcPr>
            <w:tcW w:w="1440" w:type="dxa"/>
            <w:vAlign w:val="center"/>
          </w:tcPr>
          <w:p w14:paraId="7F4EF4B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*数据库兼容</w:t>
            </w:r>
          </w:p>
        </w:tc>
        <w:tc>
          <w:tcPr>
            <w:tcW w:w="5560" w:type="dxa"/>
            <w:vAlign w:val="center"/>
          </w:tcPr>
          <w:p w14:paraId="130E5FD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兼容3个及以上厂商的数据库产品</w:t>
            </w:r>
            <w:r>
              <w:rPr>
                <w:rFonts w:hint="eastAsia" w:ascii="宋体" w:hAnsi="宋体" w:eastAsia="宋体" w:cs="宋体"/>
                <w:color w:val="auto"/>
                <w:sz w:val="21"/>
                <w:szCs w:val="21"/>
                <w:highlight w:val="none"/>
                <w:lang w:eastAsia="zh-CN"/>
              </w:rPr>
              <w:t>。</w:t>
            </w:r>
          </w:p>
        </w:tc>
      </w:tr>
      <w:tr w14:paraId="7168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06D8B2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c>
          <w:tcPr>
            <w:tcW w:w="426" w:type="dxa"/>
            <w:vMerge w:val="continue"/>
            <w:vAlign w:val="center"/>
          </w:tcPr>
          <w:p w14:paraId="75815261">
            <w:pPr>
              <w:rPr>
                <w:rFonts w:hint="eastAsia" w:ascii="宋体" w:hAnsi="宋体" w:eastAsia="宋体" w:cs="宋体"/>
                <w:color w:val="auto"/>
                <w:sz w:val="21"/>
                <w:szCs w:val="21"/>
                <w:highlight w:val="none"/>
              </w:rPr>
            </w:pPr>
          </w:p>
        </w:tc>
        <w:tc>
          <w:tcPr>
            <w:tcW w:w="643" w:type="dxa"/>
            <w:vMerge w:val="continue"/>
            <w:vAlign w:val="center"/>
          </w:tcPr>
          <w:p w14:paraId="7D4237F0">
            <w:pPr>
              <w:rPr>
                <w:rFonts w:hint="eastAsia" w:ascii="宋体" w:hAnsi="宋体" w:eastAsia="宋体" w:cs="宋体"/>
                <w:color w:val="auto"/>
                <w:sz w:val="21"/>
                <w:szCs w:val="21"/>
                <w:highlight w:val="none"/>
              </w:rPr>
            </w:pPr>
          </w:p>
        </w:tc>
        <w:tc>
          <w:tcPr>
            <w:tcW w:w="1440" w:type="dxa"/>
            <w:vAlign w:val="center"/>
          </w:tcPr>
          <w:p w14:paraId="7068F7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*中间件兼容</w:t>
            </w:r>
          </w:p>
        </w:tc>
        <w:tc>
          <w:tcPr>
            <w:tcW w:w="5560" w:type="dxa"/>
            <w:vAlign w:val="center"/>
          </w:tcPr>
          <w:p w14:paraId="05DFAFC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兼容3个及以上厂商的中间件产品</w:t>
            </w:r>
            <w:r>
              <w:rPr>
                <w:rFonts w:hint="eastAsia" w:ascii="宋体" w:hAnsi="宋体" w:eastAsia="宋体" w:cs="宋体"/>
                <w:color w:val="auto"/>
                <w:sz w:val="21"/>
                <w:szCs w:val="21"/>
                <w:highlight w:val="none"/>
                <w:lang w:eastAsia="zh-CN"/>
              </w:rPr>
              <w:t>。</w:t>
            </w:r>
          </w:p>
        </w:tc>
      </w:tr>
      <w:tr w14:paraId="77F3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F616E4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w:t>
            </w:r>
          </w:p>
        </w:tc>
        <w:tc>
          <w:tcPr>
            <w:tcW w:w="426" w:type="dxa"/>
            <w:vMerge w:val="continue"/>
            <w:vAlign w:val="center"/>
          </w:tcPr>
          <w:p w14:paraId="17D10033">
            <w:pPr>
              <w:rPr>
                <w:rFonts w:hint="eastAsia" w:ascii="宋体" w:hAnsi="宋体" w:eastAsia="宋体" w:cs="宋体"/>
                <w:color w:val="auto"/>
                <w:sz w:val="21"/>
                <w:szCs w:val="21"/>
                <w:highlight w:val="none"/>
              </w:rPr>
            </w:pPr>
          </w:p>
        </w:tc>
        <w:tc>
          <w:tcPr>
            <w:tcW w:w="643" w:type="dxa"/>
            <w:vMerge w:val="continue"/>
            <w:vAlign w:val="center"/>
          </w:tcPr>
          <w:p w14:paraId="48016CE8">
            <w:pPr>
              <w:rPr>
                <w:rFonts w:hint="eastAsia" w:ascii="宋体" w:hAnsi="宋体" w:eastAsia="宋体" w:cs="宋体"/>
                <w:color w:val="auto"/>
                <w:sz w:val="21"/>
                <w:szCs w:val="21"/>
                <w:highlight w:val="none"/>
              </w:rPr>
            </w:pPr>
          </w:p>
        </w:tc>
        <w:tc>
          <w:tcPr>
            <w:tcW w:w="1440" w:type="dxa"/>
            <w:vAlign w:val="center"/>
          </w:tcPr>
          <w:p w14:paraId="79BBEBF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*平台软件兼容</w:t>
            </w:r>
          </w:p>
        </w:tc>
        <w:tc>
          <w:tcPr>
            <w:tcW w:w="5560" w:type="dxa"/>
            <w:vAlign w:val="center"/>
          </w:tcPr>
          <w:p w14:paraId="3957CA2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兼容3个及以上厂商的大数据平台</w:t>
            </w:r>
            <w:r>
              <w:rPr>
                <w:rFonts w:hint="eastAsia" w:ascii="宋体" w:hAnsi="宋体" w:eastAsia="宋体" w:cs="宋体"/>
                <w:color w:val="auto"/>
                <w:sz w:val="21"/>
                <w:szCs w:val="21"/>
                <w:highlight w:val="none"/>
                <w:lang w:eastAsia="zh-CN"/>
              </w:rPr>
              <w:t>。</w:t>
            </w:r>
          </w:p>
        </w:tc>
      </w:tr>
      <w:tr w14:paraId="232F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45C0467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58</w:t>
            </w:r>
          </w:p>
        </w:tc>
        <w:tc>
          <w:tcPr>
            <w:tcW w:w="426" w:type="dxa"/>
            <w:vMerge w:val="restart"/>
            <w:vAlign w:val="center"/>
          </w:tcPr>
          <w:p w14:paraId="7C5C14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可靠性要求</w:t>
            </w:r>
          </w:p>
        </w:tc>
        <w:tc>
          <w:tcPr>
            <w:tcW w:w="643" w:type="dxa"/>
            <w:vMerge w:val="restart"/>
            <w:vAlign w:val="center"/>
          </w:tcPr>
          <w:p w14:paraId="739D9B2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*整机可靠性要求</w:t>
            </w:r>
          </w:p>
        </w:tc>
        <w:tc>
          <w:tcPr>
            <w:tcW w:w="1440" w:type="dxa"/>
            <w:vAlign w:val="center"/>
          </w:tcPr>
          <w:p w14:paraId="0056FD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*整机可靠性</w:t>
            </w:r>
          </w:p>
        </w:tc>
        <w:tc>
          <w:tcPr>
            <w:tcW w:w="5560" w:type="dxa"/>
            <w:vAlign w:val="center"/>
          </w:tcPr>
          <w:p w14:paraId="2459C6D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m1值（MTBF的不可接受值）不得低于30000h</w:t>
            </w:r>
            <w:r>
              <w:rPr>
                <w:rFonts w:hint="eastAsia" w:ascii="宋体" w:hAnsi="宋体" w:eastAsia="宋体" w:cs="宋体"/>
                <w:color w:val="auto"/>
                <w:sz w:val="21"/>
                <w:szCs w:val="21"/>
                <w:highlight w:val="none"/>
                <w:lang w:eastAsia="zh-CN"/>
              </w:rPr>
              <w:t>。</w:t>
            </w:r>
          </w:p>
        </w:tc>
      </w:tr>
      <w:tr w14:paraId="2D85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1F2F57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w:t>
            </w:r>
          </w:p>
        </w:tc>
        <w:tc>
          <w:tcPr>
            <w:tcW w:w="426" w:type="dxa"/>
            <w:vMerge w:val="continue"/>
            <w:vAlign w:val="center"/>
          </w:tcPr>
          <w:p w14:paraId="40BF546F">
            <w:pPr>
              <w:rPr>
                <w:rFonts w:hint="eastAsia" w:ascii="宋体" w:hAnsi="宋体" w:eastAsia="宋体" w:cs="宋体"/>
                <w:color w:val="auto"/>
                <w:sz w:val="21"/>
                <w:szCs w:val="21"/>
                <w:highlight w:val="none"/>
              </w:rPr>
            </w:pPr>
          </w:p>
        </w:tc>
        <w:tc>
          <w:tcPr>
            <w:tcW w:w="643" w:type="dxa"/>
            <w:vMerge w:val="continue"/>
            <w:vAlign w:val="center"/>
          </w:tcPr>
          <w:p w14:paraId="0716F261">
            <w:pPr>
              <w:rPr>
                <w:rFonts w:hint="eastAsia" w:ascii="宋体" w:hAnsi="宋体" w:eastAsia="宋体" w:cs="宋体"/>
                <w:color w:val="auto"/>
                <w:sz w:val="21"/>
                <w:szCs w:val="21"/>
                <w:highlight w:val="none"/>
              </w:rPr>
            </w:pPr>
          </w:p>
        </w:tc>
        <w:tc>
          <w:tcPr>
            <w:tcW w:w="1440" w:type="dxa"/>
            <w:vAlign w:val="center"/>
          </w:tcPr>
          <w:p w14:paraId="165D34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*风扇可靠性</w:t>
            </w:r>
          </w:p>
        </w:tc>
        <w:tc>
          <w:tcPr>
            <w:tcW w:w="5560" w:type="dxa"/>
            <w:vAlign w:val="center"/>
          </w:tcPr>
          <w:p w14:paraId="10BC93F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风扇寿命应不低于40000h</w:t>
            </w:r>
            <w:r>
              <w:rPr>
                <w:rFonts w:hint="eastAsia" w:ascii="宋体" w:hAnsi="宋体" w:eastAsia="宋体" w:cs="宋体"/>
                <w:color w:val="auto"/>
                <w:sz w:val="21"/>
                <w:szCs w:val="21"/>
                <w:highlight w:val="none"/>
                <w:lang w:eastAsia="zh-CN"/>
              </w:rPr>
              <w:t>。</w:t>
            </w:r>
          </w:p>
        </w:tc>
      </w:tr>
      <w:tr w14:paraId="085E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71D18B1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426" w:type="dxa"/>
            <w:vMerge w:val="continue"/>
            <w:vAlign w:val="center"/>
          </w:tcPr>
          <w:p w14:paraId="0ED1DD1B">
            <w:pPr>
              <w:rPr>
                <w:rFonts w:hint="eastAsia" w:ascii="宋体" w:hAnsi="宋体" w:eastAsia="宋体" w:cs="宋体"/>
                <w:color w:val="auto"/>
                <w:sz w:val="21"/>
                <w:szCs w:val="21"/>
                <w:highlight w:val="none"/>
              </w:rPr>
            </w:pPr>
          </w:p>
        </w:tc>
        <w:tc>
          <w:tcPr>
            <w:tcW w:w="643" w:type="dxa"/>
            <w:vMerge w:val="continue"/>
            <w:vAlign w:val="center"/>
          </w:tcPr>
          <w:p w14:paraId="241C1014">
            <w:pPr>
              <w:rPr>
                <w:rFonts w:hint="eastAsia" w:ascii="宋体" w:hAnsi="宋体" w:eastAsia="宋体" w:cs="宋体"/>
                <w:color w:val="auto"/>
                <w:sz w:val="21"/>
                <w:szCs w:val="21"/>
                <w:highlight w:val="none"/>
              </w:rPr>
            </w:pPr>
          </w:p>
        </w:tc>
        <w:tc>
          <w:tcPr>
            <w:tcW w:w="1440" w:type="dxa"/>
            <w:vAlign w:val="center"/>
          </w:tcPr>
          <w:p w14:paraId="63A19C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*部件可靠性</w:t>
            </w:r>
          </w:p>
        </w:tc>
        <w:tc>
          <w:tcPr>
            <w:tcW w:w="5560" w:type="dxa"/>
            <w:vAlign w:val="center"/>
          </w:tcPr>
          <w:p w14:paraId="4A06F7D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支持硬盘、电源、风扇热插拔(内置风扇除外)</w:t>
            </w:r>
            <w:r>
              <w:rPr>
                <w:rFonts w:hint="eastAsia" w:ascii="宋体" w:hAnsi="宋体" w:eastAsia="宋体" w:cs="宋体"/>
                <w:color w:val="auto"/>
                <w:sz w:val="21"/>
                <w:szCs w:val="21"/>
                <w:highlight w:val="none"/>
                <w:lang w:eastAsia="zh-CN"/>
              </w:rPr>
              <w:t>。</w:t>
            </w:r>
          </w:p>
        </w:tc>
      </w:tr>
      <w:tr w14:paraId="4731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1983EFA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1</w:t>
            </w:r>
          </w:p>
        </w:tc>
        <w:tc>
          <w:tcPr>
            <w:tcW w:w="426" w:type="dxa"/>
          </w:tcPr>
          <w:p w14:paraId="758E6AD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包装及运输要求</w:t>
            </w:r>
          </w:p>
        </w:tc>
        <w:tc>
          <w:tcPr>
            <w:tcW w:w="643" w:type="dxa"/>
            <w:vAlign w:val="center"/>
          </w:tcPr>
          <w:p w14:paraId="73A6376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*包装及运输要求</w:t>
            </w:r>
          </w:p>
        </w:tc>
        <w:tc>
          <w:tcPr>
            <w:tcW w:w="1440" w:type="dxa"/>
            <w:vAlign w:val="center"/>
          </w:tcPr>
          <w:p w14:paraId="4AA9A2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*标志、包装、运输和贮存</w:t>
            </w:r>
          </w:p>
        </w:tc>
        <w:tc>
          <w:tcPr>
            <w:tcW w:w="5560" w:type="dxa"/>
            <w:vAlign w:val="center"/>
          </w:tcPr>
          <w:p w14:paraId="68CACD4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符合GB/T9813.3和商品包装政府采购需求标准的相关规定</w:t>
            </w:r>
            <w:r>
              <w:rPr>
                <w:rFonts w:hint="eastAsia" w:ascii="宋体" w:hAnsi="宋体" w:eastAsia="宋体" w:cs="宋体"/>
                <w:color w:val="auto"/>
                <w:sz w:val="21"/>
                <w:szCs w:val="21"/>
                <w:highlight w:val="none"/>
                <w:lang w:eastAsia="zh-CN"/>
              </w:rPr>
              <w:t>。</w:t>
            </w:r>
          </w:p>
        </w:tc>
      </w:tr>
      <w:tr w14:paraId="3107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40C6DE8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2</w:t>
            </w:r>
          </w:p>
        </w:tc>
        <w:tc>
          <w:tcPr>
            <w:tcW w:w="426" w:type="dxa"/>
            <w:vMerge w:val="restart"/>
            <w:vAlign w:val="center"/>
          </w:tcPr>
          <w:p w14:paraId="2BF068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643" w:type="dxa"/>
            <w:vMerge w:val="restart"/>
            <w:vAlign w:val="center"/>
          </w:tcPr>
          <w:p w14:paraId="0E53E4E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1440" w:type="dxa"/>
            <w:vAlign w:val="center"/>
          </w:tcPr>
          <w:p w14:paraId="3543E78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5560" w:type="dxa"/>
            <w:vAlign w:val="center"/>
          </w:tcPr>
          <w:p w14:paraId="0916179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a)提供电话、远程连接等多种形式服务</w:t>
            </w:r>
            <w:r>
              <w:rPr>
                <w:rFonts w:hint="eastAsia" w:ascii="宋体" w:hAnsi="宋体" w:eastAsia="宋体" w:cs="宋体"/>
                <w:color w:val="auto"/>
                <w:sz w:val="21"/>
                <w:szCs w:val="21"/>
                <w:highlight w:val="none"/>
                <w:lang w:eastAsia="zh-CN"/>
              </w:rPr>
              <w:t>。</w:t>
            </w:r>
          </w:p>
          <w:p w14:paraId="2F92A9E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b)提供同城 4h技术响应服务，对于未能解决的问题和故障应提供可行的升级方案，并提供周转设备</w:t>
            </w:r>
            <w:r>
              <w:rPr>
                <w:rFonts w:hint="eastAsia" w:ascii="宋体" w:hAnsi="宋体" w:eastAsia="宋体" w:cs="宋体"/>
                <w:color w:val="auto"/>
                <w:sz w:val="21"/>
                <w:szCs w:val="21"/>
                <w:highlight w:val="none"/>
                <w:lang w:eastAsia="zh-CN"/>
              </w:rPr>
              <w:t>。</w:t>
            </w:r>
          </w:p>
          <w:p w14:paraId="288D04C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c)建立浙江省技术服务体系和服务团体，符合专业服务体系标准要求，提供原厂中文服务</w:t>
            </w:r>
            <w:r>
              <w:rPr>
                <w:rFonts w:hint="eastAsia" w:ascii="宋体" w:hAnsi="宋体" w:eastAsia="宋体" w:cs="宋体"/>
                <w:color w:val="auto"/>
                <w:sz w:val="21"/>
                <w:szCs w:val="21"/>
                <w:highlight w:val="none"/>
                <w:lang w:eastAsia="zh-CN"/>
              </w:rPr>
              <w:t>。</w:t>
            </w:r>
          </w:p>
          <w:p w14:paraId="44FCCB1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d)服务周期内提供产品的维修、换件和升级服务</w:t>
            </w:r>
            <w:r>
              <w:rPr>
                <w:rFonts w:hint="eastAsia" w:ascii="宋体" w:hAnsi="宋体" w:eastAsia="宋体" w:cs="宋体"/>
                <w:color w:val="auto"/>
                <w:sz w:val="21"/>
                <w:szCs w:val="21"/>
                <w:highlight w:val="none"/>
                <w:lang w:eastAsia="zh-CN"/>
              </w:rPr>
              <w:t>。</w:t>
            </w:r>
          </w:p>
        </w:tc>
      </w:tr>
      <w:tr w14:paraId="53B1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C33334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3</w:t>
            </w:r>
          </w:p>
        </w:tc>
        <w:tc>
          <w:tcPr>
            <w:tcW w:w="426" w:type="dxa"/>
            <w:vMerge w:val="continue"/>
            <w:vAlign w:val="center"/>
          </w:tcPr>
          <w:p w14:paraId="7C13E112">
            <w:pPr>
              <w:rPr>
                <w:rFonts w:hint="eastAsia" w:ascii="宋体" w:hAnsi="宋体" w:eastAsia="宋体" w:cs="宋体"/>
                <w:color w:val="auto"/>
                <w:sz w:val="21"/>
                <w:szCs w:val="21"/>
                <w:highlight w:val="none"/>
              </w:rPr>
            </w:pPr>
          </w:p>
        </w:tc>
        <w:tc>
          <w:tcPr>
            <w:tcW w:w="643" w:type="dxa"/>
            <w:vMerge w:val="continue"/>
            <w:vAlign w:val="center"/>
          </w:tcPr>
          <w:p w14:paraId="2B2741F1">
            <w:pPr>
              <w:rPr>
                <w:rFonts w:hint="eastAsia" w:ascii="宋体" w:hAnsi="宋体" w:eastAsia="宋体" w:cs="宋体"/>
                <w:color w:val="auto"/>
                <w:sz w:val="21"/>
                <w:szCs w:val="21"/>
                <w:highlight w:val="none"/>
              </w:rPr>
            </w:pPr>
          </w:p>
        </w:tc>
        <w:tc>
          <w:tcPr>
            <w:tcW w:w="1440" w:type="dxa"/>
            <w:vAlign w:val="center"/>
          </w:tcPr>
          <w:p w14:paraId="4A1B63B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*培训服务</w:t>
            </w:r>
          </w:p>
        </w:tc>
        <w:tc>
          <w:tcPr>
            <w:tcW w:w="5560" w:type="dxa"/>
            <w:vAlign w:val="center"/>
          </w:tcPr>
          <w:p w14:paraId="6FA11E3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供应商提供培训材料、产品手册、培训视频等培训相关内容</w:t>
            </w:r>
            <w:r>
              <w:rPr>
                <w:rFonts w:hint="eastAsia" w:ascii="宋体" w:hAnsi="宋体" w:eastAsia="宋体" w:cs="宋体"/>
                <w:color w:val="auto"/>
                <w:sz w:val="21"/>
                <w:szCs w:val="21"/>
                <w:highlight w:val="none"/>
                <w:lang w:eastAsia="zh-CN"/>
              </w:rPr>
              <w:t>。</w:t>
            </w:r>
          </w:p>
        </w:tc>
      </w:tr>
      <w:tr w14:paraId="581E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1A7A67A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4</w:t>
            </w:r>
          </w:p>
        </w:tc>
        <w:tc>
          <w:tcPr>
            <w:tcW w:w="426" w:type="dxa"/>
            <w:vMerge w:val="continue"/>
            <w:vAlign w:val="center"/>
          </w:tcPr>
          <w:p w14:paraId="64E7D61F">
            <w:pPr>
              <w:rPr>
                <w:rFonts w:hint="eastAsia" w:ascii="宋体" w:hAnsi="宋体" w:eastAsia="宋体" w:cs="宋体"/>
                <w:color w:val="auto"/>
                <w:sz w:val="21"/>
                <w:szCs w:val="21"/>
                <w:highlight w:val="none"/>
              </w:rPr>
            </w:pPr>
          </w:p>
        </w:tc>
        <w:tc>
          <w:tcPr>
            <w:tcW w:w="643" w:type="dxa"/>
            <w:vAlign w:val="center"/>
          </w:tcPr>
          <w:p w14:paraId="2D0E5CA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*服务周期</w:t>
            </w:r>
          </w:p>
        </w:tc>
        <w:tc>
          <w:tcPr>
            <w:tcW w:w="1440" w:type="dxa"/>
            <w:vAlign w:val="center"/>
          </w:tcPr>
          <w:p w14:paraId="1B0509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*服务周期</w:t>
            </w:r>
          </w:p>
        </w:tc>
        <w:tc>
          <w:tcPr>
            <w:tcW w:w="5560" w:type="dxa"/>
            <w:vAlign w:val="center"/>
          </w:tcPr>
          <w:p w14:paraId="3B3C52F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 产品免费服务周期（含换件和维修）应不小于3年</w:t>
            </w:r>
            <w:r>
              <w:rPr>
                <w:rFonts w:hint="eastAsia" w:ascii="宋体" w:hAnsi="宋体" w:eastAsia="宋体" w:cs="宋体"/>
                <w:color w:val="auto"/>
                <w:sz w:val="21"/>
                <w:szCs w:val="21"/>
                <w:highlight w:val="none"/>
                <w:lang w:eastAsia="zh-CN"/>
              </w:rPr>
              <w:t>。</w:t>
            </w:r>
          </w:p>
          <w:p w14:paraId="4FFC5EB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 设备停产后继续提供质量保障服务（含备品备件），服务终止时间与最后一批设备交付时间间隔不低于6年</w:t>
            </w:r>
            <w:r>
              <w:rPr>
                <w:rFonts w:hint="eastAsia" w:ascii="宋体" w:hAnsi="宋体" w:eastAsia="宋体" w:cs="宋体"/>
                <w:color w:val="auto"/>
                <w:sz w:val="21"/>
                <w:szCs w:val="21"/>
                <w:highlight w:val="none"/>
                <w:lang w:eastAsia="zh-CN"/>
              </w:rPr>
              <w:t>。</w:t>
            </w:r>
          </w:p>
          <w:p w14:paraId="19DAEE7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 产品停止服务时间应提前1年告知客户</w:t>
            </w:r>
            <w:r>
              <w:rPr>
                <w:rFonts w:hint="eastAsia" w:ascii="宋体" w:hAnsi="宋体" w:eastAsia="宋体" w:cs="宋体"/>
                <w:color w:val="auto"/>
                <w:sz w:val="21"/>
                <w:szCs w:val="21"/>
                <w:highlight w:val="none"/>
                <w:lang w:eastAsia="zh-CN"/>
              </w:rPr>
              <w:t>。</w:t>
            </w:r>
          </w:p>
          <w:p w14:paraId="0E0F2D2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 产品发布日期需在随机文件中明确</w:t>
            </w:r>
            <w:r>
              <w:rPr>
                <w:rFonts w:hint="eastAsia" w:ascii="宋体" w:hAnsi="宋体" w:eastAsia="宋体" w:cs="宋体"/>
                <w:color w:val="auto"/>
                <w:sz w:val="21"/>
                <w:szCs w:val="21"/>
                <w:highlight w:val="none"/>
                <w:lang w:eastAsia="zh-CN"/>
              </w:rPr>
              <w:t>。</w:t>
            </w:r>
          </w:p>
        </w:tc>
      </w:tr>
      <w:tr w14:paraId="482B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03FB2BE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5</w:t>
            </w:r>
          </w:p>
        </w:tc>
        <w:tc>
          <w:tcPr>
            <w:tcW w:w="426" w:type="dxa"/>
            <w:vMerge w:val="continue"/>
            <w:vAlign w:val="center"/>
          </w:tcPr>
          <w:p w14:paraId="572E5EB5">
            <w:pPr>
              <w:rPr>
                <w:rFonts w:hint="eastAsia" w:ascii="宋体" w:hAnsi="宋体" w:eastAsia="宋体" w:cs="宋体"/>
                <w:color w:val="auto"/>
                <w:sz w:val="21"/>
                <w:szCs w:val="21"/>
                <w:highlight w:val="none"/>
              </w:rPr>
            </w:pPr>
          </w:p>
        </w:tc>
        <w:tc>
          <w:tcPr>
            <w:tcW w:w="643" w:type="dxa"/>
            <w:vMerge w:val="restart"/>
            <w:vAlign w:val="center"/>
          </w:tcPr>
          <w:p w14:paraId="02E6AA1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*服务工具要求</w:t>
            </w:r>
          </w:p>
        </w:tc>
        <w:tc>
          <w:tcPr>
            <w:tcW w:w="1440" w:type="dxa"/>
            <w:vAlign w:val="center"/>
          </w:tcPr>
          <w:p w14:paraId="58DD87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*工具要求</w:t>
            </w:r>
          </w:p>
        </w:tc>
        <w:tc>
          <w:tcPr>
            <w:tcW w:w="5560" w:type="dxa"/>
            <w:vAlign w:val="center"/>
          </w:tcPr>
          <w:p w14:paraId="0E54CC9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供应商提供设置服务器硬件、辅助操作系统安装等功能的辅助工具和管理软件。且随附软件应具有合法授权或版权</w:t>
            </w:r>
            <w:r>
              <w:rPr>
                <w:rFonts w:hint="eastAsia" w:ascii="宋体" w:hAnsi="宋体" w:eastAsia="宋体" w:cs="宋体"/>
                <w:color w:val="auto"/>
                <w:sz w:val="21"/>
                <w:szCs w:val="21"/>
                <w:highlight w:val="none"/>
                <w:lang w:eastAsia="zh-CN"/>
              </w:rPr>
              <w:t>。</w:t>
            </w:r>
          </w:p>
        </w:tc>
      </w:tr>
      <w:tr w14:paraId="409D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1A8373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w:t>
            </w:r>
          </w:p>
        </w:tc>
        <w:tc>
          <w:tcPr>
            <w:tcW w:w="426" w:type="dxa"/>
            <w:vMerge w:val="continue"/>
            <w:vAlign w:val="center"/>
          </w:tcPr>
          <w:p w14:paraId="421E3CF9">
            <w:pPr>
              <w:rPr>
                <w:rFonts w:hint="eastAsia" w:ascii="宋体" w:hAnsi="宋体" w:eastAsia="宋体" w:cs="宋体"/>
                <w:color w:val="auto"/>
                <w:sz w:val="21"/>
                <w:szCs w:val="21"/>
                <w:highlight w:val="none"/>
              </w:rPr>
            </w:pPr>
          </w:p>
        </w:tc>
        <w:tc>
          <w:tcPr>
            <w:tcW w:w="643" w:type="dxa"/>
            <w:vMerge w:val="continue"/>
            <w:vAlign w:val="center"/>
          </w:tcPr>
          <w:p w14:paraId="2C24C75B">
            <w:pPr>
              <w:rPr>
                <w:rFonts w:hint="eastAsia" w:ascii="宋体" w:hAnsi="宋体" w:eastAsia="宋体" w:cs="宋体"/>
                <w:color w:val="auto"/>
                <w:sz w:val="21"/>
                <w:szCs w:val="21"/>
                <w:highlight w:val="none"/>
              </w:rPr>
            </w:pPr>
          </w:p>
        </w:tc>
        <w:tc>
          <w:tcPr>
            <w:tcW w:w="1440" w:type="dxa"/>
            <w:vAlign w:val="center"/>
          </w:tcPr>
          <w:p w14:paraId="3F48294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*驱动安装升级指引</w:t>
            </w:r>
          </w:p>
        </w:tc>
        <w:tc>
          <w:tcPr>
            <w:tcW w:w="5560" w:type="dxa"/>
            <w:vAlign w:val="center"/>
          </w:tcPr>
          <w:p w14:paraId="24F97C4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供应商提供出厂安装的配件所需的驱动程序，形式包括但不限于驱动光盘、驱动下载链接等。其他配件应提供指引</w:t>
            </w:r>
            <w:r>
              <w:rPr>
                <w:rFonts w:hint="eastAsia" w:ascii="宋体" w:hAnsi="宋体" w:eastAsia="宋体" w:cs="宋体"/>
                <w:color w:val="auto"/>
                <w:sz w:val="21"/>
                <w:szCs w:val="21"/>
                <w:highlight w:val="none"/>
                <w:lang w:eastAsia="zh-CN"/>
              </w:rPr>
              <w:t>。</w:t>
            </w:r>
          </w:p>
        </w:tc>
      </w:tr>
      <w:tr w14:paraId="531C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E5116E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w:t>
            </w:r>
          </w:p>
        </w:tc>
        <w:tc>
          <w:tcPr>
            <w:tcW w:w="426" w:type="dxa"/>
            <w:vMerge w:val="continue"/>
            <w:vAlign w:val="center"/>
          </w:tcPr>
          <w:p w14:paraId="45ECB9E9">
            <w:pPr>
              <w:rPr>
                <w:rFonts w:hint="eastAsia" w:ascii="宋体" w:hAnsi="宋体" w:eastAsia="宋体" w:cs="宋体"/>
                <w:color w:val="auto"/>
                <w:sz w:val="21"/>
                <w:szCs w:val="21"/>
                <w:highlight w:val="none"/>
              </w:rPr>
            </w:pPr>
          </w:p>
        </w:tc>
        <w:tc>
          <w:tcPr>
            <w:tcW w:w="643" w:type="dxa"/>
            <w:vMerge w:val="continue"/>
            <w:vAlign w:val="center"/>
          </w:tcPr>
          <w:p w14:paraId="2E1DDC09">
            <w:pPr>
              <w:rPr>
                <w:rFonts w:hint="eastAsia" w:ascii="宋体" w:hAnsi="宋体" w:eastAsia="宋体" w:cs="宋体"/>
                <w:color w:val="auto"/>
                <w:sz w:val="21"/>
                <w:szCs w:val="21"/>
                <w:highlight w:val="none"/>
              </w:rPr>
            </w:pPr>
          </w:p>
        </w:tc>
        <w:tc>
          <w:tcPr>
            <w:tcW w:w="1440" w:type="dxa"/>
            <w:vAlign w:val="center"/>
          </w:tcPr>
          <w:p w14:paraId="464BBD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*管理软件</w:t>
            </w:r>
          </w:p>
        </w:tc>
        <w:tc>
          <w:tcPr>
            <w:tcW w:w="5560" w:type="dxa"/>
            <w:vAlign w:val="center"/>
          </w:tcPr>
          <w:p w14:paraId="6AF5690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具备资源管理、系统管理、性能监控、健康监控、基于网络控制、报警设置功能</w:t>
            </w:r>
            <w:r>
              <w:rPr>
                <w:rFonts w:hint="eastAsia" w:ascii="宋体" w:hAnsi="宋体" w:eastAsia="宋体" w:cs="宋体"/>
                <w:color w:val="auto"/>
                <w:sz w:val="21"/>
                <w:szCs w:val="21"/>
                <w:highlight w:val="none"/>
                <w:lang w:eastAsia="zh-CN"/>
              </w:rPr>
              <w:t>。</w:t>
            </w:r>
          </w:p>
        </w:tc>
      </w:tr>
      <w:tr w14:paraId="586E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2A4BD54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68</w:t>
            </w:r>
          </w:p>
        </w:tc>
        <w:tc>
          <w:tcPr>
            <w:tcW w:w="426" w:type="dxa"/>
            <w:vMerge w:val="continue"/>
            <w:vAlign w:val="center"/>
          </w:tcPr>
          <w:p w14:paraId="3A41A5B0">
            <w:pPr>
              <w:rPr>
                <w:rFonts w:hint="eastAsia" w:ascii="宋体" w:hAnsi="宋体" w:eastAsia="宋体" w:cs="宋体"/>
                <w:color w:val="auto"/>
                <w:sz w:val="21"/>
                <w:szCs w:val="21"/>
                <w:highlight w:val="none"/>
              </w:rPr>
            </w:pPr>
          </w:p>
        </w:tc>
        <w:tc>
          <w:tcPr>
            <w:tcW w:w="643" w:type="dxa"/>
            <w:vMerge w:val="restart"/>
            <w:vAlign w:val="center"/>
          </w:tcPr>
          <w:p w14:paraId="522CAA9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*增值服务</w:t>
            </w:r>
          </w:p>
        </w:tc>
        <w:tc>
          <w:tcPr>
            <w:tcW w:w="1440" w:type="dxa"/>
            <w:vAlign w:val="center"/>
          </w:tcPr>
          <w:p w14:paraId="18BD972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*厂家升级产品软件与扩容服务</w:t>
            </w:r>
          </w:p>
        </w:tc>
        <w:tc>
          <w:tcPr>
            <w:tcW w:w="5560" w:type="dxa"/>
            <w:vAlign w:val="center"/>
          </w:tcPr>
          <w:p w14:paraId="3C5D0AA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供应商提供原厂级的部件/软件产品升级和扩容能力</w:t>
            </w:r>
            <w:r>
              <w:rPr>
                <w:rFonts w:hint="eastAsia" w:ascii="宋体" w:hAnsi="宋体" w:eastAsia="宋体" w:cs="宋体"/>
                <w:color w:val="auto"/>
                <w:sz w:val="21"/>
                <w:szCs w:val="21"/>
                <w:highlight w:val="none"/>
                <w:lang w:eastAsia="zh-CN"/>
              </w:rPr>
              <w:t>。</w:t>
            </w:r>
          </w:p>
        </w:tc>
      </w:tr>
      <w:tr w14:paraId="65BB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305B681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w:t>
            </w:r>
          </w:p>
        </w:tc>
        <w:tc>
          <w:tcPr>
            <w:tcW w:w="426" w:type="dxa"/>
            <w:vMerge w:val="continue"/>
            <w:vAlign w:val="center"/>
          </w:tcPr>
          <w:p w14:paraId="3DB4F0AE">
            <w:pPr>
              <w:rPr>
                <w:rFonts w:hint="eastAsia" w:ascii="宋体" w:hAnsi="宋体" w:eastAsia="宋体" w:cs="宋体"/>
                <w:color w:val="auto"/>
                <w:sz w:val="21"/>
                <w:szCs w:val="21"/>
                <w:highlight w:val="none"/>
              </w:rPr>
            </w:pPr>
          </w:p>
        </w:tc>
        <w:tc>
          <w:tcPr>
            <w:tcW w:w="643" w:type="dxa"/>
            <w:vMerge w:val="continue"/>
            <w:vAlign w:val="center"/>
          </w:tcPr>
          <w:p w14:paraId="61821122">
            <w:pPr>
              <w:rPr>
                <w:rFonts w:hint="eastAsia" w:ascii="宋体" w:hAnsi="宋体" w:eastAsia="宋体" w:cs="宋体"/>
                <w:color w:val="auto"/>
                <w:sz w:val="21"/>
                <w:szCs w:val="21"/>
                <w:highlight w:val="none"/>
              </w:rPr>
            </w:pPr>
          </w:p>
        </w:tc>
        <w:tc>
          <w:tcPr>
            <w:tcW w:w="1440" w:type="dxa"/>
            <w:vAlign w:val="center"/>
          </w:tcPr>
          <w:p w14:paraId="55D841F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*提供上门服务</w:t>
            </w:r>
          </w:p>
        </w:tc>
        <w:tc>
          <w:tcPr>
            <w:tcW w:w="5560" w:type="dxa"/>
            <w:vAlign w:val="center"/>
          </w:tcPr>
          <w:p w14:paraId="6467307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供应商具备提供上门服务的能力</w:t>
            </w:r>
            <w:r>
              <w:rPr>
                <w:rFonts w:hint="eastAsia" w:ascii="宋体" w:hAnsi="宋体" w:eastAsia="宋体" w:cs="宋体"/>
                <w:color w:val="auto"/>
                <w:sz w:val="21"/>
                <w:szCs w:val="21"/>
                <w:highlight w:val="none"/>
                <w:lang w:eastAsia="zh-CN"/>
              </w:rPr>
              <w:t>。</w:t>
            </w:r>
          </w:p>
        </w:tc>
      </w:tr>
      <w:tr w14:paraId="4A69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61AF821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c>
          <w:tcPr>
            <w:tcW w:w="426" w:type="dxa"/>
            <w:vMerge w:val="restart"/>
            <w:vAlign w:val="center"/>
          </w:tcPr>
          <w:p w14:paraId="7535DB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供保要求</w:t>
            </w:r>
          </w:p>
        </w:tc>
        <w:tc>
          <w:tcPr>
            <w:tcW w:w="643" w:type="dxa"/>
            <w:vMerge w:val="restart"/>
            <w:vAlign w:val="center"/>
          </w:tcPr>
          <w:p w14:paraId="09EC232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*供应链质量</w:t>
            </w:r>
          </w:p>
        </w:tc>
        <w:tc>
          <w:tcPr>
            <w:tcW w:w="1440" w:type="dxa"/>
            <w:vAlign w:val="center"/>
          </w:tcPr>
          <w:p w14:paraId="2083BA3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*抗干扰性</w:t>
            </w:r>
          </w:p>
        </w:tc>
        <w:tc>
          <w:tcPr>
            <w:tcW w:w="5560" w:type="dxa"/>
            <w:vAlign w:val="center"/>
          </w:tcPr>
          <w:p w14:paraId="3B5D643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当产品部件出现供应风险时，应通知客户并提供风险应对方案确保产品的服务保障，必要时应停止相关受影响产品的销售</w:t>
            </w:r>
            <w:r>
              <w:rPr>
                <w:rFonts w:hint="eastAsia" w:ascii="宋体" w:hAnsi="宋体" w:eastAsia="宋体" w:cs="宋体"/>
                <w:color w:val="auto"/>
                <w:sz w:val="21"/>
                <w:szCs w:val="21"/>
                <w:highlight w:val="none"/>
                <w:lang w:eastAsia="zh-CN"/>
              </w:rPr>
              <w:t>。</w:t>
            </w:r>
          </w:p>
        </w:tc>
      </w:tr>
      <w:tr w14:paraId="0C26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vAlign w:val="center"/>
          </w:tcPr>
          <w:p w14:paraId="56847B8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71</w:t>
            </w:r>
          </w:p>
        </w:tc>
        <w:tc>
          <w:tcPr>
            <w:tcW w:w="426" w:type="dxa"/>
            <w:vMerge w:val="continue"/>
            <w:vAlign w:val="center"/>
          </w:tcPr>
          <w:p w14:paraId="4D59F1D4">
            <w:pPr>
              <w:rPr>
                <w:rFonts w:hint="eastAsia" w:ascii="宋体" w:hAnsi="宋体" w:eastAsia="宋体" w:cs="宋体"/>
                <w:color w:val="auto"/>
                <w:sz w:val="21"/>
                <w:szCs w:val="21"/>
                <w:highlight w:val="none"/>
              </w:rPr>
            </w:pPr>
          </w:p>
        </w:tc>
        <w:tc>
          <w:tcPr>
            <w:tcW w:w="643" w:type="dxa"/>
            <w:vMerge w:val="continue"/>
            <w:vAlign w:val="center"/>
          </w:tcPr>
          <w:p w14:paraId="55FED425">
            <w:pPr>
              <w:rPr>
                <w:rFonts w:hint="eastAsia" w:ascii="宋体" w:hAnsi="宋体" w:eastAsia="宋体" w:cs="宋体"/>
                <w:color w:val="auto"/>
                <w:sz w:val="21"/>
                <w:szCs w:val="21"/>
                <w:highlight w:val="none"/>
              </w:rPr>
            </w:pPr>
          </w:p>
        </w:tc>
        <w:tc>
          <w:tcPr>
            <w:tcW w:w="1440" w:type="dxa"/>
            <w:vAlign w:val="center"/>
          </w:tcPr>
          <w:p w14:paraId="37E6FA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*供应能力证明</w:t>
            </w:r>
          </w:p>
        </w:tc>
        <w:tc>
          <w:tcPr>
            <w:tcW w:w="5560" w:type="dxa"/>
            <w:vAlign w:val="center"/>
          </w:tcPr>
          <w:p w14:paraId="73743D4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供应商提供供应链稳定承诺书，确保产品的部件在产品服务周期内稳定供货</w:t>
            </w:r>
            <w:r>
              <w:rPr>
                <w:rFonts w:hint="eastAsia" w:ascii="宋体" w:hAnsi="宋体" w:eastAsia="宋体" w:cs="宋体"/>
                <w:color w:val="auto"/>
                <w:sz w:val="21"/>
                <w:szCs w:val="21"/>
                <w:highlight w:val="none"/>
                <w:lang w:eastAsia="zh-CN"/>
              </w:rPr>
              <w:t>。</w:t>
            </w:r>
          </w:p>
        </w:tc>
      </w:tr>
      <w:tr w14:paraId="0EF6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5" w:type="dxa"/>
            <w:gridSpan w:val="5"/>
            <w:vAlign w:val="center"/>
          </w:tcPr>
          <w:p w14:paraId="1EAC707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超融合软件系统</w:t>
            </w:r>
          </w:p>
        </w:tc>
      </w:tr>
      <w:tr w14:paraId="5862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Align w:val="center"/>
          </w:tcPr>
          <w:p w14:paraId="0B41F3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指标项</w:t>
            </w:r>
          </w:p>
        </w:tc>
        <w:tc>
          <w:tcPr>
            <w:tcW w:w="7000" w:type="dxa"/>
            <w:gridSpan w:val="2"/>
            <w:vAlign w:val="center"/>
          </w:tcPr>
          <w:p w14:paraId="7C1BFA6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tc>
      </w:tr>
      <w:tr w14:paraId="7B89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Align w:val="center"/>
          </w:tcPr>
          <w:p w14:paraId="5A37C4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质保授权</w:t>
            </w:r>
          </w:p>
        </w:tc>
        <w:tc>
          <w:tcPr>
            <w:tcW w:w="7000" w:type="dxa"/>
            <w:gridSpan w:val="2"/>
            <w:vAlign w:val="center"/>
          </w:tcPr>
          <w:p w14:paraId="287715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创超融合软件需为国产品牌，必须符合国产化要求。包含计算服务器虚拟化、网络虚拟化、安全虚拟化、存储虚拟化、云计算管理平台软件授权许可各2套。提供不少于1套虚拟麒麟内核授权。提供不少于3年产品质保和软件升级服务。</w:t>
            </w:r>
          </w:p>
        </w:tc>
      </w:tr>
      <w:tr w14:paraId="7F46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restart"/>
            <w:vAlign w:val="center"/>
          </w:tcPr>
          <w:p w14:paraId="6D505F3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计算虚拟化</w:t>
            </w:r>
          </w:p>
        </w:tc>
        <w:tc>
          <w:tcPr>
            <w:tcW w:w="7000" w:type="dxa"/>
            <w:gridSpan w:val="2"/>
            <w:vAlign w:val="center"/>
          </w:tcPr>
          <w:p w14:paraId="3F60CA8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支持虚拟机卡死及蓝屏的检测功能并实现自动重启，无需人工干预，减少运维工作量。</w:t>
            </w:r>
          </w:p>
        </w:tc>
      </w:tr>
      <w:tr w14:paraId="203D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40CF1D96">
            <w:pPr>
              <w:rPr>
                <w:rFonts w:hint="eastAsia" w:ascii="宋体" w:hAnsi="宋体" w:eastAsia="宋体" w:cs="宋体"/>
                <w:color w:val="auto"/>
                <w:sz w:val="21"/>
                <w:szCs w:val="21"/>
                <w:highlight w:val="none"/>
              </w:rPr>
            </w:pPr>
          </w:p>
        </w:tc>
        <w:tc>
          <w:tcPr>
            <w:tcW w:w="7000" w:type="dxa"/>
            <w:gridSpan w:val="2"/>
            <w:vAlign w:val="center"/>
          </w:tcPr>
          <w:p w14:paraId="64AEC80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◆支持平台中的集群资源环境一键检测，对硬件健康、平台底层的虚拟化的运行状态和配置，进行多个维度进行检查，提供快速定位问题功能，确保系统最佳状态。</w:t>
            </w:r>
          </w:p>
        </w:tc>
      </w:tr>
      <w:tr w14:paraId="20D5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71D59CA9">
            <w:pPr>
              <w:rPr>
                <w:rFonts w:hint="eastAsia" w:ascii="宋体" w:hAnsi="宋体" w:eastAsia="宋体" w:cs="宋体"/>
                <w:color w:val="auto"/>
                <w:sz w:val="21"/>
                <w:szCs w:val="21"/>
                <w:highlight w:val="none"/>
              </w:rPr>
            </w:pPr>
          </w:p>
        </w:tc>
        <w:tc>
          <w:tcPr>
            <w:tcW w:w="7000" w:type="dxa"/>
            <w:gridSpan w:val="2"/>
            <w:vAlign w:val="center"/>
          </w:tcPr>
          <w:p w14:paraId="2AE7FCA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资源告警项支持主机CPU利用率、主机内存利用率，主机交换分区利用率，主机CPU温度异常，主机网口丢包率，并检测异常状态持续时间；支持主机网关不通，主机网口掉线，主机离线，数据通信口不通的监控告警，用户可自定义告警项并支持通过邮件和短信进行告警。</w:t>
            </w:r>
          </w:p>
        </w:tc>
      </w:tr>
      <w:tr w14:paraId="14B1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311D0F45">
            <w:pPr>
              <w:rPr>
                <w:rFonts w:hint="eastAsia" w:ascii="宋体" w:hAnsi="宋体" w:eastAsia="宋体" w:cs="宋体"/>
                <w:color w:val="auto"/>
                <w:sz w:val="21"/>
                <w:szCs w:val="21"/>
                <w:highlight w:val="none"/>
              </w:rPr>
            </w:pPr>
          </w:p>
        </w:tc>
        <w:tc>
          <w:tcPr>
            <w:tcW w:w="7000" w:type="dxa"/>
            <w:gridSpan w:val="2"/>
            <w:vAlign w:val="center"/>
          </w:tcPr>
          <w:p w14:paraId="42DF89A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杭州市萧山区第一人民医院核心前置业务计划部署在超融合平台上，平台需满足以下功能：（1）定期升级保障平台稳定性，核心业务不能长时间停机；（2）需支持在线升级不影响业务，同时为保证升级时间与步骤可控，升级过程中支持对升级节点进行升级顺序编排、升级暂停；（3）为方便用户自主维护操作要求所有升级需要可以在管理页面直接操作，无需进行后台操作。</w:t>
            </w:r>
            <w:r>
              <w:rPr>
                <w:rFonts w:hint="eastAsia" w:ascii="宋体" w:hAnsi="宋体" w:eastAsia="宋体" w:cs="宋体"/>
                <w:b/>
                <w:bCs/>
                <w:color w:val="auto"/>
                <w:sz w:val="21"/>
                <w:szCs w:val="21"/>
                <w:highlight w:val="none"/>
              </w:rPr>
              <w:t>（需提供符合上述所有功能描述的截图证明材料）</w:t>
            </w:r>
          </w:p>
        </w:tc>
      </w:tr>
      <w:tr w14:paraId="54F5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0141C04D">
            <w:pPr>
              <w:rPr>
                <w:rFonts w:hint="eastAsia" w:ascii="宋体" w:hAnsi="宋体" w:eastAsia="宋体" w:cs="宋体"/>
                <w:color w:val="auto"/>
                <w:sz w:val="21"/>
                <w:szCs w:val="21"/>
                <w:highlight w:val="none"/>
              </w:rPr>
            </w:pPr>
          </w:p>
        </w:tc>
        <w:tc>
          <w:tcPr>
            <w:tcW w:w="7000" w:type="dxa"/>
            <w:gridSpan w:val="2"/>
            <w:vAlign w:val="center"/>
          </w:tcPr>
          <w:p w14:paraId="527B082A">
            <w:pPr>
              <w:rPr>
                <w:rFonts w:hint="eastAsia" w:ascii="宋体" w:hAnsi="宋体" w:eastAsia="宋体" w:cs="宋体"/>
                <w:color w:val="auto"/>
                <w:sz w:val="21"/>
                <w:szCs w:val="21"/>
                <w:highlight w:val="none"/>
              </w:rPr>
            </w:pPr>
            <w:bookmarkStart w:id="29" w:name="_Hlk171323181"/>
            <w:r>
              <w:rPr>
                <w:rFonts w:hint="eastAsia" w:ascii="宋体" w:hAnsi="宋体" w:eastAsia="宋体" w:cs="宋体"/>
                <w:color w:val="auto"/>
                <w:sz w:val="21"/>
                <w:szCs w:val="21"/>
                <w:highlight w:val="none"/>
              </w:rPr>
              <w:t>◆为保障医院供电不稳定时导致数据中心断电不影响单位核心生产业务，产品需支持UPS QoS（UPS联动），当UPS电量过低时，按照虚拟机优先级可自动先将不重要的虚拟机进行软关机。</w:t>
            </w:r>
            <w:r>
              <w:rPr>
                <w:rFonts w:hint="eastAsia" w:ascii="宋体" w:hAnsi="宋体" w:eastAsia="宋体" w:cs="宋体"/>
                <w:b/>
                <w:bCs/>
                <w:color w:val="auto"/>
                <w:sz w:val="21"/>
                <w:szCs w:val="21"/>
                <w:highlight w:val="none"/>
              </w:rPr>
              <w:t>（提供产品功能截图）</w:t>
            </w:r>
            <w:bookmarkEnd w:id="29"/>
          </w:p>
        </w:tc>
      </w:tr>
      <w:tr w14:paraId="3E84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56A5A4FF">
            <w:pPr>
              <w:rPr>
                <w:rFonts w:hint="eastAsia" w:ascii="宋体" w:hAnsi="宋体" w:eastAsia="宋体" w:cs="宋体"/>
                <w:color w:val="auto"/>
                <w:sz w:val="21"/>
                <w:szCs w:val="21"/>
                <w:highlight w:val="none"/>
              </w:rPr>
            </w:pPr>
          </w:p>
        </w:tc>
        <w:tc>
          <w:tcPr>
            <w:tcW w:w="7000" w:type="dxa"/>
            <w:gridSpan w:val="2"/>
            <w:vAlign w:val="center"/>
          </w:tcPr>
          <w:p w14:paraId="2BB7A00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◆虚拟机迁移支持指定网口迁移、限制迁移速度、启用压缩传输，同时虚拟机迁移过程中如因数据写入量过大迁移不完，可支持强制切换操作。</w:t>
            </w:r>
            <w:r>
              <w:rPr>
                <w:rFonts w:hint="eastAsia" w:ascii="宋体" w:hAnsi="宋体" w:eastAsia="宋体" w:cs="宋体"/>
                <w:b/>
                <w:bCs/>
                <w:color w:val="auto"/>
                <w:sz w:val="21"/>
                <w:szCs w:val="21"/>
                <w:highlight w:val="none"/>
              </w:rPr>
              <w:t>（提供产品功能截图证明）</w:t>
            </w:r>
          </w:p>
        </w:tc>
      </w:tr>
      <w:tr w14:paraId="699D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6C3E5B1D">
            <w:pPr>
              <w:rPr>
                <w:rFonts w:hint="eastAsia" w:ascii="宋体" w:hAnsi="宋体" w:eastAsia="宋体" w:cs="宋体"/>
                <w:color w:val="auto"/>
                <w:sz w:val="21"/>
                <w:szCs w:val="21"/>
                <w:highlight w:val="none"/>
              </w:rPr>
            </w:pPr>
          </w:p>
        </w:tc>
        <w:tc>
          <w:tcPr>
            <w:tcW w:w="7000" w:type="dxa"/>
            <w:gridSpan w:val="2"/>
            <w:vAlign w:val="center"/>
          </w:tcPr>
          <w:p w14:paraId="2F3A460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提供基于PowerShell的CLI命令行功能，通过命令行可以进行管理计算虚拟化、存储虚拟化、网络虚拟化模块，并通过PowerShell脚本可简化用户运维操作。</w:t>
            </w:r>
          </w:p>
        </w:tc>
      </w:tr>
      <w:tr w14:paraId="1971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restart"/>
            <w:vAlign w:val="center"/>
          </w:tcPr>
          <w:p w14:paraId="4886465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存储虚拟化</w:t>
            </w:r>
          </w:p>
        </w:tc>
        <w:tc>
          <w:tcPr>
            <w:tcW w:w="7000" w:type="dxa"/>
            <w:gridSpan w:val="2"/>
            <w:vAlign w:val="center"/>
          </w:tcPr>
          <w:p w14:paraId="624558F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提供分布式存储服务，无需独立的元数据及控制器节点</w:t>
            </w:r>
            <w:r>
              <w:rPr>
                <w:rFonts w:hint="eastAsia" w:ascii="宋体" w:hAnsi="宋体" w:eastAsia="宋体" w:cs="宋体"/>
                <w:color w:val="auto"/>
                <w:sz w:val="21"/>
                <w:szCs w:val="21"/>
                <w:highlight w:val="none"/>
                <w:lang w:eastAsia="zh-CN"/>
              </w:rPr>
              <w:t>。</w:t>
            </w:r>
          </w:p>
        </w:tc>
      </w:tr>
      <w:tr w14:paraId="6CC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3CF20673">
            <w:pPr>
              <w:rPr>
                <w:rFonts w:hint="eastAsia" w:ascii="宋体" w:hAnsi="宋体" w:eastAsia="宋体" w:cs="宋体"/>
                <w:color w:val="auto"/>
                <w:sz w:val="21"/>
                <w:szCs w:val="21"/>
                <w:highlight w:val="none"/>
              </w:rPr>
            </w:pPr>
          </w:p>
        </w:tc>
        <w:tc>
          <w:tcPr>
            <w:tcW w:w="7000" w:type="dxa"/>
            <w:gridSpan w:val="2"/>
            <w:vAlign w:val="center"/>
          </w:tcPr>
          <w:p w14:paraId="2BEE371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支持针对卡慢盘、异常只读盘的自动检测、自动隔离及手动隔离，隔离分为临时拔盘、永久拔盘，消除磁盘异常对业务的影响</w:t>
            </w:r>
            <w:r>
              <w:rPr>
                <w:rFonts w:hint="eastAsia" w:ascii="宋体" w:hAnsi="宋体" w:eastAsia="宋体" w:cs="宋体"/>
                <w:color w:val="auto"/>
                <w:sz w:val="21"/>
                <w:szCs w:val="21"/>
                <w:highlight w:val="none"/>
                <w:lang w:eastAsia="zh-CN"/>
              </w:rPr>
              <w:t>。</w:t>
            </w:r>
          </w:p>
        </w:tc>
      </w:tr>
      <w:tr w14:paraId="1AE7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54C63630">
            <w:pPr>
              <w:rPr>
                <w:rFonts w:hint="eastAsia" w:ascii="宋体" w:hAnsi="宋体" w:eastAsia="宋体" w:cs="宋体"/>
                <w:color w:val="auto"/>
                <w:sz w:val="21"/>
                <w:szCs w:val="21"/>
                <w:highlight w:val="none"/>
              </w:rPr>
            </w:pPr>
          </w:p>
        </w:tc>
        <w:tc>
          <w:tcPr>
            <w:tcW w:w="7000" w:type="dxa"/>
            <w:gridSpan w:val="2"/>
            <w:vAlign w:val="center"/>
          </w:tcPr>
          <w:p w14:paraId="5319AB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虚拟机或虚拟磁盘设置数据分布策略，当采用副本聚合策略时，可以保证以性能优先为原则，实现IO本地读效果，当采用副本散列策略时，可以保证虚拟机以分布均匀优先为原则，打散分布均匀在各物理主机上。</w:t>
            </w:r>
            <w:r>
              <w:rPr>
                <w:rFonts w:hint="eastAsia" w:ascii="宋体" w:hAnsi="宋体" w:eastAsia="宋体" w:cs="宋体"/>
                <w:b/>
                <w:bCs/>
                <w:color w:val="auto"/>
                <w:sz w:val="21"/>
                <w:szCs w:val="21"/>
                <w:highlight w:val="none"/>
              </w:rPr>
              <w:t>（需提供平台选择聚合副本和散列副本（或不启用聚合副本等）的功能截图）</w:t>
            </w:r>
          </w:p>
        </w:tc>
      </w:tr>
      <w:tr w14:paraId="2E61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restart"/>
            <w:vAlign w:val="center"/>
          </w:tcPr>
          <w:p w14:paraId="37D3C4A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网络虚拟化</w:t>
            </w:r>
          </w:p>
        </w:tc>
        <w:tc>
          <w:tcPr>
            <w:tcW w:w="7000" w:type="dxa"/>
            <w:gridSpan w:val="2"/>
            <w:vAlign w:val="center"/>
          </w:tcPr>
          <w:p w14:paraId="522D494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◆提供网络可视化功能，在图形化界面观察到所有虚拟机的流量走向与访问关系，包括源对象、源IP、目标对象、目的IP、访问次数、服务类型等信息。</w:t>
            </w:r>
            <w:r>
              <w:rPr>
                <w:rFonts w:hint="eastAsia" w:ascii="宋体" w:hAnsi="宋体" w:eastAsia="宋体" w:cs="宋体"/>
                <w:b/>
                <w:bCs/>
                <w:color w:val="auto"/>
                <w:sz w:val="21"/>
                <w:szCs w:val="21"/>
                <w:highlight w:val="none"/>
              </w:rPr>
              <w:t>（提供第三方机构的证明材料，至少包含报告首页，对应功能测试页和报告尾页）</w:t>
            </w:r>
          </w:p>
        </w:tc>
      </w:tr>
      <w:tr w14:paraId="26FC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6811385D">
            <w:pPr>
              <w:rPr>
                <w:rFonts w:hint="eastAsia" w:ascii="宋体" w:hAnsi="宋体" w:eastAsia="宋体" w:cs="宋体"/>
                <w:color w:val="auto"/>
                <w:sz w:val="21"/>
                <w:szCs w:val="21"/>
                <w:highlight w:val="none"/>
              </w:rPr>
            </w:pPr>
          </w:p>
        </w:tc>
        <w:tc>
          <w:tcPr>
            <w:tcW w:w="7000" w:type="dxa"/>
            <w:gridSpan w:val="2"/>
            <w:vAlign w:val="center"/>
          </w:tcPr>
          <w:p w14:paraId="77AC45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支持手动指定虚拟路由器运行在固定的物理主机上，可以自动将虚拟路由器规划到高性能和高吞吐的物理主机上。</w:t>
            </w:r>
          </w:p>
        </w:tc>
      </w:tr>
      <w:tr w14:paraId="1438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37C172CD">
            <w:pPr>
              <w:rPr>
                <w:rFonts w:hint="eastAsia" w:ascii="宋体" w:hAnsi="宋体" w:eastAsia="宋体" w:cs="宋体"/>
                <w:color w:val="auto"/>
                <w:sz w:val="21"/>
                <w:szCs w:val="21"/>
                <w:highlight w:val="none"/>
              </w:rPr>
            </w:pPr>
          </w:p>
        </w:tc>
        <w:tc>
          <w:tcPr>
            <w:tcW w:w="7000" w:type="dxa"/>
            <w:gridSpan w:val="2"/>
            <w:vAlign w:val="center"/>
          </w:tcPr>
          <w:p w14:paraId="135DE5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分布式防火墙基于监测虚机IP地址和端口进行东西向流量隔离控制，并提供实时拦截日志，以及支持“数据直通ByPass”功能，方便出现问题快速定位问题。</w:t>
            </w:r>
          </w:p>
        </w:tc>
      </w:tr>
      <w:tr w14:paraId="0CF2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restart"/>
            <w:vAlign w:val="center"/>
          </w:tcPr>
          <w:p w14:paraId="5BB28F0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安全虚拟化</w:t>
            </w:r>
          </w:p>
        </w:tc>
        <w:tc>
          <w:tcPr>
            <w:tcW w:w="7000" w:type="dxa"/>
            <w:gridSpan w:val="2"/>
            <w:vAlign w:val="center"/>
          </w:tcPr>
          <w:p w14:paraId="6C261B5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产品完全自研，非OEM。</w:t>
            </w:r>
          </w:p>
        </w:tc>
      </w:tr>
      <w:tr w14:paraId="5862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5D3394C0">
            <w:pPr>
              <w:rPr>
                <w:rFonts w:hint="eastAsia" w:ascii="宋体" w:hAnsi="宋体" w:eastAsia="宋体" w:cs="宋体"/>
                <w:color w:val="auto"/>
                <w:sz w:val="21"/>
                <w:szCs w:val="21"/>
                <w:highlight w:val="none"/>
              </w:rPr>
            </w:pPr>
          </w:p>
        </w:tc>
        <w:tc>
          <w:tcPr>
            <w:tcW w:w="7000" w:type="dxa"/>
            <w:gridSpan w:val="2"/>
            <w:vAlign w:val="center"/>
          </w:tcPr>
          <w:p w14:paraId="1EDE7CB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支持虚拟化平台自动安装agent代理进行虚拟主机防护。</w:t>
            </w:r>
          </w:p>
        </w:tc>
      </w:tr>
      <w:tr w14:paraId="60CF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50C4CACE">
            <w:pPr>
              <w:rPr>
                <w:rFonts w:hint="eastAsia" w:ascii="宋体" w:hAnsi="宋体" w:eastAsia="宋体" w:cs="宋体"/>
                <w:color w:val="auto"/>
                <w:sz w:val="21"/>
                <w:szCs w:val="21"/>
                <w:highlight w:val="none"/>
              </w:rPr>
            </w:pPr>
          </w:p>
        </w:tc>
        <w:tc>
          <w:tcPr>
            <w:tcW w:w="7000" w:type="dxa"/>
            <w:gridSpan w:val="2"/>
            <w:vAlign w:val="center"/>
          </w:tcPr>
          <w:p w14:paraId="28A519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安全中心需集成于虚拟化超融合平台中，一体化方式交付，无需第三方平台承载，平台必须能够提供虚拟主机安全防护安全能力，并对检测到的恶意活动可自动采取分布式防火墙隔离虚拟机、为虚拟机拍摄快照等防护手段。</w:t>
            </w:r>
          </w:p>
        </w:tc>
      </w:tr>
      <w:tr w14:paraId="36ED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07D49976">
            <w:pPr>
              <w:rPr>
                <w:rFonts w:hint="eastAsia" w:ascii="宋体" w:hAnsi="宋体" w:eastAsia="宋体" w:cs="宋体"/>
                <w:color w:val="auto"/>
                <w:sz w:val="21"/>
                <w:szCs w:val="21"/>
                <w:highlight w:val="none"/>
              </w:rPr>
            </w:pPr>
          </w:p>
        </w:tc>
        <w:tc>
          <w:tcPr>
            <w:tcW w:w="7000" w:type="dxa"/>
            <w:gridSpan w:val="2"/>
            <w:vAlign w:val="center"/>
          </w:tcPr>
          <w:p w14:paraId="020FE5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p>
        </w:tc>
      </w:tr>
      <w:tr w14:paraId="00AE6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45FE84AA">
            <w:pPr>
              <w:rPr>
                <w:rFonts w:hint="eastAsia" w:ascii="宋体" w:hAnsi="宋体" w:eastAsia="宋体" w:cs="宋体"/>
                <w:color w:val="auto"/>
                <w:sz w:val="21"/>
                <w:szCs w:val="21"/>
                <w:highlight w:val="none"/>
              </w:rPr>
            </w:pPr>
          </w:p>
        </w:tc>
        <w:tc>
          <w:tcPr>
            <w:tcW w:w="7000" w:type="dxa"/>
            <w:gridSpan w:val="2"/>
            <w:vAlign w:val="center"/>
          </w:tcPr>
          <w:p w14:paraId="503447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业务安全考虑，避免产生额外的经济损失，同时简化安全问题处置复杂度，超融合平台需满足：提供可靠的向导化勒索病毒防护和处理解决方案，包括紧急隔离、保留当前状态、恢复云主机、扫描病毒、恢复网络。并支持事前勒索病毒防护、事中检测疑似勒索可自动对虚拟机打快照、事后勒索病毒向导化处理。</w:t>
            </w:r>
            <w:r>
              <w:rPr>
                <w:rFonts w:hint="eastAsia" w:ascii="宋体" w:hAnsi="宋体" w:eastAsia="宋体" w:cs="宋体"/>
                <w:b/>
                <w:bCs/>
                <w:color w:val="auto"/>
                <w:sz w:val="21"/>
                <w:szCs w:val="21"/>
                <w:highlight w:val="none"/>
              </w:rPr>
              <w:t>（需提供第三方测试机构的证明材料，至少包含报告首页，对应功能测试页和报告尾页）</w:t>
            </w:r>
          </w:p>
        </w:tc>
      </w:tr>
      <w:tr w14:paraId="4212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3E2A22E5">
            <w:pPr>
              <w:rPr>
                <w:rFonts w:hint="eastAsia" w:ascii="宋体" w:hAnsi="宋体" w:eastAsia="宋体" w:cs="宋体"/>
                <w:color w:val="auto"/>
                <w:sz w:val="21"/>
                <w:szCs w:val="21"/>
                <w:highlight w:val="none"/>
              </w:rPr>
            </w:pPr>
          </w:p>
        </w:tc>
        <w:tc>
          <w:tcPr>
            <w:tcW w:w="7000" w:type="dxa"/>
            <w:gridSpan w:val="2"/>
            <w:vAlign w:val="center"/>
          </w:tcPr>
          <w:p w14:paraId="718979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云平台网络安全考虑，云平台需内置分布式七层网络攻击防护能力。支持以虚拟机为粒度，对指定虚拟机、批量虚拟机、指定IP、指定IP范围开启网络防护功能，且不因IP地址变更或迁移等情况导致安全能力失效。支持为租户VPC网络配置网络攻击防护策略。</w:t>
            </w:r>
          </w:p>
        </w:tc>
      </w:tr>
      <w:tr w14:paraId="0FC4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4F72A8D8">
            <w:pPr>
              <w:rPr>
                <w:rFonts w:hint="eastAsia" w:ascii="宋体" w:hAnsi="宋体" w:eastAsia="宋体" w:cs="宋体"/>
                <w:color w:val="auto"/>
                <w:sz w:val="21"/>
                <w:szCs w:val="21"/>
                <w:highlight w:val="none"/>
              </w:rPr>
            </w:pPr>
          </w:p>
        </w:tc>
        <w:tc>
          <w:tcPr>
            <w:tcW w:w="7000" w:type="dxa"/>
            <w:gridSpan w:val="2"/>
            <w:vAlign w:val="center"/>
          </w:tcPr>
          <w:p w14:paraId="7CC43F7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云平台需具备虚拟补丁能力，且无需在主机操作系统打补丁，可直接在网络层对指定虚拟机和批量虚拟机开启补丁防护。且策略不因IP地址变更或迁移等情况导致能力失效。</w:t>
            </w:r>
          </w:p>
        </w:tc>
      </w:tr>
      <w:tr w14:paraId="3129C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784FD12D">
            <w:pPr>
              <w:rPr>
                <w:rFonts w:hint="eastAsia" w:ascii="宋体" w:hAnsi="宋体" w:eastAsia="宋体" w:cs="宋体"/>
                <w:color w:val="auto"/>
                <w:sz w:val="21"/>
                <w:szCs w:val="21"/>
                <w:highlight w:val="none"/>
              </w:rPr>
            </w:pPr>
          </w:p>
        </w:tc>
        <w:tc>
          <w:tcPr>
            <w:tcW w:w="7000" w:type="dxa"/>
            <w:gridSpan w:val="2"/>
            <w:vAlign w:val="center"/>
          </w:tcPr>
          <w:p w14:paraId="2918A2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◆基于对医院有效安全防护和防止勒索病毒的需求，支持与现网防火墙进行安全联动，管理员可以在防火墙管理界面下发快速查杀任务，并查看任务状态、结果并进行处置，支持在管理平台查询和统计联动信息。</w:t>
            </w:r>
            <w:r>
              <w:rPr>
                <w:rFonts w:hint="eastAsia" w:ascii="宋体" w:hAnsi="宋体" w:eastAsia="宋体" w:cs="宋体"/>
                <w:b/>
                <w:bCs/>
                <w:color w:val="auto"/>
                <w:sz w:val="21"/>
                <w:szCs w:val="21"/>
                <w:highlight w:val="none"/>
              </w:rPr>
              <w:t>（需提供平台组件联动防火墙进行防护以及联动信息统计的截图证明）</w:t>
            </w:r>
          </w:p>
        </w:tc>
      </w:tr>
      <w:tr w14:paraId="5966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restart"/>
            <w:vAlign w:val="center"/>
          </w:tcPr>
          <w:p w14:paraId="64896D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云计算管理平台</w:t>
            </w:r>
          </w:p>
        </w:tc>
        <w:tc>
          <w:tcPr>
            <w:tcW w:w="7000" w:type="dxa"/>
            <w:gridSpan w:val="2"/>
            <w:vAlign w:val="center"/>
          </w:tcPr>
          <w:p w14:paraId="07300CC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云计算管理平台和本次底层资源池（计算虚拟化、存储虚拟化、网络虚拟化、安全虚拟化）均为同一厂商品牌提供，并可以支持扩展同一品牌的网络和安全虚拟化（虚拟应用防火墙、虚拟应用负载均衡、SSL VPN软件、数据库审计软件、无代理持续数据保护CDP软件等）功能组件，以保障平台的扩展性和兼容性。</w:t>
            </w:r>
          </w:p>
        </w:tc>
      </w:tr>
      <w:tr w14:paraId="2690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41FCF39A">
            <w:pPr>
              <w:rPr>
                <w:rFonts w:hint="eastAsia" w:ascii="宋体" w:hAnsi="宋体" w:eastAsia="宋体" w:cs="宋体"/>
                <w:color w:val="auto"/>
                <w:sz w:val="21"/>
                <w:szCs w:val="21"/>
                <w:highlight w:val="none"/>
              </w:rPr>
            </w:pPr>
          </w:p>
        </w:tc>
        <w:tc>
          <w:tcPr>
            <w:tcW w:w="7000" w:type="dxa"/>
            <w:gridSpan w:val="2"/>
            <w:vAlign w:val="center"/>
          </w:tcPr>
          <w:p w14:paraId="201A288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云管平台应具备完善的可靠性功能，需支持无代理持续数据保护CDP、异地容灾、云容灾等高可用服务，当主平台发生故障时，能够切换到备平台，保障云平台稳定运行。</w:t>
            </w:r>
          </w:p>
        </w:tc>
      </w:tr>
      <w:tr w14:paraId="778C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95" w:type="dxa"/>
            <w:gridSpan w:val="3"/>
            <w:vMerge w:val="continue"/>
            <w:vAlign w:val="center"/>
          </w:tcPr>
          <w:p w14:paraId="0D3B8DA0">
            <w:pPr>
              <w:rPr>
                <w:rFonts w:hint="eastAsia" w:ascii="宋体" w:hAnsi="宋体" w:eastAsia="宋体" w:cs="宋体"/>
                <w:color w:val="auto"/>
                <w:sz w:val="21"/>
                <w:szCs w:val="21"/>
                <w:highlight w:val="none"/>
              </w:rPr>
            </w:pPr>
          </w:p>
        </w:tc>
        <w:tc>
          <w:tcPr>
            <w:tcW w:w="7000" w:type="dxa"/>
            <w:gridSpan w:val="2"/>
            <w:vAlign w:val="center"/>
          </w:tcPr>
          <w:p w14:paraId="40B4EA4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支持常见数据库、中间件、大数据平台的一键部署，包括但不限于RabbitMQ、Redis、MongoDB、Kafka、MySQL、CDH等应用的可视化快速部署，可对应用进行参数配置、应用监控、平台告警的全生命周期管理</w:t>
            </w:r>
            <w:r>
              <w:rPr>
                <w:rFonts w:hint="eastAsia" w:ascii="宋体" w:hAnsi="宋体" w:eastAsia="宋体" w:cs="宋体"/>
                <w:color w:val="auto"/>
                <w:sz w:val="21"/>
                <w:szCs w:val="21"/>
                <w:highlight w:val="none"/>
                <w:lang w:eastAsia="zh-CN"/>
              </w:rPr>
              <w:t>。</w:t>
            </w:r>
          </w:p>
        </w:tc>
      </w:tr>
    </w:tbl>
    <w:p w14:paraId="0536859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1.2国产化服务器（内网）</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384"/>
        <w:gridCol w:w="672"/>
        <w:gridCol w:w="106"/>
        <w:gridCol w:w="1298"/>
        <w:gridCol w:w="5597"/>
      </w:tblGrid>
      <w:tr w14:paraId="23CB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2" w:type="dxa"/>
            <w:gridSpan w:val="2"/>
            <w:vAlign w:val="center"/>
          </w:tcPr>
          <w:p w14:paraId="479261E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指标分类</w:t>
            </w:r>
          </w:p>
        </w:tc>
        <w:tc>
          <w:tcPr>
            <w:tcW w:w="672" w:type="dxa"/>
            <w:vAlign w:val="center"/>
          </w:tcPr>
          <w:p w14:paraId="55C34E8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一级指标</w:t>
            </w:r>
          </w:p>
        </w:tc>
        <w:tc>
          <w:tcPr>
            <w:tcW w:w="1404" w:type="dxa"/>
            <w:gridSpan w:val="2"/>
            <w:vAlign w:val="center"/>
          </w:tcPr>
          <w:p w14:paraId="40A7BEC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二级指标</w:t>
            </w:r>
          </w:p>
        </w:tc>
        <w:tc>
          <w:tcPr>
            <w:tcW w:w="5597" w:type="dxa"/>
            <w:vAlign w:val="center"/>
          </w:tcPr>
          <w:p w14:paraId="7E4E7A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指标要求</w:t>
            </w:r>
          </w:p>
        </w:tc>
      </w:tr>
      <w:tr w14:paraId="1F2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582404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84" w:type="dxa"/>
            <w:vMerge w:val="restart"/>
            <w:vAlign w:val="center"/>
          </w:tcPr>
          <w:p w14:paraId="30E810A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产品规格</w:t>
            </w:r>
          </w:p>
        </w:tc>
        <w:tc>
          <w:tcPr>
            <w:tcW w:w="672" w:type="dxa"/>
            <w:vAlign w:val="center"/>
          </w:tcPr>
          <w:p w14:paraId="51D28C2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*CPU规格</w:t>
            </w:r>
          </w:p>
        </w:tc>
        <w:tc>
          <w:tcPr>
            <w:tcW w:w="1404" w:type="dxa"/>
            <w:gridSpan w:val="2"/>
            <w:vAlign w:val="center"/>
          </w:tcPr>
          <w:p w14:paraId="1556F58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*CPU信息</w:t>
            </w:r>
          </w:p>
        </w:tc>
        <w:tc>
          <w:tcPr>
            <w:tcW w:w="5597" w:type="dxa"/>
            <w:vAlign w:val="center"/>
          </w:tcPr>
          <w:p w14:paraId="44161B9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≥2颗C86架构处理器，单颗主频2.7GHz，核数32核，线程数64，末级缓存64MB，功耗110W，最高内存频率3200MHz</w:t>
            </w:r>
            <w:r>
              <w:rPr>
                <w:rFonts w:hint="eastAsia" w:ascii="宋体" w:hAnsi="宋体" w:eastAsia="宋体" w:cs="宋体"/>
                <w:color w:val="auto"/>
                <w:sz w:val="21"/>
                <w:szCs w:val="21"/>
                <w:highlight w:val="none"/>
                <w:lang w:eastAsia="zh-CN"/>
              </w:rPr>
              <w:t>。</w:t>
            </w:r>
          </w:p>
        </w:tc>
      </w:tr>
      <w:tr w14:paraId="7418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13D9050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4" w:type="dxa"/>
            <w:vMerge w:val="continue"/>
            <w:vAlign w:val="center"/>
          </w:tcPr>
          <w:p w14:paraId="07A2086E">
            <w:pPr>
              <w:rPr>
                <w:rFonts w:hint="eastAsia" w:ascii="宋体" w:hAnsi="宋体" w:eastAsia="宋体" w:cs="宋体"/>
                <w:color w:val="auto"/>
                <w:sz w:val="21"/>
                <w:szCs w:val="21"/>
                <w:highlight w:val="none"/>
              </w:rPr>
            </w:pPr>
          </w:p>
        </w:tc>
        <w:tc>
          <w:tcPr>
            <w:tcW w:w="672" w:type="dxa"/>
            <w:vMerge w:val="restart"/>
            <w:vAlign w:val="center"/>
          </w:tcPr>
          <w:p w14:paraId="6E2A0A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主板规格</w:t>
            </w:r>
          </w:p>
        </w:tc>
        <w:tc>
          <w:tcPr>
            <w:tcW w:w="1404" w:type="dxa"/>
            <w:gridSpan w:val="2"/>
            <w:vAlign w:val="center"/>
          </w:tcPr>
          <w:p w14:paraId="5DD80C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*主板支持的CPU和内存情况</w:t>
            </w:r>
          </w:p>
        </w:tc>
        <w:tc>
          <w:tcPr>
            <w:tcW w:w="5597" w:type="dxa"/>
            <w:vAlign w:val="center"/>
          </w:tcPr>
          <w:p w14:paraId="4455D73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支持≥2颗CPU</w:t>
            </w:r>
            <w:r>
              <w:rPr>
                <w:rFonts w:hint="eastAsia" w:ascii="宋体" w:hAnsi="宋体" w:eastAsia="宋体" w:cs="宋体"/>
                <w:color w:val="auto"/>
                <w:sz w:val="21"/>
                <w:szCs w:val="21"/>
                <w:highlight w:val="none"/>
                <w:lang w:eastAsia="zh-CN"/>
              </w:rPr>
              <w:t>；</w:t>
            </w:r>
          </w:p>
          <w:p w14:paraId="2C2DCCD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支持≥1.5T内存</w:t>
            </w:r>
            <w:r>
              <w:rPr>
                <w:rFonts w:hint="eastAsia" w:ascii="宋体" w:hAnsi="宋体" w:eastAsia="宋体" w:cs="宋体"/>
                <w:color w:val="auto"/>
                <w:sz w:val="21"/>
                <w:szCs w:val="21"/>
                <w:highlight w:val="none"/>
                <w:lang w:eastAsia="zh-CN"/>
              </w:rPr>
              <w:t>。</w:t>
            </w:r>
          </w:p>
        </w:tc>
      </w:tr>
      <w:tr w14:paraId="14A2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61F4889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84" w:type="dxa"/>
            <w:vMerge w:val="continue"/>
            <w:vAlign w:val="center"/>
          </w:tcPr>
          <w:p w14:paraId="7D27E5BC">
            <w:pPr>
              <w:rPr>
                <w:rFonts w:hint="eastAsia" w:ascii="宋体" w:hAnsi="宋体" w:eastAsia="宋体" w:cs="宋体"/>
                <w:color w:val="auto"/>
                <w:sz w:val="21"/>
                <w:szCs w:val="21"/>
                <w:highlight w:val="none"/>
              </w:rPr>
            </w:pPr>
          </w:p>
        </w:tc>
        <w:tc>
          <w:tcPr>
            <w:tcW w:w="672" w:type="dxa"/>
            <w:vMerge w:val="continue"/>
            <w:vAlign w:val="center"/>
          </w:tcPr>
          <w:p w14:paraId="7EA54CF0">
            <w:pPr>
              <w:rPr>
                <w:rFonts w:hint="eastAsia" w:ascii="宋体" w:hAnsi="宋体" w:eastAsia="宋体" w:cs="宋体"/>
                <w:color w:val="auto"/>
                <w:sz w:val="21"/>
                <w:szCs w:val="21"/>
                <w:highlight w:val="none"/>
              </w:rPr>
            </w:pPr>
          </w:p>
        </w:tc>
        <w:tc>
          <w:tcPr>
            <w:tcW w:w="1404" w:type="dxa"/>
            <w:gridSpan w:val="2"/>
            <w:vAlign w:val="center"/>
          </w:tcPr>
          <w:p w14:paraId="268585E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*主板内存槽数量</w:t>
            </w:r>
          </w:p>
        </w:tc>
        <w:tc>
          <w:tcPr>
            <w:tcW w:w="5597" w:type="dxa"/>
            <w:vAlign w:val="center"/>
          </w:tcPr>
          <w:p w14:paraId="6B6ECC5A">
            <w:pPr>
              <w:rPr>
                <w:rFonts w:hint="eastAsia" w:ascii="宋体" w:hAnsi="宋体" w:eastAsia="宋体" w:cs="宋体"/>
                <w:strike/>
                <w:color w:val="auto"/>
                <w:sz w:val="21"/>
                <w:szCs w:val="21"/>
                <w:highlight w:val="none"/>
                <w:lang w:eastAsia="zh-CN"/>
              </w:rPr>
            </w:pPr>
            <w:r>
              <w:rPr>
                <w:rFonts w:hint="eastAsia" w:ascii="宋体" w:hAnsi="宋体" w:eastAsia="宋体" w:cs="宋体"/>
                <w:color w:val="auto"/>
                <w:sz w:val="21"/>
                <w:szCs w:val="21"/>
                <w:highlight w:val="none"/>
              </w:rPr>
              <w:t>内存插槽数量应不少于24个</w:t>
            </w:r>
            <w:r>
              <w:rPr>
                <w:rFonts w:hint="eastAsia" w:ascii="宋体" w:hAnsi="宋体" w:eastAsia="宋体" w:cs="宋体"/>
                <w:color w:val="auto"/>
                <w:sz w:val="21"/>
                <w:szCs w:val="21"/>
                <w:highlight w:val="none"/>
                <w:lang w:eastAsia="zh-CN"/>
              </w:rPr>
              <w:t>。</w:t>
            </w:r>
          </w:p>
        </w:tc>
      </w:tr>
      <w:tr w14:paraId="70B7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39F942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84" w:type="dxa"/>
            <w:vMerge w:val="continue"/>
            <w:vAlign w:val="center"/>
          </w:tcPr>
          <w:p w14:paraId="2A6980DD">
            <w:pPr>
              <w:rPr>
                <w:rFonts w:hint="eastAsia" w:ascii="宋体" w:hAnsi="宋体" w:eastAsia="宋体" w:cs="宋体"/>
                <w:color w:val="auto"/>
                <w:sz w:val="21"/>
                <w:szCs w:val="21"/>
                <w:highlight w:val="none"/>
              </w:rPr>
            </w:pPr>
          </w:p>
        </w:tc>
        <w:tc>
          <w:tcPr>
            <w:tcW w:w="672" w:type="dxa"/>
            <w:vMerge w:val="continue"/>
            <w:vAlign w:val="center"/>
          </w:tcPr>
          <w:p w14:paraId="2C817893">
            <w:pPr>
              <w:rPr>
                <w:rFonts w:hint="eastAsia" w:ascii="宋体" w:hAnsi="宋体" w:eastAsia="宋体" w:cs="宋体"/>
                <w:color w:val="auto"/>
                <w:sz w:val="21"/>
                <w:szCs w:val="21"/>
                <w:highlight w:val="none"/>
              </w:rPr>
            </w:pPr>
          </w:p>
        </w:tc>
        <w:tc>
          <w:tcPr>
            <w:tcW w:w="1404" w:type="dxa"/>
            <w:gridSpan w:val="2"/>
            <w:vAlign w:val="center"/>
          </w:tcPr>
          <w:p w14:paraId="7DFB748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*主板存储接口</w:t>
            </w:r>
          </w:p>
        </w:tc>
        <w:tc>
          <w:tcPr>
            <w:tcW w:w="5597" w:type="dxa"/>
            <w:vAlign w:val="center"/>
          </w:tcPr>
          <w:p w14:paraId="32B1F95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 SATA、SAS等存储接口</w:t>
            </w:r>
            <w:r>
              <w:rPr>
                <w:rFonts w:hint="eastAsia" w:ascii="宋体" w:hAnsi="宋体" w:eastAsia="宋体" w:cs="宋体"/>
                <w:color w:val="auto"/>
                <w:sz w:val="21"/>
                <w:szCs w:val="21"/>
                <w:highlight w:val="none"/>
                <w:lang w:eastAsia="zh-CN"/>
              </w:rPr>
              <w:t>。</w:t>
            </w:r>
          </w:p>
        </w:tc>
      </w:tr>
      <w:tr w14:paraId="09863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9242CE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84" w:type="dxa"/>
            <w:vMerge w:val="continue"/>
            <w:vAlign w:val="center"/>
          </w:tcPr>
          <w:p w14:paraId="0BDBA61D">
            <w:pPr>
              <w:rPr>
                <w:rFonts w:hint="eastAsia" w:ascii="宋体" w:hAnsi="宋体" w:eastAsia="宋体" w:cs="宋体"/>
                <w:color w:val="auto"/>
                <w:sz w:val="21"/>
                <w:szCs w:val="21"/>
                <w:highlight w:val="none"/>
              </w:rPr>
            </w:pPr>
          </w:p>
        </w:tc>
        <w:tc>
          <w:tcPr>
            <w:tcW w:w="672" w:type="dxa"/>
            <w:vMerge w:val="continue"/>
            <w:vAlign w:val="center"/>
          </w:tcPr>
          <w:p w14:paraId="0480543F">
            <w:pPr>
              <w:rPr>
                <w:rFonts w:hint="eastAsia" w:ascii="宋体" w:hAnsi="宋体" w:eastAsia="宋体" w:cs="宋体"/>
                <w:color w:val="auto"/>
                <w:sz w:val="21"/>
                <w:szCs w:val="21"/>
                <w:highlight w:val="none"/>
              </w:rPr>
            </w:pPr>
          </w:p>
        </w:tc>
        <w:tc>
          <w:tcPr>
            <w:tcW w:w="1404" w:type="dxa"/>
            <w:gridSpan w:val="2"/>
            <w:vAlign w:val="center"/>
          </w:tcPr>
          <w:p w14:paraId="4A2CA0B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*PCIe插槽接口</w:t>
            </w:r>
          </w:p>
        </w:tc>
        <w:tc>
          <w:tcPr>
            <w:tcW w:w="5597" w:type="dxa"/>
            <w:vAlign w:val="center"/>
          </w:tcPr>
          <w:p w14:paraId="2D1E96A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 PCIe3.0 或以上的高速串行计算机扩展总线标准，PCIe 的接口速率与位宽需保证向下兼容</w:t>
            </w:r>
            <w:r>
              <w:rPr>
                <w:rFonts w:hint="eastAsia" w:ascii="宋体" w:hAnsi="宋体" w:eastAsia="宋体" w:cs="宋体"/>
                <w:color w:val="auto"/>
                <w:sz w:val="21"/>
                <w:szCs w:val="21"/>
                <w:highlight w:val="none"/>
                <w:lang w:eastAsia="zh-CN"/>
              </w:rPr>
              <w:t>。</w:t>
            </w:r>
          </w:p>
        </w:tc>
      </w:tr>
      <w:tr w14:paraId="4A13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7CD438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84" w:type="dxa"/>
            <w:vMerge w:val="continue"/>
            <w:vAlign w:val="center"/>
          </w:tcPr>
          <w:p w14:paraId="74915DFC">
            <w:pPr>
              <w:rPr>
                <w:rFonts w:hint="eastAsia" w:ascii="宋体" w:hAnsi="宋体" w:eastAsia="宋体" w:cs="宋体"/>
                <w:color w:val="auto"/>
                <w:sz w:val="21"/>
                <w:szCs w:val="21"/>
                <w:highlight w:val="none"/>
              </w:rPr>
            </w:pPr>
          </w:p>
        </w:tc>
        <w:tc>
          <w:tcPr>
            <w:tcW w:w="672" w:type="dxa"/>
            <w:vMerge w:val="continue"/>
            <w:vAlign w:val="center"/>
          </w:tcPr>
          <w:p w14:paraId="07CF76B9">
            <w:pPr>
              <w:rPr>
                <w:rFonts w:hint="eastAsia" w:ascii="宋体" w:hAnsi="宋体" w:eastAsia="宋体" w:cs="宋体"/>
                <w:color w:val="auto"/>
                <w:sz w:val="21"/>
                <w:szCs w:val="21"/>
                <w:highlight w:val="none"/>
              </w:rPr>
            </w:pPr>
          </w:p>
        </w:tc>
        <w:tc>
          <w:tcPr>
            <w:tcW w:w="1404" w:type="dxa"/>
            <w:gridSpan w:val="2"/>
            <w:vAlign w:val="center"/>
          </w:tcPr>
          <w:p w14:paraId="3D0A598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*主板PCIe插槽数量及规格</w:t>
            </w:r>
          </w:p>
        </w:tc>
        <w:tc>
          <w:tcPr>
            <w:tcW w:w="5597" w:type="dxa"/>
            <w:vAlign w:val="center"/>
          </w:tcPr>
          <w:p w14:paraId="511913A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PCIe 插槽总数不少于7个</w:t>
            </w:r>
            <w:r>
              <w:rPr>
                <w:rFonts w:hint="eastAsia" w:ascii="宋体" w:hAnsi="宋体" w:eastAsia="宋体" w:cs="宋体"/>
                <w:color w:val="auto"/>
                <w:sz w:val="21"/>
                <w:szCs w:val="21"/>
                <w:highlight w:val="none"/>
                <w:lang w:eastAsia="zh-CN"/>
              </w:rPr>
              <w:t>。</w:t>
            </w:r>
          </w:p>
        </w:tc>
      </w:tr>
      <w:tr w14:paraId="00382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60FC712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84" w:type="dxa"/>
            <w:vMerge w:val="continue"/>
            <w:vAlign w:val="center"/>
          </w:tcPr>
          <w:p w14:paraId="4F8E43A1">
            <w:pPr>
              <w:rPr>
                <w:rFonts w:hint="eastAsia" w:ascii="宋体" w:hAnsi="宋体" w:eastAsia="宋体" w:cs="宋体"/>
                <w:color w:val="auto"/>
                <w:sz w:val="21"/>
                <w:szCs w:val="21"/>
                <w:highlight w:val="none"/>
              </w:rPr>
            </w:pPr>
          </w:p>
        </w:tc>
        <w:tc>
          <w:tcPr>
            <w:tcW w:w="672" w:type="dxa"/>
            <w:vMerge w:val="restart"/>
            <w:vAlign w:val="center"/>
          </w:tcPr>
          <w:p w14:paraId="1FC55C7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*内存规格</w:t>
            </w:r>
          </w:p>
        </w:tc>
        <w:tc>
          <w:tcPr>
            <w:tcW w:w="1404" w:type="dxa"/>
            <w:gridSpan w:val="2"/>
            <w:vAlign w:val="center"/>
          </w:tcPr>
          <w:p w14:paraId="717A21E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*内存数量</w:t>
            </w:r>
          </w:p>
        </w:tc>
        <w:tc>
          <w:tcPr>
            <w:tcW w:w="5597" w:type="dxa"/>
            <w:vAlign w:val="center"/>
          </w:tcPr>
          <w:p w14:paraId="75740D8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 。</w:t>
            </w:r>
          </w:p>
        </w:tc>
      </w:tr>
      <w:tr w14:paraId="19B7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4479A1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84" w:type="dxa"/>
            <w:vMerge w:val="continue"/>
            <w:vAlign w:val="center"/>
          </w:tcPr>
          <w:p w14:paraId="49EE947C">
            <w:pPr>
              <w:rPr>
                <w:rFonts w:hint="eastAsia" w:ascii="宋体" w:hAnsi="宋体" w:eastAsia="宋体" w:cs="宋体"/>
                <w:color w:val="auto"/>
                <w:sz w:val="21"/>
                <w:szCs w:val="21"/>
                <w:highlight w:val="none"/>
              </w:rPr>
            </w:pPr>
          </w:p>
        </w:tc>
        <w:tc>
          <w:tcPr>
            <w:tcW w:w="672" w:type="dxa"/>
            <w:vMerge w:val="continue"/>
            <w:vAlign w:val="center"/>
          </w:tcPr>
          <w:p w14:paraId="60C32921">
            <w:pPr>
              <w:rPr>
                <w:rFonts w:hint="eastAsia" w:ascii="宋体" w:hAnsi="宋体" w:eastAsia="宋体" w:cs="宋体"/>
                <w:color w:val="auto"/>
                <w:sz w:val="21"/>
                <w:szCs w:val="21"/>
                <w:highlight w:val="none"/>
              </w:rPr>
            </w:pPr>
          </w:p>
        </w:tc>
        <w:tc>
          <w:tcPr>
            <w:tcW w:w="1404" w:type="dxa"/>
            <w:gridSpan w:val="2"/>
            <w:vAlign w:val="center"/>
          </w:tcPr>
          <w:p w14:paraId="3A0DC70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*内存规格</w:t>
            </w:r>
          </w:p>
        </w:tc>
        <w:tc>
          <w:tcPr>
            <w:tcW w:w="5597" w:type="dxa"/>
            <w:vAlign w:val="center"/>
          </w:tcPr>
          <w:p w14:paraId="3D98606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≥64G DDR4 3200MHz ECC</w:t>
            </w:r>
            <w:r>
              <w:rPr>
                <w:rFonts w:hint="eastAsia" w:ascii="宋体" w:hAnsi="宋体" w:eastAsia="宋体" w:cs="宋体"/>
                <w:color w:val="auto"/>
                <w:sz w:val="21"/>
                <w:szCs w:val="21"/>
                <w:highlight w:val="none"/>
                <w:lang w:eastAsia="zh-CN"/>
              </w:rPr>
              <w:t>。</w:t>
            </w:r>
          </w:p>
        </w:tc>
      </w:tr>
      <w:tr w14:paraId="4EF7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29900BC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84" w:type="dxa"/>
            <w:vMerge w:val="continue"/>
            <w:vAlign w:val="center"/>
          </w:tcPr>
          <w:p w14:paraId="161FFD00">
            <w:pPr>
              <w:rPr>
                <w:rFonts w:hint="eastAsia" w:ascii="宋体" w:hAnsi="宋体" w:eastAsia="宋体" w:cs="宋体"/>
                <w:color w:val="auto"/>
                <w:sz w:val="21"/>
                <w:szCs w:val="21"/>
                <w:highlight w:val="none"/>
              </w:rPr>
            </w:pPr>
          </w:p>
        </w:tc>
        <w:tc>
          <w:tcPr>
            <w:tcW w:w="672" w:type="dxa"/>
            <w:vMerge w:val="continue"/>
            <w:vAlign w:val="center"/>
          </w:tcPr>
          <w:p w14:paraId="6439B593">
            <w:pPr>
              <w:rPr>
                <w:rFonts w:hint="eastAsia" w:ascii="宋体" w:hAnsi="宋体" w:eastAsia="宋体" w:cs="宋体"/>
                <w:color w:val="auto"/>
                <w:sz w:val="21"/>
                <w:szCs w:val="21"/>
                <w:highlight w:val="none"/>
              </w:rPr>
            </w:pPr>
          </w:p>
        </w:tc>
        <w:tc>
          <w:tcPr>
            <w:tcW w:w="1404" w:type="dxa"/>
            <w:gridSpan w:val="2"/>
            <w:vAlign w:val="center"/>
          </w:tcPr>
          <w:p w14:paraId="14F7BA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*内存通道</w:t>
            </w:r>
          </w:p>
        </w:tc>
        <w:tc>
          <w:tcPr>
            <w:tcW w:w="5597" w:type="dxa"/>
            <w:vAlign w:val="center"/>
          </w:tcPr>
          <w:p w14:paraId="7EC10C0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支持多个内存接口通道</w:t>
            </w:r>
            <w:r>
              <w:rPr>
                <w:rFonts w:hint="eastAsia" w:ascii="宋体" w:hAnsi="宋体" w:eastAsia="宋体" w:cs="宋体"/>
                <w:color w:val="auto"/>
                <w:sz w:val="21"/>
                <w:szCs w:val="21"/>
                <w:highlight w:val="none"/>
                <w:lang w:eastAsia="zh-CN"/>
              </w:rPr>
              <w:t>。</w:t>
            </w:r>
          </w:p>
        </w:tc>
      </w:tr>
      <w:tr w14:paraId="0D82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A0BF8F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84" w:type="dxa"/>
            <w:vMerge w:val="continue"/>
            <w:vAlign w:val="center"/>
          </w:tcPr>
          <w:p w14:paraId="085BD77B">
            <w:pPr>
              <w:rPr>
                <w:rFonts w:hint="eastAsia" w:ascii="宋体" w:hAnsi="宋体" w:eastAsia="宋体" w:cs="宋体"/>
                <w:color w:val="auto"/>
                <w:sz w:val="21"/>
                <w:szCs w:val="21"/>
                <w:highlight w:val="none"/>
              </w:rPr>
            </w:pPr>
          </w:p>
        </w:tc>
        <w:tc>
          <w:tcPr>
            <w:tcW w:w="672" w:type="dxa"/>
            <w:vMerge w:val="restart"/>
            <w:vAlign w:val="center"/>
          </w:tcPr>
          <w:p w14:paraId="46664DC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*存储规格</w:t>
            </w:r>
          </w:p>
        </w:tc>
        <w:tc>
          <w:tcPr>
            <w:tcW w:w="1404" w:type="dxa"/>
            <w:gridSpan w:val="2"/>
            <w:vAlign w:val="center"/>
          </w:tcPr>
          <w:p w14:paraId="5DC342D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*硬盘插槽数量及规格</w:t>
            </w:r>
          </w:p>
        </w:tc>
        <w:tc>
          <w:tcPr>
            <w:tcW w:w="5597" w:type="dxa"/>
            <w:vAlign w:val="center"/>
          </w:tcPr>
          <w:p w14:paraId="46ED026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配置≥12个3.5寸硬盘插槽，支持SATA、SAS接口SSD</w:t>
            </w:r>
            <w:r>
              <w:rPr>
                <w:rFonts w:hint="eastAsia" w:ascii="宋体" w:hAnsi="宋体" w:eastAsia="宋体" w:cs="宋体"/>
                <w:color w:val="auto"/>
                <w:sz w:val="21"/>
                <w:szCs w:val="21"/>
                <w:highlight w:val="none"/>
                <w:lang w:eastAsia="zh-CN"/>
              </w:rPr>
              <w:t>。</w:t>
            </w:r>
          </w:p>
        </w:tc>
      </w:tr>
      <w:tr w14:paraId="4C12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6278B53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84" w:type="dxa"/>
            <w:vMerge w:val="continue"/>
            <w:vAlign w:val="center"/>
          </w:tcPr>
          <w:p w14:paraId="4BCBF38A">
            <w:pPr>
              <w:rPr>
                <w:rFonts w:hint="eastAsia" w:ascii="宋体" w:hAnsi="宋体" w:eastAsia="宋体" w:cs="宋体"/>
                <w:color w:val="auto"/>
                <w:sz w:val="21"/>
                <w:szCs w:val="21"/>
                <w:highlight w:val="none"/>
              </w:rPr>
            </w:pPr>
          </w:p>
        </w:tc>
        <w:tc>
          <w:tcPr>
            <w:tcW w:w="672" w:type="dxa"/>
            <w:vMerge w:val="continue"/>
            <w:vAlign w:val="center"/>
          </w:tcPr>
          <w:p w14:paraId="6A4ACDB2">
            <w:pPr>
              <w:rPr>
                <w:rFonts w:hint="eastAsia" w:ascii="宋体" w:hAnsi="宋体" w:eastAsia="宋体" w:cs="宋体"/>
                <w:color w:val="auto"/>
                <w:sz w:val="21"/>
                <w:szCs w:val="21"/>
                <w:highlight w:val="none"/>
              </w:rPr>
            </w:pPr>
          </w:p>
        </w:tc>
        <w:tc>
          <w:tcPr>
            <w:tcW w:w="1404" w:type="dxa"/>
            <w:gridSpan w:val="2"/>
            <w:vAlign w:val="center"/>
          </w:tcPr>
          <w:p w14:paraId="52C21A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*硬磁盘实配容量及硬盘实配数量</w:t>
            </w:r>
          </w:p>
        </w:tc>
        <w:tc>
          <w:tcPr>
            <w:tcW w:w="5597" w:type="dxa"/>
            <w:vAlign w:val="center"/>
          </w:tcPr>
          <w:p w14:paraId="7B78DB3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系统盘：≥2块*240GB SATA SSD</w:t>
            </w:r>
            <w:r>
              <w:rPr>
                <w:rFonts w:hint="eastAsia" w:ascii="宋体" w:hAnsi="宋体" w:eastAsia="宋体" w:cs="宋体"/>
                <w:color w:val="auto"/>
                <w:sz w:val="21"/>
                <w:szCs w:val="21"/>
                <w:highlight w:val="none"/>
                <w:lang w:eastAsia="zh-CN"/>
              </w:rPr>
              <w:t>；</w:t>
            </w:r>
          </w:p>
          <w:p w14:paraId="439F29C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数据盘：≥10块*3.84T SSD</w:t>
            </w:r>
            <w:r>
              <w:rPr>
                <w:rFonts w:hint="eastAsia" w:ascii="宋体" w:hAnsi="宋体" w:eastAsia="宋体" w:cs="宋体"/>
                <w:color w:val="auto"/>
                <w:sz w:val="21"/>
                <w:szCs w:val="21"/>
                <w:highlight w:val="none"/>
                <w:lang w:eastAsia="zh-CN"/>
              </w:rPr>
              <w:t>。</w:t>
            </w:r>
          </w:p>
        </w:tc>
      </w:tr>
      <w:tr w14:paraId="7C32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A8E35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84" w:type="dxa"/>
            <w:vMerge w:val="continue"/>
            <w:vAlign w:val="center"/>
          </w:tcPr>
          <w:p w14:paraId="0CB3D358">
            <w:pPr>
              <w:rPr>
                <w:rFonts w:hint="eastAsia" w:ascii="宋体" w:hAnsi="宋体" w:eastAsia="宋体" w:cs="宋体"/>
                <w:color w:val="auto"/>
                <w:sz w:val="21"/>
                <w:szCs w:val="21"/>
                <w:highlight w:val="none"/>
              </w:rPr>
            </w:pPr>
          </w:p>
        </w:tc>
        <w:tc>
          <w:tcPr>
            <w:tcW w:w="672" w:type="dxa"/>
            <w:vAlign w:val="center"/>
          </w:tcPr>
          <w:p w14:paraId="69BF9B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*网络规格</w:t>
            </w:r>
          </w:p>
        </w:tc>
        <w:tc>
          <w:tcPr>
            <w:tcW w:w="1404" w:type="dxa"/>
            <w:gridSpan w:val="2"/>
            <w:vAlign w:val="center"/>
          </w:tcPr>
          <w:p w14:paraId="76C9EB1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*网口速率和数量</w:t>
            </w:r>
          </w:p>
        </w:tc>
        <w:tc>
          <w:tcPr>
            <w:tcW w:w="5597" w:type="dxa"/>
            <w:vAlign w:val="center"/>
          </w:tcPr>
          <w:p w14:paraId="3B4C610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≥4千兆电口+4万兆光口（含光模块），32G-HBA-光纤－双口（含模块）</w:t>
            </w:r>
            <w:r>
              <w:rPr>
                <w:rFonts w:hint="eastAsia" w:ascii="宋体" w:hAnsi="宋体" w:eastAsia="宋体" w:cs="宋体"/>
                <w:color w:val="auto"/>
                <w:sz w:val="21"/>
                <w:szCs w:val="21"/>
                <w:highlight w:val="none"/>
                <w:lang w:eastAsia="zh-CN"/>
              </w:rPr>
              <w:t>。</w:t>
            </w:r>
          </w:p>
        </w:tc>
      </w:tr>
      <w:tr w14:paraId="2F87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3F6E41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84" w:type="dxa"/>
            <w:vMerge w:val="continue"/>
            <w:vAlign w:val="center"/>
          </w:tcPr>
          <w:p w14:paraId="03C9E4BC">
            <w:pPr>
              <w:rPr>
                <w:rFonts w:hint="eastAsia" w:ascii="宋体" w:hAnsi="宋体" w:eastAsia="宋体" w:cs="宋体"/>
                <w:color w:val="auto"/>
                <w:sz w:val="21"/>
                <w:szCs w:val="21"/>
                <w:highlight w:val="none"/>
              </w:rPr>
            </w:pPr>
          </w:p>
        </w:tc>
        <w:tc>
          <w:tcPr>
            <w:tcW w:w="672" w:type="dxa"/>
            <w:vMerge w:val="restart"/>
            <w:vAlign w:val="center"/>
          </w:tcPr>
          <w:p w14:paraId="7358A16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*外部接口规格</w:t>
            </w:r>
          </w:p>
        </w:tc>
        <w:tc>
          <w:tcPr>
            <w:tcW w:w="1404" w:type="dxa"/>
            <w:gridSpan w:val="2"/>
            <w:vAlign w:val="center"/>
          </w:tcPr>
          <w:p w14:paraId="2A35444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*显示接口</w:t>
            </w:r>
          </w:p>
        </w:tc>
        <w:tc>
          <w:tcPr>
            <w:tcW w:w="5597" w:type="dxa"/>
            <w:vAlign w:val="center"/>
          </w:tcPr>
          <w:p w14:paraId="58898A3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显示接口类型支持 VGA等</w:t>
            </w:r>
            <w:r>
              <w:rPr>
                <w:rFonts w:hint="eastAsia" w:ascii="宋体" w:hAnsi="宋体" w:eastAsia="宋体" w:cs="宋体"/>
                <w:color w:val="auto"/>
                <w:sz w:val="21"/>
                <w:szCs w:val="21"/>
                <w:highlight w:val="none"/>
                <w:lang w:eastAsia="zh-CN"/>
              </w:rPr>
              <w:t>。</w:t>
            </w:r>
          </w:p>
        </w:tc>
      </w:tr>
      <w:tr w14:paraId="3DC4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7E2C09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84" w:type="dxa"/>
            <w:vMerge w:val="continue"/>
            <w:vAlign w:val="center"/>
          </w:tcPr>
          <w:p w14:paraId="7A82136E">
            <w:pPr>
              <w:rPr>
                <w:rFonts w:hint="eastAsia" w:ascii="宋体" w:hAnsi="宋体" w:eastAsia="宋体" w:cs="宋体"/>
                <w:color w:val="auto"/>
                <w:sz w:val="21"/>
                <w:szCs w:val="21"/>
                <w:highlight w:val="none"/>
              </w:rPr>
            </w:pPr>
          </w:p>
        </w:tc>
        <w:tc>
          <w:tcPr>
            <w:tcW w:w="672" w:type="dxa"/>
            <w:vMerge w:val="continue"/>
            <w:vAlign w:val="center"/>
          </w:tcPr>
          <w:p w14:paraId="6B306842">
            <w:pPr>
              <w:rPr>
                <w:rFonts w:hint="eastAsia" w:ascii="宋体" w:hAnsi="宋体" w:eastAsia="宋体" w:cs="宋体"/>
                <w:color w:val="auto"/>
                <w:sz w:val="21"/>
                <w:szCs w:val="21"/>
                <w:highlight w:val="none"/>
              </w:rPr>
            </w:pPr>
          </w:p>
        </w:tc>
        <w:tc>
          <w:tcPr>
            <w:tcW w:w="1404" w:type="dxa"/>
            <w:gridSpan w:val="2"/>
            <w:vAlign w:val="center"/>
          </w:tcPr>
          <w:p w14:paraId="3B1C8B3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*USB 接口</w:t>
            </w:r>
          </w:p>
        </w:tc>
        <w:tc>
          <w:tcPr>
            <w:tcW w:w="5597" w:type="dxa"/>
            <w:vAlign w:val="center"/>
          </w:tcPr>
          <w:p w14:paraId="51156B5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配备不少于4个USB接口，接口满足2.0及以上</w:t>
            </w:r>
            <w:r>
              <w:rPr>
                <w:rFonts w:hint="eastAsia" w:ascii="宋体" w:hAnsi="宋体" w:eastAsia="宋体" w:cs="宋体"/>
                <w:color w:val="auto"/>
                <w:sz w:val="21"/>
                <w:szCs w:val="21"/>
                <w:highlight w:val="none"/>
                <w:lang w:eastAsia="zh-CN"/>
              </w:rPr>
              <w:t>。</w:t>
            </w:r>
          </w:p>
        </w:tc>
      </w:tr>
      <w:tr w14:paraId="3FFB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394719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84" w:type="dxa"/>
            <w:vMerge w:val="continue"/>
            <w:vAlign w:val="center"/>
          </w:tcPr>
          <w:p w14:paraId="779D8818">
            <w:pPr>
              <w:rPr>
                <w:rFonts w:hint="eastAsia" w:ascii="宋体" w:hAnsi="宋体" w:eastAsia="宋体" w:cs="宋体"/>
                <w:color w:val="auto"/>
                <w:sz w:val="21"/>
                <w:szCs w:val="21"/>
                <w:highlight w:val="none"/>
              </w:rPr>
            </w:pPr>
          </w:p>
        </w:tc>
        <w:tc>
          <w:tcPr>
            <w:tcW w:w="672" w:type="dxa"/>
            <w:vMerge w:val="restart"/>
            <w:vAlign w:val="center"/>
          </w:tcPr>
          <w:p w14:paraId="717AFC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*电源规格</w:t>
            </w:r>
          </w:p>
        </w:tc>
        <w:tc>
          <w:tcPr>
            <w:tcW w:w="1404" w:type="dxa"/>
            <w:gridSpan w:val="2"/>
            <w:vAlign w:val="center"/>
          </w:tcPr>
          <w:p w14:paraId="162737C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*电源模块数量</w:t>
            </w:r>
          </w:p>
        </w:tc>
        <w:tc>
          <w:tcPr>
            <w:tcW w:w="5597" w:type="dxa"/>
            <w:vAlign w:val="center"/>
          </w:tcPr>
          <w:p w14:paraId="1405DCF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≥2个</w:t>
            </w:r>
            <w:r>
              <w:rPr>
                <w:rFonts w:hint="eastAsia" w:ascii="宋体" w:hAnsi="宋体" w:eastAsia="宋体" w:cs="宋体"/>
                <w:color w:val="auto"/>
                <w:sz w:val="21"/>
                <w:szCs w:val="21"/>
                <w:highlight w:val="none"/>
                <w:lang w:val="en-US" w:eastAsia="zh-CN"/>
              </w:rPr>
              <w:t xml:space="preserve"> 。</w:t>
            </w:r>
          </w:p>
        </w:tc>
      </w:tr>
      <w:tr w14:paraId="4FA2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3DB34CC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384" w:type="dxa"/>
            <w:vMerge w:val="continue"/>
            <w:vAlign w:val="center"/>
          </w:tcPr>
          <w:p w14:paraId="2295C377">
            <w:pPr>
              <w:rPr>
                <w:rFonts w:hint="eastAsia" w:ascii="宋体" w:hAnsi="宋体" w:eastAsia="宋体" w:cs="宋体"/>
                <w:color w:val="auto"/>
                <w:sz w:val="21"/>
                <w:szCs w:val="21"/>
                <w:highlight w:val="none"/>
              </w:rPr>
            </w:pPr>
          </w:p>
        </w:tc>
        <w:tc>
          <w:tcPr>
            <w:tcW w:w="672" w:type="dxa"/>
            <w:vMerge w:val="continue"/>
            <w:vAlign w:val="center"/>
          </w:tcPr>
          <w:p w14:paraId="66787D27">
            <w:pPr>
              <w:rPr>
                <w:rFonts w:hint="eastAsia" w:ascii="宋体" w:hAnsi="宋体" w:eastAsia="宋体" w:cs="宋体"/>
                <w:color w:val="auto"/>
                <w:sz w:val="21"/>
                <w:szCs w:val="21"/>
                <w:highlight w:val="none"/>
              </w:rPr>
            </w:pPr>
          </w:p>
        </w:tc>
        <w:tc>
          <w:tcPr>
            <w:tcW w:w="1404" w:type="dxa"/>
            <w:gridSpan w:val="2"/>
            <w:vAlign w:val="center"/>
          </w:tcPr>
          <w:p w14:paraId="3766219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*电源功率</w:t>
            </w:r>
          </w:p>
        </w:tc>
        <w:tc>
          <w:tcPr>
            <w:tcW w:w="5597" w:type="dxa"/>
            <w:vAlign w:val="center"/>
          </w:tcPr>
          <w:p w14:paraId="6423E20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单电源模块功率≥1300w</w:t>
            </w:r>
            <w:r>
              <w:rPr>
                <w:rFonts w:hint="eastAsia" w:ascii="宋体" w:hAnsi="宋体" w:eastAsia="宋体" w:cs="宋体"/>
                <w:color w:val="auto"/>
                <w:sz w:val="21"/>
                <w:szCs w:val="21"/>
                <w:highlight w:val="none"/>
                <w:lang w:eastAsia="zh-CN"/>
              </w:rPr>
              <w:t>。</w:t>
            </w:r>
          </w:p>
        </w:tc>
      </w:tr>
      <w:tr w14:paraId="71EF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2D26E47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384" w:type="dxa"/>
            <w:vMerge w:val="continue"/>
            <w:vAlign w:val="center"/>
          </w:tcPr>
          <w:p w14:paraId="481831CD">
            <w:pPr>
              <w:rPr>
                <w:rFonts w:hint="eastAsia" w:ascii="宋体" w:hAnsi="宋体" w:eastAsia="宋体" w:cs="宋体"/>
                <w:color w:val="auto"/>
                <w:sz w:val="21"/>
                <w:szCs w:val="21"/>
                <w:highlight w:val="none"/>
              </w:rPr>
            </w:pPr>
          </w:p>
        </w:tc>
        <w:tc>
          <w:tcPr>
            <w:tcW w:w="672" w:type="dxa"/>
            <w:vMerge w:val="restart"/>
            <w:vAlign w:val="center"/>
          </w:tcPr>
          <w:p w14:paraId="633B6D9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*整机规格</w:t>
            </w:r>
          </w:p>
        </w:tc>
        <w:tc>
          <w:tcPr>
            <w:tcW w:w="1404" w:type="dxa"/>
            <w:gridSpan w:val="2"/>
            <w:vAlign w:val="center"/>
          </w:tcPr>
          <w:p w14:paraId="79E9590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*外观和结构</w:t>
            </w:r>
          </w:p>
        </w:tc>
        <w:tc>
          <w:tcPr>
            <w:tcW w:w="5597" w:type="dxa"/>
            <w:vAlign w:val="center"/>
          </w:tcPr>
          <w:p w14:paraId="080973C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a）服务器的零部件应紧固无松动，可插拔部件应可靠连接，开关、按钮和其它控制部件应灵活可靠，布局应方便使用</w:t>
            </w:r>
            <w:r>
              <w:rPr>
                <w:rFonts w:hint="eastAsia" w:ascii="宋体" w:hAnsi="宋体" w:eastAsia="宋体" w:cs="宋体"/>
                <w:color w:val="auto"/>
                <w:sz w:val="21"/>
                <w:szCs w:val="21"/>
                <w:highlight w:val="none"/>
                <w:lang w:eastAsia="zh-CN"/>
              </w:rPr>
              <w:t>。</w:t>
            </w:r>
          </w:p>
          <w:p w14:paraId="6DAC6EE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b）产品表面不应有明显的凹痕、划伤、裂缝、变形和污染等。表面涂层均匀，不应起泡、龟裂、脱落和磨损，金属零部件无锈蚀及其它机械损伤</w:t>
            </w:r>
            <w:r>
              <w:rPr>
                <w:rFonts w:hint="eastAsia" w:ascii="宋体" w:hAnsi="宋体" w:eastAsia="宋体" w:cs="宋体"/>
                <w:color w:val="auto"/>
                <w:sz w:val="21"/>
                <w:szCs w:val="21"/>
                <w:highlight w:val="none"/>
                <w:lang w:eastAsia="zh-CN"/>
              </w:rPr>
              <w:t>。</w:t>
            </w:r>
          </w:p>
          <w:p w14:paraId="0B26FE7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c）产品表面说明功能的文字、符号和标志应清晰、端正且牢固</w:t>
            </w:r>
            <w:r>
              <w:rPr>
                <w:rFonts w:hint="eastAsia" w:ascii="宋体" w:hAnsi="宋体" w:eastAsia="宋体" w:cs="宋体"/>
                <w:color w:val="auto"/>
                <w:sz w:val="21"/>
                <w:szCs w:val="21"/>
                <w:highlight w:val="none"/>
                <w:lang w:eastAsia="zh-CN"/>
              </w:rPr>
              <w:t>。</w:t>
            </w:r>
          </w:p>
          <w:p w14:paraId="71FDDD5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d）应在服务器的显著位置提供运行状态的指示功能，并在随机文件中明确具体含义</w:t>
            </w:r>
            <w:r>
              <w:rPr>
                <w:rFonts w:hint="eastAsia" w:ascii="宋体" w:hAnsi="宋体" w:eastAsia="宋体" w:cs="宋体"/>
                <w:color w:val="auto"/>
                <w:sz w:val="21"/>
                <w:szCs w:val="21"/>
                <w:highlight w:val="none"/>
                <w:lang w:eastAsia="zh-CN"/>
              </w:rPr>
              <w:t>。</w:t>
            </w:r>
          </w:p>
          <w:p w14:paraId="3321744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e）机架、机箱的尺寸应符合通用机柜的安装要求，插入总线插座的电路板接口外形尺寸应符合有关总线标准的规定，将机箱固定在机柜上，机箱底面最大下垂变形不得干涉相邻机体</w:t>
            </w:r>
            <w:r>
              <w:rPr>
                <w:rFonts w:hint="eastAsia" w:ascii="宋体" w:hAnsi="宋体" w:eastAsia="宋体" w:cs="宋体"/>
                <w:color w:val="auto"/>
                <w:sz w:val="21"/>
                <w:szCs w:val="21"/>
                <w:highlight w:val="none"/>
                <w:lang w:eastAsia="zh-CN"/>
              </w:rPr>
              <w:t>。</w:t>
            </w:r>
          </w:p>
          <w:p w14:paraId="2577873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f）高密度服务器应给出 CPU 个数与机柜高度</w:t>
            </w:r>
            <w:r>
              <w:rPr>
                <w:rFonts w:hint="eastAsia" w:ascii="宋体" w:hAnsi="宋体" w:eastAsia="宋体" w:cs="宋体"/>
                <w:color w:val="auto"/>
                <w:sz w:val="21"/>
                <w:szCs w:val="21"/>
                <w:highlight w:val="none"/>
                <w:lang w:eastAsia="zh-CN"/>
              </w:rPr>
              <w:t>。</w:t>
            </w:r>
          </w:p>
          <w:p w14:paraId="758B0944">
            <w:pPr>
              <w:ind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服务器尺寸具体要求在随机文件中明确</w:t>
            </w:r>
            <w:r>
              <w:rPr>
                <w:rFonts w:hint="eastAsia" w:ascii="宋体" w:hAnsi="宋体" w:eastAsia="宋体" w:cs="宋体"/>
                <w:color w:val="auto"/>
                <w:sz w:val="21"/>
                <w:szCs w:val="21"/>
                <w:highlight w:val="none"/>
                <w:lang w:eastAsia="zh-CN"/>
              </w:rPr>
              <w:t>。</w:t>
            </w:r>
          </w:p>
        </w:tc>
      </w:tr>
      <w:tr w14:paraId="4C3E9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9AAE11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384" w:type="dxa"/>
            <w:vMerge w:val="continue"/>
            <w:vAlign w:val="center"/>
          </w:tcPr>
          <w:p w14:paraId="7B8B0480">
            <w:pPr>
              <w:rPr>
                <w:rFonts w:hint="eastAsia" w:ascii="宋体" w:hAnsi="宋体" w:eastAsia="宋体" w:cs="宋体"/>
                <w:color w:val="auto"/>
                <w:sz w:val="21"/>
                <w:szCs w:val="21"/>
                <w:highlight w:val="none"/>
              </w:rPr>
            </w:pPr>
          </w:p>
        </w:tc>
        <w:tc>
          <w:tcPr>
            <w:tcW w:w="672" w:type="dxa"/>
            <w:vMerge w:val="continue"/>
            <w:vAlign w:val="center"/>
          </w:tcPr>
          <w:p w14:paraId="1F38A314">
            <w:pPr>
              <w:rPr>
                <w:rFonts w:hint="eastAsia" w:ascii="宋体" w:hAnsi="宋体" w:eastAsia="宋体" w:cs="宋体"/>
                <w:color w:val="auto"/>
                <w:sz w:val="21"/>
                <w:szCs w:val="21"/>
                <w:highlight w:val="none"/>
              </w:rPr>
            </w:pPr>
          </w:p>
        </w:tc>
        <w:tc>
          <w:tcPr>
            <w:tcW w:w="1404" w:type="dxa"/>
            <w:gridSpan w:val="2"/>
            <w:vAlign w:val="center"/>
          </w:tcPr>
          <w:p w14:paraId="5AD5046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*尺寸（高×宽×深）</w:t>
            </w:r>
          </w:p>
        </w:tc>
        <w:tc>
          <w:tcPr>
            <w:tcW w:w="5597" w:type="dxa"/>
            <w:vAlign w:val="center"/>
          </w:tcPr>
          <w:p w14:paraId="391741A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供应商给出产品尺寸；设计应遵循标准化、系列化的要求；机箱的内部结构符合通用部件的安装需要</w:t>
            </w:r>
            <w:r>
              <w:rPr>
                <w:rFonts w:hint="eastAsia" w:ascii="宋体" w:hAnsi="宋体" w:eastAsia="宋体" w:cs="宋体"/>
                <w:color w:val="auto"/>
                <w:sz w:val="21"/>
                <w:szCs w:val="21"/>
                <w:highlight w:val="none"/>
                <w:lang w:eastAsia="zh-CN"/>
              </w:rPr>
              <w:t>。</w:t>
            </w:r>
          </w:p>
        </w:tc>
      </w:tr>
      <w:tr w14:paraId="5967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18ABC48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384" w:type="dxa"/>
            <w:vMerge w:val="continue"/>
            <w:vAlign w:val="center"/>
          </w:tcPr>
          <w:p w14:paraId="109E142E">
            <w:pPr>
              <w:rPr>
                <w:rFonts w:hint="eastAsia" w:ascii="宋体" w:hAnsi="宋体" w:eastAsia="宋体" w:cs="宋体"/>
                <w:color w:val="auto"/>
                <w:sz w:val="21"/>
                <w:szCs w:val="21"/>
                <w:highlight w:val="none"/>
              </w:rPr>
            </w:pPr>
          </w:p>
        </w:tc>
        <w:tc>
          <w:tcPr>
            <w:tcW w:w="672" w:type="dxa"/>
            <w:vMerge w:val="continue"/>
            <w:vAlign w:val="center"/>
          </w:tcPr>
          <w:p w14:paraId="1B78EC99">
            <w:pPr>
              <w:rPr>
                <w:rFonts w:hint="eastAsia" w:ascii="宋体" w:hAnsi="宋体" w:eastAsia="宋体" w:cs="宋体"/>
                <w:color w:val="auto"/>
                <w:sz w:val="21"/>
                <w:szCs w:val="21"/>
                <w:highlight w:val="none"/>
              </w:rPr>
            </w:pPr>
          </w:p>
        </w:tc>
        <w:tc>
          <w:tcPr>
            <w:tcW w:w="1404" w:type="dxa"/>
            <w:gridSpan w:val="2"/>
            <w:vAlign w:val="center"/>
          </w:tcPr>
          <w:p w14:paraId="091972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*环境适应性</w:t>
            </w:r>
          </w:p>
        </w:tc>
        <w:tc>
          <w:tcPr>
            <w:tcW w:w="5597" w:type="dxa"/>
            <w:vAlign w:val="center"/>
          </w:tcPr>
          <w:p w14:paraId="3055749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气候环境适应性应符合GB/T9813.3的有关规定，工作温度10～35℃，贮存运输温度-40～55℃；工作相对湿度35%～80%，贮存运输相对湿度20％～93%（40℃）；大气压86～106kPa</w:t>
            </w:r>
            <w:r>
              <w:rPr>
                <w:rFonts w:hint="eastAsia" w:ascii="宋体" w:hAnsi="宋体" w:eastAsia="宋体" w:cs="宋体"/>
                <w:color w:val="auto"/>
                <w:sz w:val="21"/>
                <w:szCs w:val="21"/>
                <w:highlight w:val="none"/>
                <w:lang w:eastAsia="zh-CN"/>
              </w:rPr>
              <w:t>。</w:t>
            </w:r>
          </w:p>
        </w:tc>
      </w:tr>
      <w:tr w14:paraId="7645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782F9FB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384" w:type="dxa"/>
            <w:vMerge w:val="continue"/>
            <w:vAlign w:val="center"/>
          </w:tcPr>
          <w:p w14:paraId="560E49F4">
            <w:pPr>
              <w:rPr>
                <w:rFonts w:hint="eastAsia" w:ascii="宋体" w:hAnsi="宋体" w:eastAsia="宋体" w:cs="宋体"/>
                <w:color w:val="auto"/>
                <w:sz w:val="21"/>
                <w:szCs w:val="21"/>
                <w:highlight w:val="none"/>
              </w:rPr>
            </w:pPr>
          </w:p>
        </w:tc>
        <w:tc>
          <w:tcPr>
            <w:tcW w:w="672" w:type="dxa"/>
            <w:vMerge w:val="continue"/>
            <w:vAlign w:val="center"/>
          </w:tcPr>
          <w:p w14:paraId="7D37EAD5">
            <w:pPr>
              <w:rPr>
                <w:rFonts w:hint="eastAsia" w:ascii="宋体" w:hAnsi="宋体" w:eastAsia="宋体" w:cs="宋体"/>
                <w:color w:val="auto"/>
                <w:sz w:val="21"/>
                <w:szCs w:val="21"/>
                <w:highlight w:val="none"/>
              </w:rPr>
            </w:pPr>
          </w:p>
        </w:tc>
        <w:tc>
          <w:tcPr>
            <w:tcW w:w="1404" w:type="dxa"/>
            <w:gridSpan w:val="2"/>
            <w:vAlign w:val="center"/>
          </w:tcPr>
          <w:p w14:paraId="5144BE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*机械环境适应性</w:t>
            </w:r>
          </w:p>
        </w:tc>
        <w:tc>
          <w:tcPr>
            <w:tcW w:w="5597" w:type="dxa"/>
            <w:vAlign w:val="center"/>
          </w:tcPr>
          <w:p w14:paraId="5542946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机械环境适应性应符合GB/T9813.3的有关规定</w:t>
            </w:r>
            <w:r>
              <w:rPr>
                <w:rFonts w:hint="eastAsia" w:ascii="宋体" w:hAnsi="宋体" w:eastAsia="宋体" w:cs="宋体"/>
                <w:color w:val="auto"/>
                <w:sz w:val="21"/>
                <w:szCs w:val="21"/>
                <w:highlight w:val="none"/>
                <w:lang w:eastAsia="zh-CN"/>
              </w:rPr>
              <w:t>。</w:t>
            </w:r>
          </w:p>
        </w:tc>
      </w:tr>
      <w:tr w14:paraId="4D0B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55D8C9A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384" w:type="dxa"/>
            <w:vMerge w:val="continue"/>
            <w:vAlign w:val="center"/>
          </w:tcPr>
          <w:p w14:paraId="78BDD1AE">
            <w:pPr>
              <w:rPr>
                <w:rFonts w:hint="eastAsia" w:ascii="宋体" w:hAnsi="宋体" w:eastAsia="宋体" w:cs="宋体"/>
                <w:color w:val="auto"/>
                <w:sz w:val="21"/>
                <w:szCs w:val="21"/>
                <w:highlight w:val="none"/>
              </w:rPr>
            </w:pPr>
          </w:p>
        </w:tc>
        <w:tc>
          <w:tcPr>
            <w:tcW w:w="672" w:type="dxa"/>
            <w:vMerge w:val="continue"/>
            <w:vAlign w:val="center"/>
          </w:tcPr>
          <w:p w14:paraId="2521E644">
            <w:pPr>
              <w:rPr>
                <w:rFonts w:hint="eastAsia" w:ascii="宋体" w:hAnsi="宋体" w:eastAsia="宋体" w:cs="宋体"/>
                <w:color w:val="auto"/>
                <w:sz w:val="21"/>
                <w:szCs w:val="21"/>
                <w:highlight w:val="none"/>
              </w:rPr>
            </w:pPr>
          </w:p>
        </w:tc>
        <w:tc>
          <w:tcPr>
            <w:tcW w:w="1404" w:type="dxa"/>
            <w:gridSpan w:val="2"/>
            <w:vAlign w:val="center"/>
          </w:tcPr>
          <w:p w14:paraId="208B81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*噪声</w:t>
            </w:r>
          </w:p>
        </w:tc>
        <w:tc>
          <w:tcPr>
            <w:tcW w:w="5597" w:type="dxa"/>
            <w:vAlign w:val="center"/>
          </w:tcPr>
          <w:p w14:paraId="22F2860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符合GB/T 9813.3的有关规定，在产品说明中给出具体测试值塔式服务器噪声在空闲状态下不大于 50dB</w:t>
            </w:r>
            <w:r>
              <w:rPr>
                <w:rFonts w:hint="eastAsia" w:ascii="宋体" w:hAnsi="宋体" w:eastAsia="宋体" w:cs="宋体"/>
                <w:color w:val="auto"/>
                <w:sz w:val="21"/>
                <w:szCs w:val="21"/>
                <w:highlight w:val="none"/>
                <w:lang w:eastAsia="zh-CN"/>
              </w:rPr>
              <w:t>。</w:t>
            </w:r>
          </w:p>
        </w:tc>
      </w:tr>
      <w:tr w14:paraId="39A1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ED44FD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384" w:type="dxa"/>
            <w:vMerge w:val="continue"/>
            <w:vAlign w:val="center"/>
          </w:tcPr>
          <w:p w14:paraId="4208A787">
            <w:pPr>
              <w:rPr>
                <w:rFonts w:hint="eastAsia" w:ascii="宋体" w:hAnsi="宋体" w:eastAsia="宋体" w:cs="宋体"/>
                <w:color w:val="auto"/>
                <w:sz w:val="21"/>
                <w:szCs w:val="21"/>
                <w:highlight w:val="none"/>
              </w:rPr>
            </w:pPr>
          </w:p>
        </w:tc>
        <w:tc>
          <w:tcPr>
            <w:tcW w:w="672" w:type="dxa"/>
            <w:vAlign w:val="center"/>
          </w:tcPr>
          <w:p w14:paraId="610FC28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w:t>
            </w:r>
          </w:p>
          <w:p w14:paraId="34A5AE3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404" w:type="dxa"/>
            <w:gridSpan w:val="2"/>
            <w:vAlign w:val="center"/>
          </w:tcPr>
          <w:p w14:paraId="531A897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*机柜尺寸</w:t>
            </w:r>
          </w:p>
        </w:tc>
        <w:tc>
          <w:tcPr>
            <w:tcW w:w="5597" w:type="dxa"/>
            <w:vAlign w:val="center"/>
          </w:tcPr>
          <w:p w14:paraId="3C19821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符合标准机柜尺寸</w:t>
            </w:r>
            <w:r>
              <w:rPr>
                <w:rFonts w:hint="eastAsia" w:ascii="宋体" w:hAnsi="宋体" w:eastAsia="宋体" w:cs="宋体"/>
                <w:color w:val="auto"/>
                <w:sz w:val="21"/>
                <w:szCs w:val="21"/>
                <w:highlight w:val="none"/>
                <w:lang w:eastAsia="zh-CN"/>
              </w:rPr>
              <w:t>。</w:t>
            </w:r>
          </w:p>
        </w:tc>
      </w:tr>
      <w:tr w14:paraId="7771A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7D71B6F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p>
        </w:tc>
        <w:tc>
          <w:tcPr>
            <w:tcW w:w="384" w:type="dxa"/>
            <w:vMerge w:val="restart"/>
            <w:vAlign w:val="center"/>
          </w:tcPr>
          <w:p w14:paraId="0E84AA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功能要求</w:t>
            </w:r>
          </w:p>
        </w:tc>
        <w:tc>
          <w:tcPr>
            <w:tcW w:w="672" w:type="dxa"/>
            <w:vAlign w:val="center"/>
          </w:tcPr>
          <w:p w14:paraId="12964D4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*主板功能</w:t>
            </w:r>
          </w:p>
        </w:tc>
        <w:tc>
          <w:tcPr>
            <w:tcW w:w="1404" w:type="dxa"/>
            <w:gridSpan w:val="2"/>
            <w:vAlign w:val="center"/>
          </w:tcPr>
          <w:p w14:paraId="2B1E8C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*主板外部接口种类</w:t>
            </w:r>
          </w:p>
        </w:tc>
        <w:tc>
          <w:tcPr>
            <w:tcW w:w="5597" w:type="dxa"/>
            <w:vAlign w:val="center"/>
          </w:tcPr>
          <w:p w14:paraId="4E002AA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支持USB、显示、管理等接口，如：VGA、USB3.0接口、BMC 管理端口等</w:t>
            </w:r>
            <w:r>
              <w:rPr>
                <w:rFonts w:hint="eastAsia" w:ascii="宋体" w:hAnsi="宋体" w:eastAsia="宋体" w:cs="宋体"/>
                <w:color w:val="auto"/>
                <w:sz w:val="21"/>
                <w:szCs w:val="21"/>
                <w:highlight w:val="none"/>
                <w:lang w:eastAsia="zh-CN"/>
              </w:rPr>
              <w:t>。</w:t>
            </w:r>
          </w:p>
        </w:tc>
      </w:tr>
      <w:tr w14:paraId="1D9D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5F70131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p>
        </w:tc>
        <w:tc>
          <w:tcPr>
            <w:tcW w:w="384" w:type="dxa"/>
            <w:vMerge w:val="continue"/>
            <w:vAlign w:val="center"/>
          </w:tcPr>
          <w:p w14:paraId="699A52EB">
            <w:pPr>
              <w:rPr>
                <w:rFonts w:hint="eastAsia" w:ascii="宋体" w:hAnsi="宋体" w:eastAsia="宋体" w:cs="宋体"/>
                <w:color w:val="auto"/>
                <w:sz w:val="21"/>
                <w:szCs w:val="21"/>
                <w:highlight w:val="none"/>
              </w:rPr>
            </w:pPr>
          </w:p>
        </w:tc>
        <w:tc>
          <w:tcPr>
            <w:tcW w:w="672" w:type="dxa"/>
            <w:vAlign w:val="center"/>
          </w:tcPr>
          <w:p w14:paraId="266C054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*网络功能</w:t>
            </w:r>
          </w:p>
        </w:tc>
        <w:tc>
          <w:tcPr>
            <w:tcW w:w="1404" w:type="dxa"/>
            <w:gridSpan w:val="2"/>
            <w:vAlign w:val="center"/>
          </w:tcPr>
          <w:p w14:paraId="15DEC1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*网络功能</w:t>
            </w:r>
          </w:p>
        </w:tc>
        <w:tc>
          <w:tcPr>
            <w:tcW w:w="5597" w:type="dxa"/>
            <w:vAlign w:val="center"/>
          </w:tcPr>
          <w:p w14:paraId="1DB0AB0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支持网络连接、网络访问、数据交换和网络管控功能</w:t>
            </w:r>
            <w:r>
              <w:rPr>
                <w:rFonts w:hint="eastAsia" w:ascii="宋体" w:hAnsi="宋体" w:eastAsia="宋体" w:cs="宋体"/>
                <w:color w:val="auto"/>
                <w:sz w:val="21"/>
                <w:szCs w:val="21"/>
                <w:highlight w:val="none"/>
                <w:lang w:eastAsia="zh-CN"/>
              </w:rPr>
              <w:t>。</w:t>
            </w:r>
          </w:p>
        </w:tc>
      </w:tr>
      <w:tr w14:paraId="6EA4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506FA73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p>
        </w:tc>
        <w:tc>
          <w:tcPr>
            <w:tcW w:w="384" w:type="dxa"/>
            <w:vMerge w:val="continue"/>
            <w:vAlign w:val="center"/>
          </w:tcPr>
          <w:p w14:paraId="666F1E88">
            <w:pPr>
              <w:rPr>
                <w:rFonts w:hint="eastAsia" w:ascii="宋体" w:hAnsi="宋体" w:eastAsia="宋体" w:cs="宋体"/>
                <w:color w:val="auto"/>
                <w:sz w:val="21"/>
                <w:szCs w:val="21"/>
                <w:highlight w:val="none"/>
              </w:rPr>
            </w:pPr>
          </w:p>
        </w:tc>
        <w:tc>
          <w:tcPr>
            <w:tcW w:w="672" w:type="dxa"/>
            <w:vMerge w:val="restart"/>
            <w:vAlign w:val="center"/>
          </w:tcPr>
          <w:p w14:paraId="3DF8D7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*CPU功能</w:t>
            </w:r>
          </w:p>
        </w:tc>
        <w:tc>
          <w:tcPr>
            <w:tcW w:w="1404" w:type="dxa"/>
            <w:gridSpan w:val="2"/>
            <w:vAlign w:val="center"/>
          </w:tcPr>
          <w:p w14:paraId="0E8091E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*计算处理</w:t>
            </w:r>
          </w:p>
        </w:tc>
        <w:tc>
          <w:tcPr>
            <w:tcW w:w="5597" w:type="dxa"/>
            <w:vAlign w:val="center"/>
          </w:tcPr>
          <w:p w14:paraId="756995C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支持通用计算及虚拟化功能。处理器需集成整型计算单元、浮点计算单元、内存控制器、I/O模块等，处理器与存储部件、网络部件、I/O部件等组成计算系统，提供数据处理、网络接入等计算相关功能</w:t>
            </w:r>
            <w:r>
              <w:rPr>
                <w:rFonts w:hint="eastAsia" w:ascii="宋体" w:hAnsi="宋体" w:eastAsia="宋体" w:cs="宋体"/>
                <w:color w:val="auto"/>
                <w:sz w:val="21"/>
                <w:szCs w:val="21"/>
                <w:highlight w:val="none"/>
                <w:lang w:eastAsia="zh-CN"/>
              </w:rPr>
              <w:t>。</w:t>
            </w:r>
          </w:p>
        </w:tc>
      </w:tr>
      <w:tr w14:paraId="4470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353F6BF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384" w:type="dxa"/>
            <w:vMerge w:val="continue"/>
            <w:vAlign w:val="center"/>
          </w:tcPr>
          <w:p w14:paraId="5D1D8053">
            <w:pPr>
              <w:rPr>
                <w:rFonts w:hint="eastAsia" w:ascii="宋体" w:hAnsi="宋体" w:eastAsia="宋体" w:cs="宋体"/>
                <w:color w:val="auto"/>
                <w:sz w:val="21"/>
                <w:szCs w:val="21"/>
                <w:highlight w:val="none"/>
              </w:rPr>
            </w:pPr>
          </w:p>
        </w:tc>
        <w:tc>
          <w:tcPr>
            <w:tcW w:w="672" w:type="dxa"/>
            <w:vMerge w:val="continue"/>
            <w:vAlign w:val="center"/>
          </w:tcPr>
          <w:p w14:paraId="4FD0E6B0">
            <w:pPr>
              <w:rPr>
                <w:rFonts w:hint="eastAsia" w:ascii="宋体" w:hAnsi="宋体" w:eastAsia="宋体" w:cs="宋体"/>
                <w:color w:val="auto"/>
                <w:sz w:val="21"/>
                <w:szCs w:val="21"/>
                <w:highlight w:val="none"/>
              </w:rPr>
            </w:pPr>
          </w:p>
        </w:tc>
        <w:tc>
          <w:tcPr>
            <w:tcW w:w="1404" w:type="dxa"/>
            <w:gridSpan w:val="2"/>
            <w:vAlign w:val="center"/>
          </w:tcPr>
          <w:p w14:paraId="4BBE176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*密码算法实现</w:t>
            </w:r>
          </w:p>
        </w:tc>
        <w:tc>
          <w:tcPr>
            <w:tcW w:w="5597" w:type="dxa"/>
            <w:vAlign w:val="center"/>
          </w:tcPr>
          <w:p w14:paraId="56959B3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CPU芯片应符合GM/T 0008的相关规定，或芯片密码模块应符合GB/T37092或GM/T 0028相关规定</w:t>
            </w:r>
            <w:r>
              <w:rPr>
                <w:rFonts w:hint="eastAsia" w:ascii="宋体" w:hAnsi="宋体" w:eastAsia="宋体" w:cs="宋体"/>
                <w:color w:val="auto"/>
                <w:sz w:val="21"/>
                <w:szCs w:val="21"/>
                <w:highlight w:val="none"/>
                <w:lang w:eastAsia="zh-CN"/>
              </w:rPr>
              <w:t>。</w:t>
            </w:r>
          </w:p>
        </w:tc>
      </w:tr>
      <w:tr w14:paraId="5678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2F9F965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384" w:type="dxa"/>
            <w:vMerge w:val="continue"/>
            <w:vAlign w:val="center"/>
          </w:tcPr>
          <w:p w14:paraId="18569D36">
            <w:pPr>
              <w:rPr>
                <w:rFonts w:hint="eastAsia" w:ascii="宋体" w:hAnsi="宋体" w:eastAsia="宋体" w:cs="宋体"/>
                <w:color w:val="auto"/>
                <w:sz w:val="21"/>
                <w:szCs w:val="21"/>
                <w:highlight w:val="none"/>
              </w:rPr>
            </w:pPr>
          </w:p>
        </w:tc>
        <w:tc>
          <w:tcPr>
            <w:tcW w:w="672" w:type="dxa"/>
            <w:vMerge w:val="restart"/>
            <w:vAlign w:val="center"/>
          </w:tcPr>
          <w:p w14:paraId="3911E9B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*电源功能</w:t>
            </w:r>
          </w:p>
        </w:tc>
        <w:tc>
          <w:tcPr>
            <w:tcW w:w="1404" w:type="dxa"/>
            <w:gridSpan w:val="2"/>
            <w:vAlign w:val="center"/>
          </w:tcPr>
          <w:p w14:paraId="6FA4675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*电源热插拔</w:t>
            </w:r>
          </w:p>
        </w:tc>
        <w:tc>
          <w:tcPr>
            <w:tcW w:w="5597" w:type="dxa"/>
            <w:vAlign w:val="center"/>
          </w:tcPr>
          <w:p w14:paraId="111E679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整机电源模块应具备热插拔功能</w:t>
            </w:r>
            <w:r>
              <w:rPr>
                <w:rFonts w:hint="eastAsia" w:ascii="宋体" w:hAnsi="宋体" w:eastAsia="宋体" w:cs="宋体"/>
                <w:color w:val="auto"/>
                <w:sz w:val="21"/>
                <w:szCs w:val="21"/>
                <w:highlight w:val="none"/>
                <w:lang w:eastAsia="zh-CN"/>
              </w:rPr>
              <w:t>。</w:t>
            </w:r>
          </w:p>
        </w:tc>
      </w:tr>
      <w:tr w14:paraId="5BE2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61D2240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384" w:type="dxa"/>
            <w:vMerge w:val="continue"/>
            <w:vAlign w:val="center"/>
          </w:tcPr>
          <w:p w14:paraId="55BCB67F">
            <w:pPr>
              <w:rPr>
                <w:rFonts w:hint="eastAsia" w:ascii="宋体" w:hAnsi="宋体" w:eastAsia="宋体" w:cs="宋体"/>
                <w:color w:val="auto"/>
                <w:sz w:val="21"/>
                <w:szCs w:val="21"/>
                <w:highlight w:val="none"/>
              </w:rPr>
            </w:pPr>
          </w:p>
        </w:tc>
        <w:tc>
          <w:tcPr>
            <w:tcW w:w="672" w:type="dxa"/>
            <w:vMerge w:val="continue"/>
            <w:vAlign w:val="center"/>
          </w:tcPr>
          <w:p w14:paraId="43B20871">
            <w:pPr>
              <w:rPr>
                <w:rFonts w:hint="eastAsia" w:ascii="宋体" w:hAnsi="宋体" w:eastAsia="宋体" w:cs="宋体"/>
                <w:color w:val="auto"/>
                <w:sz w:val="21"/>
                <w:szCs w:val="21"/>
                <w:highlight w:val="none"/>
              </w:rPr>
            </w:pPr>
          </w:p>
        </w:tc>
        <w:tc>
          <w:tcPr>
            <w:tcW w:w="1404" w:type="dxa"/>
            <w:gridSpan w:val="2"/>
            <w:vAlign w:val="center"/>
          </w:tcPr>
          <w:p w14:paraId="712CD7C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*电源过流保护</w:t>
            </w:r>
          </w:p>
        </w:tc>
        <w:tc>
          <w:tcPr>
            <w:tcW w:w="5597" w:type="dxa"/>
            <w:vAlign w:val="center"/>
          </w:tcPr>
          <w:p w14:paraId="605FF26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支持过流及短路保护的功能</w:t>
            </w:r>
            <w:r>
              <w:rPr>
                <w:rFonts w:hint="eastAsia" w:ascii="宋体" w:hAnsi="宋体" w:eastAsia="宋体" w:cs="宋体"/>
                <w:color w:val="auto"/>
                <w:sz w:val="21"/>
                <w:szCs w:val="21"/>
                <w:highlight w:val="none"/>
                <w:lang w:eastAsia="zh-CN"/>
              </w:rPr>
              <w:t>。</w:t>
            </w:r>
          </w:p>
        </w:tc>
      </w:tr>
      <w:tr w14:paraId="4258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2C33EFC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384" w:type="dxa"/>
            <w:vMerge w:val="continue"/>
            <w:vAlign w:val="center"/>
          </w:tcPr>
          <w:p w14:paraId="5F816301">
            <w:pPr>
              <w:rPr>
                <w:rFonts w:hint="eastAsia" w:ascii="宋体" w:hAnsi="宋体" w:eastAsia="宋体" w:cs="宋体"/>
                <w:color w:val="auto"/>
                <w:sz w:val="21"/>
                <w:szCs w:val="21"/>
                <w:highlight w:val="none"/>
              </w:rPr>
            </w:pPr>
          </w:p>
        </w:tc>
        <w:tc>
          <w:tcPr>
            <w:tcW w:w="672" w:type="dxa"/>
            <w:vAlign w:val="center"/>
          </w:tcPr>
          <w:p w14:paraId="3C83F72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*整机功能</w:t>
            </w:r>
          </w:p>
        </w:tc>
        <w:tc>
          <w:tcPr>
            <w:tcW w:w="1404" w:type="dxa"/>
            <w:gridSpan w:val="2"/>
            <w:vAlign w:val="center"/>
          </w:tcPr>
          <w:p w14:paraId="2DAE466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*散热方式</w:t>
            </w:r>
          </w:p>
        </w:tc>
        <w:tc>
          <w:tcPr>
            <w:tcW w:w="5597" w:type="dxa"/>
            <w:vAlign w:val="center"/>
          </w:tcPr>
          <w:p w14:paraId="11CEB73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支持风冷或液冷等散热方式</w:t>
            </w:r>
            <w:r>
              <w:rPr>
                <w:rFonts w:hint="eastAsia" w:ascii="宋体" w:hAnsi="宋体" w:eastAsia="宋体" w:cs="宋体"/>
                <w:color w:val="auto"/>
                <w:sz w:val="21"/>
                <w:szCs w:val="21"/>
                <w:highlight w:val="none"/>
                <w:lang w:eastAsia="zh-CN"/>
              </w:rPr>
              <w:t>。</w:t>
            </w:r>
          </w:p>
        </w:tc>
      </w:tr>
      <w:tr w14:paraId="7CBF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699C54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384" w:type="dxa"/>
            <w:vMerge w:val="continue"/>
            <w:vAlign w:val="center"/>
          </w:tcPr>
          <w:p w14:paraId="1432DB0A">
            <w:pPr>
              <w:rPr>
                <w:rFonts w:hint="eastAsia" w:ascii="宋体" w:hAnsi="宋体" w:eastAsia="宋体" w:cs="宋体"/>
                <w:color w:val="auto"/>
                <w:sz w:val="21"/>
                <w:szCs w:val="21"/>
                <w:highlight w:val="none"/>
              </w:rPr>
            </w:pPr>
          </w:p>
        </w:tc>
        <w:tc>
          <w:tcPr>
            <w:tcW w:w="672" w:type="dxa"/>
            <w:vMerge w:val="restart"/>
            <w:vAlign w:val="center"/>
          </w:tcPr>
          <w:p w14:paraId="592609C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*管系统</w:t>
            </w:r>
          </w:p>
          <w:p w14:paraId="2352BDF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w:t>
            </w:r>
          </w:p>
        </w:tc>
        <w:tc>
          <w:tcPr>
            <w:tcW w:w="1404" w:type="dxa"/>
            <w:gridSpan w:val="2"/>
            <w:vAlign w:val="center"/>
          </w:tcPr>
          <w:p w14:paraId="568DDB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*BMC固件基础功能</w:t>
            </w:r>
          </w:p>
        </w:tc>
        <w:tc>
          <w:tcPr>
            <w:tcW w:w="5597" w:type="dxa"/>
            <w:vAlign w:val="center"/>
          </w:tcPr>
          <w:p w14:paraId="130159E5">
            <w:pPr>
              <w:numPr>
                <w:ilvl w:val="0"/>
                <w:numId w:val="13"/>
              </w:num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管理接口：支持多种管理接口，满足各种方式的系统集成，可与任何标</w:t>
            </w:r>
            <w:r>
              <w:rPr>
                <w:rFonts w:hint="eastAsia" w:ascii="宋体" w:hAnsi="宋体" w:eastAsia="宋体" w:cs="宋体"/>
                <w:color w:val="auto"/>
                <w:sz w:val="21"/>
                <w:szCs w:val="21"/>
                <w:highlight w:val="none"/>
                <w:lang w:eastAsia="zh-CN"/>
              </w:rPr>
              <w:t>。</w:t>
            </w:r>
          </w:p>
          <w:p w14:paraId="20BA7B79">
            <w:pPr>
              <w:numPr>
                <w:ilvl w:val="0"/>
                <w:numId w:val="13"/>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准管理系统集成，支持如下所示的接口：IPMI、CLI、SNMP、HTTPS</w:t>
            </w:r>
            <w:r>
              <w:rPr>
                <w:rFonts w:hint="eastAsia" w:ascii="宋体" w:hAnsi="宋体" w:eastAsia="宋体" w:cs="宋体"/>
                <w:color w:val="auto"/>
                <w:sz w:val="21"/>
                <w:szCs w:val="21"/>
                <w:highlight w:val="none"/>
                <w:lang w:eastAsia="zh-CN"/>
              </w:rPr>
              <w:t>。</w:t>
            </w:r>
          </w:p>
          <w:p w14:paraId="2D1F874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3)故障检测：提供丰富的故障检测功能，精确定位硬件故障</w:t>
            </w:r>
            <w:r>
              <w:rPr>
                <w:rFonts w:hint="eastAsia" w:ascii="宋体" w:hAnsi="宋体" w:eastAsia="宋体" w:cs="宋体"/>
                <w:color w:val="auto"/>
                <w:sz w:val="21"/>
                <w:szCs w:val="21"/>
                <w:highlight w:val="none"/>
                <w:lang w:eastAsia="zh-CN"/>
              </w:rPr>
              <w:t>。</w:t>
            </w:r>
          </w:p>
          <w:p w14:paraId="4C85E59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4)告警管理：支持告警管理及SNMP Trap(V1/V2c/V3), Email Alert 、syslog服务多种格式告警上报，保障设备7*24小时高可靠运行</w:t>
            </w:r>
            <w:r>
              <w:rPr>
                <w:rFonts w:hint="eastAsia" w:ascii="宋体" w:hAnsi="宋体" w:eastAsia="宋体" w:cs="宋体"/>
                <w:color w:val="auto"/>
                <w:sz w:val="21"/>
                <w:szCs w:val="21"/>
                <w:highlight w:val="none"/>
                <w:lang w:eastAsia="zh-CN"/>
              </w:rPr>
              <w:t>。</w:t>
            </w:r>
          </w:p>
          <w:p w14:paraId="609E32D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5)虚拟KVM：提供方便的远程维护手段，在系统故障时也无需现场操作</w:t>
            </w:r>
            <w:r>
              <w:rPr>
                <w:rFonts w:hint="eastAsia" w:ascii="宋体" w:hAnsi="宋体" w:eastAsia="宋体" w:cs="宋体"/>
                <w:color w:val="auto"/>
                <w:sz w:val="21"/>
                <w:szCs w:val="21"/>
                <w:highlight w:val="none"/>
                <w:lang w:eastAsia="zh-CN"/>
              </w:rPr>
              <w:t>。</w:t>
            </w:r>
          </w:p>
          <w:p w14:paraId="301271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6)虚拟媒体：支持将本地媒体设备或镜像、USB 设备、文件夹虚拟为远程服务器的媒体设备，简化操作系统安装的复杂度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4E980E5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7)基于web的用户界面：支持可视化的图像界面，只需通过简单的界面点击即可快速完成设置和查询任务</w:t>
            </w:r>
            <w:r>
              <w:rPr>
                <w:rFonts w:hint="eastAsia" w:ascii="宋体" w:hAnsi="宋体" w:eastAsia="宋体" w:cs="宋体"/>
                <w:color w:val="auto"/>
                <w:sz w:val="21"/>
                <w:szCs w:val="21"/>
                <w:highlight w:val="none"/>
                <w:lang w:eastAsia="zh-CN"/>
              </w:rPr>
              <w:t>。</w:t>
            </w:r>
          </w:p>
          <w:p w14:paraId="3A6B023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8)宕机截屏和屏幕快照：支持宕机自动截屏，保留最后的宕机屏幕；提供屏幕截图功能，能快速抓取屏幕，便于定时巡检</w:t>
            </w:r>
            <w:r>
              <w:rPr>
                <w:rFonts w:hint="eastAsia" w:ascii="宋体" w:hAnsi="宋体" w:eastAsia="宋体" w:cs="宋体"/>
                <w:color w:val="auto"/>
                <w:sz w:val="21"/>
                <w:szCs w:val="21"/>
                <w:highlight w:val="none"/>
                <w:lang w:eastAsia="zh-CN"/>
              </w:rPr>
              <w:t>。</w:t>
            </w:r>
          </w:p>
          <w:p w14:paraId="3640ACF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9)软件双镜像备份：当前运行的软件完全崩溃时，可以从备份镜像启动</w:t>
            </w:r>
            <w:r>
              <w:rPr>
                <w:rFonts w:hint="eastAsia" w:ascii="宋体" w:hAnsi="宋体" w:eastAsia="宋体" w:cs="宋体"/>
                <w:color w:val="auto"/>
                <w:sz w:val="21"/>
                <w:szCs w:val="21"/>
                <w:highlight w:val="none"/>
                <w:lang w:eastAsia="zh-CN"/>
              </w:rPr>
              <w:t>。</w:t>
            </w:r>
          </w:p>
          <w:p w14:paraId="6A37F69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10)支持智能电源管理：功率封顶技术助您轻松提高部署密度，动态节能技术助您有效降低运营费用</w:t>
            </w:r>
            <w:r>
              <w:rPr>
                <w:rFonts w:hint="eastAsia" w:ascii="宋体" w:hAnsi="宋体" w:eastAsia="宋体" w:cs="宋体"/>
                <w:color w:val="auto"/>
                <w:sz w:val="21"/>
                <w:szCs w:val="21"/>
                <w:highlight w:val="none"/>
                <w:lang w:eastAsia="zh-CN"/>
              </w:rPr>
              <w:t>。</w:t>
            </w:r>
          </w:p>
          <w:p w14:paraId="7FFBD28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11)IPv6：支持IPv6功能，方便构建全IPv6环境，为您提供充沛的IP地址资源</w:t>
            </w:r>
            <w:r>
              <w:rPr>
                <w:rFonts w:hint="eastAsia" w:ascii="宋体" w:hAnsi="宋体" w:eastAsia="宋体" w:cs="宋体"/>
                <w:color w:val="auto"/>
                <w:sz w:val="21"/>
                <w:szCs w:val="21"/>
                <w:highlight w:val="none"/>
                <w:lang w:eastAsia="zh-CN"/>
              </w:rPr>
              <w:t>。</w:t>
            </w:r>
          </w:p>
          <w:p w14:paraId="7AC940F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12)NC-SI功能：支持NC-SI（Network Controller Sideband Interface）功能，可以使您通过业务网口方便的访问BMC系统。默认关闭</w:t>
            </w:r>
            <w:r>
              <w:rPr>
                <w:rFonts w:hint="eastAsia" w:ascii="宋体" w:hAnsi="宋体" w:eastAsia="宋体" w:cs="宋体"/>
                <w:color w:val="auto"/>
                <w:sz w:val="21"/>
                <w:szCs w:val="21"/>
                <w:highlight w:val="none"/>
                <w:lang w:eastAsia="zh-CN"/>
              </w:rPr>
              <w:t>。</w:t>
            </w:r>
          </w:p>
          <w:p w14:paraId="15CD2F9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13)电源控制：支持虚拟电源按钮，实现开机、关机、重启等</w:t>
            </w:r>
            <w:r>
              <w:rPr>
                <w:rFonts w:hint="eastAsia" w:ascii="宋体" w:hAnsi="宋体" w:eastAsia="宋体" w:cs="宋体"/>
                <w:color w:val="auto"/>
                <w:sz w:val="21"/>
                <w:szCs w:val="21"/>
                <w:highlight w:val="none"/>
                <w:lang w:val="en-US" w:eastAsia="zh-CN"/>
              </w:rPr>
              <w:t>。</w:t>
            </w:r>
          </w:p>
          <w:p w14:paraId="7BA7D68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14)UID远程控制：可通过手动按UID按钮或者BMC命令远程控制使灯熄灭或灯亮,便于在机房中找寻设备</w:t>
            </w:r>
            <w:r>
              <w:rPr>
                <w:rFonts w:hint="eastAsia" w:ascii="宋体" w:hAnsi="宋体" w:eastAsia="宋体" w:cs="宋体"/>
                <w:color w:val="auto"/>
                <w:sz w:val="21"/>
                <w:szCs w:val="21"/>
                <w:highlight w:val="none"/>
                <w:lang w:eastAsia="zh-CN"/>
              </w:rPr>
              <w:t>。</w:t>
            </w:r>
          </w:p>
          <w:p w14:paraId="7E1B6A0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15)固件升级：支持BMC/BIOS/CPLD/PSU等设备固件更新</w:t>
            </w:r>
            <w:r>
              <w:rPr>
                <w:rFonts w:hint="eastAsia" w:ascii="宋体" w:hAnsi="宋体" w:eastAsia="宋体" w:cs="宋体"/>
                <w:color w:val="auto"/>
                <w:sz w:val="21"/>
                <w:szCs w:val="21"/>
                <w:highlight w:val="none"/>
                <w:lang w:eastAsia="zh-CN"/>
              </w:rPr>
              <w:t>。</w:t>
            </w:r>
          </w:p>
        </w:tc>
      </w:tr>
      <w:tr w14:paraId="4FA8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52CCEF1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384" w:type="dxa"/>
            <w:vMerge w:val="continue"/>
            <w:vAlign w:val="center"/>
          </w:tcPr>
          <w:p w14:paraId="1AFDF3B2">
            <w:pPr>
              <w:rPr>
                <w:rFonts w:hint="eastAsia" w:ascii="宋体" w:hAnsi="宋体" w:eastAsia="宋体" w:cs="宋体"/>
                <w:color w:val="auto"/>
                <w:sz w:val="21"/>
                <w:szCs w:val="21"/>
                <w:highlight w:val="none"/>
              </w:rPr>
            </w:pPr>
          </w:p>
        </w:tc>
        <w:tc>
          <w:tcPr>
            <w:tcW w:w="672" w:type="dxa"/>
            <w:vMerge w:val="continue"/>
            <w:vAlign w:val="center"/>
          </w:tcPr>
          <w:p w14:paraId="1B7AA412">
            <w:pPr>
              <w:rPr>
                <w:rFonts w:hint="eastAsia" w:ascii="宋体" w:hAnsi="宋体" w:eastAsia="宋体" w:cs="宋体"/>
                <w:color w:val="auto"/>
                <w:sz w:val="21"/>
                <w:szCs w:val="21"/>
                <w:highlight w:val="none"/>
              </w:rPr>
            </w:pPr>
          </w:p>
        </w:tc>
        <w:tc>
          <w:tcPr>
            <w:tcW w:w="1404" w:type="dxa"/>
            <w:gridSpan w:val="2"/>
            <w:vAlign w:val="center"/>
          </w:tcPr>
          <w:p w14:paraId="1D99C6F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*BIOS固件基础功能</w:t>
            </w:r>
          </w:p>
        </w:tc>
        <w:tc>
          <w:tcPr>
            <w:tcW w:w="5597" w:type="dxa"/>
            <w:vAlign w:val="center"/>
          </w:tcPr>
          <w:p w14:paraId="2F73C0F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a）支持查看固件版本、内存信息、主板信息、处理器信息和系统时间信息功能</w:t>
            </w:r>
            <w:r>
              <w:rPr>
                <w:rFonts w:hint="eastAsia" w:ascii="宋体" w:hAnsi="宋体" w:eastAsia="宋体" w:cs="宋体"/>
                <w:color w:val="auto"/>
                <w:sz w:val="21"/>
                <w:szCs w:val="21"/>
                <w:highlight w:val="none"/>
                <w:lang w:eastAsia="zh-CN"/>
              </w:rPr>
              <w:t>。</w:t>
            </w:r>
          </w:p>
          <w:p w14:paraId="06BE6A2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b）支持上电初始化界面显示 CPU 信息、内存信息、固件版本和部分快捷键信息功能</w:t>
            </w:r>
            <w:r>
              <w:rPr>
                <w:rFonts w:hint="eastAsia" w:ascii="宋体" w:hAnsi="宋体" w:eastAsia="宋体" w:cs="宋体"/>
                <w:color w:val="auto"/>
                <w:sz w:val="21"/>
                <w:szCs w:val="21"/>
                <w:highlight w:val="none"/>
                <w:lang w:eastAsia="zh-CN"/>
              </w:rPr>
              <w:t>。</w:t>
            </w:r>
          </w:p>
          <w:p w14:paraId="51FBD46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c）支持设置界面中英文显示切换功能</w:t>
            </w:r>
            <w:r>
              <w:rPr>
                <w:rFonts w:hint="eastAsia" w:ascii="宋体" w:hAnsi="宋体" w:eastAsia="宋体" w:cs="宋体"/>
                <w:color w:val="auto"/>
                <w:sz w:val="21"/>
                <w:szCs w:val="21"/>
                <w:highlight w:val="none"/>
                <w:lang w:eastAsia="zh-CN"/>
              </w:rPr>
              <w:t>。</w:t>
            </w:r>
          </w:p>
          <w:p w14:paraId="45114D8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d）支持查看 PCIe 设备信息，SATA设备信息功能</w:t>
            </w:r>
            <w:r>
              <w:rPr>
                <w:rFonts w:hint="eastAsia" w:ascii="宋体" w:hAnsi="宋体" w:eastAsia="宋体" w:cs="宋体"/>
                <w:color w:val="auto"/>
                <w:sz w:val="21"/>
                <w:szCs w:val="21"/>
                <w:highlight w:val="none"/>
                <w:lang w:eastAsia="zh-CN"/>
              </w:rPr>
              <w:t>。</w:t>
            </w:r>
          </w:p>
          <w:p w14:paraId="43D7745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e）支持操作系统安装和引导功能，应并向操作系统提供计算机主板信息和服务接口</w:t>
            </w:r>
            <w:r>
              <w:rPr>
                <w:rFonts w:hint="eastAsia" w:ascii="宋体" w:hAnsi="宋体" w:eastAsia="宋体" w:cs="宋体"/>
                <w:color w:val="auto"/>
                <w:sz w:val="21"/>
                <w:szCs w:val="21"/>
                <w:highlight w:val="none"/>
                <w:lang w:eastAsia="zh-CN"/>
              </w:rPr>
              <w:t>。</w:t>
            </w:r>
          </w:p>
          <w:p w14:paraId="3B9791C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f）支持设置启动顺序，并按照设置的启动顺序启动功能</w:t>
            </w:r>
            <w:r>
              <w:rPr>
                <w:rFonts w:hint="eastAsia" w:ascii="宋体" w:hAnsi="宋体" w:eastAsia="宋体" w:cs="宋体"/>
                <w:color w:val="auto"/>
                <w:sz w:val="21"/>
                <w:szCs w:val="21"/>
                <w:highlight w:val="none"/>
                <w:lang w:eastAsia="zh-CN"/>
              </w:rPr>
              <w:t>。</w:t>
            </w:r>
          </w:p>
          <w:p w14:paraId="40BFC35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g）支持安全启动功能</w:t>
            </w:r>
            <w:r>
              <w:rPr>
                <w:rFonts w:hint="eastAsia" w:ascii="宋体" w:hAnsi="宋体" w:eastAsia="宋体" w:cs="宋体"/>
                <w:color w:val="auto"/>
                <w:sz w:val="21"/>
                <w:szCs w:val="21"/>
                <w:highlight w:val="none"/>
                <w:lang w:eastAsia="zh-CN"/>
              </w:rPr>
              <w:t>。</w:t>
            </w:r>
          </w:p>
          <w:p w14:paraId="17B6218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h）支持设置口令、修改口令、验证口令功能</w:t>
            </w:r>
            <w:r>
              <w:rPr>
                <w:rFonts w:hint="eastAsia" w:ascii="宋体" w:hAnsi="宋体" w:eastAsia="宋体" w:cs="宋体"/>
                <w:color w:val="auto"/>
                <w:sz w:val="21"/>
                <w:szCs w:val="21"/>
                <w:highlight w:val="none"/>
                <w:lang w:eastAsia="zh-CN"/>
              </w:rPr>
              <w:t>。</w:t>
            </w:r>
          </w:p>
          <w:p w14:paraId="4131C72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i）支持板载显示控制或独立显卡的显示控制功能</w:t>
            </w:r>
            <w:r>
              <w:rPr>
                <w:rFonts w:hint="eastAsia" w:ascii="宋体" w:hAnsi="宋体" w:eastAsia="宋体" w:cs="宋体"/>
                <w:color w:val="auto"/>
                <w:sz w:val="21"/>
                <w:szCs w:val="21"/>
                <w:highlight w:val="none"/>
                <w:lang w:eastAsia="zh-CN"/>
              </w:rPr>
              <w:t>。</w:t>
            </w:r>
          </w:p>
          <w:p w14:paraId="2DB143F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j）支持 RAID 识别和启动功能</w:t>
            </w:r>
            <w:r>
              <w:rPr>
                <w:rFonts w:hint="eastAsia" w:ascii="宋体" w:hAnsi="宋体" w:eastAsia="宋体" w:cs="宋体"/>
                <w:color w:val="auto"/>
                <w:sz w:val="21"/>
                <w:szCs w:val="21"/>
                <w:highlight w:val="none"/>
                <w:lang w:eastAsia="zh-CN"/>
              </w:rPr>
              <w:t>。</w:t>
            </w:r>
          </w:p>
          <w:p w14:paraId="048806D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k）支持串口重定向功能</w:t>
            </w:r>
            <w:r>
              <w:rPr>
                <w:rFonts w:hint="eastAsia" w:ascii="宋体" w:hAnsi="宋体" w:eastAsia="宋体" w:cs="宋体"/>
                <w:color w:val="auto"/>
                <w:sz w:val="21"/>
                <w:szCs w:val="21"/>
                <w:highlight w:val="none"/>
                <w:lang w:eastAsia="zh-CN"/>
              </w:rPr>
              <w:t>。</w:t>
            </w:r>
          </w:p>
          <w:p w14:paraId="717AFF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l）支持固件更新功能</w:t>
            </w:r>
            <w:r>
              <w:rPr>
                <w:rFonts w:hint="eastAsia" w:ascii="宋体" w:hAnsi="宋体" w:eastAsia="宋体" w:cs="宋体"/>
                <w:color w:val="auto"/>
                <w:sz w:val="21"/>
                <w:szCs w:val="21"/>
                <w:highlight w:val="none"/>
                <w:lang w:eastAsia="zh-CN"/>
              </w:rPr>
              <w:t>。</w:t>
            </w:r>
          </w:p>
          <w:p w14:paraId="16A8E7C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m）支持 BIOS 固件设置的恢复出厂功能</w:t>
            </w:r>
            <w:r>
              <w:rPr>
                <w:rFonts w:hint="eastAsia" w:ascii="宋体" w:hAnsi="宋体" w:eastAsia="宋体" w:cs="宋体"/>
                <w:color w:val="auto"/>
                <w:sz w:val="21"/>
                <w:szCs w:val="21"/>
                <w:highlight w:val="none"/>
                <w:lang w:eastAsia="zh-CN"/>
              </w:rPr>
              <w:t>。</w:t>
            </w:r>
          </w:p>
          <w:p w14:paraId="68D1B20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n）支持网络引导启用和关闭功能</w:t>
            </w:r>
            <w:r>
              <w:rPr>
                <w:rFonts w:hint="eastAsia" w:ascii="宋体" w:hAnsi="宋体" w:eastAsia="宋体" w:cs="宋体"/>
                <w:color w:val="auto"/>
                <w:sz w:val="21"/>
                <w:szCs w:val="21"/>
                <w:highlight w:val="none"/>
                <w:lang w:eastAsia="zh-CN"/>
              </w:rPr>
              <w:t>。</w:t>
            </w:r>
          </w:p>
        </w:tc>
      </w:tr>
      <w:tr w14:paraId="7BE6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1C2733B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384" w:type="dxa"/>
            <w:vMerge w:val="continue"/>
            <w:vAlign w:val="center"/>
          </w:tcPr>
          <w:p w14:paraId="26F7BCE9">
            <w:pPr>
              <w:rPr>
                <w:rFonts w:hint="eastAsia" w:ascii="宋体" w:hAnsi="宋体" w:eastAsia="宋体" w:cs="宋体"/>
                <w:color w:val="auto"/>
                <w:sz w:val="21"/>
                <w:szCs w:val="21"/>
                <w:highlight w:val="none"/>
              </w:rPr>
            </w:pPr>
          </w:p>
        </w:tc>
        <w:tc>
          <w:tcPr>
            <w:tcW w:w="672" w:type="dxa"/>
            <w:vMerge w:val="continue"/>
            <w:vAlign w:val="center"/>
          </w:tcPr>
          <w:p w14:paraId="091710C9">
            <w:pPr>
              <w:rPr>
                <w:rFonts w:hint="eastAsia" w:ascii="宋体" w:hAnsi="宋体" w:eastAsia="宋体" w:cs="宋体"/>
                <w:color w:val="auto"/>
                <w:sz w:val="21"/>
                <w:szCs w:val="21"/>
                <w:highlight w:val="none"/>
              </w:rPr>
            </w:pPr>
          </w:p>
        </w:tc>
        <w:tc>
          <w:tcPr>
            <w:tcW w:w="1404" w:type="dxa"/>
            <w:gridSpan w:val="2"/>
            <w:vAlign w:val="center"/>
          </w:tcPr>
          <w:p w14:paraId="54EBB6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*远程控制</w:t>
            </w:r>
          </w:p>
        </w:tc>
        <w:tc>
          <w:tcPr>
            <w:tcW w:w="5597" w:type="dxa"/>
            <w:vAlign w:val="center"/>
          </w:tcPr>
          <w:p w14:paraId="71B9B1C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支持远程关机和重新启动功能</w:t>
            </w:r>
            <w:r>
              <w:rPr>
                <w:rFonts w:hint="eastAsia" w:ascii="宋体" w:hAnsi="宋体" w:eastAsia="宋体" w:cs="宋体"/>
                <w:color w:val="auto"/>
                <w:sz w:val="21"/>
                <w:szCs w:val="21"/>
                <w:highlight w:val="none"/>
                <w:lang w:eastAsia="zh-CN"/>
              </w:rPr>
              <w:t>。</w:t>
            </w:r>
          </w:p>
        </w:tc>
      </w:tr>
      <w:tr w14:paraId="148F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5BCE056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w:t>
            </w:r>
          </w:p>
        </w:tc>
        <w:tc>
          <w:tcPr>
            <w:tcW w:w="384" w:type="dxa"/>
            <w:vMerge w:val="continue"/>
            <w:vAlign w:val="center"/>
          </w:tcPr>
          <w:p w14:paraId="09B25381">
            <w:pPr>
              <w:rPr>
                <w:rFonts w:hint="eastAsia" w:ascii="宋体" w:hAnsi="宋体" w:eastAsia="宋体" w:cs="宋体"/>
                <w:color w:val="auto"/>
                <w:sz w:val="21"/>
                <w:szCs w:val="21"/>
                <w:highlight w:val="none"/>
              </w:rPr>
            </w:pPr>
          </w:p>
        </w:tc>
        <w:tc>
          <w:tcPr>
            <w:tcW w:w="672" w:type="dxa"/>
            <w:vMerge w:val="restart"/>
            <w:vAlign w:val="center"/>
          </w:tcPr>
          <w:p w14:paraId="193A44D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*操作系统及驱动功能</w:t>
            </w:r>
          </w:p>
        </w:tc>
        <w:tc>
          <w:tcPr>
            <w:tcW w:w="1404" w:type="dxa"/>
            <w:gridSpan w:val="2"/>
            <w:vAlign w:val="center"/>
          </w:tcPr>
          <w:p w14:paraId="6B6FE92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*操作系统及驱动的升级</w:t>
            </w:r>
          </w:p>
        </w:tc>
        <w:tc>
          <w:tcPr>
            <w:tcW w:w="5597" w:type="dxa"/>
            <w:vAlign w:val="center"/>
          </w:tcPr>
          <w:p w14:paraId="3F50A9C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支持通过网络、闪存盘对操作系统、驱动进行升级</w:t>
            </w:r>
            <w:r>
              <w:rPr>
                <w:rFonts w:hint="eastAsia" w:ascii="宋体" w:hAnsi="宋体" w:eastAsia="宋体" w:cs="宋体"/>
                <w:color w:val="auto"/>
                <w:sz w:val="21"/>
                <w:szCs w:val="21"/>
                <w:highlight w:val="none"/>
                <w:lang w:eastAsia="zh-CN"/>
              </w:rPr>
              <w:t>。</w:t>
            </w:r>
          </w:p>
        </w:tc>
      </w:tr>
      <w:tr w14:paraId="2FA9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E9268A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4</w:t>
            </w:r>
          </w:p>
        </w:tc>
        <w:tc>
          <w:tcPr>
            <w:tcW w:w="384" w:type="dxa"/>
            <w:vMerge w:val="continue"/>
            <w:vAlign w:val="center"/>
          </w:tcPr>
          <w:p w14:paraId="61C4AEB2">
            <w:pPr>
              <w:rPr>
                <w:rFonts w:hint="eastAsia" w:ascii="宋体" w:hAnsi="宋体" w:eastAsia="宋体" w:cs="宋体"/>
                <w:color w:val="auto"/>
                <w:sz w:val="21"/>
                <w:szCs w:val="21"/>
                <w:highlight w:val="none"/>
              </w:rPr>
            </w:pPr>
          </w:p>
        </w:tc>
        <w:tc>
          <w:tcPr>
            <w:tcW w:w="672" w:type="dxa"/>
            <w:vMerge w:val="continue"/>
            <w:vAlign w:val="center"/>
          </w:tcPr>
          <w:p w14:paraId="516EC412">
            <w:pPr>
              <w:rPr>
                <w:rFonts w:hint="eastAsia" w:ascii="宋体" w:hAnsi="宋体" w:eastAsia="宋体" w:cs="宋体"/>
                <w:color w:val="auto"/>
                <w:sz w:val="21"/>
                <w:szCs w:val="21"/>
                <w:highlight w:val="none"/>
              </w:rPr>
            </w:pPr>
          </w:p>
        </w:tc>
        <w:tc>
          <w:tcPr>
            <w:tcW w:w="1404" w:type="dxa"/>
            <w:gridSpan w:val="2"/>
            <w:vAlign w:val="center"/>
          </w:tcPr>
          <w:p w14:paraId="2164C5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*操作系统功能</w:t>
            </w:r>
          </w:p>
        </w:tc>
        <w:tc>
          <w:tcPr>
            <w:tcW w:w="5597" w:type="dxa"/>
            <w:vAlign w:val="center"/>
          </w:tcPr>
          <w:p w14:paraId="31F8921E">
            <w:pPr>
              <w:numPr>
                <w:ilvl w:val="0"/>
                <w:numId w:val="12"/>
              </w:num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支持访问控制、安全审计、网络接入鉴别等功能</w:t>
            </w:r>
            <w:r>
              <w:rPr>
                <w:rFonts w:hint="eastAsia" w:ascii="宋体" w:hAnsi="宋体" w:eastAsia="宋体" w:cs="宋体"/>
                <w:color w:val="auto"/>
                <w:sz w:val="21"/>
                <w:szCs w:val="21"/>
                <w:highlight w:val="none"/>
                <w:lang w:eastAsia="zh-CN"/>
              </w:rPr>
              <w:t>。</w:t>
            </w:r>
          </w:p>
          <w:p w14:paraId="280A569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 操作系统其他功能应满足操作系统政府采购需求标准中加*的指标要求</w:t>
            </w:r>
            <w:r>
              <w:rPr>
                <w:rFonts w:hint="eastAsia" w:ascii="宋体" w:hAnsi="宋体" w:eastAsia="宋体" w:cs="宋体"/>
                <w:color w:val="auto"/>
                <w:sz w:val="21"/>
                <w:szCs w:val="21"/>
                <w:highlight w:val="none"/>
                <w:lang w:eastAsia="zh-CN"/>
              </w:rPr>
              <w:t>。</w:t>
            </w:r>
          </w:p>
        </w:tc>
      </w:tr>
      <w:tr w14:paraId="7AD7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45599F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5</w:t>
            </w:r>
          </w:p>
        </w:tc>
        <w:tc>
          <w:tcPr>
            <w:tcW w:w="384" w:type="dxa"/>
            <w:vMerge w:val="continue"/>
            <w:vAlign w:val="center"/>
          </w:tcPr>
          <w:p w14:paraId="63011071">
            <w:pPr>
              <w:rPr>
                <w:rFonts w:hint="eastAsia" w:ascii="宋体" w:hAnsi="宋体" w:eastAsia="宋体" w:cs="宋体"/>
                <w:color w:val="auto"/>
                <w:sz w:val="21"/>
                <w:szCs w:val="21"/>
                <w:highlight w:val="none"/>
              </w:rPr>
            </w:pPr>
          </w:p>
        </w:tc>
        <w:tc>
          <w:tcPr>
            <w:tcW w:w="672" w:type="dxa"/>
            <w:vAlign w:val="center"/>
          </w:tcPr>
          <w:p w14:paraId="3AE0AC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*中文信息处理功能</w:t>
            </w:r>
          </w:p>
        </w:tc>
        <w:tc>
          <w:tcPr>
            <w:tcW w:w="1404" w:type="dxa"/>
            <w:gridSpan w:val="2"/>
            <w:vAlign w:val="center"/>
          </w:tcPr>
          <w:p w14:paraId="583BD3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*中文信息处理</w:t>
            </w:r>
          </w:p>
        </w:tc>
        <w:tc>
          <w:tcPr>
            <w:tcW w:w="5597" w:type="dxa"/>
            <w:vAlign w:val="center"/>
          </w:tcPr>
          <w:p w14:paraId="0A1FA3A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 GB 18030 的有关规定</w:t>
            </w:r>
            <w:r>
              <w:rPr>
                <w:rFonts w:hint="eastAsia" w:ascii="宋体" w:hAnsi="宋体" w:eastAsia="宋体" w:cs="宋体"/>
                <w:color w:val="auto"/>
                <w:sz w:val="21"/>
                <w:szCs w:val="21"/>
                <w:highlight w:val="none"/>
                <w:lang w:eastAsia="zh-CN"/>
              </w:rPr>
              <w:t>。</w:t>
            </w:r>
          </w:p>
        </w:tc>
      </w:tr>
      <w:tr w14:paraId="73814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2BCDEA0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384" w:type="dxa"/>
            <w:vMerge w:val="continue"/>
            <w:vAlign w:val="center"/>
          </w:tcPr>
          <w:p w14:paraId="15985E06">
            <w:pPr>
              <w:rPr>
                <w:rFonts w:hint="eastAsia" w:ascii="宋体" w:hAnsi="宋体" w:eastAsia="宋体" w:cs="宋体"/>
                <w:color w:val="auto"/>
                <w:sz w:val="21"/>
                <w:szCs w:val="21"/>
                <w:highlight w:val="none"/>
              </w:rPr>
            </w:pPr>
          </w:p>
        </w:tc>
        <w:tc>
          <w:tcPr>
            <w:tcW w:w="672" w:type="dxa"/>
            <w:vAlign w:val="center"/>
          </w:tcPr>
          <w:p w14:paraId="115BBE3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*固件安全要求</w:t>
            </w:r>
          </w:p>
        </w:tc>
        <w:tc>
          <w:tcPr>
            <w:tcW w:w="1404" w:type="dxa"/>
            <w:gridSpan w:val="2"/>
            <w:vAlign w:val="center"/>
          </w:tcPr>
          <w:p w14:paraId="079DC42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*故障检测</w:t>
            </w:r>
          </w:p>
        </w:tc>
        <w:tc>
          <w:tcPr>
            <w:tcW w:w="5597" w:type="dxa"/>
            <w:vAlign w:val="center"/>
          </w:tcPr>
          <w:p w14:paraId="4A7B33D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支持故障检测功能，可以检测到具体的 FRU（内存、硬盘等）的故障并发出告警</w:t>
            </w:r>
            <w:r>
              <w:rPr>
                <w:rFonts w:hint="eastAsia" w:ascii="宋体" w:hAnsi="宋体" w:eastAsia="宋体" w:cs="宋体"/>
                <w:color w:val="auto"/>
                <w:sz w:val="21"/>
                <w:szCs w:val="21"/>
                <w:highlight w:val="none"/>
                <w:lang w:eastAsia="zh-CN"/>
              </w:rPr>
              <w:t>。</w:t>
            </w:r>
          </w:p>
        </w:tc>
      </w:tr>
      <w:tr w14:paraId="183C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16862D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384" w:type="dxa"/>
            <w:vMerge w:val="restart"/>
            <w:vAlign w:val="center"/>
          </w:tcPr>
          <w:p w14:paraId="5CA4CC5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安全要求</w:t>
            </w:r>
          </w:p>
        </w:tc>
        <w:tc>
          <w:tcPr>
            <w:tcW w:w="672" w:type="dxa"/>
            <w:vMerge w:val="restart"/>
            <w:vAlign w:val="center"/>
          </w:tcPr>
          <w:p w14:paraId="6CF6FEE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*系统安全要求</w:t>
            </w:r>
          </w:p>
        </w:tc>
        <w:tc>
          <w:tcPr>
            <w:tcW w:w="1404" w:type="dxa"/>
            <w:gridSpan w:val="2"/>
            <w:vAlign w:val="center"/>
          </w:tcPr>
          <w:p w14:paraId="0D21C3B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*弱口令字典检查</w:t>
            </w:r>
          </w:p>
        </w:tc>
        <w:tc>
          <w:tcPr>
            <w:tcW w:w="5597" w:type="dxa"/>
            <w:vAlign w:val="center"/>
          </w:tcPr>
          <w:p w14:paraId="635D957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支持弱口令字典检查功能，出现在弱口令字典中的字符串不能被设置为用户口令</w:t>
            </w:r>
            <w:r>
              <w:rPr>
                <w:rFonts w:hint="eastAsia" w:ascii="宋体" w:hAnsi="宋体" w:eastAsia="宋体" w:cs="宋体"/>
                <w:color w:val="auto"/>
                <w:sz w:val="21"/>
                <w:szCs w:val="21"/>
                <w:highlight w:val="none"/>
                <w:lang w:eastAsia="zh-CN"/>
              </w:rPr>
              <w:t>。</w:t>
            </w:r>
          </w:p>
        </w:tc>
      </w:tr>
      <w:tr w14:paraId="7131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57E1307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384" w:type="dxa"/>
            <w:vMerge w:val="continue"/>
            <w:vAlign w:val="center"/>
          </w:tcPr>
          <w:p w14:paraId="750DDE95">
            <w:pPr>
              <w:rPr>
                <w:rFonts w:hint="eastAsia" w:ascii="宋体" w:hAnsi="宋体" w:eastAsia="宋体" w:cs="宋体"/>
                <w:color w:val="auto"/>
                <w:sz w:val="21"/>
                <w:szCs w:val="21"/>
                <w:highlight w:val="none"/>
              </w:rPr>
            </w:pPr>
          </w:p>
        </w:tc>
        <w:tc>
          <w:tcPr>
            <w:tcW w:w="672" w:type="dxa"/>
            <w:vMerge w:val="continue"/>
            <w:vAlign w:val="center"/>
          </w:tcPr>
          <w:p w14:paraId="3020FCA8">
            <w:pPr>
              <w:rPr>
                <w:rFonts w:hint="eastAsia" w:ascii="宋体" w:hAnsi="宋体" w:eastAsia="宋体" w:cs="宋体"/>
                <w:color w:val="auto"/>
                <w:sz w:val="21"/>
                <w:szCs w:val="21"/>
                <w:highlight w:val="none"/>
              </w:rPr>
            </w:pPr>
          </w:p>
        </w:tc>
        <w:tc>
          <w:tcPr>
            <w:tcW w:w="1404" w:type="dxa"/>
            <w:gridSpan w:val="2"/>
            <w:vAlign w:val="center"/>
          </w:tcPr>
          <w:p w14:paraId="41816CF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*白名单访问控制</w:t>
            </w:r>
          </w:p>
        </w:tc>
        <w:tc>
          <w:tcPr>
            <w:tcW w:w="5597" w:type="dxa"/>
            <w:vAlign w:val="center"/>
          </w:tcPr>
          <w:p w14:paraId="1D3E117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支持基于时间、IP或MAC白名单访问控制</w:t>
            </w:r>
            <w:r>
              <w:rPr>
                <w:rFonts w:hint="eastAsia" w:ascii="宋体" w:hAnsi="宋体" w:eastAsia="宋体" w:cs="宋体"/>
                <w:color w:val="auto"/>
                <w:sz w:val="21"/>
                <w:szCs w:val="21"/>
                <w:highlight w:val="none"/>
                <w:lang w:eastAsia="zh-CN"/>
              </w:rPr>
              <w:t>。</w:t>
            </w:r>
          </w:p>
        </w:tc>
      </w:tr>
      <w:tr w14:paraId="70F0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CB0BE5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c>
          <w:tcPr>
            <w:tcW w:w="384" w:type="dxa"/>
            <w:vMerge w:val="continue"/>
            <w:vAlign w:val="center"/>
          </w:tcPr>
          <w:p w14:paraId="7381F5A0">
            <w:pPr>
              <w:rPr>
                <w:rFonts w:hint="eastAsia" w:ascii="宋体" w:hAnsi="宋体" w:eastAsia="宋体" w:cs="宋体"/>
                <w:color w:val="auto"/>
                <w:sz w:val="21"/>
                <w:szCs w:val="21"/>
                <w:highlight w:val="none"/>
              </w:rPr>
            </w:pPr>
          </w:p>
        </w:tc>
        <w:tc>
          <w:tcPr>
            <w:tcW w:w="672" w:type="dxa"/>
            <w:vMerge w:val="continue"/>
            <w:vAlign w:val="center"/>
          </w:tcPr>
          <w:p w14:paraId="5BB8F0E9">
            <w:pPr>
              <w:rPr>
                <w:rFonts w:hint="eastAsia" w:ascii="宋体" w:hAnsi="宋体" w:eastAsia="宋体" w:cs="宋体"/>
                <w:color w:val="auto"/>
                <w:sz w:val="21"/>
                <w:szCs w:val="21"/>
                <w:highlight w:val="none"/>
              </w:rPr>
            </w:pPr>
          </w:p>
        </w:tc>
        <w:tc>
          <w:tcPr>
            <w:tcW w:w="1404" w:type="dxa"/>
            <w:gridSpan w:val="2"/>
            <w:vAlign w:val="center"/>
          </w:tcPr>
          <w:p w14:paraId="60FF092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*二次鉴别</w:t>
            </w:r>
          </w:p>
        </w:tc>
        <w:tc>
          <w:tcPr>
            <w:tcW w:w="5597" w:type="dxa"/>
            <w:vAlign w:val="center"/>
          </w:tcPr>
          <w:p w14:paraId="330F670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支持二次鉴别功能。对于用户配置、权限配置、公钥导入等重要的管理操作，已登录用户应通过二次鉴别后，才能执行操作</w:t>
            </w:r>
            <w:r>
              <w:rPr>
                <w:rFonts w:hint="eastAsia" w:ascii="宋体" w:hAnsi="宋体" w:eastAsia="宋体" w:cs="宋体"/>
                <w:color w:val="auto"/>
                <w:sz w:val="21"/>
                <w:szCs w:val="21"/>
                <w:highlight w:val="none"/>
                <w:lang w:eastAsia="zh-CN"/>
              </w:rPr>
              <w:t>。</w:t>
            </w:r>
          </w:p>
        </w:tc>
      </w:tr>
      <w:tr w14:paraId="4585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AA359F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384" w:type="dxa"/>
            <w:vMerge w:val="continue"/>
            <w:vAlign w:val="center"/>
          </w:tcPr>
          <w:p w14:paraId="77BFFDC6">
            <w:pPr>
              <w:rPr>
                <w:rFonts w:hint="eastAsia" w:ascii="宋体" w:hAnsi="宋体" w:eastAsia="宋体" w:cs="宋体"/>
                <w:color w:val="auto"/>
                <w:sz w:val="21"/>
                <w:szCs w:val="21"/>
                <w:highlight w:val="none"/>
              </w:rPr>
            </w:pPr>
          </w:p>
        </w:tc>
        <w:tc>
          <w:tcPr>
            <w:tcW w:w="672" w:type="dxa"/>
            <w:vMerge w:val="continue"/>
            <w:vAlign w:val="center"/>
          </w:tcPr>
          <w:p w14:paraId="1B777DFB">
            <w:pPr>
              <w:rPr>
                <w:rFonts w:hint="eastAsia" w:ascii="宋体" w:hAnsi="宋体" w:eastAsia="宋体" w:cs="宋体"/>
                <w:color w:val="auto"/>
                <w:sz w:val="21"/>
                <w:szCs w:val="21"/>
                <w:highlight w:val="none"/>
              </w:rPr>
            </w:pPr>
          </w:p>
        </w:tc>
        <w:tc>
          <w:tcPr>
            <w:tcW w:w="1404" w:type="dxa"/>
            <w:gridSpan w:val="2"/>
            <w:vAlign w:val="center"/>
          </w:tcPr>
          <w:p w14:paraId="307BBA6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*密码证书安全加密存储</w:t>
            </w:r>
          </w:p>
        </w:tc>
        <w:tc>
          <w:tcPr>
            <w:tcW w:w="5597" w:type="dxa"/>
            <w:vAlign w:val="center"/>
          </w:tcPr>
          <w:p w14:paraId="15AA68D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支持对带外管理系统中的用户口令和证书等敏感信息进行加密存储，禁止使用私有的和业界已知不安全的密码算法</w:t>
            </w:r>
            <w:r>
              <w:rPr>
                <w:rFonts w:hint="eastAsia" w:ascii="宋体" w:hAnsi="宋体" w:eastAsia="宋体" w:cs="宋体"/>
                <w:color w:val="auto"/>
                <w:sz w:val="21"/>
                <w:szCs w:val="21"/>
                <w:highlight w:val="none"/>
                <w:lang w:eastAsia="zh-CN"/>
              </w:rPr>
              <w:t>。</w:t>
            </w:r>
          </w:p>
        </w:tc>
      </w:tr>
      <w:tr w14:paraId="1767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1A8946F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w:t>
            </w:r>
          </w:p>
        </w:tc>
        <w:tc>
          <w:tcPr>
            <w:tcW w:w="384" w:type="dxa"/>
            <w:vMerge w:val="continue"/>
            <w:vAlign w:val="center"/>
          </w:tcPr>
          <w:p w14:paraId="1F73AAB3">
            <w:pPr>
              <w:rPr>
                <w:rFonts w:hint="eastAsia" w:ascii="宋体" w:hAnsi="宋体" w:eastAsia="宋体" w:cs="宋体"/>
                <w:color w:val="auto"/>
                <w:sz w:val="21"/>
                <w:szCs w:val="21"/>
                <w:highlight w:val="none"/>
              </w:rPr>
            </w:pPr>
          </w:p>
        </w:tc>
        <w:tc>
          <w:tcPr>
            <w:tcW w:w="672" w:type="dxa"/>
            <w:vMerge w:val="continue"/>
            <w:vAlign w:val="center"/>
          </w:tcPr>
          <w:p w14:paraId="33686760">
            <w:pPr>
              <w:rPr>
                <w:rFonts w:hint="eastAsia" w:ascii="宋体" w:hAnsi="宋体" w:eastAsia="宋体" w:cs="宋体"/>
                <w:color w:val="auto"/>
                <w:sz w:val="21"/>
                <w:szCs w:val="21"/>
                <w:highlight w:val="none"/>
              </w:rPr>
            </w:pPr>
          </w:p>
        </w:tc>
        <w:tc>
          <w:tcPr>
            <w:tcW w:w="1404" w:type="dxa"/>
            <w:gridSpan w:val="2"/>
            <w:vAlign w:val="center"/>
          </w:tcPr>
          <w:p w14:paraId="6CFF81A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*敏感信息安全加密传输</w:t>
            </w:r>
          </w:p>
        </w:tc>
        <w:tc>
          <w:tcPr>
            <w:tcW w:w="5597" w:type="dxa"/>
            <w:vAlign w:val="center"/>
          </w:tcPr>
          <w:p w14:paraId="211E030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支持使用安全的传输加密协议（如SSH或HTTPS等）传输用户的敏感信息</w:t>
            </w:r>
            <w:r>
              <w:rPr>
                <w:rFonts w:hint="eastAsia" w:ascii="宋体" w:hAnsi="宋体" w:eastAsia="宋体" w:cs="宋体"/>
                <w:color w:val="auto"/>
                <w:sz w:val="21"/>
                <w:szCs w:val="21"/>
                <w:highlight w:val="none"/>
                <w:lang w:eastAsia="zh-CN"/>
              </w:rPr>
              <w:t>。</w:t>
            </w:r>
          </w:p>
        </w:tc>
      </w:tr>
      <w:tr w14:paraId="690F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78580C5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384" w:type="dxa"/>
            <w:vMerge w:val="continue"/>
            <w:vAlign w:val="center"/>
          </w:tcPr>
          <w:p w14:paraId="64DEA532">
            <w:pPr>
              <w:rPr>
                <w:rFonts w:hint="eastAsia" w:ascii="宋体" w:hAnsi="宋体" w:eastAsia="宋体" w:cs="宋体"/>
                <w:color w:val="auto"/>
                <w:sz w:val="21"/>
                <w:szCs w:val="21"/>
                <w:highlight w:val="none"/>
              </w:rPr>
            </w:pPr>
          </w:p>
        </w:tc>
        <w:tc>
          <w:tcPr>
            <w:tcW w:w="672" w:type="dxa"/>
            <w:vAlign w:val="center"/>
          </w:tcPr>
          <w:p w14:paraId="4C745A8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*信息安全要求</w:t>
            </w:r>
          </w:p>
        </w:tc>
        <w:tc>
          <w:tcPr>
            <w:tcW w:w="1404" w:type="dxa"/>
            <w:gridSpan w:val="2"/>
            <w:vAlign w:val="center"/>
          </w:tcPr>
          <w:p w14:paraId="26C21EC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*研发过程安全</w:t>
            </w:r>
          </w:p>
        </w:tc>
        <w:tc>
          <w:tcPr>
            <w:tcW w:w="5597" w:type="dxa"/>
            <w:vAlign w:val="center"/>
          </w:tcPr>
          <w:p w14:paraId="0023661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供应商承诺，生产商已建立从需求、设计、开发、测试、维护端到端的开发流程管理机制，输出和保存开发流程中每个阶段的产品需求清单、设计文档、开发文档、测试记录等材料，保证各个流程可追溯</w:t>
            </w:r>
            <w:r>
              <w:rPr>
                <w:rFonts w:hint="eastAsia" w:ascii="宋体" w:hAnsi="宋体" w:eastAsia="宋体" w:cs="宋体"/>
                <w:color w:val="auto"/>
                <w:sz w:val="21"/>
                <w:szCs w:val="21"/>
                <w:highlight w:val="none"/>
                <w:lang w:eastAsia="zh-CN"/>
              </w:rPr>
              <w:t>。</w:t>
            </w:r>
          </w:p>
        </w:tc>
      </w:tr>
      <w:tr w14:paraId="3233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1C482BD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w:t>
            </w:r>
          </w:p>
        </w:tc>
        <w:tc>
          <w:tcPr>
            <w:tcW w:w="384" w:type="dxa"/>
            <w:vMerge w:val="continue"/>
            <w:vAlign w:val="center"/>
          </w:tcPr>
          <w:p w14:paraId="17C77D6D">
            <w:pPr>
              <w:rPr>
                <w:rFonts w:hint="eastAsia" w:ascii="宋体" w:hAnsi="宋体" w:eastAsia="宋体" w:cs="宋体"/>
                <w:color w:val="auto"/>
                <w:sz w:val="21"/>
                <w:szCs w:val="21"/>
                <w:highlight w:val="none"/>
              </w:rPr>
            </w:pPr>
          </w:p>
        </w:tc>
        <w:tc>
          <w:tcPr>
            <w:tcW w:w="672" w:type="dxa"/>
            <w:vAlign w:val="center"/>
          </w:tcPr>
          <w:p w14:paraId="7CA4F4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*物理安全</w:t>
            </w:r>
          </w:p>
        </w:tc>
        <w:tc>
          <w:tcPr>
            <w:tcW w:w="1404" w:type="dxa"/>
            <w:gridSpan w:val="2"/>
            <w:vAlign w:val="center"/>
          </w:tcPr>
          <w:p w14:paraId="6A9400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*物理安全</w:t>
            </w:r>
          </w:p>
        </w:tc>
        <w:tc>
          <w:tcPr>
            <w:tcW w:w="5597" w:type="dxa"/>
            <w:vAlign w:val="center"/>
          </w:tcPr>
          <w:p w14:paraId="4ADD989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安全要求应符合 GB 4943.1 的规定</w:t>
            </w:r>
            <w:r>
              <w:rPr>
                <w:rFonts w:hint="eastAsia" w:ascii="宋体" w:hAnsi="宋体" w:eastAsia="宋体" w:cs="宋体"/>
                <w:color w:val="auto"/>
                <w:sz w:val="21"/>
                <w:szCs w:val="21"/>
                <w:highlight w:val="none"/>
                <w:lang w:eastAsia="zh-CN"/>
              </w:rPr>
              <w:t>。</w:t>
            </w:r>
          </w:p>
        </w:tc>
      </w:tr>
      <w:tr w14:paraId="3470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63E129D">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w:t>
            </w:r>
          </w:p>
        </w:tc>
        <w:tc>
          <w:tcPr>
            <w:tcW w:w="384" w:type="dxa"/>
            <w:vMerge w:val="continue"/>
            <w:vAlign w:val="center"/>
          </w:tcPr>
          <w:p w14:paraId="165CC244">
            <w:pPr>
              <w:rPr>
                <w:rFonts w:hint="eastAsia" w:ascii="宋体" w:hAnsi="宋体" w:eastAsia="宋体" w:cs="宋体"/>
                <w:color w:val="auto"/>
                <w:sz w:val="21"/>
                <w:szCs w:val="21"/>
                <w:highlight w:val="none"/>
              </w:rPr>
            </w:pPr>
          </w:p>
        </w:tc>
        <w:tc>
          <w:tcPr>
            <w:tcW w:w="672" w:type="dxa"/>
            <w:vAlign w:val="center"/>
          </w:tcPr>
          <w:p w14:paraId="77E2A9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*限用物质的限量要求</w:t>
            </w:r>
          </w:p>
        </w:tc>
        <w:tc>
          <w:tcPr>
            <w:tcW w:w="1404" w:type="dxa"/>
            <w:gridSpan w:val="2"/>
            <w:vAlign w:val="center"/>
          </w:tcPr>
          <w:p w14:paraId="66DD97E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*限用物质的限量要求</w:t>
            </w:r>
          </w:p>
        </w:tc>
        <w:tc>
          <w:tcPr>
            <w:tcW w:w="5597" w:type="dxa"/>
            <w:vAlign w:val="center"/>
          </w:tcPr>
          <w:p w14:paraId="5E1A5D0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限用物质的限量应符合 GB/T 26572的要求</w:t>
            </w:r>
            <w:r>
              <w:rPr>
                <w:rFonts w:hint="eastAsia" w:ascii="宋体" w:hAnsi="宋体" w:eastAsia="宋体" w:cs="宋体"/>
                <w:color w:val="auto"/>
                <w:sz w:val="21"/>
                <w:szCs w:val="21"/>
                <w:highlight w:val="none"/>
                <w:lang w:eastAsia="zh-CN"/>
              </w:rPr>
              <w:t>。</w:t>
            </w:r>
          </w:p>
        </w:tc>
      </w:tr>
      <w:tr w14:paraId="76EB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6017D09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5</w:t>
            </w:r>
          </w:p>
        </w:tc>
        <w:tc>
          <w:tcPr>
            <w:tcW w:w="384" w:type="dxa"/>
            <w:vMerge w:val="restart"/>
            <w:vAlign w:val="center"/>
          </w:tcPr>
          <w:p w14:paraId="0CAADA0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性能要求</w:t>
            </w:r>
          </w:p>
        </w:tc>
        <w:tc>
          <w:tcPr>
            <w:tcW w:w="672" w:type="dxa"/>
            <w:vMerge w:val="restart"/>
            <w:vAlign w:val="center"/>
          </w:tcPr>
          <w:p w14:paraId="311CE4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*CPU性能</w:t>
            </w:r>
          </w:p>
        </w:tc>
        <w:tc>
          <w:tcPr>
            <w:tcW w:w="1404" w:type="dxa"/>
            <w:gridSpan w:val="2"/>
            <w:vAlign w:val="center"/>
          </w:tcPr>
          <w:p w14:paraId="3C6762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*CPU主频</w:t>
            </w:r>
          </w:p>
        </w:tc>
        <w:tc>
          <w:tcPr>
            <w:tcW w:w="5597" w:type="dxa"/>
            <w:vAlign w:val="center"/>
          </w:tcPr>
          <w:p w14:paraId="652C7E0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≥2.7GHz</w:t>
            </w:r>
            <w:r>
              <w:rPr>
                <w:rFonts w:hint="eastAsia" w:ascii="宋体" w:hAnsi="宋体" w:eastAsia="宋体" w:cs="宋体"/>
                <w:color w:val="auto"/>
                <w:sz w:val="21"/>
                <w:szCs w:val="21"/>
                <w:highlight w:val="none"/>
                <w:lang w:val="en-US" w:eastAsia="zh-CN"/>
              </w:rPr>
              <w:t xml:space="preserve"> 。</w:t>
            </w:r>
          </w:p>
        </w:tc>
      </w:tr>
      <w:tr w14:paraId="4312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CE19F0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46</w:t>
            </w:r>
          </w:p>
        </w:tc>
        <w:tc>
          <w:tcPr>
            <w:tcW w:w="384" w:type="dxa"/>
            <w:vMerge w:val="continue"/>
            <w:vAlign w:val="center"/>
          </w:tcPr>
          <w:p w14:paraId="069E0A3D">
            <w:pPr>
              <w:rPr>
                <w:rFonts w:hint="eastAsia" w:ascii="宋体" w:hAnsi="宋体" w:eastAsia="宋体" w:cs="宋体"/>
                <w:color w:val="auto"/>
                <w:sz w:val="21"/>
                <w:szCs w:val="21"/>
                <w:highlight w:val="none"/>
              </w:rPr>
            </w:pPr>
          </w:p>
        </w:tc>
        <w:tc>
          <w:tcPr>
            <w:tcW w:w="672" w:type="dxa"/>
            <w:vMerge w:val="continue"/>
            <w:vAlign w:val="center"/>
          </w:tcPr>
          <w:p w14:paraId="77FB78F5">
            <w:pPr>
              <w:rPr>
                <w:rFonts w:hint="eastAsia" w:ascii="宋体" w:hAnsi="宋体" w:eastAsia="宋体" w:cs="宋体"/>
                <w:color w:val="auto"/>
                <w:sz w:val="21"/>
                <w:szCs w:val="21"/>
                <w:highlight w:val="none"/>
              </w:rPr>
            </w:pPr>
          </w:p>
        </w:tc>
        <w:tc>
          <w:tcPr>
            <w:tcW w:w="1404" w:type="dxa"/>
            <w:gridSpan w:val="2"/>
            <w:vAlign w:val="center"/>
          </w:tcPr>
          <w:p w14:paraId="4237ABE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*单CPU核数</w:t>
            </w:r>
          </w:p>
        </w:tc>
        <w:tc>
          <w:tcPr>
            <w:tcW w:w="5597" w:type="dxa"/>
            <w:vAlign w:val="center"/>
          </w:tcPr>
          <w:p w14:paraId="6CCB01D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w:t>
            </w:r>
          </w:p>
        </w:tc>
      </w:tr>
      <w:tr w14:paraId="5000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25FD3B0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47</w:t>
            </w:r>
          </w:p>
        </w:tc>
        <w:tc>
          <w:tcPr>
            <w:tcW w:w="384" w:type="dxa"/>
            <w:vMerge w:val="continue"/>
            <w:vAlign w:val="center"/>
          </w:tcPr>
          <w:p w14:paraId="7ECE4F02">
            <w:pPr>
              <w:rPr>
                <w:rFonts w:hint="eastAsia" w:ascii="宋体" w:hAnsi="宋体" w:eastAsia="宋体" w:cs="宋体"/>
                <w:color w:val="auto"/>
                <w:sz w:val="21"/>
                <w:szCs w:val="21"/>
                <w:highlight w:val="none"/>
              </w:rPr>
            </w:pPr>
          </w:p>
        </w:tc>
        <w:tc>
          <w:tcPr>
            <w:tcW w:w="672" w:type="dxa"/>
            <w:vMerge w:val="continue"/>
            <w:vAlign w:val="center"/>
          </w:tcPr>
          <w:p w14:paraId="4BBA0D44">
            <w:pPr>
              <w:rPr>
                <w:rFonts w:hint="eastAsia" w:ascii="宋体" w:hAnsi="宋体" w:eastAsia="宋体" w:cs="宋体"/>
                <w:color w:val="auto"/>
                <w:sz w:val="21"/>
                <w:szCs w:val="21"/>
                <w:highlight w:val="none"/>
              </w:rPr>
            </w:pPr>
          </w:p>
        </w:tc>
        <w:tc>
          <w:tcPr>
            <w:tcW w:w="1404" w:type="dxa"/>
            <w:gridSpan w:val="2"/>
            <w:vAlign w:val="center"/>
          </w:tcPr>
          <w:p w14:paraId="734159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CPU末级缓存容量</w:t>
            </w:r>
          </w:p>
        </w:tc>
        <w:tc>
          <w:tcPr>
            <w:tcW w:w="5597" w:type="dxa"/>
            <w:vAlign w:val="center"/>
          </w:tcPr>
          <w:p w14:paraId="2D0911E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≥64MB</w:t>
            </w:r>
            <w:r>
              <w:rPr>
                <w:rFonts w:hint="eastAsia" w:ascii="宋体" w:hAnsi="宋体" w:eastAsia="宋体" w:cs="宋体"/>
                <w:color w:val="auto"/>
                <w:sz w:val="21"/>
                <w:szCs w:val="21"/>
                <w:highlight w:val="none"/>
                <w:lang w:val="en-US" w:eastAsia="zh-CN"/>
              </w:rPr>
              <w:t xml:space="preserve"> 。</w:t>
            </w:r>
          </w:p>
        </w:tc>
      </w:tr>
      <w:tr w14:paraId="1644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2C6E04A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48</w:t>
            </w:r>
          </w:p>
        </w:tc>
        <w:tc>
          <w:tcPr>
            <w:tcW w:w="384" w:type="dxa"/>
            <w:vMerge w:val="continue"/>
            <w:vAlign w:val="center"/>
          </w:tcPr>
          <w:p w14:paraId="13B46E2E">
            <w:pPr>
              <w:rPr>
                <w:rFonts w:hint="eastAsia" w:ascii="宋体" w:hAnsi="宋体" w:eastAsia="宋体" w:cs="宋体"/>
                <w:color w:val="auto"/>
                <w:sz w:val="21"/>
                <w:szCs w:val="21"/>
                <w:highlight w:val="none"/>
              </w:rPr>
            </w:pPr>
          </w:p>
        </w:tc>
        <w:tc>
          <w:tcPr>
            <w:tcW w:w="672" w:type="dxa"/>
            <w:vAlign w:val="center"/>
          </w:tcPr>
          <w:p w14:paraId="0BF39E7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*内存性能</w:t>
            </w:r>
          </w:p>
        </w:tc>
        <w:tc>
          <w:tcPr>
            <w:tcW w:w="1404" w:type="dxa"/>
            <w:gridSpan w:val="2"/>
            <w:vAlign w:val="center"/>
          </w:tcPr>
          <w:p w14:paraId="1C125D0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*内存速率</w:t>
            </w:r>
          </w:p>
        </w:tc>
        <w:tc>
          <w:tcPr>
            <w:tcW w:w="5597" w:type="dxa"/>
            <w:vAlign w:val="center"/>
          </w:tcPr>
          <w:p w14:paraId="078862D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≥3200MT/s</w:t>
            </w:r>
            <w:r>
              <w:rPr>
                <w:rFonts w:hint="eastAsia" w:ascii="宋体" w:hAnsi="宋体" w:eastAsia="宋体" w:cs="宋体"/>
                <w:color w:val="auto"/>
                <w:sz w:val="21"/>
                <w:szCs w:val="21"/>
                <w:highlight w:val="none"/>
                <w:lang w:val="en-US" w:eastAsia="zh-CN"/>
              </w:rPr>
              <w:t xml:space="preserve"> 。</w:t>
            </w:r>
          </w:p>
        </w:tc>
      </w:tr>
      <w:tr w14:paraId="5264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5CB742F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49</w:t>
            </w:r>
          </w:p>
        </w:tc>
        <w:tc>
          <w:tcPr>
            <w:tcW w:w="384" w:type="dxa"/>
            <w:vMerge w:val="continue"/>
            <w:vAlign w:val="center"/>
          </w:tcPr>
          <w:p w14:paraId="7D908E23">
            <w:pPr>
              <w:rPr>
                <w:rFonts w:hint="eastAsia" w:ascii="宋体" w:hAnsi="宋体" w:eastAsia="宋体" w:cs="宋体"/>
                <w:color w:val="auto"/>
                <w:sz w:val="21"/>
                <w:szCs w:val="21"/>
                <w:highlight w:val="none"/>
              </w:rPr>
            </w:pPr>
          </w:p>
        </w:tc>
        <w:tc>
          <w:tcPr>
            <w:tcW w:w="672" w:type="dxa"/>
            <w:vAlign w:val="center"/>
          </w:tcPr>
          <w:p w14:paraId="2DA9CC7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*电源能耗</w:t>
            </w:r>
          </w:p>
        </w:tc>
        <w:tc>
          <w:tcPr>
            <w:tcW w:w="1404" w:type="dxa"/>
            <w:gridSpan w:val="2"/>
            <w:vAlign w:val="center"/>
          </w:tcPr>
          <w:p w14:paraId="66153BC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*电源能耗</w:t>
            </w:r>
          </w:p>
        </w:tc>
        <w:tc>
          <w:tcPr>
            <w:tcW w:w="5597" w:type="dxa"/>
            <w:vAlign w:val="center"/>
          </w:tcPr>
          <w:p w14:paraId="57A43A7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 GB/T 9813.3 的有关规定</w:t>
            </w:r>
            <w:r>
              <w:rPr>
                <w:rFonts w:hint="eastAsia" w:ascii="宋体" w:hAnsi="宋体" w:eastAsia="宋体" w:cs="宋体"/>
                <w:color w:val="auto"/>
                <w:sz w:val="21"/>
                <w:szCs w:val="21"/>
                <w:highlight w:val="none"/>
                <w:lang w:eastAsia="zh-CN"/>
              </w:rPr>
              <w:t>。</w:t>
            </w:r>
          </w:p>
        </w:tc>
      </w:tr>
      <w:tr w14:paraId="59D0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711F3F4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50</w:t>
            </w:r>
          </w:p>
        </w:tc>
        <w:tc>
          <w:tcPr>
            <w:tcW w:w="384" w:type="dxa"/>
            <w:vMerge w:val="restart"/>
            <w:vAlign w:val="center"/>
          </w:tcPr>
          <w:p w14:paraId="56CACCD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兼容要求</w:t>
            </w:r>
          </w:p>
        </w:tc>
        <w:tc>
          <w:tcPr>
            <w:tcW w:w="672" w:type="dxa"/>
            <w:vMerge w:val="restart"/>
            <w:vAlign w:val="center"/>
          </w:tcPr>
          <w:p w14:paraId="3D2277A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*部件兼容性要求</w:t>
            </w:r>
          </w:p>
        </w:tc>
        <w:tc>
          <w:tcPr>
            <w:tcW w:w="1404" w:type="dxa"/>
            <w:gridSpan w:val="2"/>
            <w:vAlign w:val="center"/>
          </w:tcPr>
          <w:p w14:paraId="6E54358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*内存兼容性</w:t>
            </w:r>
          </w:p>
        </w:tc>
        <w:tc>
          <w:tcPr>
            <w:tcW w:w="5597" w:type="dxa"/>
            <w:vAlign w:val="center"/>
          </w:tcPr>
          <w:p w14:paraId="2F9748C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适配3种及以上厂商的内存产品，且均不低于产品支持的内存规格</w:t>
            </w:r>
            <w:r>
              <w:rPr>
                <w:rFonts w:hint="eastAsia" w:ascii="宋体" w:hAnsi="宋体" w:eastAsia="宋体" w:cs="宋体"/>
                <w:color w:val="auto"/>
                <w:sz w:val="21"/>
                <w:szCs w:val="21"/>
                <w:highlight w:val="none"/>
                <w:lang w:eastAsia="zh-CN"/>
              </w:rPr>
              <w:t>。</w:t>
            </w:r>
          </w:p>
        </w:tc>
      </w:tr>
      <w:tr w14:paraId="585E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359FB6B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w:t>
            </w:r>
          </w:p>
        </w:tc>
        <w:tc>
          <w:tcPr>
            <w:tcW w:w="384" w:type="dxa"/>
            <w:vMerge w:val="continue"/>
            <w:vAlign w:val="center"/>
          </w:tcPr>
          <w:p w14:paraId="4B319446">
            <w:pPr>
              <w:rPr>
                <w:rFonts w:hint="eastAsia" w:ascii="宋体" w:hAnsi="宋体" w:eastAsia="宋体" w:cs="宋体"/>
                <w:color w:val="auto"/>
                <w:sz w:val="21"/>
                <w:szCs w:val="21"/>
                <w:highlight w:val="none"/>
              </w:rPr>
            </w:pPr>
          </w:p>
        </w:tc>
        <w:tc>
          <w:tcPr>
            <w:tcW w:w="672" w:type="dxa"/>
            <w:vMerge w:val="continue"/>
            <w:vAlign w:val="center"/>
          </w:tcPr>
          <w:p w14:paraId="48121CB1">
            <w:pPr>
              <w:rPr>
                <w:rFonts w:hint="eastAsia" w:ascii="宋体" w:hAnsi="宋体" w:eastAsia="宋体" w:cs="宋体"/>
                <w:color w:val="auto"/>
                <w:sz w:val="21"/>
                <w:szCs w:val="21"/>
                <w:highlight w:val="none"/>
              </w:rPr>
            </w:pPr>
          </w:p>
        </w:tc>
        <w:tc>
          <w:tcPr>
            <w:tcW w:w="1404" w:type="dxa"/>
            <w:gridSpan w:val="2"/>
            <w:vAlign w:val="center"/>
          </w:tcPr>
          <w:p w14:paraId="79E395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*固态存储兼容性</w:t>
            </w:r>
          </w:p>
        </w:tc>
        <w:tc>
          <w:tcPr>
            <w:tcW w:w="5597" w:type="dxa"/>
            <w:vAlign w:val="center"/>
          </w:tcPr>
          <w:p w14:paraId="2AE2C2F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适配3种或以上厂商的固态存储产品，且均不低于产品支持的固态存储设备规格</w:t>
            </w:r>
            <w:r>
              <w:rPr>
                <w:rFonts w:hint="eastAsia" w:ascii="宋体" w:hAnsi="宋体" w:eastAsia="宋体" w:cs="宋体"/>
                <w:color w:val="auto"/>
                <w:sz w:val="21"/>
                <w:szCs w:val="21"/>
                <w:highlight w:val="none"/>
                <w:lang w:eastAsia="zh-CN"/>
              </w:rPr>
              <w:t>。</w:t>
            </w:r>
          </w:p>
        </w:tc>
      </w:tr>
      <w:tr w14:paraId="452D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125510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2</w:t>
            </w:r>
          </w:p>
        </w:tc>
        <w:tc>
          <w:tcPr>
            <w:tcW w:w="384" w:type="dxa"/>
            <w:vMerge w:val="continue"/>
            <w:vAlign w:val="center"/>
          </w:tcPr>
          <w:p w14:paraId="4FA2D71B">
            <w:pPr>
              <w:rPr>
                <w:rFonts w:hint="eastAsia" w:ascii="宋体" w:hAnsi="宋体" w:eastAsia="宋体" w:cs="宋体"/>
                <w:color w:val="auto"/>
                <w:sz w:val="21"/>
                <w:szCs w:val="21"/>
                <w:highlight w:val="none"/>
              </w:rPr>
            </w:pPr>
          </w:p>
        </w:tc>
        <w:tc>
          <w:tcPr>
            <w:tcW w:w="672" w:type="dxa"/>
            <w:vMerge w:val="continue"/>
            <w:vAlign w:val="center"/>
          </w:tcPr>
          <w:p w14:paraId="352304EB">
            <w:pPr>
              <w:rPr>
                <w:rFonts w:hint="eastAsia" w:ascii="宋体" w:hAnsi="宋体" w:eastAsia="宋体" w:cs="宋体"/>
                <w:color w:val="auto"/>
                <w:sz w:val="21"/>
                <w:szCs w:val="21"/>
                <w:highlight w:val="none"/>
              </w:rPr>
            </w:pPr>
          </w:p>
        </w:tc>
        <w:tc>
          <w:tcPr>
            <w:tcW w:w="1404" w:type="dxa"/>
            <w:gridSpan w:val="2"/>
            <w:vAlign w:val="center"/>
          </w:tcPr>
          <w:p w14:paraId="1B808A9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*网卡兼容性</w:t>
            </w:r>
          </w:p>
        </w:tc>
        <w:tc>
          <w:tcPr>
            <w:tcW w:w="5597" w:type="dxa"/>
            <w:vAlign w:val="center"/>
          </w:tcPr>
          <w:p w14:paraId="2D5230F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网卡应适配两种或以上厂商产品</w:t>
            </w:r>
            <w:r>
              <w:rPr>
                <w:rFonts w:hint="eastAsia" w:ascii="宋体" w:hAnsi="宋体" w:eastAsia="宋体" w:cs="宋体"/>
                <w:color w:val="auto"/>
                <w:sz w:val="21"/>
                <w:szCs w:val="21"/>
                <w:highlight w:val="none"/>
                <w:lang w:eastAsia="zh-CN"/>
              </w:rPr>
              <w:t>。</w:t>
            </w:r>
          </w:p>
        </w:tc>
      </w:tr>
      <w:tr w14:paraId="3AB7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8BA944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3</w:t>
            </w:r>
          </w:p>
        </w:tc>
        <w:tc>
          <w:tcPr>
            <w:tcW w:w="384" w:type="dxa"/>
            <w:vMerge w:val="continue"/>
            <w:vAlign w:val="center"/>
          </w:tcPr>
          <w:p w14:paraId="78D65C59">
            <w:pPr>
              <w:rPr>
                <w:rFonts w:hint="eastAsia" w:ascii="宋体" w:hAnsi="宋体" w:eastAsia="宋体" w:cs="宋体"/>
                <w:color w:val="auto"/>
                <w:sz w:val="21"/>
                <w:szCs w:val="21"/>
                <w:highlight w:val="none"/>
              </w:rPr>
            </w:pPr>
          </w:p>
        </w:tc>
        <w:tc>
          <w:tcPr>
            <w:tcW w:w="672" w:type="dxa"/>
            <w:vMerge w:val="continue"/>
            <w:vAlign w:val="center"/>
          </w:tcPr>
          <w:p w14:paraId="52A1C142">
            <w:pPr>
              <w:rPr>
                <w:rFonts w:hint="eastAsia" w:ascii="宋体" w:hAnsi="宋体" w:eastAsia="宋体" w:cs="宋体"/>
                <w:color w:val="auto"/>
                <w:sz w:val="21"/>
                <w:szCs w:val="21"/>
                <w:highlight w:val="none"/>
              </w:rPr>
            </w:pPr>
          </w:p>
        </w:tc>
        <w:tc>
          <w:tcPr>
            <w:tcW w:w="1404" w:type="dxa"/>
            <w:gridSpan w:val="2"/>
            <w:vAlign w:val="center"/>
          </w:tcPr>
          <w:p w14:paraId="227FF5C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*功能卡兼容性</w:t>
            </w:r>
          </w:p>
        </w:tc>
        <w:tc>
          <w:tcPr>
            <w:tcW w:w="5597" w:type="dxa"/>
            <w:vAlign w:val="center"/>
          </w:tcPr>
          <w:p w14:paraId="2205270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内置或适配符合PCIe 的功能卡，如：网络功能卡、存储功能卡及图形显示功能卡</w:t>
            </w:r>
            <w:r>
              <w:rPr>
                <w:rFonts w:hint="eastAsia" w:ascii="宋体" w:hAnsi="宋体" w:eastAsia="宋体" w:cs="宋体"/>
                <w:color w:val="auto"/>
                <w:sz w:val="21"/>
                <w:szCs w:val="21"/>
                <w:highlight w:val="none"/>
                <w:lang w:eastAsia="zh-CN"/>
              </w:rPr>
              <w:t>。</w:t>
            </w:r>
          </w:p>
        </w:tc>
      </w:tr>
      <w:tr w14:paraId="255F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2F3392A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4</w:t>
            </w:r>
          </w:p>
        </w:tc>
        <w:tc>
          <w:tcPr>
            <w:tcW w:w="384" w:type="dxa"/>
            <w:vMerge w:val="continue"/>
            <w:vAlign w:val="center"/>
          </w:tcPr>
          <w:p w14:paraId="688EE72A">
            <w:pPr>
              <w:rPr>
                <w:rFonts w:hint="eastAsia" w:ascii="宋体" w:hAnsi="宋体" w:eastAsia="宋体" w:cs="宋体"/>
                <w:color w:val="auto"/>
                <w:sz w:val="21"/>
                <w:szCs w:val="21"/>
                <w:highlight w:val="none"/>
              </w:rPr>
            </w:pPr>
          </w:p>
        </w:tc>
        <w:tc>
          <w:tcPr>
            <w:tcW w:w="672" w:type="dxa"/>
            <w:vAlign w:val="center"/>
          </w:tcPr>
          <w:p w14:paraId="4D471AD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*外设兼容性</w:t>
            </w:r>
          </w:p>
        </w:tc>
        <w:tc>
          <w:tcPr>
            <w:tcW w:w="1404" w:type="dxa"/>
            <w:gridSpan w:val="2"/>
            <w:vAlign w:val="center"/>
          </w:tcPr>
          <w:p w14:paraId="3BDC6E4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*外设兼容性</w:t>
            </w:r>
          </w:p>
        </w:tc>
        <w:tc>
          <w:tcPr>
            <w:tcW w:w="5597" w:type="dxa"/>
            <w:vAlign w:val="center"/>
          </w:tcPr>
          <w:p w14:paraId="127ECBD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兼容多种主流生产商的外部设备，包括显示器、键盘、鼠标、闪存盘、移动硬盘、USB光驱及KVM等，要求使用不同厂商的外部设备时，系统均能正常识别和安装驱动</w:t>
            </w:r>
            <w:r>
              <w:rPr>
                <w:rFonts w:hint="eastAsia" w:ascii="宋体" w:hAnsi="宋体" w:eastAsia="宋体" w:cs="宋体"/>
                <w:color w:val="auto"/>
                <w:sz w:val="21"/>
                <w:szCs w:val="21"/>
                <w:highlight w:val="none"/>
                <w:lang w:eastAsia="zh-CN"/>
              </w:rPr>
              <w:t>。</w:t>
            </w:r>
          </w:p>
        </w:tc>
      </w:tr>
      <w:tr w14:paraId="77FD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6A4ACFD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w:t>
            </w:r>
          </w:p>
        </w:tc>
        <w:tc>
          <w:tcPr>
            <w:tcW w:w="384" w:type="dxa"/>
            <w:vMerge w:val="continue"/>
            <w:vAlign w:val="center"/>
          </w:tcPr>
          <w:p w14:paraId="531597C5">
            <w:pPr>
              <w:rPr>
                <w:rFonts w:hint="eastAsia" w:ascii="宋体" w:hAnsi="宋体" w:eastAsia="宋体" w:cs="宋体"/>
                <w:color w:val="auto"/>
                <w:sz w:val="21"/>
                <w:szCs w:val="21"/>
                <w:highlight w:val="none"/>
              </w:rPr>
            </w:pPr>
          </w:p>
        </w:tc>
        <w:tc>
          <w:tcPr>
            <w:tcW w:w="672" w:type="dxa"/>
            <w:vMerge w:val="restart"/>
            <w:vAlign w:val="center"/>
          </w:tcPr>
          <w:p w14:paraId="7E6C40C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*软件兼容性</w:t>
            </w:r>
          </w:p>
        </w:tc>
        <w:tc>
          <w:tcPr>
            <w:tcW w:w="1404" w:type="dxa"/>
            <w:gridSpan w:val="2"/>
            <w:vAlign w:val="center"/>
          </w:tcPr>
          <w:p w14:paraId="19FDCE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*数据库兼容</w:t>
            </w:r>
          </w:p>
        </w:tc>
        <w:tc>
          <w:tcPr>
            <w:tcW w:w="5597" w:type="dxa"/>
            <w:vAlign w:val="center"/>
          </w:tcPr>
          <w:p w14:paraId="38E6595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兼容3个及以上厂商的数据库产品</w:t>
            </w:r>
            <w:r>
              <w:rPr>
                <w:rFonts w:hint="eastAsia" w:ascii="宋体" w:hAnsi="宋体" w:eastAsia="宋体" w:cs="宋体"/>
                <w:color w:val="auto"/>
                <w:sz w:val="21"/>
                <w:szCs w:val="21"/>
                <w:highlight w:val="none"/>
                <w:lang w:eastAsia="zh-CN"/>
              </w:rPr>
              <w:t>。</w:t>
            </w:r>
          </w:p>
        </w:tc>
      </w:tr>
      <w:tr w14:paraId="5DC8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4DDC1D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56</w:t>
            </w:r>
          </w:p>
        </w:tc>
        <w:tc>
          <w:tcPr>
            <w:tcW w:w="384" w:type="dxa"/>
            <w:vMerge w:val="continue"/>
            <w:vAlign w:val="center"/>
          </w:tcPr>
          <w:p w14:paraId="0A62EE9D">
            <w:pPr>
              <w:rPr>
                <w:rFonts w:hint="eastAsia" w:ascii="宋体" w:hAnsi="宋体" w:eastAsia="宋体" w:cs="宋体"/>
                <w:color w:val="auto"/>
                <w:sz w:val="21"/>
                <w:szCs w:val="21"/>
                <w:highlight w:val="none"/>
              </w:rPr>
            </w:pPr>
          </w:p>
        </w:tc>
        <w:tc>
          <w:tcPr>
            <w:tcW w:w="672" w:type="dxa"/>
            <w:vMerge w:val="continue"/>
            <w:vAlign w:val="center"/>
          </w:tcPr>
          <w:p w14:paraId="1068C0C6">
            <w:pPr>
              <w:rPr>
                <w:rFonts w:hint="eastAsia" w:ascii="宋体" w:hAnsi="宋体" w:eastAsia="宋体" w:cs="宋体"/>
                <w:color w:val="auto"/>
                <w:sz w:val="21"/>
                <w:szCs w:val="21"/>
                <w:highlight w:val="none"/>
              </w:rPr>
            </w:pPr>
          </w:p>
        </w:tc>
        <w:tc>
          <w:tcPr>
            <w:tcW w:w="1404" w:type="dxa"/>
            <w:gridSpan w:val="2"/>
            <w:vAlign w:val="center"/>
          </w:tcPr>
          <w:p w14:paraId="1DB827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*中间件兼容</w:t>
            </w:r>
          </w:p>
        </w:tc>
        <w:tc>
          <w:tcPr>
            <w:tcW w:w="5597" w:type="dxa"/>
            <w:vAlign w:val="center"/>
          </w:tcPr>
          <w:p w14:paraId="3CC49D0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兼容3个及以上厂商的中间件产品</w:t>
            </w:r>
            <w:r>
              <w:rPr>
                <w:rFonts w:hint="eastAsia" w:ascii="宋体" w:hAnsi="宋体" w:eastAsia="宋体" w:cs="宋体"/>
                <w:color w:val="auto"/>
                <w:sz w:val="21"/>
                <w:szCs w:val="21"/>
                <w:highlight w:val="none"/>
                <w:lang w:eastAsia="zh-CN"/>
              </w:rPr>
              <w:t>。</w:t>
            </w:r>
          </w:p>
        </w:tc>
      </w:tr>
      <w:tr w14:paraId="623B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5D07ADB8">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57</w:t>
            </w:r>
          </w:p>
        </w:tc>
        <w:tc>
          <w:tcPr>
            <w:tcW w:w="384" w:type="dxa"/>
            <w:vMerge w:val="continue"/>
            <w:vAlign w:val="center"/>
          </w:tcPr>
          <w:p w14:paraId="0AA048FC">
            <w:pPr>
              <w:rPr>
                <w:rFonts w:hint="eastAsia" w:ascii="宋体" w:hAnsi="宋体" w:eastAsia="宋体" w:cs="宋体"/>
                <w:color w:val="auto"/>
                <w:sz w:val="21"/>
                <w:szCs w:val="21"/>
                <w:highlight w:val="none"/>
              </w:rPr>
            </w:pPr>
          </w:p>
        </w:tc>
        <w:tc>
          <w:tcPr>
            <w:tcW w:w="672" w:type="dxa"/>
            <w:vMerge w:val="continue"/>
            <w:vAlign w:val="center"/>
          </w:tcPr>
          <w:p w14:paraId="421C968E">
            <w:pPr>
              <w:rPr>
                <w:rFonts w:hint="eastAsia" w:ascii="宋体" w:hAnsi="宋体" w:eastAsia="宋体" w:cs="宋体"/>
                <w:color w:val="auto"/>
                <w:sz w:val="21"/>
                <w:szCs w:val="21"/>
                <w:highlight w:val="none"/>
              </w:rPr>
            </w:pPr>
          </w:p>
        </w:tc>
        <w:tc>
          <w:tcPr>
            <w:tcW w:w="1404" w:type="dxa"/>
            <w:gridSpan w:val="2"/>
            <w:vAlign w:val="center"/>
          </w:tcPr>
          <w:p w14:paraId="5DC8A9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*平台软件兼容</w:t>
            </w:r>
          </w:p>
        </w:tc>
        <w:tc>
          <w:tcPr>
            <w:tcW w:w="5597" w:type="dxa"/>
            <w:vAlign w:val="center"/>
          </w:tcPr>
          <w:p w14:paraId="761A18F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兼容3个及以上厂商的大数据平台</w:t>
            </w:r>
            <w:r>
              <w:rPr>
                <w:rFonts w:hint="eastAsia" w:ascii="宋体" w:hAnsi="宋体" w:eastAsia="宋体" w:cs="宋体"/>
                <w:color w:val="auto"/>
                <w:sz w:val="21"/>
                <w:szCs w:val="21"/>
                <w:highlight w:val="none"/>
                <w:lang w:eastAsia="zh-CN"/>
              </w:rPr>
              <w:t>。</w:t>
            </w:r>
          </w:p>
        </w:tc>
      </w:tr>
      <w:tr w14:paraId="58A6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246E7BF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58</w:t>
            </w:r>
          </w:p>
        </w:tc>
        <w:tc>
          <w:tcPr>
            <w:tcW w:w="384" w:type="dxa"/>
            <w:vMerge w:val="restart"/>
            <w:vAlign w:val="center"/>
          </w:tcPr>
          <w:p w14:paraId="3D96ED0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可靠性要求</w:t>
            </w:r>
          </w:p>
        </w:tc>
        <w:tc>
          <w:tcPr>
            <w:tcW w:w="672" w:type="dxa"/>
            <w:vMerge w:val="restart"/>
            <w:vAlign w:val="center"/>
          </w:tcPr>
          <w:p w14:paraId="620F08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*整机可靠性要求</w:t>
            </w:r>
          </w:p>
        </w:tc>
        <w:tc>
          <w:tcPr>
            <w:tcW w:w="1404" w:type="dxa"/>
            <w:gridSpan w:val="2"/>
            <w:vAlign w:val="center"/>
          </w:tcPr>
          <w:p w14:paraId="75BD0E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*整机可靠性</w:t>
            </w:r>
          </w:p>
        </w:tc>
        <w:tc>
          <w:tcPr>
            <w:tcW w:w="5597" w:type="dxa"/>
            <w:vAlign w:val="center"/>
          </w:tcPr>
          <w:p w14:paraId="70ED3F6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m1值（MTBF的不可接受值）不得低于30000h</w:t>
            </w:r>
            <w:r>
              <w:rPr>
                <w:rFonts w:hint="eastAsia" w:ascii="宋体" w:hAnsi="宋体" w:eastAsia="宋体" w:cs="宋体"/>
                <w:color w:val="auto"/>
                <w:sz w:val="21"/>
                <w:szCs w:val="21"/>
                <w:highlight w:val="none"/>
                <w:lang w:eastAsia="zh-CN"/>
              </w:rPr>
              <w:t>。</w:t>
            </w:r>
          </w:p>
        </w:tc>
      </w:tr>
      <w:tr w14:paraId="3221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8508CB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59</w:t>
            </w:r>
          </w:p>
        </w:tc>
        <w:tc>
          <w:tcPr>
            <w:tcW w:w="384" w:type="dxa"/>
            <w:vMerge w:val="continue"/>
            <w:vAlign w:val="center"/>
          </w:tcPr>
          <w:p w14:paraId="1532B30E">
            <w:pPr>
              <w:rPr>
                <w:rFonts w:hint="eastAsia" w:ascii="宋体" w:hAnsi="宋体" w:eastAsia="宋体" w:cs="宋体"/>
                <w:color w:val="auto"/>
                <w:sz w:val="21"/>
                <w:szCs w:val="21"/>
                <w:highlight w:val="none"/>
              </w:rPr>
            </w:pPr>
          </w:p>
        </w:tc>
        <w:tc>
          <w:tcPr>
            <w:tcW w:w="672" w:type="dxa"/>
            <w:vMerge w:val="continue"/>
            <w:vAlign w:val="center"/>
          </w:tcPr>
          <w:p w14:paraId="550BD582">
            <w:pPr>
              <w:rPr>
                <w:rFonts w:hint="eastAsia" w:ascii="宋体" w:hAnsi="宋体" w:eastAsia="宋体" w:cs="宋体"/>
                <w:color w:val="auto"/>
                <w:sz w:val="21"/>
                <w:szCs w:val="21"/>
                <w:highlight w:val="none"/>
              </w:rPr>
            </w:pPr>
          </w:p>
        </w:tc>
        <w:tc>
          <w:tcPr>
            <w:tcW w:w="1404" w:type="dxa"/>
            <w:gridSpan w:val="2"/>
            <w:vAlign w:val="center"/>
          </w:tcPr>
          <w:p w14:paraId="420AC99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*风扇可靠性</w:t>
            </w:r>
          </w:p>
        </w:tc>
        <w:tc>
          <w:tcPr>
            <w:tcW w:w="5597" w:type="dxa"/>
            <w:vAlign w:val="center"/>
          </w:tcPr>
          <w:p w14:paraId="32E5BA1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风扇寿命应不低于40000h</w:t>
            </w:r>
            <w:r>
              <w:rPr>
                <w:rFonts w:hint="eastAsia" w:ascii="宋体" w:hAnsi="宋体" w:eastAsia="宋体" w:cs="宋体"/>
                <w:color w:val="auto"/>
                <w:sz w:val="21"/>
                <w:szCs w:val="21"/>
                <w:highlight w:val="none"/>
                <w:lang w:eastAsia="zh-CN"/>
              </w:rPr>
              <w:t>。</w:t>
            </w:r>
          </w:p>
        </w:tc>
      </w:tr>
      <w:tr w14:paraId="204B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3770D6D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w:t>
            </w:r>
          </w:p>
        </w:tc>
        <w:tc>
          <w:tcPr>
            <w:tcW w:w="384" w:type="dxa"/>
            <w:vMerge w:val="continue"/>
            <w:vAlign w:val="center"/>
          </w:tcPr>
          <w:p w14:paraId="7EEF5CE2">
            <w:pPr>
              <w:rPr>
                <w:rFonts w:hint="eastAsia" w:ascii="宋体" w:hAnsi="宋体" w:eastAsia="宋体" w:cs="宋体"/>
                <w:color w:val="auto"/>
                <w:sz w:val="21"/>
                <w:szCs w:val="21"/>
                <w:highlight w:val="none"/>
              </w:rPr>
            </w:pPr>
          </w:p>
        </w:tc>
        <w:tc>
          <w:tcPr>
            <w:tcW w:w="672" w:type="dxa"/>
            <w:vMerge w:val="continue"/>
            <w:vAlign w:val="center"/>
          </w:tcPr>
          <w:p w14:paraId="3FCB3553">
            <w:pPr>
              <w:rPr>
                <w:rFonts w:hint="eastAsia" w:ascii="宋体" w:hAnsi="宋体" w:eastAsia="宋体" w:cs="宋体"/>
                <w:color w:val="auto"/>
                <w:sz w:val="21"/>
                <w:szCs w:val="21"/>
                <w:highlight w:val="none"/>
              </w:rPr>
            </w:pPr>
          </w:p>
        </w:tc>
        <w:tc>
          <w:tcPr>
            <w:tcW w:w="1404" w:type="dxa"/>
            <w:gridSpan w:val="2"/>
            <w:vAlign w:val="center"/>
          </w:tcPr>
          <w:p w14:paraId="71C9884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*部件可靠性</w:t>
            </w:r>
          </w:p>
        </w:tc>
        <w:tc>
          <w:tcPr>
            <w:tcW w:w="5597" w:type="dxa"/>
            <w:vAlign w:val="center"/>
          </w:tcPr>
          <w:p w14:paraId="5B7E889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支持硬盘、电源、风扇热插拔(内置风扇除外)</w:t>
            </w:r>
            <w:r>
              <w:rPr>
                <w:rFonts w:hint="eastAsia" w:ascii="宋体" w:hAnsi="宋体" w:eastAsia="宋体" w:cs="宋体"/>
                <w:color w:val="auto"/>
                <w:sz w:val="21"/>
                <w:szCs w:val="21"/>
                <w:highlight w:val="none"/>
                <w:lang w:eastAsia="zh-CN"/>
              </w:rPr>
              <w:t>。</w:t>
            </w:r>
          </w:p>
        </w:tc>
      </w:tr>
      <w:tr w14:paraId="2878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457DB02">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p>
        </w:tc>
        <w:tc>
          <w:tcPr>
            <w:tcW w:w="384" w:type="dxa"/>
          </w:tcPr>
          <w:p w14:paraId="3979849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包装及运输要求</w:t>
            </w:r>
          </w:p>
        </w:tc>
        <w:tc>
          <w:tcPr>
            <w:tcW w:w="672" w:type="dxa"/>
            <w:vAlign w:val="center"/>
          </w:tcPr>
          <w:p w14:paraId="05DF61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*包装及运输要求</w:t>
            </w:r>
          </w:p>
        </w:tc>
        <w:tc>
          <w:tcPr>
            <w:tcW w:w="1404" w:type="dxa"/>
            <w:gridSpan w:val="2"/>
            <w:vAlign w:val="center"/>
          </w:tcPr>
          <w:p w14:paraId="65BCA4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*标志、包装、运输和贮存</w:t>
            </w:r>
          </w:p>
        </w:tc>
        <w:tc>
          <w:tcPr>
            <w:tcW w:w="5597" w:type="dxa"/>
            <w:vAlign w:val="center"/>
          </w:tcPr>
          <w:p w14:paraId="10F52AD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符合GB/T9813.3和商品包装政府采购需求标准的相关规定</w:t>
            </w:r>
            <w:r>
              <w:rPr>
                <w:rFonts w:hint="eastAsia" w:ascii="宋体" w:hAnsi="宋体" w:eastAsia="宋体" w:cs="宋体"/>
                <w:color w:val="auto"/>
                <w:sz w:val="21"/>
                <w:szCs w:val="21"/>
                <w:highlight w:val="none"/>
                <w:lang w:eastAsia="zh-CN"/>
              </w:rPr>
              <w:t>。</w:t>
            </w:r>
          </w:p>
        </w:tc>
      </w:tr>
      <w:tr w14:paraId="3FC0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38AE9B6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p>
        </w:tc>
        <w:tc>
          <w:tcPr>
            <w:tcW w:w="384" w:type="dxa"/>
            <w:vMerge w:val="restart"/>
            <w:vAlign w:val="center"/>
          </w:tcPr>
          <w:p w14:paraId="1D8DAE6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672" w:type="dxa"/>
            <w:vAlign w:val="center"/>
          </w:tcPr>
          <w:p w14:paraId="5F680D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1404" w:type="dxa"/>
            <w:gridSpan w:val="2"/>
            <w:vAlign w:val="center"/>
          </w:tcPr>
          <w:p w14:paraId="35DE3CD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5597" w:type="dxa"/>
            <w:vAlign w:val="center"/>
          </w:tcPr>
          <w:p w14:paraId="29D0B58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a)提供电话、远程连接等多种形式服务</w:t>
            </w:r>
            <w:r>
              <w:rPr>
                <w:rFonts w:hint="eastAsia" w:ascii="宋体" w:hAnsi="宋体" w:eastAsia="宋体" w:cs="宋体"/>
                <w:color w:val="auto"/>
                <w:sz w:val="21"/>
                <w:szCs w:val="21"/>
                <w:highlight w:val="none"/>
                <w:lang w:eastAsia="zh-CN"/>
              </w:rPr>
              <w:t>。</w:t>
            </w:r>
          </w:p>
          <w:p w14:paraId="46D2044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b)提供同城 4h技术响应服务，对于未能解决的问题和故障应提供可行的升级方案，并提供周转设备</w:t>
            </w:r>
            <w:r>
              <w:rPr>
                <w:rFonts w:hint="eastAsia" w:ascii="宋体" w:hAnsi="宋体" w:eastAsia="宋体" w:cs="宋体"/>
                <w:color w:val="auto"/>
                <w:sz w:val="21"/>
                <w:szCs w:val="21"/>
                <w:highlight w:val="none"/>
                <w:lang w:eastAsia="zh-CN"/>
              </w:rPr>
              <w:t>。</w:t>
            </w:r>
          </w:p>
          <w:p w14:paraId="01FB86D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c)建立浙江省技术服务体系和服务团体，符合专业服务体系标准要求，提供原厂中文服务</w:t>
            </w:r>
            <w:r>
              <w:rPr>
                <w:rFonts w:hint="eastAsia" w:ascii="宋体" w:hAnsi="宋体" w:eastAsia="宋体" w:cs="宋体"/>
                <w:color w:val="auto"/>
                <w:sz w:val="21"/>
                <w:szCs w:val="21"/>
                <w:highlight w:val="none"/>
                <w:lang w:eastAsia="zh-CN"/>
              </w:rPr>
              <w:t>。</w:t>
            </w:r>
          </w:p>
          <w:p w14:paraId="296FC40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d)服务周期内提供产品的维修、换件和升级服务</w:t>
            </w:r>
            <w:r>
              <w:rPr>
                <w:rFonts w:hint="eastAsia" w:ascii="宋体" w:hAnsi="宋体" w:eastAsia="宋体" w:cs="宋体"/>
                <w:color w:val="auto"/>
                <w:sz w:val="21"/>
                <w:szCs w:val="21"/>
                <w:highlight w:val="none"/>
                <w:lang w:eastAsia="zh-CN"/>
              </w:rPr>
              <w:t>。</w:t>
            </w:r>
          </w:p>
        </w:tc>
      </w:tr>
      <w:tr w14:paraId="5530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53E45E7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63</w:t>
            </w:r>
          </w:p>
        </w:tc>
        <w:tc>
          <w:tcPr>
            <w:tcW w:w="384" w:type="dxa"/>
            <w:vMerge w:val="continue"/>
            <w:vAlign w:val="center"/>
          </w:tcPr>
          <w:p w14:paraId="7B0939EB">
            <w:pPr>
              <w:rPr>
                <w:rFonts w:hint="eastAsia" w:ascii="宋体" w:hAnsi="宋体" w:eastAsia="宋体" w:cs="宋体"/>
                <w:color w:val="auto"/>
                <w:sz w:val="21"/>
                <w:szCs w:val="21"/>
                <w:highlight w:val="none"/>
              </w:rPr>
            </w:pPr>
          </w:p>
        </w:tc>
        <w:tc>
          <w:tcPr>
            <w:tcW w:w="672" w:type="dxa"/>
            <w:vAlign w:val="center"/>
          </w:tcPr>
          <w:p w14:paraId="2BFFF7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*培训服务</w:t>
            </w:r>
          </w:p>
        </w:tc>
        <w:tc>
          <w:tcPr>
            <w:tcW w:w="1404" w:type="dxa"/>
            <w:gridSpan w:val="2"/>
            <w:vAlign w:val="center"/>
          </w:tcPr>
          <w:p w14:paraId="15B8E2D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*培训服务</w:t>
            </w:r>
          </w:p>
        </w:tc>
        <w:tc>
          <w:tcPr>
            <w:tcW w:w="5597" w:type="dxa"/>
            <w:vAlign w:val="center"/>
          </w:tcPr>
          <w:p w14:paraId="70E325D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供应商提供培训材料、产品手册、培训视频等培训相关内容</w:t>
            </w:r>
            <w:r>
              <w:rPr>
                <w:rFonts w:hint="eastAsia" w:ascii="宋体" w:hAnsi="宋体" w:eastAsia="宋体" w:cs="宋体"/>
                <w:color w:val="auto"/>
                <w:sz w:val="21"/>
                <w:szCs w:val="21"/>
                <w:highlight w:val="none"/>
                <w:lang w:eastAsia="zh-CN"/>
              </w:rPr>
              <w:t>。</w:t>
            </w:r>
          </w:p>
        </w:tc>
      </w:tr>
      <w:tr w14:paraId="24221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EEA36D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64</w:t>
            </w:r>
          </w:p>
        </w:tc>
        <w:tc>
          <w:tcPr>
            <w:tcW w:w="384" w:type="dxa"/>
            <w:vMerge w:val="continue"/>
            <w:vAlign w:val="center"/>
          </w:tcPr>
          <w:p w14:paraId="0A45A6C7">
            <w:pPr>
              <w:rPr>
                <w:rFonts w:hint="eastAsia" w:ascii="宋体" w:hAnsi="宋体" w:eastAsia="宋体" w:cs="宋体"/>
                <w:color w:val="auto"/>
                <w:sz w:val="21"/>
                <w:szCs w:val="21"/>
                <w:highlight w:val="none"/>
              </w:rPr>
            </w:pPr>
          </w:p>
        </w:tc>
        <w:tc>
          <w:tcPr>
            <w:tcW w:w="672" w:type="dxa"/>
            <w:vAlign w:val="center"/>
          </w:tcPr>
          <w:p w14:paraId="2D1BD24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*服务周期</w:t>
            </w:r>
          </w:p>
        </w:tc>
        <w:tc>
          <w:tcPr>
            <w:tcW w:w="1404" w:type="dxa"/>
            <w:gridSpan w:val="2"/>
            <w:vAlign w:val="center"/>
          </w:tcPr>
          <w:p w14:paraId="1F5E80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*服务周期</w:t>
            </w:r>
          </w:p>
        </w:tc>
        <w:tc>
          <w:tcPr>
            <w:tcW w:w="5597" w:type="dxa"/>
            <w:vAlign w:val="center"/>
          </w:tcPr>
          <w:p w14:paraId="7A93026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 产品免费服务周期（含换件和维修）应不小于3年</w:t>
            </w:r>
            <w:r>
              <w:rPr>
                <w:rFonts w:hint="eastAsia" w:ascii="宋体" w:hAnsi="宋体" w:eastAsia="宋体" w:cs="宋体"/>
                <w:color w:val="auto"/>
                <w:sz w:val="21"/>
                <w:szCs w:val="21"/>
                <w:highlight w:val="none"/>
                <w:lang w:eastAsia="zh-CN"/>
              </w:rPr>
              <w:t>。</w:t>
            </w:r>
          </w:p>
          <w:p w14:paraId="74CFA22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 设备停产后继续提供质量保障服务（含备品备件）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服务终止时间与最后一批设备交付时间间隔不低于6年</w:t>
            </w:r>
            <w:r>
              <w:rPr>
                <w:rFonts w:hint="eastAsia" w:ascii="宋体" w:hAnsi="宋体" w:eastAsia="宋体" w:cs="宋体"/>
                <w:color w:val="auto"/>
                <w:sz w:val="21"/>
                <w:szCs w:val="21"/>
                <w:highlight w:val="none"/>
                <w:lang w:eastAsia="zh-CN"/>
              </w:rPr>
              <w:t>。</w:t>
            </w:r>
          </w:p>
          <w:p w14:paraId="5C8C745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 产品停止服务时间应提前1年告知客户</w:t>
            </w:r>
            <w:r>
              <w:rPr>
                <w:rFonts w:hint="eastAsia" w:ascii="宋体" w:hAnsi="宋体" w:eastAsia="宋体" w:cs="宋体"/>
                <w:color w:val="auto"/>
                <w:sz w:val="21"/>
                <w:szCs w:val="21"/>
                <w:highlight w:val="none"/>
                <w:lang w:eastAsia="zh-CN"/>
              </w:rPr>
              <w:t>。</w:t>
            </w:r>
          </w:p>
          <w:p w14:paraId="1357A35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 产品发布日期需在随机文件中明确</w:t>
            </w:r>
            <w:r>
              <w:rPr>
                <w:rFonts w:hint="eastAsia" w:ascii="宋体" w:hAnsi="宋体" w:eastAsia="宋体" w:cs="宋体"/>
                <w:color w:val="auto"/>
                <w:sz w:val="21"/>
                <w:szCs w:val="21"/>
                <w:highlight w:val="none"/>
                <w:lang w:eastAsia="zh-CN"/>
              </w:rPr>
              <w:t>。</w:t>
            </w:r>
          </w:p>
        </w:tc>
      </w:tr>
      <w:tr w14:paraId="5BA6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4C06F17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65</w:t>
            </w:r>
          </w:p>
        </w:tc>
        <w:tc>
          <w:tcPr>
            <w:tcW w:w="384" w:type="dxa"/>
            <w:vMerge w:val="continue"/>
            <w:vAlign w:val="center"/>
          </w:tcPr>
          <w:p w14:paraId="4169E1EE">
            <w:pPr>
              <w:rPr>
                <w:rFonts w:hint="eastAsia" w:ascii="宋体" w:hAnsi="宋体" w:eastAsia="宋体" w:cs="宋体"/>
                <w:color w:val="auto"/>
                <w:sz w:val="21"/>
                <w:szCs w:val="21"/>
                <w:highlight w:val="none"/>
              </w:rPr>
            </w:pPr>
          </w:p>
        </w:tc>
        <w:tc>
          <w:tcPr>
            <w:tcW w:w="672" w:type="dxa"/>
            <w:vMerge w:val="restart"/>
            <w:vAlign w:val="center"/>
          </w:tcPr>
          <w:p w14:paraId="160D4BC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*服务工具要求</w:t>
            </w:r>
          </w:p>
        </w:tc>
        <w:tc>
          <w:tcPr>
            <w:tcW w:w="1404" w:type="dxa"/>
            <w:gridSpan w:val="2"/>
            <w:vAlign w:val="center"/>
          </w:tcPr>
          <w:p w14:paraId="1721668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*工具要求</w:t>
            </w:r>
          </w:p>
        </w:tc>
        <w:tc>
          <w:tcPr>
            <w:tcW w:w="5597" w:type="dxa"/>
            <w:vAlign w:val="center"/>
          </w:tcPr>
          <w:p w14:paraId="7767940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供应商提供设置服务器硬件、辅助操作系统安装等功能的辅助工具和管理软件。且随附软件应具有合法授权或版权</w:t>
            </w:r>
            <w:r>
              <w:rPr>
                <w:rFonts w:hint="eastAsia" w:ascii="宋体" w:hAnsi="宋体" w:eastAsia="宋体" w:cs="宋体"/>
                <w:color w:val="auto"/>
                <w:sz w:val="21"/>
                <w:szCs w:val="21"/>
                <w:highlight w:val="none"/>
                <w:lang w:eastAsia="zh-CN"/>
              </w:rPr>
              <w:t>。</w:t>
            </w:r>
          </w:p>
        </w:tc>
      </w:tr>
      <w:tr w14:paraId="3DDB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1E82613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66</w:t>
            </w:r>
          </w:p>
        </w:tc>
        <w:tc>
          <w:tcPr>
            <w:tcW w:w="384" w:type="dxa"/>
            <w:vMerge w:val="continue"/>
            <w:vAlign w:val="center"/>
          </w:tcPr>
          <w:p w14:paraId="0AD88C32">
            <w:pPr>
              <w:rPr>
                <w:rFonts w:hint="eastAsia" w:ascii="宋体" w:hAnsi="宋体" w:eastAsia="宋体" w:cs="宋体"/>
                <w:color w:val="auto"/>
                <w:sz w:val="21"/>
                <w:szCs w:val="21"/>
                <w:highlight w:val="none"/>
              </w:rPr>
            </w:pPr>
          </w:p>
        </w:tc>
        <w:tc>
          <w:tcPr>
            <w:tcW w:w="672" w:type="dxa"/>
            <w:vMerge w:val="continue"/>
            <w:vAlign w:val="center"/>
          </w:tcPr>
          <w:p w14:paraId="30870E64">
            <w:pPr>
              <w:rPr>
                <w:rFonts w:hint="eastAsia" w:ascii="宋体" w:hAnsi="宋体" w:eastAsia="宋体" w:cs="宋体"/>
                <w:color w:val="auto"/>
                <w:sz w:val="21"/>
                <w:szCs w:val="21"/>
                <w:highlight w:val="none"/>
              </w:rPr>
            </w:pPr>
          </w:p>
        </w:tc>
        <w:tc>
          <w:tcPr>
            <w:tcW w:w="1404" w:type="dxa"/>
            <w:gridSpan w:val="2"/>
            <w:vAlign w:val="center"/>
          </w:tcPr>
          <w:p w14:paraId="550C798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*驱动安装升级指引</w:t>
            </w:r>
          </w:p>
        </w:tc>
        <w:tc>
          <w:tcPr>
            <w:tcW w:w="5597" w:type="dxa"/>
            <w:vAlign w:val="center"/>
          </w:tcPr>
          <w:p w14:paraId="5A9FC1D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供应商提供出厂安装的配件所需的驱动程序，形式包括但不限于驱动光盘、驱动下载链接等。其他配件应提供指引</w:t>
            </w:r>
            <w:r>
              <w:rPr>
                <w:rFonts w:hint="eastAsia" w:ascii="宋体" w:hAnsi="宋体" w:eastAsia="宋体" w:cs="宋体"/>
                <w:color w:val="auto"/>
                <w:sz w:val="21"/>
                <w:szCs w:val="21"/>
                <w:highlight w:val="none"/>
                <w:lang w:eastAsia="zh-CN"/>
              </w:rPr>
              <w:t>。</w:t>
            </w:r>
          </w:p>
        </w:tc>
      </w:tr>
      <w:tr w14:paraId="535C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35DEA2E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67</w:t>
            </w:r>
          </w:p>
        </w:tc>
        <w:tc>
          <w:tcPr>
            <w:tcW w:w="384" w:type="dxa"/>
            <w:vMerge w:val="continue"/>
            <w:vAlign w:val="center"/>
          </w:tcPr>
          <w:p w14:paraId="391C1ECE">
            <w:pPr>
              <w:rPr>
                <w:rFonts w:hint="eastAsia" w:ascii="宋体" w:hAnsi="宋体" w:eastAsia="宋体" w:cs="宋体"/>
                <w:color w:val="auto"/>
                <w:sz w:val="21"/>
                <w:szCs w:val="21"/>
                <w:highlight w:val="none"/>
              </w:rPr>
            </w:pPr>
          </w:p>
        </w:tc>
        <w:tc>
          <w:tcPr>
            <w:tcW w:w="672" w:type="dxa"/>
            <w:vMerge w:val="continue"/>
            <w:vAlign w:val="center"/>
          </w:tcPr>
          <w:p w14:paraId="06D6A918">
            <w:pPr>
              <w:rPr>
                <w:rFonts w:hint="eastAsia" w:ascii="宋体" w:hAnsi="宋体" w:eastAsia="宋体" w:cs="宋体"/>
                <w:color w:val="auto"/>
                <w:sz w:val="21"/>
                <w:szCs w:val="21"/>
                <w:highlight w:val="none"/>
              </w:rPr>
            </w:pPr>
          </w:p>
        </w:tc>
        <w:tc>
          <w:tcPr>
            <w:tcW w:w="1404" w:type="dxa"/>
            <w:gridSpan w:val="2"/>
            <w:vAlign w:val="center"/>
          </w:tcPr>
          <w:p w14:paraId="7421B2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*管理软件</w:t>
            </w:r>
          </w:p>
        </w:tc>
        <w:tc>
          <w:tcPr>
            <w:tcW w:w="5597" w:type="dxa"/>
            <w:vAlign w:val="center"/>
          </w:tcPr>
          <w:p w14:paraId="4BCB5A8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具备资源管理、系统管理、性能监控、健康监控、基于网络控制、报警设置功能</w:t>
            </w:r>
            <w:r>
              <w:rPr>
                <w:rFonts w:hint="eastAsia" w:ascii="宋体" w:hAnsi="宋体" w:eastAsia="宋体" w:cs="宋体"/>
                <w:color w:val="auto"/>
                <w:sz w:val="21"/>
                <w:szCs w:val="21"/>
                <w:highlight w:val="none"/>
                <w:lang w:eastAsia="zh-CN"/>
              </w:rPr>
              <w:t>。</w:t>
            </w:r>
          </w:p>
        </w:tc>
      </w:tr>
      <w:tr w14:paraId="43A7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CD8653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68</w:t>
            </w:r>
          </w:p>
        </w:tc>
        <w:tc>
          <w:tcPr>
            <w:tcW w:w="384" w:type="dxa"/>
            <w:vMerge w:val="continue"/>
            <w:vAlign w:val="center"/>
          </w:tcPr>
          <w:p w14:paraId="64B03B28">
            <w:pPr>
              <w:rPr>
                <w:rFonts w:hint="eastAsia" w:ascii="宋体" w:hAnsi="宋体" w:eastAsia="宋体" w:cs="宋体"/>
                <w:color w:val="auto"/>
                <w:sz w:val="21"/>
                <w:szCs w:val="21"/>
                <w:highlight w:val="none"/>
              </w:rPr>
            </w:pPr>
          </w:p>
        </w:tc>
        <w:tc>
          <w:tcPr>
            <w:tcW w:w="672" w:type="dxa"/>
            <w:vMerge w:val="restart"/>
            <w:vAlign w:val="center"/>
          </w:tcPr>
          <w:p w14:paraId="5420CA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*增值服务</w:t>
            </w:r>
          </w:p>
        </w:tc>
        <w:tc>
          <w:tcPr>
            <w:tcW w:w="1404" w:type="dxa"/>
            <w:gridSpan w:val="2"/>
            <w:vAlign w:val="center"/>
          </w:tcPr>
          <w:p w14:paraId="718578E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*厂家升级产品软件与扩容服务</w:t>
            </w:r>
          </w:p>
        </w:tc>
        <w:tc>
          <w:tcPr>
            <w:tcW w:w="5597" w:type="dxa"/>
            <w:vAlign w:val="center"/>
          </w:tcPr>
          <w:p w14:paraId="287C4D2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供应商提供原厂级的部件/软件产品升级和扩容能力</w:t>
            </w:r>
            <w:r>
              <w:rPr>
                <w:rFonts w:hint="eastAsia" w:ascii="宋体" w:hAnsi="宋体" w:eastAsia="宋体" w:cs="宋体"/>
                <w:color w:val="auto"/>
                <w:sz w:val="21"/>
                <w:szCs w:val="21"/>
                <w:highlight w:val="none"/>
                <w:lang w:eastAsia="zh-CN"/>
              </w:rPr>
              <w:t>。</w:t>
            </w:r>
          </w:p>
        </w:tc>
      </w:tr>
      <w:tr w14:paraId="014A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0DE7AA6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69</w:t>
            </w:r>
          </w:p>
        </w:tc>
        <w:tc>
          <w:tcPr>
            <w:tcW w:w="384" w:type="dxa"/>
            <w:vMerge w:val="continue"/>
            <w:vAlign w:val="center"/>
          </w:tcPr>
          <w:p w14:paraId="0B80843D">
            <w:pPr>
              <w:rPr>
                <w:rFonts w:hint="eastAsia" w:ascii="宋体" w:hAnsi="宋体" w:eastAsia="宋体" w:cs="宋体"/>
                <w:color w:val="auto"/>
                <w:sz w:val="21"/>
                <w:szCs w:val="21"/>
                <w:highlight w:val="none"/>
              </w:rPr>
            </w:pPr>
          </w:p>
        </w:tc>
        <w:tc>
          <w:tcPr>
            <w:tcW w:w="672" w:type="dxa"/>
            <w:vMerge w:val="continue"/>
            <w:vAlign w:val="center"/>
          </w:tcPr>
          <w:p w14:paraId="5C5DDDB1">
            <w:pPr>
              <w:rPr>
                <w:rFonts w:hint="eastAsia" w:ascii="宋体" w:hAnsi="宋体" w:eastAsia="宋体" w:cs="宋体"/>
                <w:color w:val="auto"/>
                <w:sz w:val="21"/>
                <w:szCs w:val="21"/>
                <w:highlight w:val="none"/>
              </w:rPr>
            </w:pPr>
          </w:p>
        </w:tc>
        <w:tc>
          <w:tcPr>
            <w:tcW w:w="1404" w:type="dxa"/>
            <w:gridSpan w:val="2"/>
            <w:vAlign w:val="center"/>
          </w:tcPr>
          <w:p w14:paraId="180EBEB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*提供上门服务</w:t>
            </w:r>
          </w:p>
        </w:tc>
        <w:tc>
          <w:tcPr>
            <w:tcW w:w="5597" w:type="dxa"/>
            <w:vAlign w:val="center"/>
          </w:tcPr>
          <w:p w14:paraId="08B7768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供应商具备提供上门服务的能力</w:t>
            </w:r>
            <w:r>
              <w:rPr>
                <w:rFonts w:hint="eastAsia" w:ascii="宋体" w:hAnsi="宋体" w:eastAsia="宋体" w:cs="宋体"/>
                <w:color w:val="auto"/>
                <w:sz w:val="21"/>
                <w:szCs w:val="21"/>
                <w:highlight w:val="none"/>
                <w:lang w:eastAsia="zh-CN"/>
              </w:rPr>
              <w:t>。</w:t>
            </w:r>
          </w:p>
        </w:tc>
      </w:tr>
      <w:tr w14:paraId="3C9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1120E3B4">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70</w:t>
            </w:r>
          </w:p>
        </w:tc>
        <w:tc>
          <w:tcPr>
            <w:tcW w:w="384" w:type="dxa"/>
            <w:vMerge w:val="restart"/>
            <w:vAlign w:val="center"/>
          </w:tcPr>
          <w:p w14:paraId="35CC2B5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供保要求</w:t>
            </w:r>
          </w:p>
        </w:tc>
        <w:tc>
          <w:tcPr>
            <w:tcW w:w="672" w:type="dxa"/>
            <w:vMerge w:val="restart"/>
            <w:vAlign w:val="center"/>
          </w:tcPr>
          <w:p w14:paraId="402FC1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*供应链质量</w:t>
            </w:r>
          </w:p>
        </w:tc>
        <w:tc>
          <w:tcPr>
            <w:tcW w:w="1404" w:type="dxa"/>
            <w:gridSpan w:val="2"/>
            <w:vAlign w:val="center"/>
          </w:tcPr>
          <w:p w14:paraId="031EEC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*抗干扰性</w:t>
            </w:r>
          </w:p>
        </w:tc>
        <w:tc>
          <w:tcPr>
            <w:tcW w:w="5597" w:type="dxa"/>
            <w:vAlign w:val="center"/>
          </w:tcPr>
          <w:p w14:paraId="54542F1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当产品部件出现供应风险时，应通知客户并提供风险应对方案确保产品的服务保障，必要时应停止相关受影响产品的销售</w:t>
            </w:r>
            <w:r>
              <w:rPr>
                <w:rFonts w:hint="eastAsia" w:ascii="宋体" w:hAnsi="宋体" w:eastAsia="宋体" w:cs="宋体"/>
                <w:color w:val="auto"/>
                <w:sz w:val="21"/>
                <w:szCs w:val="21"/>
                <w:highlight w:val="none"/>
                <w:lang w:eastAsia="zh-CN"/>
              </w:rPr>
              <w:t>。</w:t>
            </w:r>
          </w:p>
        </w:tc>
      </w:tr>
      <w:tr w14:paraId="46B4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8" w:type="dxa"/>
            <w:vAlign w:val="center"/>
          </w:tcPr>
          <w:p w14:paraId="3DEAAA6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1</w:t>
            </w:r>
          </w:p>
        </w:tc>
        <w:tc>
          <w:tcPr>
            <w:tcW w:w="384" w:type="dxa"/>
            <w:vMerge w:val="continue"/>
            <w:vAlign w:val="center"/>
          </w:tcPr>
          <w:p w14:paraId="6E97861B">
            <w:pPr>
              <w:rPr>
                <w:rFonts w:hint="eastAsia" w:ascii="宋体" w:hAnsi="宋体" w:eastAsia="宋体" w:cs="宋体"/>
                <w:color w:val="auto"/>
                <w:sz w:val="21"/>
                <w:szCs w:val="21"/>
                <w:highlight w:val="none"/>
              </w:rPr>
            </w:pPr>
          </w:p>
        </w:tc>
        <w:tc>
          <w:tcPr>
            <w:tcW w:w="672" w:type="dxa"/>
            <w:vMerge w:val="continue"/>
            <w:vAlign w:val="center"/>
          </w:tcPr>
          <w:p w14:paraId="4600BA76">
            <w:pPr>
              <w:rPr>
                <w:rFonts w:hint="eastAsia" w:ascii="宋体" w:hAnsi="宋体" w:eastAsia="宋体" w:cs="宋体"/>
                <w:color w:val="auto"/>
                <w:sz w:val="21"/>
                <w:szCs w:val="21"/>
                <w:highlight w:val="none"/>
              </w:rPr>
            </w:pPr>
          </w:p>
        </w:tc>
        <w:tc>
          <w:tcPr>
            <w:tcW w:w="1404" w:type="dxa"/>
            <w:gridSpan w:val="2"/>
            <w:vAlign w:val="center"/>
          </w:tcPr>
          <w:p w14:paraId="42A12B7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*供应能力证明</w:t>
            </w:r>
          </w:p>
        </w:tc>
        <w:tc>
          <w:tcPr>
            <w:tcW w:w="5597" w:type="dxa"/>
            <w:vAlign w:val="center"/>
          </w:tcPr>
          <w:p w14:paraId="3C0C80C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供应商提供供应链稳定承诺书，确保产品的部件在产品服务周期内稳定供货</w:t>
            </w:r>
            <w:r>
              <w:rPr>
                <w:rFonts w:hint="eastAsia" w:ascii="宋体" w:hAnsi="宋体" w:eastAsia="宋体" w:cs="宋体"/>
                <w:color w:val="auto"/>
                <w:sz w:val="21"/>
                <w:szCs w:val="21"/>
                <w:highlight w:val="none"/>
                <w:lang w:eastAsia="zh-CN"/>
              </w:rPr>
              <w:t>。</w:t>
            </w:r>
          </w:p>
        </w:tc>
      </w:tr>
      <w:tr w14:paraId="52F1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95" w:type="dxa"/>
            <w:gridSpan w:val="6"/>
            <w:vAlign w:val="center"/>
          </w:tcPr>
          <w:p w14:paraId="15C573A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超融合软件系统</w:t>
            </w:r>
          </w:p>
        </w:tc>
      </w:tr>
      <w:tr w14:paraId="7743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Align w:val="center"/>
          </w:tcPr>
          <w:p w14:paraId="1F02CBA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指标项</w:t>
            </w:r>
          </w:p>
        </w:tc>
        <w:tc>
          <w:tcPr>
            <w:tcW w:w="6895" w:type="dxa"/>
            <w:gridSpan w:val="2"/>
            <w:vAlign w:val="center"/>
          </w:tcPr>
          <w:p w14:paraId="494BAD4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tc>
      </w:tr>
      <w:tr w14:paraId="091C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Align w:val="center"/>
          </w:tcPr>
          <w:p w14:paraId="0591DF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质保授权</w:t>
            </w:r>
          </w:p>
        </w:tc>
        <w:tc>
          <w:tcPr>
            <w:tcW w:w="6895" w:type="dxa"/>
            <w:gridSpan w:val="2"/>
            <w:vAlign w:val="center"/>
          </w:tcPr>
          <w:p w14:paraId="48448E8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信创超融合软件需为国产品牌，必须符合国产化要求。包含计算服务器虚拟化、网络虚拟化、安全虚拟化、存储虚拟化、云计算管理平台软件授权许可各2套。提供不少于1套虚拟麒麟内核授权。提供不少于3年产品质保和软件升级服务</w:t>
            </w:r>
            <w:r>
              <w:rPr>
                <w:rFonts w:hint="eastAsia" w:ascii="宋体" w:hAnsi="宋体" w:eastAsia="宋体" w:cs="宋体"/>
                <w:color w:val="auto"/>
                <w:sz w:val="21"/>
                <w:szCs w:val="21"/>
                <w:highlight w:val="none"/>
                <w:lang w:eastAsia="zh-CN"/>
              </w:rPr>
              <w:t>。</w:t>
            </w:r>
          </w:p>
        </w:tc>
      </w:tr>
      <w:tr w14:paraId="5037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restart"/>
            <w:vAlign w:val="center"/>
          </w:tcPr>
          <w:p w14:paraId="528D32E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计算虚拟化</w:t>
            </w:r>
          </w:p>
        </w:tc>
        <w:tc>
          <w:tcPr>
            <w:tcW w:w="6895" w:type="dxa"/>
            <w:gridSpan w:val="2"/>
            <w:vAlign w:val="center"/>
          </w:tcPr>
          <w:p w14:paraId="0DE61E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为保障医院供电不稳定时导致数据中心断电不影响单位核心生产业务，产品需支持UPS QoS（UPS联动），当UPS电量过低时，按照虚拟机优先级可自动先将不重要的虚拟机进行软关机。</w:t>
            </w:r>
          </w:p>
        </w:tc>
      </w:tr>
      <w:tr w14:paraId="4BB4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0648BF52">
            <w:pPr>
              <w:rPr>
                <w:rFonts w:hint="eastAsia" w:ascii="宋体" w:hAnsi="宋体" w:eastAsia="宋体" w:cs="宋体"/>
                <w:color w:val="auto"/>
                <w:sz w:val="21"/>
                <w:szCs w:val="21"/>
                <w:highlight w:val="none"/>
              </w:rPr>
            </w:pPr>
          </w:p>
        </w:tc>
        <w:tc>
          <w:tcPr>
            <w:tcW w:w="6895" w:type="dxa"/>
            <w:gridSpan w:val="2"/>
            <w:vAlign w:val="center"/>
          </w:tcPr>
          <w:p w14:paraId="2FE051F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虚拟机迁移支持指定网口迁移、限制迁移速度、启用压缩传输，同时虚拟机迁移过程中如因数据写入量过大迁移不完，可支持强制切换操作。</w:t>
            </w:r>
          </w:p>
        </w:tc>
      </w:tr>
      <w:tr w14:paraId="15BD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restart"/>
            <w:vAlign w:val="center"/>
          </w:tcPr>
          <w:p w14:paraId="744555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存储虚拟化</w:t>
            </w:r>
          </w:p>
        </w:tc>
        <w:tc>
          <w:tcPr>
            <w:tcW w:w="6895" w:type="dxa"/>
            <w:gridSpan w:val="2"/>
            <w:vAlign w:val="center"/>
          </w:tcPr>
          <w:p w14:paraId="22E0663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提供分布式存储服务，无需独立的元数据及控制器节点</w:t>
            </w:r>
            <w:r>
              <w:rPr>
                <w:rFonts w:hint="eastAsia" w:ascii="宋体" w:hAnsi="宋体" w:eastAsia="宋体" w:cs="宋体"/>
                <w:color w:val="auto"/>
                <w:sz w:val="21"/>
                <w:szCs w:val="21"/>
                <w:highlight w:val="none"/>
                <w:lang w:eastAsia="zh-CN"/>
              </w:rPr>
              <w:t>。</w:t>
            </w:r>
          </w:p>
        </w:tc>
      </w:tr>
      <w:tr w14:paraId="0DA7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24B5F8B3">
            <w:pPr>
              <w:rPr>
                <w:rFonts w:hint="eastAsia" w:ascii="宋体" w:hAnsi="宋体" w:eastAsia="宋体" w:cs="宋体"/>
                <w:color w:val="auto"/>
                <w:sz w:val="21"/>
                <w:szCs w:val="21"/>
                <w:highlight w:val="none"/>
              </w:rPr>
            </w:pPr>
          </w:p>
        </w:tc>
        <w:tc>
          <w:tcPr>
            <w:tcW w:w="6895" w:type="dxa"/>
            <w:gridSpan w:val="2"/>
            <w:vAlign w:val="center"/>
          </w:tcPr>
          <w:p w14:paraId="7412BB4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支持针对卡慢盘、异常只读盘的自动检测、自动隔离及手动隔离，隔离分为临时拔盘、永久拔盘，消除磁盘异常对业务的影响。</w:t>
            </w:r>
          </w:p>
        </w:tc>
      </w:tr>
      <w:tr w14:paraId="57BD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restart"/>
            <w:vAlign w:val="center"/>
          </w:tcPr>
          <w:p w14:paraId="6856135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网络虚拟化</w:t>
            </w:r>
          </w:p>
        </w:tc>
        <w:tc>
          <w:tcPr>
            <w:tcW w:w="6895" w:type="dxa"/>
            <w:gridSpan w:val="2"/>
            <w:vAlign w:val="center"/>
          </w:tcPr>
          <w:p w14:paraId="493029B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为了能够根据实际需求和资源情况，灵活地管理和优化虚拟路由器的部署，要求可以支持手动指定虚拟路由器运行在固定的物理主机上，可以自动将虚拟路由器规划到高性能和高吞吐的物理主机上。</w:t>
            </w:r>
          </w:p>
        </w:tc>
      </w:tr>
      <w:tr w14:paraId="3030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1BAA6AE9">
            <w:pPr>
              <w:rPr>
                <w:rFonts w:hint="eastAsia" w:ascii="宋体" w:hAnsi="宋体" w:eastAsia="宋体" w:cs="宋体"/>
                <w:color w:val="auto"/>
                <w:sz w:val="21"/>
                <w:szCs w:val="21"/>
                <w:highlight w:val="none"/>
              </w:rPr>
            </w:pPr>
          </w:p>
        </w:tc>
        <w:tc>
          <w:tcPr>
            <w:tcW w:w="6895" w:type="dxa"/>
            <w:gridSpan w:val="2"/>
            <w:vAlign w:val="center"/>
          </w:tcPr>
          <w:p w14:paraId="73D43CE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分布式防火墙基于监测虚机IP地址和端口进行东西向流量隔离控制，并提供实时拦截日志，以及支持“数据直通ByPass”功能，方便出现问题快速定位问题。</w:t>
            </w:r>
          </w:p>
        </w:tc>
      </w:tr>
      <w:tr w14:paraId="529EE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restart"/>
            <w:vAlign w:val="center"/>
          </w:tcPr>
          <w:p w14:paraId="5ED87E6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安全虚拟化</w:t>
            </w:r>
          </w:p>
        </w:tc>
        <w:tc>
          <w:tcPr>
            <w:tcW w:w="6895" w:type="dxa"/>
            <w:gridSpan w:val="2"/>
            <w:vAlign w:val="center"/>
          </w:tcPr>
          <w:p w14:paraId="327521C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产品完全自研，非OEM。</w:t>
            </w:r>
          </w:p>
        </w:tc>
      </w:tr>
      <w:tr w14:paraId="62CA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667596C2">
            <w:pPr>
              <w:rPr>
                <w:rFonts w:hint="eastAsia" w:ascii="宋体" w:hAnsi="宋体" w:eastAsia="宋体" w:cs="宋体"/>
                <w:color w:val="auto"/>
                <w:sz w:val="21"/>
                <w:szCs w:val="21"/>
                <w:highlight w:val="none"/>
              </w:rPr>
            </w:pPr>
          </w:p>
        </w:tc>
        <w:tc>
          <w:tcPr>
            <w:tcW w:w="6895" w:type="dxa"/>
            <w:gridSpan w:val="2"/>
            <w:vAlign w:val="center"/>
          </w:tcPr>
          <w:p w14:paraId="482587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安全事件展示，包括勒索病毒，暴力破解，后门等；支持安全事件报表分析；支持按优先级排序展示虚拟机安全状态，包括操作系统、内部应用、安全事件、是否开启防护等，支持搜索筛选；支持安全告警展示；支持安全事件处置记录展示；支持病毒扫描记录展示；支持查看虚拟机安全防护状态；支持虚拟化平台自动安装agent代理进行虚拟主机防护。</w:t>
            </w:r>
          </w:p>
        </w:tc>
      </w:tr>
      <w:tr w14:paraId="7F10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3463722F">
            <w:pPr>
              <w:rPr>
                <w:rFonts w:hint="eastAsia" w:ascii="宋体" w:hAnsi="宋体" w:eastAsia="宋体" w:cs="宋体"/>
                <w:color w:val="auto"/>
                <w:sz w:val="21"/>
                <w:szCs w:val="21"/>
                <w:highlight w:val="none"/>
              </w:rPr>
            </w:pPr>
          </w:p>
        </w:tc>
        <w:tc>
          <w:tcPr>
            <w:tcW w:w="6895" w:type="dxa"/>
            <w:gridSpan w:val="2"/>
            <w:vAlign w:val="center"/>
          </w:tcPr>
          <w:p w14:paraId="6620455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安全中心需集成于虚拟化超融合平台中，一体化方式交付，无需第三方平台承载，平台必须能够提供虚拟主机安全防护安全能力，并对检测到的恶意活动可自动采取分布式防火墙隔离虚拟机、为虚拟机拍摄快照等防护手段。</w:t>
            </w:r>
          </w:p>
        </w:tc>
      </w:tr>
      <w:tr w14:paraId="724C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2ED65299">
            <w:pPr>
              <w:rPr>
                <w:rFonts w:hint="eastAsia" w:ascii="宋体" w:hAnsi="宋体" w:eastAsia="宋体" w:cs="宋体"/>
                <w:color w:val="auto"/>
                <w:sz w:val="21"/>
                <w:szCs w:val="21"/>
                <w:highlight w:val="none"/>
              </w:rPr>
            </w:pPr>
          </w:p>
        </w:tc>
        <w:tc>
          <w:tcPr>
            <w:tcW w:w="6895" w:type="dxa"/>
            <w:gridSpan w:val="2"/>
            <w:vAlign w:val="center"/>
          </w:tcPr>
          <w:p w14:paraId="6F2B7C4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展示终端检测到的WebShell事件及事件详情，包括：恶意文件名称，威胁等级，受感染的文件，发现时间，检测引擎，文件类型，文件名，文件Hash值，文件大小，文件创建时间；可配置WebShell实时扫描，一旦发现WebShell文件，可自动隔离或仅上报不隔离。</w:t>
            </w:r>
            <w:r>
              <w:rPr>
                <w:rFonts w:hint="eastAsia" w:ascii="宋体" w:hAnsi="宋体" w:eastAsia="宋体" w:cs="宋体"/>
                <w:b/>
                <w:bCs/>
                <w:color w:val="auto"/>
                <w:sz w:val="21"/>
                <w:szCs w:val="21"/>
                <w:highlight w:val="none"/>
              </w:rPr>
              <w:t>（提供产品功能截图证明）</w:t>
            </w:r>
          </w:p>
        </w:tc>
      </w:tr>
      <w:tr w14:paraId="48F5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4A24A5E2">
            <w:pPr>
              <w:rPr>
                <w:rFonts w:hint="eastAsia" w:ascii="宋体" w:hAnsi="宋体" w:eastAsia="宋体" w:cs="宋体"/>
                <w:color w:val="auto"/>
                <w:sz w:val="21"/>
                <w:szCs w:val="21"/>
                <w:highlight w:val="none"/>
              </w:rPr>
            </w:pPr>
          </w:p>
        </w:tc>
        <w:tc>
          <w:tcPr>
            <w:tcW w:w="6895" w:type="dxa"/>
            <w:gridSpan w:val="2"/>
            <w:vAlign w:val="center"/>
          </w:tcPr>
          <w:p w14:paraId="7AFCA2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基于业务安全考虑，避免产生额外的经济损失，同时简化安全问题处置复杂度， 超融合平台需满足：提供可靠的向导化勒索病毒防护和处理解决方案，包括紧急隔离、保留当前状态、恢复云主机、扫描病毒、恢复网络。并支持事前勒索病毒防护、事中检测疑似勒索可自动对虚拟机打快照、事后勒索病毒向导化处理。</w:t>
            </w:r>
          </w:p>
        </w:tc>
      </w:tr>
      <w:tr w14:paraId="20BE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6B69D180">
            <w:pPr>
              <w:rPr>
                <w:rFonts w:hint="eastAsia" w:ascii="宋体" w:hAnsi="宋体" w:eastAsia="宋体" w:cs="宋体"/>
                <w:color w:val="auto"/>
                <w:sz w:val="21"/>
                <w:szCs w:val="21"/>
                <w:highlight w:val="none"/>
              </w:rPr>
            </w:pPr>
          </w:p>
        </w:tc>
        <w:tc>
          <w:tcPr>
            <w:tcW w:w="6895" w:type="dxa"/>
            <w:gridSpan w:val="2"/>
            <w:vAlign w:val="center"/>
          </w:tcPr>
          <w:p w14:paraId="5597199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云平台网络安全考虑，云平台需内置分布式七层网络攻击防护能力。支持以虚拟机为粒度，对指定虚拟机、批量虚拟机、指定IP、指定IP范围开启网络防护功能，且不因IP地址变更或迁移等情况导致安全能力失效。支持为租户VPC网络配置网络攻击防护策略。</w:t>
            </w:r>
          </w:p>
        </w:tc>
      </w:tr>
      <w:tr w14:paraId="470C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38887C23">
            <w:pPr>
              <w:rPr>
                <w:rFonts w:hint="eastAsia" w:ascii="宋体" w:hAnsi="宋体" w:eastAsia="宋体" w:cs="宋体"/>
                <w:color w:val="auto"/>
                <w:sz w:val="21"/>
                <w:szCs w:val="21"/>
                <w:highlight w:val="none"/>
              </w:rPr>
            </w:pPr>
          </w:p>
        </w:tc>
        <w:tc>
          <w:tcPr>
            <w:tcW w:w="6895" w:type="dxa"/>
            <w:gridSpan w:val="2"/>
            <w:vAlign w:val="center"/>
          </w:tcPr>
          <w:p w14:paraId="670F0A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云平台需具备虚拟补丁能力，且无需在主机操作系统打补丁，可直接在网络层对指定虚拟机和批量虚拟机开启补丁防护。且策略不因IP地址变更或迁移等情况导致能力失效。</w:t>
            </w:r>
          </w:p>
        </w:tc>
      </w:tr>
      <w:tr w14:paraId="743F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366250A3">
            <w:pPr>
              <w:rPr>
                <w:rFonts w:hint="eastAsia" w:ascii="宋体" w:hAnsi="宋体" w:eastAsia="宋体" w:cs="宋体"/>
                <w:color w:val="auto"/>
                <w:sz w:val="21"/>
                <w:szCs w:val="21"/>
                <w:highlight w:val="none"/>
              </w:rPr>
            </w:pPr>
          </w:p>
        </w:tc>
        <w:tc>
          <w:tcPr>
            <w:tcW w:w="6895" w:type="dxa"/>
            <w:gridSpan w:val="2"/>
            <w:vAlign w:val="center"/>
          </w:tcPr>
          <w:p w14:paraId="74BC3B6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◆支持DDoS攻击防护、Web应用安全防护、入侵防护功能、支持URL过滤和文件过滤功能、僵尸主机检测、病毒防护、网页篡改防护等功能，保障业务的高安全性。</w:t>
            </w:r>
            <w:r>
              <w:rPr>
                <w:rFonts w:hint="eastAsia" w:ascii="宋体" w:hAnsi="宋体" w:eastAsia="宋体" w:cs="宋体"/>
                <w:b/>
                <w:bCs/>
                <w:color w:val="auto"/>
                <w:sz w:val="21"/>
                <w:szCs w:val="21"/>
                <w:highlight w:val="none"/>
              </w:rPr>
              <w:t>（提供产品功能截图证明）</w:t>
            </w:r>
          </w:p>
        </w:tc>
      </w:tr>
      <w:tr w14:paraId="0059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16BA317D">
            <w:pPr>
              <w:rPr>
                <w:rFonts w:hint="eastAsia" w:ascii="宋体" w:hAnsi="宋体" w:eastAsia="宋体" w:cs="宋体"/>
                <w:color w:val="auto"/>
                <w:sz w:val="21"/>
                <w:szCs w:val="21"/>
                <w:highlight w:val="none"/>
              </w:rPr>
            </w:pPr>
          </w:p>
        </w:tc>
        <w:tc>
          <w:tcPr>
            <w:tcW w:w="6895" w:type="dxa"/>
            <w:gridSpan w:val="2"/>
            <w:vAlign w:val="center"/>
          </w:tcPr>
          <w:p w14:paraId="0009504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具备独立的僵尸主机识别特征库，恶意软件识别特征总数在160万条以上支持对虚拟机漏洞情况进行扫描，支持查看漏洞详情并修复。</w:t>
            </w:r>
          </w:p>
        </w:tc>
      </w:tr>
      <w:tr w14:paraId="4E50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4FED9B49">
            <w:pPr>
              <w:rPr>
                <w:rFonts w:hint="eastAsia" w:ascii="宋体" w:hAnsi="宋体" w:eastAsia="宋体" w:cs="宋体"/>
                <w:color w:val="auto"/>
                <w:sz w:val="21"/>
                <w:szCs w:val="21"/>
                <w:highlight w:val="none"/>
              </w:rPr>
            </w:pPr>
          </w:p>
        </w:tc>
        <w:tc>
          <w:tcPr>
            <w:tcW w:w="6895" w:type="dxa"/>
            <w:gridSpan w:val="2"/>
            <w:vAlign w:val="center"/>
          </w:tcPr>
          <w:p w14:paraId="696B23F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基于对医院有效安全防护和防止勒索病毒的需求，支持与现网防火墙进行安全联动，管理员可以在防火墙管理界面下发快速查杀任务，并查看任务状态、结果并进行处置，支持在管理平台查询和统计联动信息。</w:t>
            </w:r>
          </w:p>
        </w:tc>
      </w:tr>
      <w:tr w14:paraId="6EAF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0F571E96">
            <w:pPr>
              <w:rPr>
                <w:rFonts w:hint="eastAsia" w:ascii="宋体" w:hAnsi="宋体" w:eastAsia="宋体" w:cs="宋体"/>
                <w:color w:val="auto"/>
                <w:sz w:val="21"/>
                <w:szCs w:val="21"/>
                <w:highlight w:val="none"/>
              </w:rPr>
            </w:pPr>
          </w:p>
        </w:tc>
        <w:tc>
          <w:tcPr>
            <w:tcW w:w="6895" w:type="dxa"/>
            <w:gridSpan w:val="2"/>
            <w:vAlign w:val="center"/>
          </w:tcPr>
          <w:p w14:paraId="1C3D173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支持将虚拟机终端安全软件客户端检测出来的恶意文件事件、暴力破解事件、微隔离事件的日志上报到现网安全态势感知平台，安全态势感知平台进行分析和展示。</w:t>
            </w:r>
          </w:p>
        </w:tc>
      </w:tr>
      <w:tr w14:paraId="193E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restart"/>
            <w:vAlign w:val="center"/>
          </w:tcPr>
          <w:p w14:paraId="5D631BE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云计算管理平台</w:t>
            </w:r>
          </w:p>
        </w:tc>
        <w:tc>
          <w:tcPr>
            <w:tcW w:w="6895" w:type="dxa"/>
            <w:gridSpan w:val="2"/>
            <w:vAlign w:val="center"/>
          </w:tcPr>
          <w:p w14:paraId="3E31D82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◆云计算管理平台和本次底层资源池（计算虚拟化、存储虚拟化、网络虚拟化、安全虚拟化）均为同一厂商品牌提供，并可以支持扩展同一品牌的网络和安全虚拟化（虚拟应用防火墙、虚拟应用负载均衡、SSL VPN软件、数据库审计软件、无代理持续数据保护CDP软件等）功能组件，以保障平台的扩展性和兼容性。</w:t>
            </w:r>
            <w:r>
              <w:rPr>
                <w:rFonts w:hint="eastAsia" w:ascii="宋体" w:hAnsi="宋体" w:eastAsia="宋体" w:cs="宋体"/>
                <w:b/>
                <w:bCs/>
                <w:color w:val="auto"/>
                <w:sz w:val="21"/>
                <w:szCs w:val="21"/>
                <w:highlight w:val="none"/>
              </w:rPr>
              <w:t>（提供产品功能截图证明或技术白皮书说明）</w:t>
            </w:r>
          </w:p>
        </w:tc>
      </w:tr>
      <w:tr w14:paraId="53BE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104ECE94">
            <w:pPr>
              <w:rPr>
                <w:rFonts w:hint="eastAsia" w:ascii="宋体" w:hAnsi="宋体" w:eastAsia="宋体" w:cs="宋体"/>
                <w:color w:val="auto"/>
                <w:sz w:val="21"/>
                <w:szCs w:val="21"/>
                <w:highlight w:val="none"/>
              </w:rPr>
            </w:pPr>
          </w:p>
        </w:tc>
        <w:tc>
          <w:tcPr>
            <w:tcW w:w="6895" w:type="dxa"/>
            <w:gridSpan w:val="2"/>
            <w:vAlign w:val="center"/>
          </w:tcPr>
          <w:p w14:paraId="3A57C21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◆云管平台应具备完善的可靠性功能，需支持无代理持续数据保护CDP、异地容灾、云容灾等高可用服务，当主平台发生故障时，能够切换到备平台，保障云平台稳定运行。</w:t>
            </w:r>
            <w:r>
              <w:rPr>
                <w:rFonts w:hint="eastAsia" w:ascii="宋体" w:hAnsi="宋体" w:eastAsia="宋体" w:cs="宋体"/>
                <w:b/>
                <w:bCs/>
                <w:color w:val="auto"/>
                <w:sz w:val="21"/>
                <w:szCs w:val="21"/>
                <w:highlight w:val="none"/>
              </w:rPr>
              <w:t>（提供产品功能截图证明）</w:t>
            </w:r>
          </w:p>
        </w:tc>
      </w:tr>
      <w:tr w14:paraId="2484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4A202CB3">
            <w:pPr>
              <w:rPr>
                <w:rFonts w:hint="eastAsia" w:ascii="宋体" w:hAnsi="宋体" w:eastAsia="宋体" w:cs="宋体"/>
                <w:color w:val="auto"/>
                <w:sz w:val="21"/>
                <w:szCs w:val="21"/>
                <w:highlight w:val="none"/>
              </w:rPr>
            </w:pPr>
          </w:p>
        </w:tc>
        <w:tc>
          <w:tcPr>
            <w:tcW w:w="6895" w:type="dxa"/>
            <w:gridSpan w:val="2"/>
            <w:vAlign w:val="center"/>
          </w:tcPr>
          <w:p w14:paraId="11C19DAA">
            <w:pPr>
              <w:rPr>
                <w:rFonts w:hint="eastAsia" w:ascii="宋体" w:hAnsi="宋体" w:eastAsia="宋体" w:cs="宋体"/>
                <w:strike/>
                <w:dstrike w:val="0"/>
                <w:color w:val="auto"/>
                <w:sz w:val="21"/>
                <w:szCs w:val="21"/>
                <w:highlight w:val="none"/>
              </w:rPr>
            </w:pPr>
            <w:r>
              <w:rPr>
                <w:rFonts w:hint="eastAsia" w:ascii="宋体" w:hAnsi="宋体" w:eastAsia="宋体" w:cs="宋体"/>
                <w:strike w:val="0"/>
                <w:dstrike w:val="0"/>
                <w:color w:val="auto"/>
                <w:sz w:val="21"/>
                <w:szCs w:val="21"/>
                <w:highlight w:val="none"/>
              </w:rPr>
              <w:t>◆</w:t>
            </w:r>
            <w:r>
              <w:rPr>
                <w:rFonts w:hint="eastAsia" w:ascii="宋体" w:hAnsi="宋体" w:eastAsia="宋体" w:cs="宋体"/>
                <w:color w:val="auto"/>
                <w:sz w:val="21"/>
                <w:szCs w:val="21"/>
                <w:highlight w:val="none"/>
                <w:lang w:val="en-US" w:eastAsia="zh-CN"/>
              </w:rPr>
              <w:t>无需安装插件或代理软件，支持虚拟机的无代理备份，无备份数据容量限制，可直接将虚拟机备份到存储，并支持生成全新虚拟机的方式进行恢复。</w:t>
            </w:r>
            <w:r>
              <w:rPr>
                <w:rFonts w:hint="eastAsia" w:ascii="宋体" w:hAnsi="宋体" w:eastAsia="宋体" w:cs="宋体"/>
                <w:b/>
                <w:bCs/>
                <w:color w:val="auto"/>
                <w:sz w:val="21"/>
                <w:szCs w:val="21"/>
                <w:highlight w:val="none"/>
                <w:lang w:val="en-US" w:eastAsia="zh-CN"/>
              </w:rPr>
              <w:t>（需提供产品功能截图）</w:t>
            </w:r>
          </w:p>
        </w:tc>
      </w:tr>
      <w:tr w14:paraId="6C793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6E07ED03">
            <w:pPr>
              <w:rPr>
                <w:rFonts w:hint="eastAsia" w:ascii="宋体" w:hAnsi="宋体" w:eastAsia="宋体" w:cs="宋体"/>
                <w:color w:val="auto"/>
                <w:sz w:val="21"/>
                <w:szCs w:val="21"/>
                <w:highlight w:val="none"/>
              </w:rPr>
            </w:pPr>
          </w:p>
        </w:tc>
        <w:tc>
          <w:tcPr>
            <w:tcW w:w="6895" w:type="dxa"/>
            <w:gridSpan w:val="2"/>
            <w:vAlign w:val="center"/>
          </w:tcPr>
          <w:p w14:paraId="5708177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支持常见数据库、中间件、大数据平台的一键部署，包括但不限于RabbitMQ、Redis、MongoDB、Kafka、MySQL、CDH等应用的可视化快速部署，可对应用进行参数配置、应用监控、平台告警的全生命周期管理</w:t>
            </w:r>
            <w:r>
              <w:rPr>
                <w:rFonts w:hint="eastAsia" w:ascii="宋体" w:hAnsi="宋体" w:eastAsia="宋体" w:cs="宋体"/>
                <w:color w:val="auto"/>
                <w:sz w:val="21"/>
                <w:szCs w:val="21"/>
                <w:highlight w:val="none"/>
                <w:lang w:eastAsia="zh-CN"/>
              </w:rPr>
              <w:t>。</w:t>
            </w:r>
          </w:p>
        </w:tc>
      </w:tr>
      <w:tr w14:paraId="458F4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restart"/>
            <w:vAlign w:val="center"/>
          </w:tcPr>
          <w:p w14:paraId="173206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关键业务保障</w:t>
            </w:r>
          </w:p>
        </w:tc>
        <w:tc>
          <w:tcPr>
            <w:tcW w:w="6895" w:type="dxa"/>
            <w:gridSpan w:val="2"/>
            <w:vAlign w:val="center"/>
          </w:tcPr>
          <w:p w14:paraId="753D23B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◆支持数据重建优先级调整，可以查看数据重建信息，包括重建的对象名称、类型、数据量和优先级等信息，支持对不同对象的重建优先级进行调整，保证重要的业务优先恢复。</w:t>
            </w:r>
            <w:r>
              <w:rPr>
                <w:rFonts w:hint="eastAsia" w:ascii="宋体" w:hAnsi="宋体" w:eastAsia="宋体" w:cs="宋体"/>
                <w:b/>
                <w:bCs/>
                <w:color w:val="auto"/>
                <w:sz w:val="21"/>
                <w:szCs w:val="21"/>
                <w:highlight w:val="none"/>
              </w:rPr>
              <w:t>（提供第三方机构的检测报告证明，至少包含报告首页，对应功能测试页和报告尾页）</w:t>
            </w:r>
          </w:p>
        </w:tc>
      </w:tr>
      <w:tr w14:paraId="4EB9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00" w:type="dxa"/>
            <w:gridSpan w:val="4"/>
            <w:vMerge w:val="continue"/>
            <w:vAlign w:val="center"/>
          </w:tcPr>
          <w:p w14:paraId="24FD7B2E">
            <w:pPr>
              <w:rPr>
                <w:rFonts w:hint="eastAsia" w:ascii="宋体" w:hAnsi="宋体" w:eastAsia="宋体" w:cs="宋体"/>
                <w:color w:val="auto"/>
                <w:sz w:val="21"/>
                <w:szCs w:val="21"/>
                <w:highlight w:val="none"/>
              </w:rPr>
            </w:pPr>
          </w:p>
        </w:tc>
        <w:tc>
          <w:tcPr>
            <w:tcW w:w="6895" w:type="dxa"/>
            <w:gridSpan w:val="2"/>
            <w:vAlign w:val="center"/>
          </w:tcPr>
          <w:p w14:paraId="2B6B4EC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◆支持通过AI算法可以对虚拟机、主机的性能、可靠性打分，提供调度建议,提升 DRS 过程中的精准度.支持设置 DRS 调度时间段。</w:t>
            </w:r>
            <w:r>
              <w:rPr>
                <w:rFonts w:hint="eastAsia" w:ascii="宋体" w:hAnsi="宋体" w:eastAsia="宋体" w:cs="宋体"/>
                <w:b/>
                <w:bCs/>
                <w:color w:val="auto"/>
                <w:sz w:val="21"/>
                <w:szCs w:val="21"/>
                <w:highlight w:val="none"/>
              </w:rPr>
              <w:t>（需提供产品功能截图）</w:t>
            </w:r>
          </w:p>
        </w:tc>
      </w:tr>
    </w:tbl>
    <w:p w14:paraId="65DAE6F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cs="宋体"/>
          <w:b/>
          <w:color w:val="auto"/>
          <w:sz w:val="24"/>
          <w:highlight w:val="none"/>
        </w:rPr>
      </w:pPr>
      <w:r>
        <w:rPr>
          <w:rFonts w:hint="eastAsia" w:ascii="宋体" w:hAnsi="宋体" w:cs="宋体"/>
          <w:b/>
          <w:color w:val="auto"/>
          <w:sz w:val="24"/>
          <w:highlight w:val="none"/>
        </w:rPr>
        <w:t>1.3存储交换机（DMZ）</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7432"/>
      </w:tblGrid>
      <w:tr w14:paraId="44D8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shd w:val="clear" w:color="auto" w:fill="auto"/>
            <w:noWrap/>
            <w:vAlign w:val="center"/>
          </w:tcPr>
          <w:p w14:paraId="5DA2428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指标项</w:t>
            </w:r>
          </w:p>
        </w:tc>
        <w:tc>
          <w:tcPr>
            <w:tcW w:w="7432" w:type="dxa"/>
            <w:shd w:val="clear" w:color="auto" w:fill="auto"/>
            <w:noWrap/>
            <w:vAlign w:val="center"/>
          </w:tcPr>
          <w:p w14:paraId="34DE07A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tc>
      </w:tr>
      <w:tr w14:paraId="1180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shd w:val="clear" w:color="auto" w:fill="auto"/>
            <w:vAlign w:val="center"/>
          </w:tcPr>
          <w:p w14:paraId="474EFC6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▲交换机性能</w:t>
            </w:r>
          </w:p>
        </w:tc>
        <w:tc>
          <w:tcPr>
            <w:tcW w:w="7432" w:type="dxa"/>
            <w:shd w:val="clear" w:color="auto" w:fill="auto"/>
            <w:vAlign w:val="center"/>
          </w:tcPr>
          <w:p w14:paraId="3C367DB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交换容量≥2.5Tbps/25Tbps。包转发率≥800Mpps/1200Mpps。</w:t>
            </w:r>
          </w:p>
        </w:tc>
      </w:tr>
      <w:tr w14:paraId="1EB8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shd w:val="clear" w:color="auto" w:fill="auto"/>
            <w:vAlign w:val="center"/>
          </w:tcPr>
          <w:p w14:paraId="1B1A91E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▲端口类型</w:t>
            </w:r>
          </w:p>
        </w:tc>
        <w:tc>
          <w:tcPr>
            <w:tcW w:w="7432" w:type="dxa"/>
            <w:shd w:val="clear" w:color="auto" w:fill="auto"/>
            <w:vAlign w:val="center"/>
          </w:tcPr>
          <w:p w14:paraId="655C3D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1G/2.5G/10G SFP+光口≥24个（配置16个万兆多模光模块）；40G QSFP+光口≥2个；Console口≥1个；Manage口≥1个；堆叠线缆≥1个。</w:t>
            </w:r>
          </w:p>
        </w:tc>
      </w:tr>
      <w:tr w14:paraId="3BD0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shd w:val="clear" w:color="auto" w:fill="auto"/>
            <w:vAlign w:val="center"/>
          </w:tcPr>
          <w:p w14:paraId="1AA660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冗余性</w:t>
            </w:r>
          </w:p>
        </w:tc>
        <w:tc>
          <w:tcPr>
            <w:tcW w:w="7432" w:type="dxa"/>
            <w:shd w:val="clear" w:color="auto" w:fill="auto"/>
            <w:vAlign w:val="center"/>
          </w:tcPr>
          <w:p w14:paraId="7BDBD6E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支持双交流电源模块1+1冗余（热插拔）。</w:t>
            </w:r>
          </w:p>
        </w:tc>
      </w:tr>
      <w:tr w14:paraId="303A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shd w:val="clear" w:color="auto" w:fill="auto"/>
            <w:vAlign w:val="center"/>
          </w:tcPr>
          <w:p w14:paraId="49897C7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二层功能</w:t>
            </w:r>
          </w:p>
        </w:tc>
        <w:tc>
          <w:tcPr>
            <w:tcW w:w="7432" w:type="dxa"/>
            <w:shd w:val="clear" w:color="auto" w:fill="auto"/>
            <w:vAlign w:val="center"/>
          </w:tcPr>
          <w:p w14:paraId="3A7832A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支持MAC地址≥32K</w:t>
            </w:r>
            <w:r>
              <w:rPr>
                <w:rFonts w:hint="eastAsia" w:ascii="宋体" w:hAnsi="宋体" w:eastAsia="宋体" w:cs="宋体"/>
                <w:color w:val="auto"/>
                <w:sz w:val="21"/>
                <w:szCs w:val="21"/>
                <w:highlight w:val="none"/>
                <w:lang w:val="en-US" w:eastAsia="zh-CN"/>
              </w:rPr>
              <w:t xml:space="preserve"> 。</w:t>
            </w:r>
          </w:p>
        </w:tc>
      </w:tr>
      <w:tr w14:paraId="654D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restart"/>
            <w:shd w:val="clear" w:color="auto" w:fill="auto"/>
            <w:vAlign w:val="center"/>
          </w:tcPr>
          <w:p w14:paraId="624A7D1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安全特性</w:t>
            </w:r>
          </w:p>
        </w:tc>
        <w:tc>
          <w:tcPr>
            <w:tcW w:w="7432" w:type="dxa"/>
            <w:shd w:val="clear" w:color="auto" w:fill="auto"/>
            <w:vAlign w:val="center"/>
          </w:tcPr>
          <w:p w14:paraId="5EAE71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◆支持防网关ARP欺骗，支持端口保护、隔离、防止ARP泛洪攻击功能</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（要求提供第三方机构测试报告）</w:t>
            </w:r>
          </w:p>
        </w:tc>
      </w:tr>
      <w:tr w14:paraId="6411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shd w:val="clear" w:color="auto" w:fill="auto"/>
            <w:vAlign w:val="center"/>
          </w:tcPr>
          <w:p w14:paraId="6154700A">
            <w:pPr>
              <w:rPr>
                <w:rFonts w:hint="eastAsia" w:ascii="宋体" w:hAnsi="宋体" w:eastAsia="宋体" w:cs="宋体"/>
                <w:color w:val="auto"/>
                <w:sz w:val="21"/>
                <w:szCs w:val="21"/>
                <w:highlight w:val="none"/>
              </w:rPr>
            </w:pPr>
          </w:p>
        </w:tc>
        <w:tc>
          <w:tcPr>
            <w:tcW w:w="7432" w:type="dxa"/>
            <w:shd w:val="clear" w:color="auto" w:fill="auto"/>
            <w:vAlign w:val="center"/>
          </w:tcPr>
          <w:p w14:paraId="7F5B13B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支持DHCP Snooping，支持交换机端口设置为信任端口或非信任端口，非信任端口也可设置白名单响应DHCP报文。</w:t>
            </w:r>
          </w:p>
        </w:tc>
      </w:tr>
      <w:tr w14:paraId="7870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shd w:val="clear" w:color="auto" w:fill="auto"/>
            <w:vAlign w:val="center"/>
          </w:tcPr>
          <w:p w14:paraId="7C42FC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虚拟化</w:t>
            </w:r>
          </w:p>
        </w:tc>
        <w:tc>
          <w:tcPr>
            <w:tcW w:w="7432" w:type="dxa"/>
            <w:shd w:val="clear" w:color="auto" w:fill="auto"/>
            <w:vAlign w:val="center"/>
          </w:tcPr>
          <w:p w14:paraId="30EFBE9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支持M-LAG技术，跨设备链路聚合（非堆叠技术实现），要求配对的设备有独立的控制平面</w:t>
            </w:r>
            <w:r>
              <w:rPr>
                <w:rFonts w:hint="eastAsia" w:ascii="宋体" w:hAnsi="宋体" w:eastAsia="宋体" w:cs="宋体"/>
                <w:color w:val="auto"/>
                <w:sz w:val="21"/>
                <w:szCs w:val="21"/>
                <w:highlight w:val="none"/>
                <w:lang w:eastAsia="zh-CN"/>
              </w:rPr>
              <w:t>。</w:t>
            </w:r>
          </w:p>
        </w:tc>
      </w:tr>
      <w:tr w14:paraId="7C3C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shd w:val="clear" w:color="auto" w:fill="auto"/>
            <w:vAlign w:val="center"/>
          </w:tcPr>
          <w:p w14:paraId="0AE274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工作模式</w:t>
            </w:r>
          </w:p>
        </w:tc>
        <w:tc>
          <w:tcPr>
            <w:tcW w:w="7432" w:type="dxa"/>
            <w:shd w:val="clear" w:color="auto" w:fill="auto"/>
            <w:vAlign w:val="center"/>
          </w:tcPr>
          <w:p w14:paraId="2C8EC58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支持智能交换机和普通交换机两种工作模式，可以根据不同的组网需要，随时灵活的进行切换。</w:t>
            </w:r>
          </w:p>
        </w:tc>
      </w:tr>
      <w:tr w14:paraId="3815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restart"/>
            <w:shd w:val="clear" w:color="auto" w:fill="auto"/>
            <w:vAlign w:val="center"/>
          </w:tcPr>
          <w:p w14:paraId="36F50E8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管理维护</w:t>
            </w:r>
          </w:p>
        </w:tc>
        <w:tc>
          <w:tcPr>
            <w:tcW w:w="7432" w:type="dxa"/>
            <w:shd w:val="clear" w:color="auto" w:fill="auto"/>
            <w:vAlign w:val="center"/>
          </w:tcPr>
          <w:p w14:paraId="723A0D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要求提供第三方机构测试报告</w:t>
            </w:r>
            <w:r>
              <w:rPr>
                <w:rFonts w:hint="eastAsia" w:ascii="宋体" w:hAnsi="宋体" w:eastAsia="宋体" w:cs="宋体"/>
                <w:b/>
                <w:bCs/>
                <w:color w:val="auto"/>
                <w:sz w:val="21"/>
                <w:szCs w:val="21"/>
                <w:highlight w:val="none"/>
                <w:lang w:eastAsia="zh-CN"/>
              </w:rPr>
              <w:t>）</w:t>
            </w:r>
          </w:p>
        </w:tc>
      </w:tr>
      <w:tr w14:paraId="6DDA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shd w:val="clear" w:color="auto" w:fill="auto"/>
            <w:vAlign w:val="center"/>
          </w:tcPr>
          <w:p w14:paraId="30827755">
            <w:pPr>
              <w:rPr>
                <w:rFonts w:hint="eastAsia" w:ascii="宋体" w:hAnsi="宋体" w:eastAsia="宋体" w:cs="宋体"/>
                <w:color w:val="auto"/>
                <w:sz w:val="21"/>
                <w:szCs w:val="21"/>
                <w:highlight w:val="none"/>
              </w:rPr>
            </w:pPr>
          </w:p>
        </w:tc>
        <w:tc>
          <w:tcPr>
            <w:tcW w:w="7432" w:type="dxa"/>
            <w:shd w:val="clear" w:color="auto" w:fill="auto"/>
            <w:vAlign w:val="center"/>
          </w:tcPr>
          <w:p w14:paraId="1828BC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支持通过网管中心平台一键替换“按钮”即可完成故障设备替换。</w:t>
            </w:r>
          </w:p>
        </w:tc>
      </w:tr>
      <w:tr w14:paraId="527C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shd w:val="clear" w:color="auto" w:fill="auto"/>
            <w:vAlign w:val="center"/>
          </w:tcPr>
          <w:p w14:paraId="75B3D310">
            <w:pPr>
              <w:rPr>
                <w:rFonts w:hint="eastAsia" w:ascii="宋体" w:hAnsi="宋体" w:eastAsia="宋体" w:cs="宋体"/>
                <w:color w:val="auto"/>
                <w:sz w:val="21"/>
                <w:szCs w:val="21"/>
                <w:highlight w:val="none"/>
              </w:rPr>
            </w:pPr>
          </w:p>
        </w:tc>
        <w:tc>
          <w:tcPr>
            <w:tcW w:w="7432" w:type="dxa"/>
            <w:shd w:val="clear" w:color="auto" w:fill="auto"/>
            <w:vAlign w:val="center"/>
          </w:tcPr>
          <w:p w14:paraId="0EB50B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支持通过APP进行远程管理，并且可以修改交换机网络配置。</w:t>
            </w:r>
          </w:p>
        </w:tc>
      </w:tr>
      <w:tr w14:paraId="6118A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restart"/>
            <w:shd w:val="clear" w:color="auto" w:fill="auto"/>
            <w:noWrap/>
            <w:vAlign w:val="center"/>
          </w:tcPr>
          <w:p w14:paraId="7FFCAB8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智能终端类型识别</w:t>
            </w:r>
          </w:p>
        </w:tc>
        <w:tc>
          <w:tcPr>
            <w:tcW w:w="7432" w:type="dxa"/>
            <w:shd w:val="clear" w:color="auto" w:fill="auto"/>
            <w:vAlign w:val="center"/>
          </w:tcPr>
          <w:p w14:paraId="1B4C81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支持终端类型库，基于指纹自动识别PC、路由器、摄像头设备、无线AP等。</w:t>
            </w:r>
          </w:p>
        </w:tc>
      </w:tr>
      <w:tr w14:paraId="08B7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shd w:val="clear" w:color="auto" w:fill="auto"/>
            <w:noWrap/>
            <w:vAlign w:val="center"/>
          </w:tcPr>
          <w:p w14:paraId="0A4D6332">
            <w:pPr>
              <w:rPr>
                <w:rFonts w:hint="eastAsia" w:ascii="宋体" w:hAnsi="宋体" w:eastAsia="宋体" w:cs="宋体"/>
                <w:color w:val="auto"/>
                <w:sz w:val="21"/>
                <w:szCs w:val="21"/>
                <w:highlight w:val="none"/>
              </w:rPr>
            </w:pPr>
          </w:p>
        </w:tc>
        <w:tc>
          <w:tcPr>
            <w:tcW w:w="7432" w:type="dxa"/>
            <w:shd w:val="clear" w:color="auto" w:fill="auto"/>
            <w:vAlign w:val="center"/>
          </w:tcPr>
          <w:p w14:paraId="55E336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支持基于终端类型自动识别结果，禁止非法终端(例如私接路由器)接入。</w:t>
            </w:r>
          </w:p>
        </w:tc>
      </w:tr>
      <w:tr w14:paraId="48C0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shd w:val="clear" w:color="auto" w:fill="auto"/>
            <w:vAlign w:val="center"/>
          </w:tcPr>
          <w:p w14:paraId="7C424D15">
            <w:pPr>
              <w:rPr>
                <w:rFonts w:hint="eastAsia" w:ascii="宋体" w:hAnsi="宋体" w:eastAsia="宋体" w:cs="宋体"/>
                <w:color w:val="auto"/>
                <w:sz w:val="21"/>
                <w:szCs w:val="21"/>
                <w:highlight w:val="none"/>
              </w:rPr>
            </w:pPr>
          </w:p>
        </w:tc>
        <w:tc>
          <w:tcPr>
            <w:tcW w:w="7432" w:type="dxa"/>
            <w:shd w:val="clear" w:color="auto" w:fill="auto"/>
            <w:vAlign w:val="center"/>
          </w:tcPr>
          <w:p w14:paraId="16940CE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支持交换机端口终端类型变更后，通过APP、短信告警</w:t>
            </w:r>
            <w:r>
              <w:rPr>
                <w:rFonts w:hint="eastAsia" w:ascii="宋体" w:hAnsi="宋体" w:eastAsia="宋体" w:cs="宋体"/>
                <w:color w:val="auto"/>
                <w:sz w:val="21"/>
                <w:szCs w:val="21"/>
                <w:highlight w:val="none"/>
                <w:lang w:eastAsia="zh-CN"/>
              </w:rPr>
              <w:t>。</w:t>
            </w:r>
          </w:p>
        </w:tc>
      </w:tr>
      <w:tr w14:paraId="34A0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shd w:val="clear" w:color="auto" w:fill="auto"/>
            <w:vAlign w:val="center"/>
          </w:tcPr>
          <w:p w14:paraId="2112273F">
            <w:pPr>
              <w:rPr>
                <w:rFonts w:hint="eastAsia" w:ascii="宋体" w:hAnsi="宋体" w:eastAsia="宋体" w:cs="宋体"/>
                <w:color w:val="auto"/>
                <w:sz w:val="21"/>
                <w:szCs w:val="21"/>
                <w:highlight w:val="none"/>
              </w:rPr>
            </w:pPr>
          </w:p>
        </w:tc>
        <w:tc>
          <w:tcPr>
            <w:tcW w:w="7432" w:type="dxa"/>
            <w:shd w:val="clear" w:color="auto" w:fill="auto"/>
            <w:vAlign w:val="center"/>
          </w:tcPr>
          <w:p w14:paraId="50785D4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支持查看安全事件记录、终端类型异常记录、终端在端口迁移次数、终端地址异常记录等安全事件的记录统计。</w:t>
            </w:r>
          </w:p>
        </w:tc>
      </w:tr>
      <w:tr w14:paraId="5D77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restart"/>
            <w:shd w:val="clear" w:color="auto" w:fill="auto"/>
            <w:vAlign w:val="center"/>
          </w:tcPr>
          <w:p w14:paraId="7D6E75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w:t>
            </w:r>
          </w:p>
        </w:tc>
        <w:tc>
          <w:tcPr>
            <w:tcW w:w="7432" w:type="dxa"/>
            <w:shd w:val="clear" w:color="auto" w:fill="auto"/>
            <w:vAlign w:val="center"/>
          </w:tcPr>
          <w:p w14:paraId="11A0B6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支持禁止通过内网PC端进行私接随身WiFi共享。</w:t>
            </w:r>
          </w:p>
        </w:tc>
      </w:tr>
      <w:tr w14:paraId="37C8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shd w:val="clear" w:color="auto" w:fill="auto"/>
            <w:vAlign w:val="center"/>
          </w:tcPr>
          <w:p w14:paraId="5F8E1671">
            <w:pPr>
              <w:rPr>
                <w:rFonts w:hint="eastAsia" w:ascii="宋体" w:hAnsi="宋体" w:eastAsia="宋体" w:cs="宋体"/>
                <w:color w:val="auto"/>
                <w:sz w:val="21"/>
                <w:szCs w:val="21"/>
                <w:highlight w:val="none"/>
              </w:rPr>
            </w:pPr>
          </w:p>
        </w:tc>
        <w:tc>
          <w:tcPr>
            <w:tcW w:w="7432" w:type="dxa"/>
            <w:shd w:val="clear" w:color="auto" w:fill="auto"/>
            <w:vAlign w:val="center"/>
          </w:tcPr>
          <w:p w14:paraId="68FFC8D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为提高系统兼容性对接，需支持联动第三方安全设备或平台，通过联动实现从系统及接入层交换机对风险终端MAC地址进行封堵。</w:t>
            </w:r>
          </w:p>
        </w:tc>
      </w:tr>
      <w:tr w14:paraId="1D01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63" w:type="dxa"/>
            <w:vMerge w:val="continue"/>
            <w:tcBorders>
              <w:top w:val="single" w:color="auto" w:sz="4" w:space="0"/>
              <w:bottom w:val="single" w:color="auto" w:sz="4" w:space="0"/>
              <w:right w:val="single" w:color="auto" w:sz="4" w:space="0"/>
            </w:tcBorders>
            <w:shd w:val="clear" w:color="auto" w:fill="auto"/>
            <w:vAlign w:val="center"/>
          </w:tcPr>
          <w:p w14:paraId="27C0CB0C">
            <w:pPr>
              <w:rPr>
                <w:rFonts w:hint="eastAsia" w:ascii="宋体" w:hAnsi="宋体" w:eastAsia="宋体" w:cs="宋体"/>
                <w:color w:val="auto"/>
                <w:sz w:val="21"/>
                <w:szCs w:val="21"/>
                <w:highlight w:val="none"/>
              </w:rPr>
            </w:pPr>
          </w:p>
        </w:tc>
        <w:tc>
          <w:tcPr>
            <w:tcW w:w="7432" w:type="dxa"/>
            <w:tcBorders>
              <w:top w:val="single" w:color="auto" w:sz="4" w:space="0"/>
              <w:left w:val="single" w:color="auto" w:sz="4" w:space="0"/>
              <w:bottom w:val="single" w:color="auto" w:sz="4" w:space="0"/>
              <w:right w:val="single" w:color="auto" w:sz="4" w:space="0"/>
            </w:tcBorders>
            <w:shd w:val="clear" w:color="auto" w:fill="auto"/>
            <w:vAlign w:val="center"/>
          </w:tcPr>
          <w:p w14:paraId="2A3A63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为保证设备在受到外界机械碰撞时能够正常运行，要求所投交换机IK防护测试级别至少达到IK06。</w:t>
            </w:r>
          </w:p>
        </w:tc>
      </w:tr>
    </w:tbl>
    <w:p w14:paraId="79560E04">
      <w:pPr>
        <w:snapToGrid w:val="0"/>
        <w:spacing w:line="360" w:lineRule="auto"/>
        <w:ind w:firstLine="482" w:firstLineChars="200"/>
        <w:outlineLvl w:val="0"/>
        <w:rPr>
          <w:rFonts w:hint="eastAsia" w:ascii="宋体" w:hAnsi="宋体" w:cs="宋体"/>
          <w:b/>
          <w:color w:val="auto"/>
          <w:sz w:val="24"/>
          <w:highlight w:val="none"/>
        </w:rPr>
      </w:pPr>
      <w:r>
        <w:rPr>
          <w:rFonts w:hint="eastAsia" w:ascii="宋体" w:hAnsi="宋体" w:cs="宋体"/>
          <w:b/>
          <w:color w:val="auto"/>
          <w:sz w:val="24"/>
          <w:highlight w:val="none"/>
        </w:rPr>
        <w:t>1.4业务交换机（内网）</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7433"/>
      </w:tblGrid>
      <w:tr w14:paraId="4EF6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shd w:val="clear" w:color="auto" w:fill="auto"/>
            <w:noWrap/>
            <w:vAlign w:val="center"/>
          </w:tcPr>
          <w:p w14:paraId="50C0690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指标项</w:t>
            </w:r>
          </w:p>
        </w:tc>
        <w:tc>
          <w:tcPr>
            <w:tcW w:w="4374" w:type="pct"/>
            <w:shd w:val="clear" w:color="auto" w:fill="auto"/>
            <w:noWrap/>
            <w:vAlign w:val="center"/>
          </w:tcPr>
          <w:p w14:paraId="008A26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tc>
      </w:tr>
      <w:tr w14:paraId="50A5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shd w:val="clear" w:color="auto" w:fill="auto"/>
            <w:vAlign w:val="center"/>
          </w:tcPr>
          <w:p w14:paraId="7294FD2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▲交换机性能</w:t>
            </w:r>
          </w:p>
        </w:tc>
        <w:tc>
          <w:tcPr>
            <w:tcW w:w="4374" w:type="pct"/>
            <w:shd w:val="clear" w:color="auto" w:fill="auto"/>
            <w:vAlign w:val="center"/>
          </w:tcPr>
          <w:p w14:paraId="58BFC9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交换容量≥2.5Tbps/25Tbps。包转发率≥800Mpps/1200Mpps。</w:t>
            </w:r>
          </w:p>
        </w:tc>
      </w:tr>
      <w:tr w14:paraId="4721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shd w:val="clear" w:color="auto" w:fill="auto"/>
            <w:vAlign w:val="center"/>
          </w:tcPr>
          <w:p w14:paraId="6D369F0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▲端口类型</w:t>
            </w:r>
          </w:p>
        </w:tc>
        <w:tc>
          <w:tcPr>
            <w:tcW w:w="4374" w:type="pct"/>
            <w:shd w:val="clear" w:color="auto" w:fill="auto"/>
            <w:vAlign w:val="center"/>
          </w:tcPr>
          <w:p w14:paraId="63802BE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1G/2.5G/10G SFP+光口≥24个（配置16个万兆多模光模块）；40G QSFP+光口≥2个；Console口≥1个；Manage口≥1个；堆叠线缆≥1个。</w:t>
            </w:r>
          </w:p>
        </w:tc>
      </w:tr>
      <w:tr w14:paraId="63B9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shd w:val="clear" w:color="auto" w:fill="auto"/>
            <w:vAlign w:val="center"/>
          </w:tcPr>
          <w:p w14:paraId="626352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冗余性</w:t>
            </w:r>
          </w:p>
        </w:tc>
        <w:tc>
          <w:tcPr>
            <w:tcW w:w="4374" w:type="pct"/>
            <w:shd w:val="clear" w:color="auto" w:fill="auto"/>
            <w:vAlign w:val="center"/>
          </w:tcPr>
          <w:p w14:paraId="175645A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支持双交流电源模块1+1冗余（热插拔）。</w:t>
            </w:r>
          </w:p>
        </w:tc>
      </w:tr>
      <w:tr w14:paraId="0B6DC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shd w:val="clear" w:color="auto" w:fill="auto"/>
            <w:vAlign w:val="center"/>
          </w:tcPr>
          <w:p w14:paraId="6C07DB1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二层功能</w:t>
            </w:r>
          </w:p>
        </w:tc>
        <w:tc>
          <w:tcPr>
            <w:tcW w:w="4374" w:type="pct"/>
            <w:shd w:val="clear" w:color="auto" w:fill="auto"/>
            <w:vAlign w:val="center"/>
          </w:tcPr>
          <w:p w14:paraId="046E02C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支持MAC地址≥32K</w:t>
            </w:r>
            <w:r>
              <w:rPr>
                <w:rFonts w:hint="eastAsia" w:ascii="宋体" w:hAnsi="宋体" w:eastAsia="宋体" w:cs="宋体"/>
                <w:color w:val="auto"/>
                <w:sz w:val="21"/>
                <w:szCs w:val="21"/>
                <w:highlight w:val="none"/>
                <w:lang w:eastAsia="zh-CN"/>
              </w:rPr>
              <w:t>。</w:t>
            </w:r>
          </w:p>
        </w:tc>
      </w:tr>
      <w:tr w14:paraId="5D3B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restart"/>
            <w:shd w:val="clear" w:color="auto" w:fill="auto"/>
            <w:vAlign w:val="center"/>
          </w:tcPr>
          <w:p w14:paraId="0C845BC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安全特性</w:t>
            </w:r>
          </w:p>
        </w:tc>
        <w:tc>
          <w:tcPr>
            <w:tcW w:w="4374" w:type="pct"/>
            <w:shd w:val="clear" w:color="auto" w:fill="auto"/>
            <w:vAlign w:val="center"/>
          </w:tcPr>
          <w:p w14:paraId="4CC2837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支持防网关ARP欺骗，支持端口保护、隔离、防止ARP泛洪攻击功能</w:t>
            </w:r>
            <w:r>
              <w:rPr>
                <w:rFonts w:hint="eastAsia" w:ascii="宋体" w:hAnsi="宋体" w:eastAsia="宋体" w:cs="宋体"/>
                <w:color w:val="auto"/>
                <w:sz w:val="21"/>
                <w:szCs w:val="21"/>
                <w:highlight w:val="none"/>
                <w:lang w:eastAsia="zh-CN"/>
              </w:rPr>
              <w:t>。</w:t>
            </w:r>
          </w:p>
        </w:tc>
      </w:tr>
      <w:tr w14:paraId="1E12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continue"/>
            <w:shd w:val="clear" w:color="auto" w:fill="auto"/>
            <w:vAlign w:val="center"/>
          </w:tcPr>
          <w:p w14:paraId="44F4A434">
            <w:pPr>
              <w:rPr>
                <w:rFonts w:hint="eastAsia" w:ascii="宋体" w:hAnsi="宋体" w:eastAsia="宋体" w:cs="宋体"/>
                <w:color w:val="auto"/>
                <w:sz w:val="21"/>
                <w:szCs w:val="21"/>
                <w:highlight w:val="none"/>
              </w:rPr>
            </w:pPr>
          </w:p>
        </w:tc>
        <w:tc>
          <w:tcPr>
            <w:tcW w:w="4374" w:type="pct"/>
            <w:shd w:val="clear" w:color="auto" w:fill="auto"/>
            <w:vAlign w:val="center"/>
          </w:tcPr>
          <w:p w14:paraId="784C317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支持DHCP Snooping，支持交换机端口设置为信任端口或非信任端口，非信任端口也可设置白名单响应DHCP报文。</w:t>
            </w:r>
          </w:p>
        </w:tc>
      </w:tr>
      <w:tr w14:paraId="6996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shd w:val="clear" w:color="auto" w:fill="auto"/>
            <w:vAlign w:val="center"/>
          </w:tcPr>
          <w:p w14:paraId="4166076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虚拟化</w:t>
            </w:r>
          </w:p>
        </w:tc>
        <w:tc>
          <w:tcPr>
            <w:tcW w:w="4374" w:type="pct"/>
            <w:shd w:val="clear" w:color="auto" w:fill="auto"/>
            <w:vAlign w:val="center"/>
          </w:tcPr>
          <w:p w14:paraId="0235EB7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支持M-LAG技术，跨设备链路聚合（非堆叠技术实现），要求配对的设备有独立的控制平面</w:t>
            </w:r>
            <w:r>
              <w:rPr>
                <w:rFonts w:hint="eastAsia" w:ascii="宋体" w:hAnsi="宋体" w:eastAsia="宋体" w:cs="宋体"/>
                <w:color w:val="auto"/>
                <w:sz w:val="21"/>
                <w:szCs w:val="21"/>
                <w:highlight w:val="none"/>
                <w:lang w:eastAsia="zh-CN"/>
              </w:rPr>
              <w:t>。</w:t>
            </w:r>
          </w:p>
        </w:tc>
      </w:tr>
      <w:tr w14:paraId="691A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restart"/>
            <w:shd w:val="clear" w:color="auto" w:fill="auto"/>
            <w:vAlign w:val="center"/>
          </w:tcPr>
          <w:p w14:paraId="543CC46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管理维护</w:t>
            </w:r>
          </w:p>
        </w:tc>
        <w:tc>
          <w:tcPr>
            <w:tcW w:w="4374" w:type="pct"/>
            <w:shd w:val="clear" w:color="auto" w:fill="auto"/>
            <w:vAlign w:val="center"/>
          </w:tcPr>
          <w:p w14:paraId="3A47A1E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color w:val="auto"/>
                <w:sz w:val="21"/>
                <w:szCs w:val="21"/>
                <w:highlight w:val="none"/>
                <w:lang w:eastAsia="zh-CN"/>
              </w:rPr>
              <w:t>。</w:t>
            </w:r>
          </w:p>
        </w:tc>
      </w:tr>
      <w:tr w14:paraId="1A92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continue"/>
            <w:shd w:val="clear" w:color="auto" w:fill="auto"/>
            <w:vAlign w:val="center"/>
          </w:tcPr>
          <w:p w14:paraId="422DE43B">
            <w:pPr>
              <w:rPr>
                <w:rFonts w:hint="eastAsia" w:ascii="宋体" w:hAnsi="宋体" w:eastAsia="宋体" w:cs="宋体"/>
                <w:color w:val="auto"/>
                <w:sz w:val="21"/>
                <w:szCs w:val="21"/>
                <w:highlight w:val="none"/>
              </w:rPr>
            </w:pPr>
          </w:p>
        </w:tc>
        <w:tc>
          <w:tcPr>
            <w:tcW w:w="4374" w:type="pct"/>
            <w:shd w:val="clear" w:color="auto" w:fill="auto"/>
            <w:vAlign w:val="center"/>
          </w:tcPr>
          <w:p w14:paraId="7599710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支持通过网管中心平台一键替换“按钮”即可完成故障设备替换。</w:t>
            </w:r>
          </w:p>
        </w:tc>
      </w:tr>
      <w:tr w14:paraId="4566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continue"/>
            <w:shd w:val="clear" w:color="auto" w:fill="auto"/>
            <w:vAlign w:val="center"/>
          </w:tcPr>
          <w:p w14:paraId="01B9305C">
            <w:pPr>
              <w:rPr>
                <w:rFonts w:hint="eastAsia" w:ascii="宋体" w:hAnsi="宋体" w:eastAsia="宋体" w:cs="宋体"/>
                <w:color w:val="auto"/>
                <w:sz w:val="21"/>
                <w:szCs w:val="21"/>
                <w:highlight w:val="none"/>
              </w:rPr>
            </w:pPr>
          </w:p>
        </w:tc>
        <w:tc>
          <w:tcPr>
            <w:tcW w:w="4374" w:type="pct"/>
            <w:shd w:val="clear" w:color="auto" w:fill="auto"/>
            <w:vAlign w:val="center"/>
          </w:tcPr>
          <w:p w14:paraId="3880EF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支持通过APP进行远程管理，并且可以修改交换机网络配置。</w:t>
            </w:r>
          </w:p>
        </w:tc>
      </w:tr>
      <w:tr w14:paraId="4C915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restart"/>
            <w:shd w:val="clear" w:color="auto" w:fill="auto"/>
            <w:noWrap/>
            <w:vAlign w:val="center"/>
          </w:tcPr>
          <w:p w14:paraId="7A1545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智能终端类型识别</w:t>
            </w:r>
          </w:p>
        </w:tc>
        <w:tc>
          <w:tcPr>
            <w:tcW w:w="4374" w:type="pct"/>
            <w:shd w:val="clear" w:color="auto" w:fill="auto"/>
            <w:vAlign w:val="center"/>
          </w:tcPr>
          <w:p w14:paraId="1D07BAA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支持终端类型库，基于指纹自动识别PC、路由器、摄像头设备、无线AP等</w:t>
            </w:r>
            <w:r>
              <w:rPr>
                <w:rFonts w:hint="eastAsia" w:ascii="宋体" w:hAnsi="宋体" w:eastAsia="宋体" w:cs="宋体"/>
                <w:color w:val="auto"/>
                <w:sz w:val="21"/>
                <w:szCs w:val="21"/>
                <w:highlight w:val="none"/>
                <w:lang w:eastAsia="zh-CN"/>
              </w:rPr>
              <w:t>。</w:t>
            </w:r>
          </w:p>
        </w:tc>
      </w:tr>
      <w:tr w14:paraId="7EBF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continue"/>
            <w:shd w:val="clear" w:color="auto" w:fill="auto"/>
            <w:noWrap/>
            <w:vAlign w:val="center"/>
          </w:tcPr>
          <w:p w14:paraId="7DF03605">
            <w:pPr>
              <w:rPr>
                <w:rFonts w:hint="eastAsia" w:ascii="宋体" w:hAnsi="宋体" w:eastAsia="宋体" w:cs="宋体"/>
                <w:color w:val="auto"/>
                <w:sz w:val="21"/>
                <w:szCs w:val="21"/>
                <w:highlight w:val="none"/>
              </w:rPr>
            </w:pPr>
          </w:p>
        </w:tc>
        <w:tc>
          <w:tcPr>
            <w:tcW w:w="4374" w:type="pct"/>
            <w:shd w:val="clear" w:color="auto" w:fill="auto"/>
            <w:vAlign w:val="center"/>
          </w:tcPr>
          <w:p w14:paraId="0355699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支持基于终端类型自动识别结果，禁止非法终端(例如私接路由器)接入</w:t>
            </w:r>
            <w:r>
              <w:rPr>
                <w:rFonts w:hint="eastAsia" w:ascii="宋体" w:hAnsi="宋体" w:eastAsia="宋体" w:cs="宋体"/>
                <w:color w:val="auto"/>
                <w:sz w:val="21"/>
                <w:szCs w:val="21"/>
                <w:highlight w:val="none"/>
                <w:lang w:eastAsia="zh-CN"/>
              </w:rPr>
              <w:t>。</w:t>
            </w:r>
          </w:p>
        </w:tc>
      </w:tr>
      <w:tr w14:paraId="707D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continue"/>
            <w:shd w:val="clear" w:color="auto" w:fill="auto"/>
            <w:vAlign w:val="center"/>
          </w:tcPr>
          <w:p w14:paraId="0F5EA2D7">
            <w:pPr>
              <w:rPr>
                <w:rFonts w:hint="eastAsia" w:ascii="宋体" w:hAnsi="宋体" w:eastAsia="宋体" w:cs="宋体"/>
                <w:color w:val="auto"/>
                <w:sz w:val="21"/>
                <w:szCs w:val="21"/>
                <w:highlight w:val="none"/>
              </w:rPr>
            </w:pPr>
          </w:p>
        </w:tc>
        <w:tc>
          <w:tcPr>
            <w:tcW w:w="4374" w:type="pct"/>
            <w:shd w:val="clear" w:color="auto" w:fill="auto"/>
            <w:vAlign w:val="center"/>
          </w:tcPr>
          <w:p w14:paraId="3C99B9E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支持交换机端口终端类型变更后，通过APP、短信告警</w:t>
            </w:r>
            <w:r>
              <w:rPr>
                <w:rFonts w:hint="eastAsia" w:ascii="宋体" w:hAnsi="宋体" w:eastAsia="宋体" w:cs="宋体"/>
                <w:color w:val="auto"/>
                <w:sz w:val="21"/>
                <w:szCs w:val="21"/>
                <w:highlight w:val="none"/>
                <w:lang w:eastAsia="zh-CN"/>
              </w:rPr>
              <w:t>。</w:t>
            </w:r>
          </w:p>
        </w:tc>
      </w:tr>
      <w:tr w14:paraId="637D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continue"/>
            <w:shd w:val="clear" w:color="auto" w:fill="auto"/>
            <w:vAlign w:val="center"/>
          </w:tcPr>
          <w:p w14:paraId="11B228EC">
            <w:pPr>
              <w:rPr>
                <w:rFonts w:hint="eastAsia" w:ascii="宋体" w:hAnsi="宋体" w:eastAsia="宋体" w:cs="宋体"/>
                <w:color w:val="auto"/>
                <w:sz w:val="21"/>
                <w:szCs w:val="21"/>
                <w:highlight w:val="none"/>
              </w:rPr>
            </w:pPr>
          </w:p>
        </w:tc>
        <w:tc>
          <w:tcPr>
            <w:tcW w:w="4374" w:type="pct"/>
            <w:shd w:val="clear" w:color="auto" w:fill="auto"/>
            <w:vAlign w:val="center"/>
          </w:tcPr>
          <w:p w14:paraId="7AD89FF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支持查看安全事件记录、终端类型异常记录、终端在端口迁移次数、终端地址异常记录等安全事件的记录统计。</w:t>
            </w:r>
          </w:p>
        </w:tc>
      </w:tr>
      <w:tr w14:paraId="3719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restart"/>
            <w:shd w:val="clear" w:color="auto" w:fill="auto"/>
            <w:vAlign w:val="center"/>
          </w:tcPr>
          <w:p w14:paraId="550CF0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w:t>
            </w:r>
          </w:p>
        </w:tc>
        <w:tc>
          <w:tcPr>
            <w:tcW w:w="4374" w:type="pct"/>
            <w:shd w:val="clear" w:color="auto" w:fill="auto"/>
            <w:vAlign w:val="center"/>
          </w:tcPr>
          <w:p w14:paraId="6C709BE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支持禁止通过内网PC端进行私接随身WiFi共享</w:t>
            </w:r>
            <w:r>
              <w:rPr>
                <w:rFonts w:hint="eastAsia" w:ascii="宋体" w:hAnsi="宋体" w:eastAsia="宋体" w:cs="宋体"/>
                <w:color w:val="auto"/>
                <w:sz w:val="21"/>
                <w:szCs w:val="21"/>
                <w:highlight w:val="none"/>
                <w:lang w:eastAsia="zh-CN"/>
              </w:rPr>
              <w:t>。</w:t>
            </w:r>
          </w:p>
        </w:tc>
      </w:tr>
      <w:tr w14:paraId="57C5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vMerge w:val="continue"/>
            <w:shd w:val="clear" w:color="auto" w:fill="auto"/>
            <w:vAlign w:val="center"/>
          </w:tcPr>
          <w:p w14:paraId="750CF9A6">
            <w:pPr>
              <w:rPr>
                <w:rFonts w:hint="eastAsia" w:ascii="宋体" w:hAnsi="宋体" w:eastAsia="宋体" w:cs="宋体"/>
                <w:color w:val="auto"/>
                <w:sz w:val="21"/>
                <w:szCs w:val="21"/>
                <w:highlight w:val="none"/>
              </w:rPr>
            </w:pPr>
          </w:p>
        </w:tc>
        <w:tc>
          <w:tcPr>
            <w:tcW w:w="4374" w:type="pct"/>
            <w:shd w:val="clear" w:color="auto" w:fill="auto"/>
            <w:vAlign w:val="center"/>
          </w:tcPr>
          <w:p w14:paraId="0DD24C4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为提高系统兼容性对接，需支持联动第三方安全设备或平台，通过联动实现从系统及接入层交换机对风险终端MAC地址进行封堵</w:t>
            </w:r>
            <w:r>
              <w:rPr>
                <w:rFonts w:hint="eastAsia" w:ascii="宋体" w:hAnsi="宋体" w:eastAsia="宋体" w:cs="宋体"/>
                <w:color w:val="auto"/>
                <w:sz w:val="21"/>
                <w:szCs w:val="21"/>
                <w:highlight w:val="none"/>
                <w:lang w:eastAsia="zh-CN"/>
              </w:rPr>
              <w:t>。</w:t>
            </w:r>
          </w:p>
        </w:tc>
      </w:tr>
      <w:tr w14:paraId="7B6B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5" w:type="pct"/>
            <w:tcBorders>
              <w:top w:val="single" w:color="auto" w:sz="4" w:space="0"/>
              <w:bottom w:val="single" w:color="auto" w:sz="4" w:space="0"/>
              <w:right w:val="single" w:color="auto" w:sz="4" w:space="0"/>
            </w:tcBorders>
            <w:shd w:val="clear" w:color="auto" w:fill="auto"/>
            <w:vAlign w:val="center"/>
          </w:tcPr>
          <w:p w14:paraId="5343C96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产品资质</w:t>
            </w:r>
          </w:p>
        </w:tc>
        <w:tc>
          <w:tcPr>
            <w:tcW w:w="4374" w:type="pct"/>
            <w:tcBorders>
              <w:top w:val="single" w:color="auto" w:sz="4" w:space="0"/>
              <w:left w:val="single" w:color="auto" w:sz="4" w:space="0"/>
              <w:bottom w:val="single" w:color="auto" w:sz="4" w:space="0"/>
              <w:right w:val="single" w:color="auto" w:sz="4" w:space="0"/>
            </w:tcBorders>
            <w:shd w:val="clear" w:color="auto" w:fill="auto"/>
            <w:vAlign w:val="center"/>
          </w:tcPr>
          <w:p w14:paraId="6A91EE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◆为满足网络安全建设需求，交换机需满足《信息安全技术 交换机安全技术要求 GA/T 684-2007》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符合安全交换机标准</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提供第三方机构出具的检测报告</w:t>
            </w:r>
            <w:r>
              <w:rPr>
                <w:rFonts w:hint="eastAsia" w:ascii="宋体" w:hAnsi="宋体" w:eastAsia="宋体" w:cs="宋体"/>
                <w:b/>
                <w:bCs/>
                <w:color w:val="auto"/>
                <w:sz w:val="21"/>
                <w:szCs w:val="21"/>
                <w:highlight w:val="none"/>
                <w:lang w:eastAsia="zh-CN"/>
              </w:rPr>
              <w:t>）</w:t>
            </w:r>
          </w:p>
        </w:tc>
      </w:tr>
    </w:tbl>
    <w:p w14:paraId="3842EEB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0"/>
        <w:rPr>
          <w:rFonts w:hint="eastAsia" w:ascii="宋体" w:hAnsi="宋体" w:cs="宋体"/>
          <w:b/>
          <w:color w:val="auto"/>
          <w:sz w:val="24"/>
          <w:highlight w:val="none"/>
        </w:rPr>
      </w:pPr>
      <w:r>
        <w:rPr>
          <w:rFonts w:hint="eastAsia" w:ascii="宋体" w:hAnsi="宋体" w:cs="宋体"/>
          <w:b/>
          <w:color w:val="auto"/>
          <w:sz w:val="24"/>
          <w:highlight w:val="none"/>
        </w:rPr>
        <w:t>1.5管理交换机（内网）</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7429"/>
      </w:tblGrid>
      <w:tr w14:paraId="14289A6A">
        <w:tblPrEx>
          <w:tblCellMar>
            <w:top w:w="0" w:type="dxa"/>
            <w:left w:w="108" w:type="dxa"/>
            <w:bottom w:w="0" w:type="dxa"/>
            <w:right w:w="108" w:type="dxa"/>
          </w:tblCellMar>
        </w:tblPrEx>
        <w:trPr>
          <w:trHeight w:val="23" w:hRule="atLeast"/>
          <w:jc w:val="center"/>
        </w:trPr>
        <w:tc>
          <w:tcPr>
            <w:tcW w:w="0" w:type="auto"/>
            <w:shd w:val="clear" w:color="auto" w:fill="auto"/>
            <w:noWrap/>
            <w:vAlign w:val="center"/>
          </w:tcPr>
          <w:p w14:paraId="39658F1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指标项</w:t>
            </w:r>
          </w:p>
        </w:tc>
        <w:tc>
          <w:tcPr>
            <w:tcW w:w="0" w:type="auto"/>
            <w:shd w:val="clear" w:color="auto" w:fill="auto"/>
            <w:noWrap/>
            <w:vAlign w:val="center"/>
          </w:tcPr>
          <w:p w14:paraId="082F284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参数</w:t>
            </w:r>
          </w:p>
        </w:tc>
      </w:tr>
      <w:tr w14:paraId="1452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74B882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▲交换机性能</w:t>
            </w:r>
          </w:p>
        </w:tc>
        <w:tc>
          <w:tcPr>
            <w:tcW w:w="0" w:type="auto"/>
            <w:shd w:val="clear" w:color="auto" w:fill="auto"/>
            <w:vAlign w:val="center"/>
          </w:tcPr>
          <w:p w14:paraId="6576A9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交换容量≥2.5Tbps/25Tbps。包转发率≥800Mpps/1200Mpps。</w:t>
            </w:r>
          </w:p>
        </w:tc>
      </w:tr>
      <w:tr w14:paraId="032C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3F47F4A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▲端口类型</w:t>
            </w:r>
          </w:p>
        </w:tc>
        <w:tc>
          <w:tcPr>
            <w:tcW w:w="0" w:type="auto"/>
            <w:shd w:val="clear" w:color="auto" w:fill="auto"/>
            <w:vAlign w:val="center"/>
          </w:tcPr>
          <w:p w14:paraId="4681F8A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1G/2.5G/10G SFP+光口≥24个（配置16个万兆多模光模块）；40G QSFP+光口≥2个；Console口≥1个；Manage口≥1个；堆叠线缆≥1个。</w:t>
            </w:r>
          </w:p>
        </w:tc>
      </w:tr>
      <w:tr w14:paraId="6F79DFC6">
        <w:tblPrEx>
          <w:tblCellMar>
            <w:top w:w="0" w:type="dxa"/>
            <w:left w:w="108" w:type="dxa"/>
            <w:bottom w:w="0" w:type="dxa"/>
            <w:right w:w="108" w:type="dxa"/>
          </w:tblCellMar>
        </w:tblPrEx>
        <w:trPr>
          <w:trHeight w:val="23" w:hRule="atLeast"/>
          <w:jc w:val="center"/>
        </w:trPr>
        <w:tc>
          <w:tcPr>
            <w:tcW w:w="0" w:type="auto"/>
            <w:shd w:val="clear" w:color="auto" w:fill="auto"/>
            <w:vAlign w:val="center"/>
          </w:tcPr>
          <w:p w14:paraId="65ACB3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冗余性</w:t>
            </w:r>
          </w:p>
        </w:tc>
        <w:tc>
          <w:tcPr>
            <w:tcW w:w="0" w:type="auto"/>
            <w:shd w:val="clear" w:color="auto" w:fill="auto"/>
            <w:vAlign w:val="center"/>
          </w:tcPr>
          <w:p w14:paraId="2D6DFC6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支持双交流电源模块1+1冗余（热插拔）。</w:t>
            </w:r>
          </w:p>
        </w:tc>
      </w:tr>
      <w:tr w14:paraId="1AE4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318AAAA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二层功能</w:t>
            </w:r>
          </w:p>
        </w:tc>
        <w:tc>
          <w:tcPr>
            <w:tcW w:w="0" w:type="auto"/>
            <w:shd w:val="clear" w:color="auto" w:fill="auto"/>
            <w:vAlign w:val="center"/>
          </w:tcPr>
          <w:p w14:paraId="2FC104D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支持MAC地址≥32K</w:t>
            </w:r>
            <w:r>
              <w:rPr>
                <w:rFonts w:hint="eastAsia" w:ascii="宋体" w:hAnsi="宋体" w:eastAsia="宋体" w:cs="宋体"/>
                <w:color w:val="auto"/>
                <w:sz w:val="21"/>
                <w:szCs w:val="21"/>
                <w:highlight w:val="none"/>
                <w:lang w:eastAsia="zh-CN"/>
              </w:rPr>
              <w:t>。</w:t>
            </w:r>
          </w:p>
        </w:tc>
      </w:tr>
      <w:tr w14:paraId="4D22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14:paraId="401ED4F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安全特性</w:t>
            </w:r>
          </w:p>
        </w:tc>
        <w:tc>
          <w:tcPr>
            <w:tcW w:w="0" w:type="auto"/>
            <w:shd w:val="clear" w:color="auto" w:fill="auto"/>
            <w:vAlign w:val="center"/>
          </w:tcPr>
          <w:p w14:paraId="79DDCD8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支持防网关ARP欺骗，支持端口保护、隔离、防止ARP泛洪攻击功能</w:t>
            </w:r>
            <w:r>
              <w:rPr>
                <w:rFonts w:hint="eastAsia" w:ascii="宋体" w:hAnsi="宋体" w:eastAsia="宋体" w:cs="宋体"/>
                <w:color w:val="auto"/>
                <w:sz w:val="21"/>
                <w:szCs w:val="21"/>
                <w:highlight w:val="none"/>
                <w:lang w:eastAsia="zh-CN"/>
              </w:rPr>
              <w:t>。</w:t>
            </w:r>
          </w:p>
        </w:tc>
      </w:tr>
      <w:tr w14:paraId="1E69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34DCFC48">
            <w:pPr>
              <w:rPr>
                <w:rFonts w:hint="eastAsia" w:ascii="宋体" w:hAnsi="宋体" w:eastAsia="宋体" w:cs="宋体"/>
                <w:color w:val="auto"/>
                <w:sz w:val="21"/>
                <w:szCs w:val="21"/>
                <w:highlight w:val="none"/>
              </w:rPr>
            </w:pPr>
          </w:p>
        </w:tc>
        <w:tc>
          <w:tcPr>
            <w:tcW w:w="0" w:type="auto"/>
            <w:shd w:val="clear" w:color="auto" w:fill="auto"/>
            <w:vAlign w:val="center"/>
          </w:tcPr>
          <w:p w14:paraId="1CC721D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支持DHCP Snooping，支持交换机端口设置为信任端口或非信任端口，非信任端口也可设置白名单响应DHCP报文。</w:t>
            </w:r>
          </w:p>
        </w:tc>
      </w:tr>
      <w:tr w14:paraId="45E3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5CED51C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虚拟化</w:t>
            </w:r>
          </w:p>
        </w:tc>
        <w:tc>
          <w:tcPr>
            <w:tcW w:w="0" w:type="auto"/>
            <w:shd w:val="clear" w:color="auto" w:fill="auto"/>
            <w:vAlign w:val="center"/>
          </w:tcPr>
          <w:p w14:paraId="17662D4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支持M-LAG技术，跨设备链路聚合（非堆叠技术实现），要求配对的设备有独立的控制平面</w:t>
            </w:r>
            <w:r>
              <w:rPr>
                <w:rFonts w:hint="eastAsia" w:ascii="宋体" w:hAnsi="宋体" w:eastAsia="宋体" w:cs="宋体"/>
                <w:color w:val="auto"/>
                <w:sz w:val="21"/>
                <w:szCs w:val="21"/>
                <w:highlight w:val="none"/>
                <w:lang w:eastAsia="zh-CN"/>
              </w:rPr>
              <w:t>。</w:t>
            </w:r>
          </w:p>
        </w:tc>
      </w:tr>
      <w:tr w14:paraId="1A04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33D542C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工作模式</w:t>
            </w:r>
          </w:p>
        </w:tc>
        <w:tc>
          <w:tcPr>
            <w:tcW w:w="0" w:type="auto"/>
            <w:shd w:val="clear" w:color="auto" w:fill="auto"/>
            <w:vAlign w:val="center"/>
          </w:tcPr>
          <w:p w14:paraId="176F0AF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支持智能交换机和普通交换机两种工作模式，可以根据不同的组网需要，随时灵活的进行切换。</w:t>
            </w:r>
          </w:p>
        </w:tc>
      </w:tr>
      <w:tr w14:paraId="14645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14:paraId="2BE0740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管理维护</w:t>
            </w:r>
          </w:p>
        </w:tc>
        <w:tc>
          <w:tcPr>
            <w:tcW w:w="0" w:type="auto"/>
            <w:shd w:val="clear" w:color="auto" w:fill="auto"/>
            <w:vAlign w:val="center"/>
          </w:tcPr>
          <w:p w14:paraId="5CCF365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支持以下上线方式：支持二层广播自动发现网管中心平台；支持配置静态IP地址三层发现网管中心平台；支持DHCP Option43方式发现网管中心平台；支持DNS域名发现网管中心平台</w:t>
            </w:r>
            <w:r>
              <w:rPr>
                <w:rFonts w:hint="eastAsia" w:ascii="宋体" w:hAnsi="宋体" w:eastAsia="宋体" w:cs="宋体"/>
                <w:color w:val="auto"/>
                <w:sz w:val="21"/>
                <w:szCs w:val="21"/>
                <w:highlight w:val="none"/>
                <w:lang w:eastAsia="zh-CN"/>
              </w:rPr>
              <w:t>。</w:t>
            </w:r>
          </w:p>
        </w:tc>
      </w:tr>
      <w:tr w14:paraId="018D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678E773E">
            <w:pPr>
              <w:rPr>
                <w:rFonts w:hint="eastAsia" w:ascii="宋体" w:hAnsi="宋体" w:eastAsia="宋体" w:cs="宋体"/>
                <w:color w:val="auto"/>
                <w:sz w:val="21"/>
                <w:szCs w:val="21"/>
                <w:highlight w:val="none"/>
              </w:rPr>
            </w:pPr>
          </w:p>
        </w:tc>
        <w:tc>
          <w:tcPr>
            <w:tcW w:w="0" w:type="auto"/>
            <w:shd w:val="clear" w:color="auto" w:fill="auto"/>
            <w:vAlign w:val="center"/>
          </w:tcPr>
          <w:p w14:paraId="5F8161A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支持通过网管中心平台一键替换“按钮”即可完成故障设备替换</w:t>
            </w:r>
            <w:r>
              <w:rPr>
                <w:rFonts w:hint="eastAsia" w:ascii="宋体" w:hAnsi="宋体" w:eastAsia="宋体" w:cs="宋体"/>
                <w:color w:val="auto"/>
                <w:sz w:val="21"/>
                <w:szCs w:val="21"/>
                <w:highlight w:val="none"/>
                <w:lang w:eastAsia="zh-CN"/>
              </w:rPr>
              <w:t>。</w:t>
            </w:r>
          </w:p>
        </w:tc>
      </w:tr>
      <w:tr w14:paraId="45EB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27B9E881">
            <w:pPr>
              <w:rPr>
                <w:rFonts w:hint="eastAsia" w:ascii="宋体" w:hAnsi="宋体" w:eastAsia="宋体" w:cs="宋体"/>
                <w:color w:val="auto"/>
                <w:sz w:val="21"/>
                <w:szCs w:val="21"/>
                <w:highlight w:val="none"/>
              </w:rPr>
            </w:pPr>
          </w:p>
        </w:tc>
        <w:tc>
          <w:tcPr>
            <w:tcW w:w="0" w:type="auto"/>
            <w:shd w:val="clear" w:color="auto" w:fill="auto"/>
            <w:vAlign w:val="center"/>
          </w:tcPr>
          <w:p w14:paraId="221976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支持通过APP进行远程管理，并且可以修改交换机网络配置。</w:t>
            </w:r>
          </w:p>
        </w:tc>
      </w:tr>
      <w:tr w14:paraId="00A4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shd w:val="clear" w:color="auto" w:fill="auto"/>
            <w:vAlign w:val="center"/>
          </w:tcPr>
          <w:p w14:paraId="7E7AE05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安全防护</w:t>
            </w:r>
          </w:p>
        </w:tc>
        <w:tc>
          <w:tcPr>
            <w:tcW w:w="0" w:type="auto"/>
            <w:shd w:val="clear" w:color="auto" w:fill="auto"/>
            <w:vAlign w:val="center"/>
          </w:tcPr>
          <w:p w14:paraId="4AFDAB5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支持禁止通过内网PC端进行私接随身WiFi共享</w:t>
            </w:r>
            <w:r>
              <w:rPr>
                <w:rFonts w:hint="eastAsia" w:ascii="宋体" w:hAnsi="宋体" w:eastAsia="宋体" w:cs="宋体"/>
                <w:color w:val="auto"/>
                <w:sz w:val="21"/>
                <w:szCs w:val="21"/>
                <w:highlight w:val="none"/>
                <w:lang w:eastAsia="zh-CN"/>
              </w:rPr>
              <w:t>。</w:t>
            </w:r>
          </w:p>
        </w:tc>
      </w:tr>
      <w:tr w14:paraId="0682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shd w:val="clear" w:color="auto" w:fill="auto"/>
            <w:vAlign w:val="center"/>
          </w:tcPr>
          <w:p w14:paraId="350D2179">
            <w:pPr>
              <w:rPr>
                <w:rFonts w:hint="eastAsia" w:ascii="宋体" w:hAnsi="宋体" w:eastAsia="宋体" w:cs="宋体"/>
                <w:color w:val="auto"/>
                <w:sz w:val="21"/>
                <w:szCs w:val="21"/>
                <w:highlight w:val="none"/>
              </w:rPr>
            </w:pPr>
          </w:p>
        </w:tc>
        <w:tc>
          <w:tcPr>
            <w:tcW w:w="0" w:type="auto"/>
            <w:shd w:val="clear" w:color="auto" w:fill="auto"/>
            <w:vAlign w:val="center"/>
          </w:tcPr>
          <w:p w14:paraId="53C9F9D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为提高系统兼容性对接，需支持联动第三方安全设备或平台，通过联动实现从系统及接入层交换机对风险终端MAC地址进行封堵。</w:t>
            </w:r>
          </w:p>
        </w:tc>
      </w:tr>
      <w:tr w14:paraId="4ABD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tcBorders>
              <w:top w:val="single" w:color="auto" w:sz="4" w:space="0"/>
              <w:bottom w:val="single" w:color="auto" w:sz="4" w:space="0"/>
              <w:right w:val="single" w:color="auto" w:sz="4" w:space="0"/>
            </w:tcBorders>
            <w:shd w:val="clear" w:color="auto" w:fill="auto"/>
            <w:vAlign w:val="center"/>
          </w:tcPr>
          <w:p w14:paraId="61DE87A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产品资质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05E8B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为满足网络安全建设需求，交换机需满足《信息安全技术 交换机安全技术要求 GA/T 684-2007》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符合安全交换机标准</w:t>
            </w:r>
            <w:r>
              <w:rPr>
                <w:rFonts w:hint="eastAsia" w:ascii="宋体" w:hAnsi="宋体" w:eastAsia="宋体" w:cs="宋体"/>
                <w:color w:val="auto"/>
                <w:sz w:val="21"/>
                <w:szCs w:val="21"/>
                <w:highlight w:val="none"/>
                <w:lang w:eastAsia="zh-CN"/>
              </w:rPr>
              <w:t>。</w:t>
            </w:r>
          </w:p>
        </w:tc>
      </w:tr>
    </w:tbl>
    <w:p w14:paraId="707B88A0">
      <w:pPr>
        <w:pStyle w:val="23"/>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rPr>
        <w:t>3.6 其他要求</w:t>
      </w:r>
    </w:p>
    <w:p w14:paraId="4E355C68">
      <w:pPr>
        <w:pStyle w:val="2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rPr>
        <w:t>请投标人在报价前仔细阅读招标需求，明确系统建设兼容性要求、功能性实现。</w:t>
      </w:r>
      <w:r>
        <w:rPr>
          <w:rFonts w:hint="eastAsia" w:ascii="宋体" w:hAnsi="宋体" w:eastAsia="宋体" w:cs="宋体"/>
          <w:color w:val="auto"/>
          <w:sz w:val="24"/>
          <w:szCs w:val="24"/>
          <w:highlight w:val="none"/>
          <w:lang w:val="en-US"/>
        </w:rPr>
        <w:t>本项目为一次性报价，包含包括投标人完成本项目所需的一切费用。具体包括货物报价和标准附件、备品备件、专用工具、运输、装卸、保险、安装调试、检测、培训、验收合格、技术支持、售后服务、质保期维护所需的各种费用以及必要的保险费用和各项税金等所有费用的总和，今后不作调整。</w:t>
      </w:r>
    </w:p>
    <w:p w14:paraId="3D5CAADE">
      <w:pPr>
        <w:pStyle w:val="2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（2）完成DMZ区域原系统及数据的迁移、集成等工作：涉及原有系统及数据的迁移与备份；提供详细的各资源池规划及优化方案、迁移方案及相应的应急预案。</w:t>
      </w:r>
    </w:p>
    <w:p w14:paraId="10B6946F">
      <w:pPr>
        <w:keepNext w:val="0"/>
        <w:keepLines w:val="0"/>
        <w:pageBreakBefore w:val="0"/>
        <w:widowControl w:val="0"/>
        <w:numPr>
          <w:ilvl w:val="0"/>
          <w:numId w:val="0"/>
        </w:numPr>
        <w:kinsoku/>
        <w:wordWrap/>
        <w:overflowPunct/>
        <w:topLinePunct w:val="0"/>
        <w:bidi w:val="0"/>
        <w:adjustRightInd w:val="0"/>
        <w:snapToGrid w:val="0"/>
        <w:spacing w:line="360" w:lineRule="auto"/>
        <w:ind w:firstLine="42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（3）配合用户后续系统架构调整、应急演练、数据回迁、系统安装、等级保护等服务工作，不限次数</w:t>
      </w:r>
      <w:r>
        <w:rPr>
          <w:rFonts w:hint="eastAsia" w:ascii="宋体" w:hAnsi="宋体" w:eastAsia="宋体" w:cs="宋体"/>
          <w:color w:val="auto"/>
          <w:sz w:val="24"/>
          <w:szCs w:val="24"/>
          <w:highlight w:val="none"/>
          <w:lang w:val="en-US" w:eastAsia="zh-CN"/>
        </w:rPr>
        <w:t>，费用包含在总体报价内</w:t>
      </w:r>
      <w:r>
        <w:rPr>
          <w:rFonts w:hint="eastAsia" w:ascii="宋体" w:hAnsi="宋体" w:eastAsia="宋体" w:cs="宋体"/>
          <w:color w:val="auto"/>
          <w:sz w:val="24"/>
          <w:szCs w:val="24"/>
          <w:highlight w:val="none"/>
          <w:lang w:val="en-US"/>
        </w:rPr>
        <w:t>。</w:t>
      </w:r>
    </w:p>
    <w:p w14:paraId="14C44049">
      <w:pP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商务需求：</w:t>
      </w:r>
    </w:p>
    <w:p w14:paraId="3F147C1C">
      <w:pPr>
        <w:pStyle w:val="23"/>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hAnsi="宋体" w:cs="宋体"/>
          <w:color w:val="auto"/>
          <w:sz w:val="24"/>
          <w:szCs w:val="24"/>
          <w:highlight w:val="none"/>
          <w:lang w:val="en-US"/>
        </w:rPr>
      </w:pPr>
      <w:r>
        <w:rPr>
          <w:rFonts w:hint="eastAsia" w:hAnsi="宋体" w:cs="宋体"/>
          <w:b/>
          <w:bCs/>
          <w:color w:val="auto"/>
          <w:sz w:val="24"/>
          <w:szCs w:val="24"/>
          <w:highlight w:val="none"/>
          <w:lang w:val="en-US"/>
        </w:rPr>
        <w:t>1、合同履行期限</w:t>
      </w:r>
      <w:r>
        <w:rPr>
          <w:rFonts w:hint="eastAsia" w:hAnsi="宋体" w:cs="宋体"/>
          <w:color w:val="auto"/>
          <w:sz w:val="24"/>
          <w:szCs w:val="24"/>
          <w:highlight w:val="none"/>
          <w:lang w:val="en-US"/>
        </w:rPr>
        <w:t>：中标人应在合同签订后，30日历天内完成所有设备供货，90日历天内完成设备安装、调试工作。</w:t>
      </w:r>
    </w:p>
    <w:p w14:paraId="0FEA170A">
      <w:pPr>
        <w:pStyle w:val="2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hAnsi="宋体" w:cs="宋体"/>
          <w:color w:val="auto"/>
          <w:sz w:val="24"/>
          <w:szCs w:val="24"/>
          <w:highlight w:val="none"/>
          <w:lang w:val="en-US"/>
        </w:rPr>
      </w:pPr>
      <w:r>
        <w:rPr>
          <w:rFonts w:hint="eastAsia" w:hAnsi="宋体" w:cs="宋体"/>
          <w:color w:val="auto"/>
          <w:sz w:val="24"/>
          <w:szCs w:val="24"/>
          <w:highlight w:val="none"/>
          <w:lang w:val="en-US"/>
        </w:rPr>
        <w:t>交货地点：杭州市萧山区第一人民医院信息中心。</w:t>
      </w:r>
    </w:p>
    <w:p w14:paraId="08053DA8">
      <w:pPr>
        <w:pStyle w:val="23"/>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hAnsi="宋体" w:cs="宋体"/>
          <w:color w:val="auto"/>
          <w:sz w:val="24"/>
          <w:szCs w:val="24"/>
          <w:highlight w:val="none"/>
          <w:lang w:val="en-US"/>
        </w:rPr>
      </w:pPr>
      <w:r>
        <w:rPr>
          <w:rFonts w:hint="eastAsia" w:hAnsi="宋体" w:cs="宋体"/>
          <w:b/>
          <w:bCs/>
          <w:color w:val="auto"/>
          <w:sz w:val="24"/>
          <w:szCs w:val="24"/>
          <w:highlight w:val="none"/>
          <w:lang w:val="en-US"/>
        </w:rPr>
        <w:t>2、合同前事项：</w:t>
      </w:r>
      <w:r>
        <w:rPr>
          <w:rFonts w:hint="eastAsia" w:hAnsi="宋体" w:cs="宋体"/>
          <w:color w:val="auto"/>
          <w:sz w:val="24"/>
          <w:szCs w:val="24"/>
          <w:highlight w:val="none"/>
          <w:lang w:val="en-US"/>
        </w:rPr>
        <w:t>签订合同前，采购人要求中标人提供产品与招投标文件进行相关参数及功能逐一验证，如存在不符，将视为虚假应标行为，废除中标资格，并依法追究相关法律责任。</w:t>
      </w:r>
    </w:p>
    <w:p w14:paraId="41D02E5A">
      <w:pPr>
        <w:pStyle w:val="2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rPr>
        <w:t>▲</w:t>
      </w:r>
      <w:r>
        <w:rPr>
          <w:rFonts w:hint="eastAsia" w:hAnsi="宋体" w:cs="宋体"/>
          <w:b/>
          <w:bCs/>
          <w:color w:val="auto"/>
          <w:sz w:val="24"/>
          <w:szCs w:val="24"/>
          <w:highlight w:val="none"/>
          <w:lang w:val="en-US"/>
        </w:rPr>
        <w:t>3、质保期</w:t>
      </w:r>
      <w:r>
        <w:rPr>
          <w:rFonts w:hint="eastAsia" w:hAnsi="宋体" w:cs="宋体"/>
          <w:color w:val="auto"/>
          <w:sz w:val="24"/>
          <w:szCs w:val="24"/>
          <w:highlight w:val="none"/>
          <w:lang w:val="en-US"/>
        </w:rPr>
        <w:t>：所有产品提供不少于三年7x24质保服务，技术人员上门安装服务，所有产品须为全新设备，符合质保要求。</w:t>
      </w:r>
      <w:r>
        <w:rPr>
          <w:rFonts w:hint="eastAsia" w:hAnsi="宋体" w:cs="宋体"/>
          <w:color w:val="auto"/>
          <w:sz w:val="24"/>
          <w:szCs w:val="24"/>
          <w:highlight w:val="none"/>
          <w:lang w:val="en-US" w:eastAsia="zh-CN"/>
        </w:rPr>
        <w:t>提供质保承诺函。</w:t>
      </w:r>
    </w:p>
    <w:p w14:paraId="5A397F63">
      <w:pPr>
        <w:pStyle w:val="23"/>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hAnsi="宋体" w:cs="宋体"/>
          <w:b/>
          <w:bCs/>
          <w:color w:val="auto"/>
          <w:sz w:val="24"/>
          <w:szCs w:val="24"/>
          <w:highlight w:val="none"/>
          <w:lang w:val="en-US"/>
        </w:rPr>
      </w:pPr>
      <w:r>
        <w:rPr>
          <w:rFonts w:hint="eastAsia" w:hAnsi="宋体" w:cs="宋体"/>
          <w:b/>
          <w:bCs/>
          <w:color w:val="auto"/>
          <w:sz w:val="24"/>
          <w:szCs w:val="24"/>
          <w:highlight w:val="none"/>
          <w:lang w:val="en-US"/>
        </w:rPr>
        <w:t>4、付款方式：</w:t>
      </w:r>
    </w:p>
    <w:p w14:paraId="4765C1CC">
      <w:pPr>
        <w:pStyle w:val="2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hAnsi="宋体" w:cs="宋体"/>
          <w:color w:val="auto"/>
          <w:sz w:val="24"/>
          <w:szCs w:val="24"/>
          <w:highlight w:val="none"/>
          <w:lang w:val="en-US"/>
        </w:rPr>
      </w:pPr>
      <w:r>
        <w:rPr>
          <w:rFonts w:hint="eastAsia" w:hAnsi="宋体" w:cs="宋体"/>
          <w:color w:val="auto"/>
          <w:sz w:val="24"/>
          <w:szCs w:val="24"/>
          <w:highlight w:val="none"/>
          <w:lang w:val="en-US"/>
        </w:rPr>
        <w:t>（1）合同签订具备实施条件后，15个工作日内，采购人向中标人支付中标金额的40%预付款。</w:t>
      </w:r>
    </w:p>
    <w:p w14:paraId="2681BD77">
      <w:pPr>
        <w:pStyle w:val="2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hAnsi="宋体" w:cs="宋体"/>
          <w:color w:val="auto"/>
          <w:sz w:val="24"/>
          <w:szCs w:val="24"/>
          <w:highlight w:val="none"/>
          <w:lang w:val="en-US"/>
        </w:rPr>
      </w:pPr>
      <w:r>
        <w:rPr>
          <w:rFonts w:hint="eastAsia" w:hAnsi="宋体" w:cs="宋体"/>
          <w:color w:val="auto"/>
          <w:sz w:val="24"/>
          <w:szCs w:val="24"/>
          <w:highlight w:val="none"/>
          <w:lang w:val="en-US"/>
        </w:rPr>
        <w:t>（2）安装调试完成且经验收合格后，采购人向中标单位支付至中标金额的100%。采购人付款前，供应商必须先开具相同金额的正式税务增值税普通发票给采购人。</w:t>
      </w:r>
    </w:p>
    <w:p w14:paraId="44F947D6">
      <w:pPr>
        <w:pStyle w:val="2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hAnsi="宋体" w:cs="宋体"/>
          <w:color w:val="auto"/>
          <w:sz w:val="24"/>
          <w:szCs w:val="24"/>
          <w:highlight w:val="none"/>
          <w:lang w:val="en-US"/>
        </w:rPr>
      </w:pPr>
      <w:r>
        <w:rPr>
          <w:rFonts w:hint="eastAsia" w:hAnsi="宋体" w:cs="宋体"/>
          <w:color w:val="auto"/>
          <w:sz w:val="24"/>
          <w:szCs w:val="24"/>
          <w:highlight w:val="none"/>
          <w:lang w:val="en-US"/>
        </w:rPr>
        <w:t>（3）履约保证金：不收取。</w:t>
      </w:r>
    </w:p>
    <w:p w14:paraId="6A8EFDFF">
      <w:pPr>
        <w:pStyle w:val="23"/>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hAnsi="宋体" w:cs="宋体"/>
          <w:b/>
          <w:bCs/>
          <w:color w:val="auto"/>
          <w:sz w:val="24"/>
          <w:szCs w:val="24"/>
          <w:highlight w:val="none"/>
          <w:lang w:val="en-US"/>
        </w:rPr>
      </w:pPr>
      <w:r>
        <w:rPr>
          <w:rFonts w:hint="eastAsia" w:hAnsi="宋体" w:cs="宋体"/>
          <w:b/>
          <w:bCs/>
          <w:color w:val="auto"/>
          <w:sz w:val="24"/>
          <w:szCs w:val="24"/>
          <w:highlight w:val="none"/>
          <w:lang w:val="en-US"/>
        </w:rPr>
        <w:t>5、系统验收：</w:t>
      </w:r>
    </w:p>
    <w:p w14:paraId="3D723E26">
      <w:pPr>
        <w:pStyle w:val="2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hAnsi="宋体" w:cs="宋体"/>
          <w:color w:val="auto"/>
          <w:sz w:val="24"/>
          <w:szCs w:val="24"/>
          <w:highlight w:val="none"/>
          <w:lang w:val="en-US"/>
        </w:rPr>
      </w:pPr>
      <w:r>
        <w:rPr>
          <w:rFonts w:hint="eastAsia" w:hAnsi="宋体" w:cs="宋体"/>
          <w:color w:val="auto"/>
          <w:sz w:val="24"/>
          <w:szCs w:val="24"/>
          <w:highlight w:val="none"/>
          <w:lang w:val="en-US"/>
        </w:rPr>
        <w:t>采购人参照设备清单，进行产品品牌、型号、数量到货验收（所有货物一次性到安装场地），安装调试完成后根据招标文件里技术功能进行项目初验，发现产品达不到验收标准或合同规定的性能指标，供方必须立即调整或更换产品。并且赔偿由此给用户造成的损失。软、硬件安装调试完成并通过初验后，投入试运行，在试运行期间，投标人应使任何故障或问题都能在收到故障通知后尽快（节、假日也不例外）被修复和解决，并给出详细修复细节报告，所有试运行期间软件的修改和变化都应在试运行结束后提供书面和电子文档。稳定试运行一个月，成交供应商方能申请项目验收。</w:t>
      </w:r>
    </w:p>
    <w:p w14:paraId="12414AA8">
      <w:pPr>
        <w:pStyle w:val="23"/>
        <w:keepNext w:val="0"/>
        <w:keepLines w:val="0"/>
        <w:pageBreakBefore w:val="0"/>
        <w:widowControl w:val="0"/>
        <w:kinsoku/>
        <w:wordWrap/>
        <w:overflowPunct/>
        <w:topLinePunct w:val="0"/>
        <w:bidi w:val="0"/>
        <w:adjustRightInd w:val="0"/>
        <w:snapToGrid w:val="0"/>
        <w:spacing w:line="360" w:lineRule="auto"/>
        <w:ind w:firstLine="482" w:firstLineChars="200"/>
        <w:textAlignment w:val="auto"/>
        <w:rPr>
          <w:rFonts w:hint="eastAsia" w:hAnsi="宋体" w:cs="宋体"/>
          <w:b/>
          <w:bCs/>
          <w:color w:val="auto"/>
          <w:sz w:val="24"/>
          <w:szCs w:val="24"/>
          <w:highlight w:val="none"/>
          <w:lang w:val="en-US"/>
        </w:rPr>
      </w:pPr>
      <w:r>
        <w:rPr>
          <w:rFonts w:hint="eastAsia" w:hAnsi="宋体" w:cs="宋体"/>
          <w:b/>
          <w:bCs/>
          <w:color w:val="auto"/>
          <w:sz w:val="24"/>
          <w:szCs w:val="24"/>
          <w:highlight w:val="none"/>
          <w:lang w:val="en-US"/>
        </w:rPr>
        <w:t>6、培训要求：</w:t>
      </w:r>
    </w:p>
    <w:p w14:paraId="0C5356D8">
      <w:pPr>
        <w:keepNext w:val="0"/>
        <w:keepLines w:val="0"/>
        <w:pageBreakBefore w:val="0"/>
        <w:widowControl w:val="0"/>
        <w:kinsoku/>
        <w:wordWrap/>
        <w:overflowPunct/>
        <w:topLinePunct w:val="0"/>
        <w:bidi w:val="0"/>
        <w:adjustRightInd w:val="0"/>
        <w:snapToGrid w:val="0"/>
        <w:spacing w:line="360" w:lineRule="auto"/>
        <w:ind w:firstLine="420" w:firstLineChars="0"/>
        <w:textAlignment w:val="auto"/>
        <w:rPr>
          <w:rFonts w:hint="eastAsia" w:hAnsi="宋体" w:cs="宋体"/>
          <w:color w:val="auto"/>
          <w:sz w:val="24"/>
          <w:szCs w:val="24"/>
          <w:highlight w:val="none"/>
          <w:lang w:val="en-US"/>
        </w:rPr>
      </w:pPr>
      <w:r>
        <w:rPr>
          <w:rFonts w:hint="eastAsia" w:hAnsi="宋体" w:cs="宋体"/>
          <w:color w:val="auto"/>
          <w:sz w:val="24"/>
          <w:szCs w:val="24"/>
          <w:highlight w:val="none"/>
          <w:lang w:val="en-US"/>
        </w:rPr>
        <w:t>成交供应商应提供相应的培训计划并对采购人的操作人员、维修人员进行培训，费用由中标人支付，包含在投标总价中。</w:t>
      </w:r>
      <w:r>
        <w:rPr>
          <w:rFonts w:hint="eastAsia" w:ascii="仿宋" w:hAnsi="仿宋"/>
          <w:color w:val="auto"/>
          <w:kern w:val="0"/>
          <w:sz w:val="24"/>
          <w:szCs w:val="24"/>
          <w:highlight w:val="none"/>
        </w:rPr>
        <w:t>培训的内容应覆盖软件系统的安装、日常操作和管理维护，以及基本的故障诊断与排除。</w:t>
      </w:r>
      <w:r>
        <w:rPr>
          <w:rFonts w:hint="eastAsia" w:hAnsi="宋体" w:cs="宋体"/>
          <w:color w:val="auto"/>
          <w:sz w:val="24"/>
          <w:szCs w:val="24"/>
          <w:highlight w:val="none"/>
          <w:lang w:val="en-US"/>
        </w:rPr>
        <w:t>并需提供产品的各项文档资料，包括但不仅限于部署文档、试运行测试记录、用户使用手册等。</w:t>
      </w:r>
    </w:p>
    <w:p w14:paraId="55CF5FC3">
      <w:pPr>
        <w:keepNext w:val="0"/>
        <w:keepLines w:val="0"/>
        <w:pageBreakBefore w:val="0"/>
        <w:widowControl w:val="0"/>
        <w:kinsoku/>
        <w:wordWrap/>
        <w:overflowPunct/>
        <w:topLinePunct w:val="0"/>
        <w:bidi w:val="0"/>
        <w:adjustRightInd w:val="0"/>
        <w:snapToGrid w:val="0"/>
        <w:spacing w:line="360" w:lineRule="auto"/>
        <w:textAlignment w:val="auto"/>
        <w:rPr>
          <w:rFonts w:hint="eastAsia" w:hAnsi="宋体" w:cs="宋体"/>
          <w:color w:val="auto"/>
          <w:sz w:val="24"/>
          <w:szCs w:val="24"/>
          <w:highlight w:val="none"/>
          <w:lang w:val="en-US"/>
        </w:rPr>
      </w:pPr>
    </w:p>
    <w:p w14:paraId="195E515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注：</w:t>
      </w:r>
    </w:p>
    <w:p w14:paraId="3D7A16E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、如有附图，仅作参考。</w:t>
      </w:r>
    </w:p>
    <w:p w14:paraId="33AF3B9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、打▲内容为实质性要求，不允许有负偏离，否则将以涉及无效投标条款作无效投标。</w:t>
      </w:r>
    </w:p>
    <w:p w14:paraId="3139A2F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、中标人所提供的货物、服务须与投标承诺一致，不得以次充好、偷工减料，若在项目验收中发现有上述情况，将向有关部门举报，根据相关规定进行处理。</w:t>
      </w:r>
    </w:p>
    <w:p w14:paraId="381ED37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本采购需求中所称的“以上”、“以下”、“内”、“以内”，包括本数；所称的“不足”，不包括本数。</w:t>
      </w:r>
    </w:p>
    <w:p w14:paraId="6B194A92">
      <w:pPr>
        <w:spacing w:line="500" w:lineRule="exact"/>
        <w:rPr>
          <w:rFonts w:hint="eastAsia" w:ascii="仿宋" w:hAnsi="仿宋" w:eastAsia="仿宋" w:cs="仿宋"/>
          <w:color w:val="auto"/>
          <w:highlight w:val="none"/>
          <w:lang w:val="en-US" w:eastAsia="zh-CN"/>
        </w:rPr>
      </w:pPr>
    </w:p>
    <w:p w14:paraId="32249556">
      <w:pPr>
        <w:spacing w:line="360" w:lineRule="auto"/>
        <w:ind w:firstLine="181" w:firstLineChars="50"/>
        <w:rPr>
          <w:rFonts w:ascii="宋体" w:hAnsi="宋体" w:cs="宋体"/>
          <w:b/>
          <w:color w:val="auto"/>
          <w:sz w:val="36"/>
          <w:szCs w:val="36"/>
          <w:highlight w:val="none"/>
        </w:rPr>
      </w:pPr>
    </w:p>
    <w:p w14:paraId="30A39C45">
      <w:pPr>
        <w:spacing w:line="360" w:lineRule="auto"/>
        <w:rPr>
          <w:rFonts w:ascii="宋体" w:hAnsi="宋体" w:cs="宋体"/>
          <w:color w:val="auto"/>
          <w:sz w:val="24"/>
          <w:highlight w:val="none"/>
        </w:rPr>
      </w:pPr>
    </w:p>
    <w:p w14:paraId="0E48AF4B">
      <w:pPr>
        <w:widowControl/>
        <w:ind w:firstLine="720" w:firstLineChars="300"/>
        <w:jc w:val="left"/>
        <w:rPr>
          <w:rFonts w:ascii="宋体" w:hAnsi="宋体" w:cs="宋体"/>
          <w:bCs/>
          <w:color w:val="auto"/>
          <w:sz w:val="24"/>
          <w:highlight w:val="none"/>
        </w:rPr>
      </w:pPr>
    </w:p>
    <w:p w14:paraId="10F855DD">
      <w:pPr>
        <w:rPr>
          <w:rFonts w:ascii="宋体" w:hAnsi="宋体" w:cs="宋体"/>
          <w:snapToGrid w:val="0"/>
          <w:color w:val="auto"/>
          <w:kern w:val="0"/>
          <w:sz w:val="24"/>
          <w:highlight w:val="none"/>
        </w:rPr>
      </w:pPr>
    </w:p>
    <w:p w14:paraId="6CCA3CE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7AF3F8">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0" w:name="_Toc184310327"/>
      <w:bookmarkEnd w:id="30"/>
      <w:bookmarkStart w:id="31" w:name="_Toc184313299"/>
      <w:bookmarkEnd w:id="31"/>
      <w:bookmarkStart w:id="32" w:name="_Toc184314475"/>
      <w:bookmarkEnd w:id="32"/>
      <w:bookmarkStart w:id="33" w:name="_Toc184312080"/>
      <w:bookmarkEnd w:id="33"/>
      <w:bookmarkStart w:id="34" w:name="_Toc184310323"/>
      <w:bookmarkEnd w:id="34"/>
      <w:bookmarkStart w:id="35" w:name="_Toc184308054"/>
      <w:bookmarkEnd w:id="35"/>
      <w:bookmarkStart w:id="36" w:name="_Toc184313281"/>
      <w:bookmarkEnd w:id="36"/>
      <w:bookmarkStart w:id="37" w:name="_Toc184310283"/>
      <w:bookmarkEnd w:id="37"/>
      <w:bookmarkStart w:id="38" w:name="_Toc184313257"/>
      <w:bookmarkEnd w:id="38"/>
      <w:bookmarkStart w:id="39" w:name="_Toc184308102"/>
      <w:bookmarkEnd w:id="39"/>
      <w:bookmarkStart w:id="40" w:name="_Toc184314469"/>
      <w:bookmarkEnd w:id="40"/>
      <w:bookmarkStart w:id="41" w:name="_Toc184310274"/>
      <w:bookmarkEnd w:id="41"/>
      <w:bookmarkStart w:id="42" w:name="_Toc184308066"/>
      <w:bookmarkEnd w:id="42"/>
      <w:bookmarkStart w:id="43" w:name="_Toc184308071"/>
      <w:bookmarkEnd w:id="43"/>
      <w:bookmarkStart w:id="44" w:name="_Toc184308104"/>
      <w:bookmarkEnd w:id="44"/>
      <w:bookmarkStart w:id="45" w:name="_Toc184312073"/>
      <w:bookmarkEnd w:id="45"/>
      <w:bookmarkStart w:id="46" w:name="_Toc184310278"/>
      <w:bookmarkEnd w:id="46"/>
      <w:bookmarkStart w:id="47" w:name="_Toc184314468"/>
      <w:bookmarkEnd w:id="47"/>
      <w:bookmarkStart w:id="48" w:name="_Toc184314445"/>
      <w:bookmarkEnd w:id="48"/>
      <w:bookmarkStart w:id="49" w:name="_Toc184310296"/>
      <w:bookmarkEnd w:id="49"/>
      <w:bookmarkStart w:id="50" w:name="_Toc184308053"/>
      <w:bookmarkEnd w:id="50"/>
      <w:bookmarkStart w:id="51" w:name="_Toc184310291"/>
      <w:bookmarkEnd w:id="51"/>
      <w:bookmarkStart w:id="52" w:name="_Toc184308094"/>
      <w:bookmarkEnd w:id="52"/>
      <w:bookmarkStart w:id="53" w:name="_Toc184313298"/>
      <w:bookmarkEnd w:id="53"/>
      <w:bookmarkStart w:id="54" w:name="_Toc184312124"/>
      <w:bookmarkEnd w:id="54"/>
      <w:bookmarkStart w:id="55" w:name="_Toc184310312"/>
      <w:bookmarkEnd w:id="55"/>
      <w:bookmarkStart w:id="56" w:name="_Toc184314476"/>
      <w:bookmarkEnd w:id="56"/>
      <w:bookmarkStart w:id="57" w:name="_Toc184313304"/>
      <w:bookmarkEnd w:id="57"/>
      <w:bookmarkStart w:id="58" w:name="_Toc184313264"/>
      <w:bookmarkEnd w:id="58"/>
      <w:bookmarkStart w:id="59" w:name="_Toc184310335"/>
      <w:bookmarkEnd w:id="59"/>
      <w:bookmarkStart w:id="60" w:name="_Toc184310295"/>
      <w:bookmarkEnd w:id="60"/>
      <w:bookmarkStart w:id="61" w:name="_Toc184314458"/>
      <w:bookmarkEnd w:id="61"/>
      <w:bookmarkStart w:id="62" w:name="_Toc184313265"/>
      <w:bookmarkEnd w:id="62"/>
      <w:bookmarkStart w:id="63" w:name="_Toc184312110"/>
      <w:bookmarkEnd w:id="63"/>
      <w:bookmarkStart w:id="64" w:name="_Toc184312130"/>
      <w:bookmarkEnd w:id="64"/>
      <w:bookmarkStart w:id="65" w:name="_Toc184314467"/>
      <w:bookmarkEnd w:id="65"/>
      <w:bookmarkStart w:id="66" w:name="_Toc184310289"/>
      <w:bookmarkEnd w:id="66"/>
      <w:bookmarkStart w:id="67" w:name="_Toc184313278"/>
      <w:bookmarkEnd w:id="67"/>
      <w:bookmarkStart w:id="68" w:name="_Toc184308096"/>
      <w:bookmarkEnd w:id="68"/>
      <w:bookmarkStart w:id="69" w:name="_Toc184310315"/>
      <w:bookmarkEnd w:id="69"/>
      <w:bookmarkStart w:id="70" w:name="_Toc184310305"/>
      <w:bookmarkEnd w:id="70"/>
      <w:bookmarkStart w:id="71" w:name="_Toc184314424"/>
      <w:bookmarkEnd w:id="71"/>
      <w:bookmarkStart w:id="72" w:name="_Toc184313286"/>
      <w:bookmarkEnd w:id="72"/>
      <w:bookmarkStart w:id="73" w:name="_Toc184308093"/>
      <w:bookmarkEnd w:id="73"/>
      <w:bookmarkStart w:id="74" w:name="_Toc184312087"/>
      <w:bookmarkEnd w:id="74"/>
      <w:bookmarkStart w:id="75" w:name="_Toc184312137"/>
      <w:bookmarkEnd w:id="75"/>
      <w:bookmarkStart w:id="76" w:name="_Toc184308086"/>
      <w:bookmarkEnd w:id="76"/>
      <w:bookmarkStart w:id="77" w:name="_Toc184313250"/>
      <w:bookmarkEnd w:id="77"/>
      <w:bookmarkStart w:id="78" w:name="_Toc184312067"/>
      <w:bookmarkEnd w:id="78"/>
      <w:bookmarkStart w:id="79" w:name="_Toc184313309"/>
      <w:bookmarkEnd w:id="79"/>
      <w:bookmarkStart w:id="80" w:name="_Toc184308097"/>
      <w:bookmarkEnd w:id="80"/>
      <w:bookmarkStart w:id="81" w:name="_Toc184312092"/>
      <w:bookmarkEnd w:id="81"/>
      <w:bookmarkStart w:id="82" w:name="_Toc184308098"/>
      <w:bookmarkEnd w:id="82"/>
      <w:bookmarkStart w:id="83" w:name="_Toc184310333"/>
      <w:bookmarkEnd w:id="83"/>
      <w:bookmarkStart w:id="84" w:name="_Toc184312109"/>
      <w:bookmarkEnd w:id="84"/>
      <w:bookmarkStart w:id="85" w:name="_Toc184312115"/>
      <w:bookmarkEnd w:id="85"/>
      <w:bookmarkStart w:id="86" w:name="_Toc184313251"/>
      <w:bookmarkEnd w:id="86"/>
      <w:bookmarkStart w:id="87" w:name="_Toc184308063"/>
      <w:bookmarkEnd w:id="87"/>
      <w:bookmarkStart w:id="88" w:name="_Toc184312107"/>
      <w:bookmarkEnd w:id="88"/>
      <w:bookmarkStart w:id="89" w:name="_Toc184308039"/>
      <w:bookmarkEnd w:id="89"/>
      <w:bookmarkStart w:id="90" w:name="_Toc184310317"/>
      <w:bookmarkEnd w:id="90"/>
      <w:bookmarkStart w:id="91" w:name="_Toc184310330"/>
      <w:bookmarkEnd w:id="91"/>
      <w:bookmarkStart w:id="92" w:name="_Toc184308064"/>
      <w:bookmarkEnd w:id="92"/>
      <w:bookmarkStart w:id="93" w:name="_Toc184308046"/>
      <w:bookmarkEnd w:id="93"/>
      <w:bookmarkStart w:id="94" w:name="_Toc184313243"/>
      <w:bookmarkEnd w:id="94"/>
      <w:bookmarkStart w:id="95" w:name="_Toc184314435"/>
      <w:bookmarkEnd w:id="95"/>
      <w:bookmarkStart w:id="96" w:name="_Toc184313249"/>
      <w:bookmarkEnd w:id="96"/>
      <w:bookmarkStart w:id="97" w:name="_Toc184314413"/>
      <w:bookmarkEnd w:id="97"/>
      <w:bookmarkStart w:id="98" w:name="_Toc184312118"/>
      <w:bookmarkEnd w:id="98"/>
      <w:bookmarkStart w:id="99" w:name="_Toc184314431"/>
      <w:bookmarkEnd w:id="99"/>
      <w:bookmarkStart w:id="100" w:name="_Toc184313263"/>
      <w:bookmarkEnd w:id="100"/>
      <w:bookmarkStart w:id="101" w:name="_Toc184310290"/>
      <w:bookmarkEnd w:id="101"/>
      <w:bookmarkStart w:id="102" w:name="_Toc184308044"/>
      <w:bookmarkEnd w:id="102"/>
      <w:bookmarkStart w:id="103" w:name="_Toc184314470"/>
      <w:bookmarkEnd w:id="103"/>
      <w:bookmarkStart w:id="104" w:name="_Toc184308043"/>
      <w:bookmarkEnd w:id="104"/>
      <w:bookmarkStart w:id="105" w:name="_Toc184312074"/>
      <w:bookmarkEnd w:id="105"/>
      <w:bookmarkStart w:id="106" w:name="_Toc184308069"/>
      <w:bookmarkEnd w:id="106"/>
      <w:bookmarkStart w:id="107" w:name="_Toc184314452"/>
      <w:bookmarkEnd w:id="107"/>
      <w:bookmarkStart w:id="108" w:name="_Toc184314446"/>
      <w:bookmarkEnd w:id="108"/>
      <w:bookmarkStart w:id="109" w:name="_Toc184308048"/>
      <w:bookmarkEnd w:id="109"/>
      <w:bookmarkStart w:id="110" w:name="_Toc184310322"/>
      <w:bookmarkEnd w:id="110"/>
      <w:bookmarkStart w:id="111" w:name="_Toc184312113"/>
      <w:bookmarkEnd w:id="111"/>
      <w:bookmarkStart w:id="112" w:name="_Toc184312112"/>
      <w:bookmarkEnd w:id="112"/>
      <w:bookmarkStart w:id="113" w:name="_Toc184313267"/>
      <w:bookmarkEnd w:id="113"/>
      <w:bookmarkStart w:id="114" w:name="_Toc184314439"/>
      <w:bookmarkEnd w:id="114"/>
      <w:bookmarkStart w:id="115" w:name="_Toc184310293"/>
      <w:bookmarkEnd w:id="115"/>
      <w:bookmarkStart w:id="116" w:name="_Toc184314438"/>
      <w:bookmarkEnd w:id="116"/>
      <w:bookmarkStart w:id="117" w:name="_Toc184314417"/>
      <w:bookmarkEnd w:id="117"/>
      <w:bookmarkStart w:id="118" w:name="_Toc184310316"/>
      <w:bookmarkEnd w:id="118"/>
      <w:bookmarkStart w:id="119" w:name="_Toc184310338"/>
      <w:bookmarkEnd w:id="119"/>
      <w:bookmarkStart w:id="120" w:name="_Toc184314444"/>
      <w:bookmarkEnd w:id="120"/>
      <w:bookmarkStart w:id="121" w:name="_Toc184312122"/>
      <w:bookmarkEnd w:id="121"/>
      <w:bookmarkStart w:id="122" w:name="_Toc184308055"/>
      <w:bookmarkEnd w:id="122"/>
      <w:bookmarkStart w:id="123" w:name="_Toc184310344"/>
      <w:bookmarkEnd w:id="123"/>
      <w:bookmarkStart w:id="124" w:name="_Toc184314412"/>
      <w:bookmarkEnd w:id="124"/>
      <w:bookmarkStart w:id="125" w:name="_Toc184312121"/>
      <w:bookmarkEnd w:id="125"/>
      <w:bookmarkStart w:id="126" w:name="_Toc184310303"/>
      <w:bookmarkEnd w:id="126"/>
      <w:bookmarkStart w:id="127" w:name="_Toc184314415"/>
      <w:bookmarkEnd w:id="127"/>
      <w:bookmarkStart w:id="128" w:name="_Toc184313275"/>
      <w:bookmarkEnd w:id="128"/>
      <w:bookmarkStart w:id="129" w:name="_Toc184310341"/>
      <w:bookmarkEnd w:id="129"/>
      <w:bookmarkStart w:id="130" w:name="_Toc184308047"/>
      <w:bookmarkEnd w:id="130"/>
      <w:bookmarkStart w:id="131" w:name="_Toc184310314"/>
      <w:bookmarkEnd w:id="131"/>
      <w:bookmarkStart w:id="132" w:name="_Toc184314436"/>
      <w:bookmarkEnd w:id="132"/>
      <w:bookmarkStart w:id="133" w:name="_Toc184313276"/>
      <w:bookmarkEnd w:id="133"/>
      <w:bookmarkStart w:id="134" w:name="_Toc184308092"/>
      <w:bookmarkEnd w:id="134"/>
      <w:bookmarkStart w:id="135" w:name="_Toc184308090"/>
      <w:bookmarkEnd w:id="135"/>
      <w:bookmarkStart w:id="136" w:name="_Toc184310282"/>
      <w:bookmarkEnd w:id="136"/>
      <w:bookmarkStart w:id="137" w:name="_Toc184308068"/>
      <w:bookmarkEnd w:id="137"/>
      <w:bookmarkStart w:id="138" w:name="_Toc184313283"/>
      <w:bookmarkEnd w:id="138"/>
      <w:bookmarkStart w:id="139" w:name="_Toc184313240"/>
      <w:bookmarkEnd w:id="139"/>
      <w:bookmarkStart w:id="140" w:name="_Toc184312081"/>
      <w:bookmarkEnd w:id="140"/>
      <w:bookmarkStart w:id="141" w:name="_Toc184310340"/>
      <w:bookmarkEnd w:id="141"/>
      <w:bookmarkStart w:id="142" w:name="_Toc184314479"/>
      <w:bookmarkEnd w:id="142"/>
      <w:bookmarkStart w:id="143" w:name="_Toc184313279"/>
      <w:bookmarkEnd w:id="143"/>
      <w:bookmarkStart w:id="144" w:name="_Toc184308050"/>
      <w:bookmarkEnd w:id="144"/>
      <w:bookmarkStart w:id="145" w:name="_Toc184313241"/>
      <w:bookmarkEnd w:id="145"/>
      <w:bookmarkStart w:id="146" w:name="_Toc184313270"/>
      <w:bookmarkEnd w:id="146"/>
      <w:bookmarkStart w:id="147" w:name="_Toc184308106"/>
      <w:bookmarkEnd w:id="147"/>
      <w:bookmarkStart w:id="148" w:name="_Toc184314434"/>
      <w:bookmarkEnd w:id="148"/>
      <w:bookmarkStart w:id="149" w:name="_Toc184310304"/>
      <w:bookmarkEnd w:id="149"/>
      <w:bookmarkStart w:id="150" w:name="_Toc184313266"/>
      <w:bookmarkEnd w:id="150"/>
      <w:bookmarkStart w:id="151" w:name="_Toc184312076"/>
      <w:bookmarkEnd w:id="151"/>
      <w:bookmarkStart w:id="152" w:name="_Toc184314464"/>
      <w:bookmarkEnd w:id="152"/>
      <w:bookmarkStart w:id="153" w:name="_Toc184308057"/>
      <w:bookmarkEnd w:id="153"/>
      <w:bookmarkStart w:id="154" w:name="_Toc184314441"/>
      <w:bookmarkEnd w:id="154"/>
      <w:bookmarkStart w:id="155" w:name="_Toc184313273"/>
      <w:bookmarkEnd w:id="155"/>
      <w:bookmarkStart w:id="156" w:name="_Toc184313256"/>
      <w:bookmarkEnd w:id="156"/>
      <w:bookmarkStart w:id="157" w:name="_Toc184312103"/>
      <w:bookmarkEnd w:id="157"/>
      <w:bookmarkStart w:id="158" w:name="_Toc184310326"/>
      <w:bookmarkEnd w:id="158"/>
      <w:bookmarkStart w:id="159" w:name="_Toc184310280"/>
      <w:bookmarkEnd w:id="159"/>
      <w:bookmarkStart w:id="160" w:name="_Toc184314473"/>
      <w:bookmarkEnd w:id="160"/>
      <w:bookmarkStart w:id="161" w:name="_Toc184313290"/>
      <w:bookmarkEnd w:id="161"/>
      <w:bookmarkStart w:id="162" w:name="_Toc184312129"/>
      <w:bookmarkEnd w:id="162"/>
      <w:bookmarkStart w:id="163" w:name="_Toc184310307"/>
      <w:bookmarkEnd w:id="163"/>
      <w:bookmarkStart w:id="164" w:name="_Toc184313269"/>
      <w:bookmarkEnd w:id="164"/>
      <w:bookmarkStart w:id="165" w:name="_Toc184310343"/>
      <w:bookmarkEnd w:id="165"/>
      <w:bookmarkStart w:id="166" w:name="_Toc184312069"/>
      <w:bookmarkEnd w:id="166"/>
      <w:bookmarkStart w:id="167" w:name="_Toc184313293"/>
      <w:bookmarkEnd w:id="167"/>
      <w:bookmarkStart w:id="168" w:name="_Toc184312108"/>
      <w:bookmarkEnd w:id="168"/>
      <w:bookmarkStart w:id="169" w:name="_Toc184314425"/>
      <w:bookmarkEnd w:id="169"/>
      <w:bookmarkStart w:id="170" w:name="_Toc184314437"/>
      <w:bookmarkEnd w:id="170"/>
      <w:bookmarkStart w:id="171" w:name="_Toc184312089"/>
      <w:bookmarkEnd w:id="171"/>
      <w:bookmarkStart w:id="172" w:name="_Toc184308105"/>
      <w:bookmarkEnd w:id="172"/>
      <w:bookmarkStart w:id="173" w:name="_Toc184310311"/>
      <w:bookmarkEnd w:id="173"/>
      <w:bookmarkStart w:id="174" w:name="_Toc184312134"/>
      <w:bookmarkEnd w:id="174"/>
      <w:bookmarkStart w:id="175" w:name="_Toc184312093"/>
      <w:bookmarkEnd w:id="175"/>
      <w:bookmarkStart w:id="176" w:name="_Toc184308100"/>
      <w:bookmarkEnd w:id="176"/>
      <w:bookmarkStart w:id="177" w:name="_Toc184308049"/>
      <w:bookmarkEnd w:id="177"/>
      <w:bookmarkStart w:id="178" w:name="_Toc184312123"/>
      <w:bookmarkEnd w:id="178"/>
      <w:bookmarkStart w:id="179" w:name="_Toc184314474"/>
      <w:bookmarkEnd w:id="179"/>
      <w:bookmarkStart w:id="180" w:name="_Toc184314432"/>
      <w:bookmarkEnd w:id="180"/>
      <w:bookmarkStart w:id="181" w:name="_Toc184313247"/>
      <w:bookmarkEnd w:id="181"/>
      <w:bookmarkStart w:id="182" w:name="_Toc184308042"/>
      <w:bookmarkEnd w:id="182"/>
      <w:bookmarkStart w:id="183" w:name="_Toc184308103"/>
      <w:bookmarkEnd w:id="183"/>
      <w:bookmarkStart w:id="184" w:name="_Toc184308070"/>
      <w:bookmarkEnd w:id="184"/>
      <w:bookmarkStart w:id="185" w:name="_Toc184310299"/>
      <w:bookmarkEnd w:id="185"/>
      <w:bookmarkStart w:id="186" w:name="_Toc184310324"/>
      <w:bookmarkEnd w:id="186"/>
      <w:bookmarkStart w:id="187" w:name="_Toc184310284"/>
      <w:bookmarkEnd w:id="187"/>
      <w:bookmarkStart w:id="188" w:name="_Toc184310285"/>
      <w:bookmarkEnd w:id="188"/>
      <w:bookmarkStart w:id="189" w:name="_Toc184312128"/>
      <w:bookmarkEnd w:id="189"/>
      <w:bookmarkStart w:id="190" w:name="_Toc184314461"/>
      <w:bookmarkEnd w:id="190"/>
      <w:bookmarkStart w:id="191" w:name="_Toc184314427"/>
      <w:bookmarkEnd w:id="191"/>
      <w:bookmarkStart w:id="192" w:name="_Toc184314410"/>
      <w:bookmarkEnd w:id="192"/>
      <w:bookmarkStart w:id="193" w:name="_Toc184310306"/>
      <w:bookmarkEnd w:id="193"/>
      <w:bookmarkStart w:id="194" w:name="_Toc184310281"/>
      <w:bookmarkEnd w:id="194"/>
      <w:bookmarkStart w:id="195" w:name="_Toc184308075"/>
      <w:bookmarkEnd w:id="195"/>
      <w:bookmarkStart w:id="196" w:name="_Toc184310329"/>
      <w:bookmarkEnd w:id="196"/>
      <w:bookmarkStart w:id="197" w:name="_Toc184314433"/>
      <w:bookmarkEnd w:id="197"/>
      <w:bookmarkStart w:id="198" w:name="_Toc184314462"/>
      <w:bookmarkEnd w:id="198"/>
      <w:bookmarkStart w:id="199" w:name="_Toc184312079"/>
      <w:bookmarkEnd w:id="199"/>
      <w:bookmarkStart w:id="200" w:name="_Toc184314457"/>
      <w:bookmarkEnd w:id="200"/>
      <w:bookmarkStart w:id="201" w:name="_Toc184314421"/>
      <w:bookmarkEnd w:id="201"/>
      <w:bookmarkStart w:id="202" w:name="_Toc184314449"/>
      <w:bookmarkEnd w:id="202"/>
      <w:bookmarkStart w:id="203" w:name="_Toc184310286"/>
      <w:bookmarkEnd w:id="203"/>
      <w:bookmarkStart w:id="204" w:name="_Toc184308037"/>
      <w:bookmarkEnd w:id="204"/>
      <w:bookmarkStart w:id="205" w:name="_Toc184313310"/>
      <w:bookmarkEnd w:id="205"/>
      <w:bookmarkStart w:id="206" w:name="_Toc184310301"/>
      <w:bookmarkEnd w:id="206"/>
      <w:bookmarkStart w:id="207" w:name="_Toc184308067"/>
      <w:bookmarkEnd w:id="207"/>
      <w:bookmarkStart w:id="208" w:name="_Toc184312083"/>
      <w:bookmarkEnd w:id="208"/>
      <w:bookmarkStart w:id="209" w:name="_Toc184308065"/>
      <w:bookmarkEnd w:id="209"/>
      <w:bookmarkStart w:id="210" w:name="_Toc184308083"/>
      <w:bookmarkEnd w:id="210"/>
      <w:bookmarkStart w:id="211" w:name="_Toc184308045"/>
      <w:bookmarkEnd w:id="211"/>
      <w:bookmarkStart w:id="212" w:name="_Toc184312091"/>
      <w:bookmarkEnd w:id="212"/>
      <w:bookmarkStart w:id="213" w:name="_Toc184314423"/>
      <w:bookmarkEnd w:id="213"/>
      <w:bookmarkStart w:id="214" w:name="_Toc184308081"/>
      <w:bookmarkEnd w:id="214"/>
      <w:bookmarkStart w:id="215" w:name="_Toc184310334"/>
      <w:bookmarkEnd w:id="215"/>
      <w:bookmarkStart w:id="216" w:name="_Toc184312071"/>
      <w:bookmarkEnd w:id="216"/>
      <w:bookmarkStart w:id="217" w:name="_Toc184310318"/>
      <w:bookmarkEnd w:id="217"/>
      <w:bookmarkStart w:id="218" w:name="_Toc184314420"/>
      <w:bookmarkEnd w:id="218"/>
      <w:bookmarkStart w:id="219" w:name="_Toc184313297"/>
      <w:bookmarkEnd w:id="219"/>
      <w:bookmarkStart w:id="220" w:name="_Toc184313301"/>
      <w:bookmarkEnd w:id="220"/>
      <w:bookmarkStart w:id="221" w:name="_Toc184314454"/>
      <w:bookmarkEnd w:id="221"/>
      <w:bookmarkStart w:id="222" w:name="_Toc184312139"/>
      <w:bookmarkEnd w:id="222"/>
      <w:bookmarkStart w:id="223" w:name="_Toc184308072"/>
      <w:bookmarkEnd w:id="223"/>
      <w:bookmarkStart w:id="224" w:name="_Toc184308052"/>
      <w:bookmarkEnd w:id="224"/>
      <w:bookmarkStart w:id="225" w:name="_Toc184314450"/>
      <w:bookmarkEnd w:id="225"/>
      <w:bookmarkStart w:id="226" w:name="_Toc184314448"/>
      <w:bookmarkEnd w:id="226"/>
      <w:bookmarkStart w:id="227" w:name="_Toc184312116"/>
      <w:bookmarkEnd w:id="227"/>
      <w:bookmarkStart w:id="228" w:name="_Toc184313262"/>
      <w:bookmarkEnd w:id="228"/>
      <w:bookmarkStart w:id="229" w:name="_Toc184312068"/>
      <w:bookmarkEnd w:id="229"/>
      <w:bookmarkStart w:id="230" w:name="_Toc184314451"/>
      <w:bookmarkEnd w:id="230"/>
      <w:bookmarkStart w:id="231" w:name="_Toc184308059"/>
      <w:bookmarkEnd w:id="231"/>
      <w:bookmarkStart w:id="232" w:name="_Toc184308080"/>
      <w:bookmarkEnd w:id="232"/>
      <w:bookmarkStart w:id="233" w:name="_Toc184312131"/>
      <w:bookmarkEnd w:id="233"/>
      <w:bookmarkStart w:id="234" w:name="_Toc184308082"/>
      <w:bookmarkEnd w:id="234"/>
      <w:bookmarkStart w:id="235" w:name="_Toc184312117"/>
      <w:bookmarkEnd w:id="235"/>
      <w:bookmarkStart w:id="236" w:name="_Toc184313303"/>
      <w:bookmarkEnd w:id="236"/>
      <w:bookmarkStart w:id="237" w:name="_Toc184313282"/>
      <w:bookmarkEnd w:id="237"/>
      <w:bookmarkStart w:id="238" w:name="_Toc184308062"/>
      <w:bookmarkEnd w:id="238"/>
      <w:bookmarkStart w:id="239" w:name="_Toc184313272"/>
      <w:bookmarkEnd w:id="239"/>
      <w:bookmarkStart w:id="240" w:name="_Toc184308058"/>
      <w:bookmarkEnd w:id="240"/>
      <w:bookmarkStart w:id="241" w:name="_Toc184313260"/>
      <w:bookmarkEnd w:id="241"/>
      <w:bookmarkStart w:id="242" w:name="_Toc184310300"/>
      <w:bookmarkEnd w:id="242"/>
      <w:bookmarkStart w:id="243" w:name="_Toc184312120"/>
      <w:bookmarkEnd w:id="243"/>
      <w:bookmarkStart w:id="244" w:name="_Toc184308077"/>
      <w:bookmarkEnd w:id="244"/>
      <w:bookmarkStart w:id="245" w:name="_Toc184312078"/>
      <w:bookmarkEnd w:id="245"/>
      <w:bookmarkStart w:id="246" w:name="_Toc184313238"/>
      <w:bookmarkEnd w:id="246"/>
      <w:bookmarkStart w:id="247" w:name="_Toc184313292"/>
      <w:bookmarkEnd w:id="247"/>
      <w:bookmarkStart w:id="248" w:name="_Toc184313289"/>
      <w:bookmarkEnd w:id="248"/>
      <w:bookmarkStart w:id="249" w:name="_Toc184310288"/>
      <w:bookmarkEnd w:id="249"/>
      <w:bookmarkStart w:id="250" w:name="_Toc184314466"/>
      <w:bookmarkEnd w:id="250"/>
      <w:bookmarkStart w:id="251" w:name="_Toc184308041"/>
      <w:bookmarkEnd w:id="251"/>
      <w:bookmarkStart w:id="252" w:name="_Toc184313280"/>
      <w:bookmarkEnd w:id="252"/>
      <w:bookmarkStart w:id="253" w:name="_Toc184314426"/>
      <w:bookmarkEnd w:id="253"/>
      <w:bookmarkStart w:id="254" w:name="_Toc184313300"/>
      <w:bookmarkEnd w:id="254"/>
      <w:bookmarkStart w:id="255" w:name="_Toc184312098"/>
      <w:bookmarkEnd w:id="255"/>
      <w:bookmarkStart w:id="256" w:name="_Toc184313307"/>
      <w:bookmarkEnd w:id="256"/>
      <w:bookmarkStart w:id="257" w:name="_Toc184313288"/>
      <w:bookmarkEnd w:id="257"/>
      <w:bookmarkStart w:id="258" w:name="_Toc184312114"/>
      <w:bookmarkEnd w:id="258"/>
      <w:bookmarkStart w:id="259" w:name="_Toc184308099"/>
      <w:bookmarkEnd w:id="259"/>
      <w:bookmarkStart w:id="260" w:name="_Toc184313295"/>
      <w:bookmarkEnd w:id="260"/>
      <w:bookmarkStart w:id="261" w:name="_Toc184312085"/>
      <w:bookmarkEnd w:id="261"/>
      <w:bookmarkStart w:id="262" w:name="_Toc184313239"/>
      <w:bookmarkEnd w:id="262"/>
      <w:bookmarkStart w:id="263" w:name="_Toc184312126"/>
      <w:bookmarkEnd w:id="263"/>
      <w:bookmarkStart w:id="264" w:name="_Toc184312106"/>
      <w:bookmarkEnd w:id="264"/>
      <w:bookmarkStart w:id="265" w:name="_Toc184308108"/>
      <w:bookmarkEnd w:id="265"/>
      <w:bookmarkStart w:id="266" w:name="_Toc184313306"/>
      <w:bookmarkEnd w:id="266"/>
      <w:bookmarkStart w:id="267" w:name="_Toc184310302"/>
      <w:bookmarkEnd w:id="267"/>
      <w:bookmarkStart w:id="268" w:name="_Toc184314472"/>
      <w:bookmarkEnd w:id="268"/>
      <w:bookmarkStart w:id="269" w:name="_Toc184313248"/>
      <w:bookmarkEnd w:id="269"/>
      <w:bookmarkStart w:id="270" w:name="_Toc184314478"/>
      <w:bookmarkEnd w:id="270"/>
      <w:bookmarkStart w:id="271" w:name="_Toc184308036"/>
      <w:bookmarkEnd w:id="271"/>
      <w:bookmarkStart w:id="272" w:name="_Toc184314453"/>
      <w:bookmarkEnd w:id="272"/>
      <w:bookmarkStart w:id="273" w:name="_Toc184308091"/>
      <w:bookmarkEnd w:id="273"/>
      <w:bookmarkStart w:id="274" w:name="_Toc184308076"/>
      <w:bookmarkEnd w:id="274"/>
      <w:bookmarkStart w:id="275" w:name="_Toc184310298"/>
      <w:bookmarkEnd w:id="275"/>
      <w:bookmarkStart w:id="276" w:name="_Toc184310320"/>
      <w:bookmarkEnd w:id="276"/>
      <w:bookmarkStart w:id="277" w:name="_Toc184314465"/>
      <w:bookmarkEnd w:id="277"/>
      <w:bookmarkStart w:id="278" w:name="_Toc184313261"/>
      <w:bookmarkEnd w:id="278"/>
      <w:bookmarkStart w:id="279" w:name="_Toc184314414"/>
      <w:bookmarkEnd w:id="279"/>
      <w:bookmarkStart w:id="280" w:name="_Toc184314442"/>
      <w:bookmarkEnd w:id="280"/>
      <w:bookmarkStart w:id="281" w:name="_Toc184308107"/>
      <w:bookmarkEnd w:id="281"/>
      <w:bookmarkStart w:id="282" w:name="_Toc184312119"/>
      <w:bookmarkEnd w:id="282"/>
      <w:bookmarkStart w:id="283" w:name="_Toc184308040"/>
      <w:bookmarkEnd w:id="283"/>
      <w:bookmarkStart w:id="284" w:name="_Toc184310313"/>
      <w:bookmarkEnd w:id="284"/>
      <w:bookmarkStart w:id="285" w:name="_Toc184313271"/>
      <w:bookmarkEnd w:id="285"/>
      <w:bookmarkStart w:id="286" w:name="_Toc184313244"/>
      <w:bookmarkEnd w:id="286"/>
      <w:bookmarkStart w:id="287" w:name="_Toc184312100"/>
      <w:bookmarkEnd w:id="287"/>
      <w:bookmarkStart w:id="288" w:name="_Toc184312101"/>
      <w:bookmarkEnd w:id="288"/>
      <w:bookmarkStart w:id="289" w:name="_Toc184314428"/>
      <w:bookmarkEnd w:id="289"/>
      <w:bookmarkStart w:id="290" w:name="_Toc184314419"/>
      <w:bookmarkEnd w:id="290"/>
      <w:bookmarkStart w:id="291" w:name="_Toc184314463"/>
      <w:bookmarkEnd w:id="291"/>
      <w:bookmarkStart w:id="292" w:name="_Toc184314481"/>
      <w:bookmarkEnd w:id="292"/>
      <w:bookmarkStart w:id="293" w:name="_Toc184314455"/>
      <w:bookmarkEnd w:id="293"/>
      <w:bookmarkStart w:id="294" w:name="_Toc184314418"/>
      <w:bookmarkEnd w:id="294"/>
      <w:bookmarkStart w:id="295" w:name="_Toc184314477"/>
      <w:bookmarkEnd w:id="295"/>
      <w:bookmarkStart w:id="296" w:name="_Toc184310332"/>
      <w:bookmarkEnd w:id="296"/>
      <w:bookmarkStart w:id="297" w:name="_Toc184313287"/>
      <w:bookmarkEnd w:id="297"/>
      <w:bookmarkStart w:id="298" w:name="_Toc184313252"/>
      <w:bookmarkEnd w:id="298"/>
      <w:bookmarkStart w:id="299" w:name="_Toc184313254"/>
      <w:bookmarkEnd w:id="299"/>
      <w:bookmarkStart w:id="300" w:name="_Toc184310325"/>
      <w:bookmarkEnd w:id="300"/>
      <w:bookmarkStart w:id="301" w:name="_Toc184312133"/>
      <w:bookmarkEnd w:id="301"/>
      <w:bookmarkStart w:id="302" w:name="_Toc184314416"/>
      <w:bookmarkEnd w:id="302"/>
      <w:bookmarkStart w:id="303" w:name="_Toc184308095"/>
      <w:bookmarkEnd w:id="303"/>
      <w:bookmarkStart w:id="304" w:name="_Toc184310309"/>
      <w:bookmarkEnd w:id="304"/>
      <w:bookmarkStart w:id="305" w:name="_Toc184314456"/>
      <w:bookmarkEnd w:id="305"/>
      <w:bookmarkStart w:id="306" w:name="_Toc184312138"/>
      <w:bookmarkEnd w:id="306"/>
      <w:bookmarkStart w:id="307" w:name="_Toc184310275"/>
      <w:bookmarkEnd w:id="307"/>
      <w:bookmarkStart w:id="308" w:name="_Toc184312095"/>
      <w:bookmarkEnd w:id="308"/>
      <w:bookmarkStart w:id="309" w:name="_Toc184308060"/>
      <w:bookmarkEnd w:id="309"/>
      <w:bookmarkStart w:id="310" w:name="_Toc184314480"/>
      <w:bookmarkEnd w:id="310"/>
      <w:bookmarkStart w:id="311" w:name="_Toc184313296"/>
      <w:bookmarkEnd w:id="311"/>
      <w:bookmarkStart w:id="312" w:name="_Toc184312127"/>
      <w:bookmarkEnd w:id="312"/>
      <w:bookmarkStart w:id="313" w:name="_Toc184314460"/>
      <w:bookmarkEnd w:id="313"/>
      <w:bookmarkStart w:id="314" w:name="_Toc184310308"/>
      <w:bookmarkEnd w:id="314"/>
      <w:bookmarkStart w:id="315" w:name="_Toc184308089"/>
      <w:bookmarkEnd w:id="315"/>
      <w:bookmarkStart w:id="316" w:name="_Toc184312088"/>
      <w:bookmarkEnd w:id="316"/>
      <w:bookmarkStart w:id="317" w:name="_Toc184313246"/>
      <w:bookmarkEnd w:id="317"/>
      <w:bookmarkStart w:id="318" w:name="_Toc184313302"/>
      <w:bookmarkEnd w:id="318"/>
      <w:bookmarkStart w:id="319" w:name="_Toc184313291"/>
      <w:bookmarkEnd w:id="319"/>
      <w:bookmarkStart w:id="320" w:name="_Toc184308078"/>
      <w:bookmarkEnd w:id="320"/>
      <w:bookmarkStart w:id="321" w:name="_Toc184313268"/>
      <w:bookmarkEnd w:id="321"/>
      <w:bookmarkStart w:id="322" w:name="_Toc184308088"/>
      <w:bookmarkEnd w:id="322"/>
      <w:bookmarkStart w:id="323" w:name="_Toc184313245"/>
      <w:bookmarkEnd w:id="323"/>
      <w:bookmarkStart w:id="324" w:name="_Toc184312077"/>
      <w:bookmarkEnd w:id="324"/>
      <w:bookmarkStart w:id="325" w:name="_Toc184308073"/>
      <w:bookmarkEnd w:id="325"/>
      <w:bookmarkStart w:id="326" w:name="_Toc184314471"/>
      <w:bookmarkEnd w:id="326"/>
      <w:bookmarkStart w:id="327" w:name="_Toc184310273"/>
      <w:bookmarkEnd w:id="327"/>
      <w:bookmarkStart w:id="328" w:name="_Toc184313253"/>
      <w:bookmarkEnd w:id="328"/>
      <w:bookmarkStart w:id="329" w:name="_Toc184314482"/>
      <w:bookmarkEnd w:id="329"/>
      <w:bookmarkStart w:id="330" w:name="_Toc184310339"/>
      <w:bookmarkEnd w:id="330"/>
      <w:bookmarkStart w:id="331" w:name="_Toc184312105"/>
      <w:bookmarkEnd w:id="331"/>
      <w:bookmarkStart w:id="332" w:name="_Toc184314447"/>
      <w:bookmarkEnd w:id="332"/>
      <w:bookmarkStart w:id="333" w:name="_Toc184313242"/>
      <w:bookmarkEnd w:id="333"/>
      <w:bookmarkStart w:id="334" w:name="_Toc184313294"/>
      <w:bookmarkEnd w:id="334"/>
      <w:bookmarkStart w:id="335" w:name="_Toc184308056"/>
      <w:bookmarkEnd w:id="335"/>
      <w:bookmarkStart w:id="336" w:name="_Toc184310331"/>
      <w:bookmarkEnd w:id="336"/>
      <w:bookmarkStart w:id="337" w:name="_Toc184310342"/>
      <w:bookmarkEnd w:id="337"/>
      <w:bookmarkStart w:id="338" w:name="_Toc184308084"/>
      <w:bookmarkEnd w:id="338"/>
      <w:bookmarkStart w:id="339" w:name="_Toc184310328"/>
      <w:bookmarkEnd w:id="339"/>
      <w:bookmarkStart w:id="340" w:name="_Toc184312102"/>
      <w:bookmarkEnd w:id="340"/>
      <w:bookmarkStart w:id="341" w:name="_Toc184312090"/>
      <w:bookmarkEnd w:id="341"/>
      <w:bookmarkStart w:id="342" w:name="_Toc184312084"/>
      <w:bookmarkEnd w:id="342"/>
      <w:bookmarkStart w:id="343" w:name="_Toc184313258"/>
      <w:bookmarkEnd w:id="343"/>
      <w:bookmarkStart w:id="344" w:name="_Toc184308087"/>
      <w:bookmarkEnd w:id="344"/>
      <w:bookmarkStart w:id="345" w:name="_Toc184308101"/>
      <w:bookmarkEnd w:id="345"/>
      <w:bookmarkStart w:id="346" w:name="_Toc184314429"/>
      <w:bookmarkEnd w:id="346"/>
      <w:bookmarkStart w:id="347" w:name="_Toc184310310"/>
      <w:bookmarkEnd w:id="347"/>
      <w:bookmarkStart w:id="348" w:name="_Toc184308038"/>
      <w:bookmarkEnd w:id="348"/>
      <w:bookmarkStart w:id="349" w:name="_Toc184312132"/>
      <w:bookmarkEnd w:id="349"/>
      <w:bookmarkStart w:id="350" w:name="_Toc184312097"/>
      <w:bookmarkEnd w:id="350"/>
      <w:bookmarkStart w:id="351" w:name="_Toc184310276"/>
      <w:bookmarkEnd w:id="351"/>
      <w:bookmarkStart w:id="352" w:name="_Toc184310336"/>
      <w:bookmarkEnd w:id="352"/>
      <w:bookmarkStart w:id="353" w:name="_Toc184308061"/>
      <w:bookmarkEnd w:id="353"/>
      <w:bookmarkStart w:id="354" w:name="_Toc184308074"/>
      <w:bookmarkEnd w:id="354"/>
      <w:bookmarkStart w:id="355" w:name="_Toc184314443"/>
      <w:bookmarkEnd w:id="355"/>
      <w:bookmarkStart w:id="356" w:name="_Toc184313259"/>
      <w:bookmarkEnd w:id="356"/>
      <w:bookmarkStart w:id="357" w:name="_Toc184310277"/>
      <w:bookmarkEnd w:id="357"/>
      <w:bookmarkStart w:id="358" w:name="_Toc184312082"/>
      <w:bookmarkEnd w:id="358"/>
      <w:bookmarkStart w:id="359" w:name="_Toc184310279"/>
      <w:bookmarkEnd w:id="359"/>
      <w:bookmarkStart w:id="360" w:name="_Toc184313285"/>
      <w:bookmarkEnd w:id="360"/>
      <w:bookmarkStart w:id="361" w:name="_Toc184312094"/>
      <w:bookmarkEnd w:id="361"/>
      <w:bookmarkStart w:id="362" w:name="_Toc184308079"/>
      <w:bookmarkEnd w:id="362"/>
      <w:bookmarkStart w:id="363" w:name="_Toc184310292"/>
      <w:bookmarkEnd w:id="363"/>
      <w:bookmarkStart w:id="364" w:name="_Toc184313308"/>
      <w:bookmarkEnd w:id="364"/>
      <w:bookmarkStart w:id="365" w:name="_Toc184313305"/>
      <w:bookmarkEnd w:id="365"/>
      <w:bookmarkStart w:id="366" w:name="_Toc184314411"/>
      <w:bookmarkEnd w:id="366"/>
      <w:bookmarkStart w:id="367" w:name="_Toc184310294"/>
      <w:bookmarkEnd w:id="367"/>
      <w:bookmarkStart w:id="368" w:name="_Toc184310297"/>
      <w:bookmarkEnd w:id="368"/>
      <w:bookmarkStart w:id="369" w:name="_Toc184312104"/>
      <w:bookmarkEnd w:id="369"/>
      <w:bookmarkStart w:id="370" w:name="_Toc184314440"/>
      <w:bookmarkEnd w:id="370"/>
      <w:bookmarkStart w:id="371" w:name="_Toc184310321"/>
      <w:bookmarkEnd w:id="371"/>
      <w:bookmarkStart w:id="372" w:name="_Toc184310319"/>
      <w:bookmarkEnd w:id="372"/>
      <w:bookmarkStart w:id="373" w:name="_Toc184312135"/>
      <w:bookmarkEnd w:id="373"/>
      <w:bookmarkStart w:id="374" w:name="_Toc184312136"/>
      <w:bookmarkEnd w:id="374"/>
      <w:bookmarkStart w:id="375" w:name="_Toc184313255"/>
      <w:bookmarkEnd w:id="375"/>
      <w:bookmarkStart w:id="376" w:name="_Toc184313284"/>
      <w:bookmarkEnd w:id="376"/>
      <w:bookmarkStart w:id="377" w:name="_Toc184314422"/>
      <w:bookmarkEnd w:id="377"/>
      <w:bookmarkStart w:id="378" w:name="_Toc184313274"/>
      <w:bookmarkEnd w:id="378"/>
      <w:bookmarkStart w:id="379" w:name="_Toc184312072"/>
      <w:bookmarkEnd w:id="379"/>
      <w:bookmarkStart w:id="380" w:name="_Toc184308051"/>
      <w:bookmarkEnd w:id="380"/>
      <w:bookmarkStart w:id="381" w:name="_Toc184310272"/>
      <w:bookmarkEnd w:id="381"/>
      <w:bookmarkStart w:id="382" w:name="_Toc184312086"/>
      <w:bookmarkEnd w:id="382"/>
      <w:bookmarkStart w:id="383" w:name="_Toc184310337"/>
      <w:bookmarkEnd w:id="383"/>
      <w:bookmarkStart w:id="384" w:name="_Toc184312070"/>
      <w:bookmarkEnd w:id="384"/>
      <w:bookmarkStart w:id="385" w:name="_Toc184313277"/>
      <w:bookmarkEnd w:id="385"/>
      <w:bookmarkStart w:id="386" w:name="_Toc184310287"/>
      <w:bookmarkEnd w:id="386"/>
      <w:bookmarkStart w:id="387" w:name="_Toc184308085"/>
      <w:bookmarkEnd w:id="387"/>
      <w:bookmarkStart w:id="388" w:name="_Toc184312075"/>
      <w:bookmarkEnd w:id="388"/>
      <w:bookmarkStart w:id="389" w:name="_Toc184312125"/>
      <w:bookmarkEnd w:id="389"/>
      <w:bookmarkStart w:id="390" w:name="_Toc184312111"/>
      <w:bookmarkEnd w:id="390"/>
      <w:bookmarkStart w:id="391" w:name="_Toc184314459"/>
      <w:bookmarkEnd w:id="391"/>
      <w:bookmarkStart w:id="392" w:name="_Toc184314430"/>
      <w:bookmarkEnd w:id="392"/>
      <w:bookmarkStart w:id="393" w:name="_Toc184312099"/>
      <w:bookmarkEnd w:id="393"/>
      <w:bookmarkStart w:id="394" w:name="_Toc184312096"/>
      <w:bookmarkEnd w:id="394"/>
      <w:r>
        <w:rPr>
          <w:rFonts w:hint="eastAsia" w:ascii="宋体" w:hAnsi="宋体" w:cs="宋体"/>
          <w:b/>
          <w:color w:val="auto"/>
          <w:sz w:val="36"/>
          <w:szCs w:val="36"/>
          <w:highlight w:val="none"/>
        </w:rPr>
        <w:t>评标办法</w:t>
      </w:r>
    </w:p>
    <w:p w14:paraId="0FFEBA2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4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647"/>
        <w:gridCol w:w="6424"/>
        <w:gridCol w:w="647"/>
        <w:gridCol w:w="855"/>
      </w:tblGrid>
      <w:tr w14:paraId="7A81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F1D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类型</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89D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序号</w:t>
            </w:r>
          </w:p>
        </w:tc>
        <w:tc>
          <w:tcPr>
            <w:tcW w:w="6424" w:type="dxa"/>
            <w:tcBorders>
              <w:top w:val="single" w:color="000000" w:sz="4" w:space="0"/>
              <w:left w:val="nil"/>
              <w:bottom w:val="single" w:color="000000" w:sz="4" w:space="0"/>
              <w:right w:val="single" w:color="000000" w:sz="4" w:space="0"/>
            </w:tcBorders>
            <w:shd w:val="clear" w:color="auto" w:fill="auto"/>
            <w:vAlign w:val="center"/>
          </w:tcPr>
          <w:p w14:paraId="679C022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评审条款</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EFF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最大</w:t>
            </w:r>
            <w:r>
              <w:rPr>
                <w:rFonts w:hint="eastAsia" w:ascii="宋体" w:hAnsi="宋体" w:eastAsia="宋体" w:cs="宋体"/>
                <w:color w:val="auto"/>
                <w:sz w:val="21"/>
                <w:szCs w:val="21"/>
                <w:highlight w:val="none"/>
                <w:lang w:val="en-US" w:eastAsia="zh-CN"/>
              </w:rPr>
              <w:t>分值</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7FD0F">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主客</w:t>
            </w:r>
          </w:p>
          <w:p w14:paraId="20BDDD9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观分</w:t>
            </w:r>
          </w:p>
        </w:tc>
      </w:tr>
      <w:tr w14:paraId="34F9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FB27">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w:t>
            </w:r>
          </w:p>
          <w:p w14:paraId="68B2E38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资信</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6BC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51F3">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投标人管理体系、服务能力认证：</w:t>
            </w:r>
          </w:p>
          <w:p w14:paraId="0CE764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ISO20000信息技术服务管理体系认证</w:t>
            </w:r>
          </w:p>
          <w:p w14:paraId="3EE36CEC">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每提供1项得1分，本项最高可得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459932DD">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有效证书复印件</w:t>
            </w:r>
            <w:r>
              <w:rPr>
                <w:rFonts w:hint="eastAsia" w:ascii="宋体" w:hAnsi="宋体" w:eastAsia="宋体" w:cs="宋体"/>
                <w:color w:val="auto"/>
                <w:sz w:val="21"/>
                <w:szCs w:val="21"/>
                <w:highlight w:val="none"/>
              </w:rPr>
              <w:t>，否则不得分）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8C2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DFC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0A346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1C8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业绩</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CA7A">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41B8">
            <w:pPr>
              <w:keepNext w:val="0"/>
              <w:keepLines w:val="0"/>
              <w:pageBreakBefore w:val="0"/>
              <w:widowControl/>
              <w:kinsoku/>
              <w:wordWrap/>
              <w:overflowPunct/>
              <w:topLinePunct w:val="0"/>
              <w:bidi w:val="0"/>
              <w:adjustRightInd w:val="0"/>
              <w:snapToGrid w:val="0"/>
              <w:spacing w:line="240" w:lineRule="auto"/>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业绩：</w:t>
            </w:r>
          </w:p>
          <w:p w14:paraId="38F38D24">
            <w:pPr>
              <w:keepNext w:val="0"/>
              <w:keepLines w:val="0"/>
              <w:pageBreakBefore w:val="0"/>
              <w:widowControl/>
              <w:kinsoku/>
              <w:wordWrap/>
              <w:overflowPunct/>
              <w:topLinePunct w:val="0"/>
              <w:bidi w:val="0"/>
              <w:adjustRightInd w:val="0"/>
              <w:snapToGrid w:val="0"/>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投标人自2022年1月1日（含）以来（以合同签订时间为准）具有类似超融合项目业绩（合同中需包括超融合服务器），每提供一个合同得1分，最高得3分。</w:t>
            </w:r>
          </w:p>
          <w:p w14:paraId="3C28C44E">
            <w:pPr>
              <w:keepNext w:val="0"/>
              <w:keepLines w:val="0"/>
              <w:pageBreakBefore w:val="0"/>
              <w:widowControl/>
              <w:kinsoku/>
              <w:wordWrap/>
              <w:overflowPunct/>
              <w:topLinePunct w:val="0"/>
              <w:bidi w:val="0"/>
              <w:adjustRightInd w:val="0"/>
              <w:snapToGrid w:val="0"/>
              <w:spacing w:line="240" w:lineRule="auto"/>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（提供合同复印件，否则不得分。）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4B3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FC3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2E96A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740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62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9A27">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环境标志产品评审</w:t>
            </w:r>
            <w:r>
              <w:rPr>
                <w:rFonts w:hint="eastAsia" w:ascii="宋体" w:hAnsi="宋体" w:cs="宋体"/>
                <w:b/>
                <w:bCs/>
                <w:color w:val="auto"/>
                <w:kern w:val="2"/>
                <w:sz w:val="21"/>
                <w:szCs w:val="21"/>
                <w:highlight w:val="none"/>
                <w:lang w:val="en-US" w:eastAsia="zh-CN" w:bidi="ar-SA"/>
              </w:rPr>
              <w:t>：</w:t>
            </w:r>
          </w:p>
          <w:p w14:paraId="7D807946">
            <w:pPr>
              <w:keepNext w:val="0"/>
              <w:keepLines w:val="0"/>
              <w:pageBreakBefore w:val="0"/>
              <w:kinsoku/>
              <w:wordWrap/>
              <w:overflowPunct/>
              <w:topLinePunct w:val="0"/>
              <w:bidi w:val="0"/>
              <w:adjustRightInd w:val="0"/>
              <w:snapToGrid w:val="0"/>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所投产品1.1-国产化服务器（DMZ）、1.2-国产化服务器（内网），具有国家确定的认证机构出具的、处于有效期之内的环境标志产品认证证书的，提供证书复印件或扫描件每个得</w:t>
            </w:r>
            <w:r>
              <w:rPr>
                <w:rFonts w:hint="eastAsia" w:ascii="宋体" w:hAnsi="宋体"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en-US" w:eastAsia="zh-CN" w:bidi="ar-SA"/>
              </w:rPr>
              <w:t>分，本项最高得1分</w:t>
            </w:r>
            <w:r>
              <w:rPr>
                <w:rFonts w:hint="eastAsia" w:ascii="宋体"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不提供不得分。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605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FDB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客观分</w:t>
            </w:r>
          </w:p>
        </w:tc>
      </w:tr>
      <w:tr w14:paraId="1E07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7356">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59D5">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3630">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技术指标响应：</w:t>
            </w:r>
          </w:p>
          <w:p w14:paraId="618FEEA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标“◆”项技术指标，每符合一条得2分，本项最高得3</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p w14:paraId="5377F09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（要求提供评审依据的，需提供评审依据，否则不得分；未要求提供评审依据的，以商务技术偏离表为准，不提供不得分。）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1BCB">
            <w:pPr>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977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客观分</w:t>
            </w:r>
          </w:p>
        </w:tc>
      </w:tr>
      <w:tr w14:paraId="7609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F9F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27F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961E">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建设方案：</w:t>
            </w:r>
          </w:p>
          <w:p w14:paraId="4AC3B8FA">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投标人提供项目建设方案，从①对项目的理解程度、②项目总体设计、③供应商于本项目的独到优势角度由评标委员会综合评定。（3、2.5、2、1.5、1、0.5、0）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6AA8">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8E0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22A8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C02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F92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6</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05A7">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项目组织实施方案：</w:t>
            </w:r>
          </w:p>
          <w:p w14:paraId="30624C82">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根据投标人提供的项目组织实施方案综合评定，从①项目团队组织架构、②项目实施质量保障、③项目实施风险及应对措施角度由评标委员会综合评定。（3、2.5、2、1.5、1、0.5、0）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4AE1">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8C7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4C9B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117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13D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3787">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项目应急方案：</w:t>
            </w:r>
          </w:p>
          <w:p w14:paraId="7421C69D">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的设备出现重大故障或突发情况的应急方案和措施综合评定，从①应急团队人员保障、②突发事件应急措施、③备品备件的时效性及管理情况角度由评标委员会综合评定。（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1B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C76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2FC0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2333">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78C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2475">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团队人员要求：</w:t>
            </w:r>
          </w:p>
          <w:p w14:paraId="667E690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项目团队人员中具有工信部或人社部门颁发的</w:t>
            </w:r>
            <w:r>
              <w:rPr>
                <w:rFonts w:hint="eastAsia" w:ascii="宋体" w:hAnsi="宋体" w:eastAsia="宋体" w:cs="宋体"/>
                <w:color w:val="auto"/>
                <w:szCs w:val="21"/>
                <w:highlight w:val="none"/>
                <w:lang w:val="en-US" w:eastAsia="zh-CN"/>
              </w:rPr>
              <w:t>网络工程师、</w:t>
            </w:r>
            <w:r>
              <w:rPr>
                <w:rFonts w:hint="eastAsia" w:ascii="宋体" w:hAnsi="宋体" w:eastAsia="宋体" w:cs="宋体"/>
                <w:color w:val="auto"/>
                <w:szCs w:val="21"/>
                <w:highlight w:val="none"/>
              </w:rPr>
              <w:t>系统集成项目管理工程师认证中级或以上，每提供一个证书得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分，本项最高得3分，不提供不得分。（同</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人拥有多个证书的按1个计）</w:t>
            </w:r>
          </w:p>
          <w:p w14:paraId="5A78430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提供有效证书扫描件及</w:t>
            </w:r>
            <w:r>
              <w:rPr>
                <w:rFonts w:hint="eastAsia" w:ascii="宋体" w:hAnsi="宋体" w:eastAsia="宋体" w:cs="宋体"/>
                <w:color w:val="auto"/>
                <w:highlight w:val="none"/>
              </w:rPr>
              <w:t>人员与投标单位的劳动关系证明（劳动合同或截止开标当月前三个月中任意一个月的社保缴纳证明）</w:t>
            </w:r>
            <w:r>
              <w:rPr>
                <w:rFonts w:hint="eastAsia" w:ascii="宋体" w:hAnsi="宋体" w:eastAsia="宋体" w:cs="宋体"/>
                <w:color w:val="auto"/>
                <w:szCs w:val="21"/>
                <w:highlight w:val="none"/>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F01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DF6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客观分</w:t>
            </w:r>
          </w:p>
        </w:tc>
      </w:tr>
      <w:tr w14:paraId="2A8C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DE00">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DC1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9</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5F33">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团队要求：</w:t>
            </w:r>
          </w:p>
          <w:p w14:paraId="3A4976F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根据项目团队人员技术能力、专业总体水平综合评定，从①团队人员分工方案、②团队成员工作经验、③对所投标主要产品技术服务能力情况由评标委员会综合评定。（3、2.5、2、1.5、1、0.5、0）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D4AA">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FA3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3785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F468">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40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10</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1936">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培训方案：</w:t>
            </w:r>
          </w:p>
          <w:p w14:paraId="1179AE3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根据投标人提供的培训方案综合评定，包括①培训主题及内容、②培训方式及频率、③培训人员和培训对象。（3、2.5、2、1.5、1、0.5、0）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420A">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8C7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3396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09F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9B92">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11</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D218">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售后服务方案：</w:t>
            </w:r>
          </w:p>
          <w:p w14:paraId="4C7CBB96">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根据投标人售后服务方案及服务承诺进行评定，从①售后服务机构、②售后人员安排、③售后响应时间角度由评标委员会综合评定。（3、2.5、2、1.5、1、0.5、0）</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0BE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23A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r w14:paraId="02D3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2CF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63E1">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12</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7584">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为保障医院医疗业务的稳定性、兼容性，</w:t>
            </w:r>
            <w:r>
              <w:rPr>
                <w:rFonts w:hint="eastAsia" w:ascii="宋体" w:hAnsi="宋体" w:eastAsia="宋体" w:cs="宋体"/>
                <w:color w:val="auto"/>
                <w:szCs w:val="21"/>
                <w:highlight w:val="none"/>
                <w:lang w:val="en-US" w:eastAsia="zh-CN"/>
              </w:rPr>
              <w:t>我院现网超融合云计算平台（深信服 高级版V6.10.0R1）提供标准的restful API接口，新采购内网超融合平台需</w:t>
            </w:r>
            <w:r>
              <w:rPr>
                <w:rFonts w:hint="eastAsia" w:ascii="宋体" w:hAnsi="宋体" w:eastAsia="宋体" w:cs="宋体"/>
                <w:color w:val="auto"/>
                <w:szCs w:val="21"/>
                <w:highlight w:val="none"/>
              </w:rPr>
              <w:t>通过云管平台</w:t>
            </w:r>
            <w:r>
              <w:rPr>
                <w:rFonts w:hint="eastAsia" w:ascii="宋体" w:hAnsi="宋体" w:eastAsia="宋体" w:cs="宋体"/>
                <w:color w:val="auto"/>
                <w:szCs w:val="21"/>
                <w:highlight w:val="none"/>
                <w:lang w:val="en-US" w:eastAsia="zh-CN"/>
              </w:rPr>
              <w:t>对接现网超融合云计算平台的API接口</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实现与</w:t>
            </w:r>
            <w:r>
              <w:rPr>
                <w:rFonts w:hint="eastAsia" w:ascii="宋体" w:hAnsi="宋体" w:eastAsia="宋体" w:cs="宋体"/>
                <w:color w:val="auto"/>
                <w:szCs w:val="21"/>
                <w:highlight w:val="none"/>
              </w:rPr>
              <w:t>系统</w:t>
            </w:r>
            <w:r>
              <w:rPr>
                <w:rFonts w:hint="eastAsia" w:ascii="宋体" w:hAnsi="宋体" w:eastAsia="宋体" w:cs="宋体"/>
                <w:color w:val="auto"/>
                <w:szCs w:val="21"/>
                <w:highlight w:val="none"/>
                <w:lang w:val="en-US" w:eastAsia="zh-CN"/>
              </w:rPr>
              <w:t>的统一运维管理、故障监控和策略下发</w:t>
            </w:r>
            <w:r>
              <w:rPr>
                <w:rFonts w:hint="eastAsia" w:ascii="宋体" w:hAnsi="宋体" w:eastAsia="宋体" w:cs="宋体"/>
                <w:color w:val="auto"/>
                <w:szCs w:val="21"/>
                <w:highlight w:val="none"/>
              </w:rPr>
              <w:t>。</w:t>
            </w:r>
            <w:r>
              <w:rPr>
                <w:rFonts w:hint="eastAsia" w:ascii="宋体" w:hAnsi="宋体" w:eastAsia="宋体" w:cs="宋体"/>
                <w:b w:val="0"/>
                <w:bCs w:val="0"/>
                <w:color w:val="auto"/>
                <w:szCs w:val="21"/>
                <w:highlight w:val="none"/>
                <w:lang w:val="en-US" w:eastAsia="zh-CN"/>
              </w:rPr>
              <w:t>供应商提供承诺函支持对接得2分，不提供不得分</w:t>
            </w:r>
            <w:r>
              <w:rPr>
                <w:rFonts w:hint="eastAsia" w:ascii="宋体" w:hAnsi="宋体" w:cs="宋体"/>
                <w:b w:val="0"/>
                <w:bCs w:val="0"/>
                <w:color w:val="auto"/>
                <w:szCs w:val="21"/>
                <w:highlight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0600">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125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客观分</w:t>
            </w:r>
          </w:p>
        </w:tc>
      </w:tr>
      <w:tr w14:paraId="3F68E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DEA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DD44">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13</w:t>
            </w:r>
          </w:p>
        </w:tc>
        <w:tc>
          <w:tcPr>
            <w:tcW w:w="6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760F2">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为提升我院业务安全性，新采购的超融合平台需与我院现有安全态势感知平台（深信服</w:t>
            </w:r>
            <w:r>
              <w:rPr>
                <w:rFonts w:hint="eastAsia" w:ascii="宋体" w:hAnsi="宋体" w:eastAsia="宋体" w:cs="宋体"/>
                <w:color w:val="auto"/>
                <w:szCs w:val="21"/>
                <w:highlight w:val="none"/>
                <w:lang w:val="en-US" w:eastAsia="zh-CN"/>
              </w:rPr>
              <w:t>SIP-1000-E600 v3.0.92</w:t>
            </w:r>
            <w:r>
              <w:rPr>
                <w:rFonts w:hint="eastAsia" w:ascii="宋体" w:hAnsi="宋体" w:eastAsia="宋体" w:cs="宋体"/>
                <w:color w:val="auto"/>
                <w:highlight w:val="none"/>
                <w:lang w:val="en-US" w:eastAsia="zh-CN"/>
              </w:rPr>
              <w:t>）的标准restful API接口对接，实现超融合业务平台与态势感知平台的联</w:t>
            </w:r>
            <w:r>
              <w:rPr>
                <w:rFonts w:hint="eastAsia" w:ascii="宋体" w:hAnsi="宋体" w:eastAsia="宋体" w:cs="宋体"/>
                <w:b w:val="0"/>
                <w:bCs w:val="0"/>
                <w:color w:val="auto"/>
                <w:highlight w:val="none"/>
                <w:lang w:val="en-US" w:eastAsia="zh-CN"/>
              </w:rPr>
              <w:t>动分析和展示。供应商提供承诺函对接得2分，不提供不得分</w:t>
            </w:r>
            <w:r>
              <w:rPr>
                <w:rFonts w:hint="eastAsia" w:ascii="宋体" w:hAnsi="宋体" w:cs="宋体"/>
                <w:b w:val="0"/>
                <w:bCs w:val="0"/>
                <w:color w:val="auto"/>
                <w:highlight w:val="none"/>
                <w:lang w:val="en-US" w:eastAsia="zh-CN"/>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992A">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3D8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客观分</w:t>
            </w:r>
          </w:p>
        </w:tc>
      </w:tr>
      <w:tr w14:paraId="5CECF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7"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EE2FC">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647" w:type="dxa"/>
            <w:tcBorders>
              <w:top w:val="single" w:color="000000" w:sz="4" w:space="0"/>
              <w:left w:val="single" w:color="000000" w:sz="4" w:space="0"/>
              <w:bottom w:val="single" w:color="auto" w:sz="4" w:space="0"/>
              <w:right w:val="single" w:color="000000" w:sz="4" w:space="0"/>
            </w:tcBorders>
            <w:shd w:val="clear" w:color="auto" w:fill="auto"/>
            <w:vAlign w:val="center"/>
          </w:tcPr>
          <w:p w14:paraId="42D4602B">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14</w:t>
            </w:r>
          </w:p>
        </w:tc>
        <w:tc>
          <w:tcPr>
            <w:tcW w:w="6424" w:type="dxa"/>
            <w:tcBorders>
              <w:top w:val="single" w:color="000000" w:sz="4" w:space="0"/>
              <w:left w:val="single" w:color="000000" w:sz="4" w:space="0"/>
              <w:bottom w:val="single" w:color="auto" w:sz="4" w:space="0"/>
              <w:right w:val="single" w:color="000000" w:sz="4" w:space="0"/>
            </w:tcBorders>
            <w:shd w:val="clear" w:color="auto" w:fill="auto"/>
            <w:vAlign w:val="center"/>
          </w:tcPr>
          <w:p w14:paraId="79D4BB4F">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质保期：</w:t>
            </w:r>
          </w:p>
          <w:p w14:paraId="65BFCBC0">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在质保服务3年的基础上再增加一年质保的得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分。不增加不得分。</w:t>
            </w:r>
          </w:p>
        </w:tc>
        <w:tc>
          <w:tcPr>
            <w:tcW w:w="647" w:type="dxa"/>
            <w:tcBorders>
              <w:top w:val="single" w:color="000000" w:sz="4" w:space="0"/>
              <w:left w:val="single" w:color="000000" w:sz="4" w:space="0"/>
              <w:bottom w:val="single" w:color="auto" w:sz="4" w:space="0"/>
              <w:right w:val="single" w:color="000000" w:sz="4" w:space="0"/>
            </w:tcBorders>
            <w:shd w:val="clear" w:color="auto" w:fill="auto"/>
            <w:vAlign w:val="center"/>
          </w:tcPr>
          <w:p w14:paraId="24C644CF">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855" w:type="dxa"/>
            <w:tcBorders>
              <w:top w:val="single" w:color="000000" w:sz="4" w:space="0"/>
              <w:left w:val="single" w:color="000000" w:sz="4" w:space="0"/>
              <w:bottom w:val="single" w:color="auto" w:sz="4" w:space="0"/>
              <w:right w:val="single" w:color="000000" w:sz="4" w:space="0"/>
            </w:tcBorders>
            <w:shd w:val="clear" w:color="auto" w:fill="auto"/>
            <w:vAlign w:val="center"/>
          </w:tcPr>
          <w:p w14:paraId="671EA4D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客观分</w:t>
            </w:r>
          </w:p>
        </w:tc>
      </w:tr>
      <w:tr w14:paraId="76A0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4DA179">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E7DABD">
            <w:pPr>
              <w:keepNext w:val="0"/>
              <w:keepLines w:val="0"/>
              <w:pageBreakBefore w:val="0"/>
              <w:suppressLineNumbers w:val="0"/>
              <w:kinsoku/>
              <w:wordWrap/>
              <w:overflowPunct/>
              <w:topLinePunct w:val="0"/>
              <w:bidi w:val="0"/>
              <w:adjustRightInd w:val="0"/>
              <w:snapToGrid w:val="0"/>
              <w:spacing w:before="0" w:beforeAutospacing="0" w:after="0" w:afterAutospacing="0" w:line="240" w:lineRule="auto"/>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388684">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合理化建议：</w:t>
            </w:r>
          </w:p>
          <w:p w14:paraId="6F2D792E">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投标人提供基于本项目的合理化建议，每条建议需包括①问题分析、②建议措施、③拟取得效果承诺。每条合理化建议得1分，最高得3分。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A0A13E">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D641C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主观分</w:t>
            </w:r>
          </w:p>
        </w:tc>
      </w:tr>
    </w:tbl>
    <w:p w14:paraId="55FCE2B2">
      <w:pPr>
        <w:rPr>
          <w:rFonts w:hint="eastAsia"/>
          <w:b w:val="0"/>
          <w:bCs w:val="0"/>
          <w:color w:val="auto"/>
          <w:sz w:val="21"/>
          <w:szCs w:val="24"/>
          <w:highlight w:val="none"/>
        </w:rPr>
      </w:pPr>
    </w:p>
    <w:p w14:paraId="642059BB">
      <w:pPr>
        <w:rPr>
          <w:rFonts w:hint="eastAsia" w:eastAsia="宋体"/>
          <w:b/>
          <w:bCs/>
          <w:color w:val="auto"/>
          <w:sz w:val="28"/>
          <w:szCs w:val="36"/>
          <w:highlight w:val="none"/>
          <w:lang w:val="en-US" w:eastAsia="zh-CN"/>
        </w:rPr>
      </w:pPr>
      <w:r>
        <w:rPr>
          <w:rFonts w:hint="eastAsia"/>
          <w:b/>
          <w:bCs/>
          <w:color w:val="auto"/>
          <w:sz w:val="28"/>
          <w:szCs w:val="36"/>
          <w:highlight w:val="none"/>
        </w:rPr>
        <w:t>价格分</w:t>
      </w:r>
      <w:r>
        <w:rPr>
          <w:rFonts w:hint="eastAsia"/>
          <w:b/>
          <w:bCs/>
          <w:color w:val="auto"/>
          <w:sz w:val="28"/>
          <w:szCs w:val="36"/>
          <w:highlight w:val="none"/>
          <w:lang w:eastAsia="zh-CN"/>
        </w:rPr>
        <w:t>（</w:t>
      </w:r>
      <w:r>
        <w:rPr>
          <w:rFonts w:hint="eastAsia"/>
          <w:b/>
          <w:bCs/>
          <w:color w:val="auto"/>
          <w:sz w:val="28"/>
          <w:szCs w:val="36"/>
          <w:highlight w:val="none"/>
          <w:lang w:val="en-US" w:eastAsia="zh-CN"/>
        </w:rPr>
        <w:t>价格权值0.30</w:t>
      </w:r>
      <w:r>
        <w:rPr>
          <w:rFonts w:hint="eastAsia"/>
          <w:b/>
          <w:bCs/>
          <w:color w:val="auto"/>
          <w:sz w:val="28"/>
          <w:szCs w:val="36"/>
          <w:highlight w:val="none"/>
          <w:lang w:eastAsia="zh-CN"/>
        </w:rPr>
        <w:t>）</w:t>
      </w:r>
    </w:p>
    <w:tbl>
      <w:tblPr>
        <w:tblStyle w:val="62"/>
        <w:tblW w:w="8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4"/>
        <w:gridCol w:w="6564"/>
        <w:gridCol w:w="1068"/>
      </w:tblGrid>
      <w:tr w14:paraId="6DDF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3DD87D75">
            <w:pPr>
              <w:jc w:val="center"/>
              <w:rPr>
                <w:color w:val="auto"/>
                <w:highlight w:val="none"/>
              </w:rPr>
            </w:pPr>
            <w:r>
              <w:rPr>
                <w:rFonts w:hint="eastAsia"/>
                <w:color w:val="auto"/>
                <w:highlight w:val="none"/>
              </w:rPr>
              <w:t>序号</w:t>
            </w:r>
          </w:p>
        </w:tc>
        <w:tc>
          <w:tcPr>
            <w:tcW w:w="6564" w:type="dxa"/>
            <w:tcBorders>
              <w:top w:val="single" w:color="000000" w:sz="4" w:space="0"/>
              <w:left w:val="single" w:color="000000" w:sz="4" w:space="0"/>
              <w:bottom w:val="single" w:color="000000" w:sz="4" w:space="0"/>
              <w:right w:val="single" w:color="000000" w:sz="4" w:space="0"/>
            </w:tcBorders>
            <w:vAlign w:val="center"/>
          </w:tcPr>
          <w:p w14:paraId="722BB45D">
            <w:pPr>
              <w:rPr>
                <w:color w:val="auto"/>
                <w:highlight w:val="none"/>
              </w:rPr>
            </w:pPr>
            <w:r>
              <w:rPr>
                <w:rFonts w:hint="eastAsia"/>
                <w:color w:val="auto"/>
                <w:highlight w:val="none"/>
              </w:rPr>
              <w:t>评审条款</w:t>
            </w:r>
          </w:p>
        </w:tc>
        <w:tc>
          <w:tcPr>
            <w:tcW w:w="1068" w:type="dxa"/>
            <w:tcBorders>
              <w:top w:val="single" w:color="000000" w:sz="4" w:space="0"/>
              <w:left w:val="single" w:color="000000" w:sz="4" w:space="0"/>
              <w:bottom w:val="single" w:color="000000" w:sz="4" w:space="0"/>
              <w:right w:val="single" w:color="000000" w:sz="4" w:space="0"/>
            </w:tcBorders>
            <w:vAlign w:val="center"/>
          </w:tcPr>
          <w:p w14:paraId="111E05ED">
            <w:pPr>
              <w:jc w:val="center"/>
              <w:rPr>
                <w:color w:val="auto"/>
                <w:highlight w:val="none"/>
              </w:rPr>
            </w:pPr>
            <w:r>
              <w:rPr>
                <w:rFonts w:hint="eastAsia"/>
                <w:color w:val="auto"/>
                <w:highlight w:val="none"/>
                <w:lang w:val="en-US" w:eastAsia="zh-CN"/>
              </w:rPr>
              <w:t>最大</w:t>
            </w:r>
            <w:r>
              <w:rPr>
                <w:rFonts w:hint="eastAsia"/>
                <w:color w:val="auto"/>
                <w:highlight w:val="none"/>
              </w:rPr>
              <w:t>分值</w:t>
            </w:r>
          </w:p>
        </w:tc>
      </w:tr>
      <w:tr w14:paraId="0C3FD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126DFA12">
            <w:pPr>
              <w:jc w:val="center"/>
              <w:rPr>
                <w:rFonts w:hint="default" w:eastAsia="宋体"/>
                <w:color w:val="auto"/>
                <w:highlight w:val="none"/>
                <w:lang w:val="en-US" w:eastAsia="zh-CN"/>
              </w:rPr>
            </w:pPr>
            <w:r>
              <w:rPr>
                <w:rFonts w:hint="eastAsia"/>
                <w:color w:val="auto"/>
                <w:highlight w:val="none"/>
                <w:lang w:val="en-US" w:eastAsia="zh-CN"/>
              </w:rPr>
              <w:t>1</w:t>
            </w:r>
          </w:p>
        </w:tc>
        <w:tc>
          <w:tcPr>
            <w:tcW w:w="6564" w:type="dxa"/>
            <w:tcBorders>
              <w:top w:val="single" w:color="000000" w:sz="4" w:space="0"/>
              <w:left w:val="single" w:color="000000" w:sz="4" w:space="0"/>
              <w:bottom w:val="single" w:color="000000" w:sz="4" w:space="0"/>
              <w:right w:val="single" w:color="000000" w:sz="4" w:space="0"/>
            </w:tcBorders>
            <w:vAlign w:val="center"/>
          </w:tcPr>
          <w:p w14:paraId="52789CD3">
            <w:pPr>
              <w:jc w:val="left"/>
              <w:rPr>
                <w:rFonts w:hint="eastAsia"/>
                <w:color w:val="auto"/>
                <w:highlight w:val="none"/>
                <w:lang w:val="en-US" w:eastAsia="zh-CN"/>
              </w:rPr>
            </w:pPr>
            <w:r>
              <w:rPr>
                <w:rFonts w:hint="eastAsia"/>
                <w:color w:val="auto"/>
                <w:highlight w:val="none"/>
                <w:lang w:val="en-US" w:eastAsia="zh-CN"/>
              </w:rPr>
              <w:t>有效投标报价的最低价作为评标基准价，其最低报价为满分；</w:t>
            </w:r>
          </w:p>
          <w:p w14:paraId="699257A5">
            <w:pPr>
              <w:jc w:val="left"/>
              <w:rPr>
                <w:rFonts w:hint="eastAsia"/>
                <w:color w:val="auto"/>
                <w:highlight w:val="none"/>
                <w:lang w:val="en-US" w:eastAsia="zh-CN"/>
              </w:rPr>
            </w:pPr>
            <w:r>
              <w:rPr>
                <w:rFonts w:hint="eastAsia"/>
                <w:color w:val="auto"/>
                <w:highlight w:val="none"/>
                <w:lang w:val="en-US" w:eastAsia="zh-CN"/>
              </w:rPr>
              <w:t>按［投标报价得分=（评标基准价/有效投标报价）*最大分值］的计算公式计算。（计算得分保留小数点后2位）</w:t>
            </w:r>
          </w:p>
          <w:p w14:paraId="6DE0D5AE">
            <w:pPr>
              <w:widowControl/>
              <w:shd w:val="clear"/>
              <w:adjustRightInd/>
              <w:spacing w:after="0" w:line="240" w:lineRule="auto"/>
              <w:jc w:val="left"/>
              <w:rPr>
                <w:rFonts w:hint="eastAsia" w:ascii="宋体" w:hAnsi="宋体" w:eastAsia="宋体" w:cs="宋体"/>
                <w:color w:val="auto"/>
                <w:sz w:val="21"/>
                <w:szCs w:val="21"/>
                <w:highlight w:val="none"/>
                <w:lang w:val="en-US" w:eastAsia="zh-CN"/>
              </w:rPr>
            </w:pPr>
            <w:r>
              <w:rPr>
                <w:rFonts w:hint="eastAsia"/>
                <w:color w:val="auto"/>
                <w:highlight w:val="none"/>
                <w:lang w:val="en-US" w:eastAsia="zh-CN"/>
              </w:rPr>
              <w:t>评标过程中，不得</w:t>
            </w:r>
            <w:r>
              <w:rPr>
                <w:rFonts w:hint="eastAsia" w:ascii="宋体" w:hAnsi="宋体" w:eastAsia="宋体" w:cs="宋体"/>
                <w:color w:val="auto"/>
                <w:sz w:val="21"/>
                <w:szCs w:val="21"/>
                <w:highlight w:val="none"/>
                <w:lang w:val="en-US" w:eastAsia="zh-CN"/>
              </w:rPr>
              <w:t>去掉报价中的最高报价和最低报价。</w:t>
            </w:r>
          </w:p>
          <w:p w14:paraId="3F9C0414">
            <w:pPr>
              <w:widowControl/>
              <w:shd w:val="clear"/>
              <w:adjustRightInd/>
              <w:spacing w:after="0" w:line="240" w:lineRule="auto"/>
              <w:jc w:val="left"/>
              <w:rPr>
                <w:rFonts w:hint="eastAsia" w:ascii="宋体" w:hAnsi="宋体" w:eastAsia="宋体" w:cs="宋体"/>
                <w:color w:val="auto"/>
                <w:sz w:val="21"/>
                <w:szCs w:val="21"/>
                <w:highlight w:val="none"/>
                <w:lang w:val="en-US" w:eastAsia="zh-CN"/>
              </w:rPr>
            </w:pPr>
          </w:p>
          <w:p w14:paraId="3A9909DA">
            <w:pPr>
              <w:widowControl/>
              <w:shd w:val="clear"/>
              <w:adjustRightInd/>
              <w:spacing w:after="0" w:line="240" w:lineRule="auto"/>
              <w:jc w:val="left"/>
              <w:rPr>
                <w:color w:val="auto"/>
                <w:highlight w:val="none"/>
              </w:rPr>
            </w:pPr>
            <w:r>
              <w:rPr>
                <w:rFonts w:hint="eastAsia" w:ascii="宋体" w:hAnsi="宋体" w:eastAsia="宋体" w:cs="宋体"/>
                <w:color w:val="auto"/>
                <w:sz w:val="21"/>
                <w:szCs w:val="21"/>
                <w:highlight w:val="none"/>
              </w:rPr>
              <w:t>对于未预留份额专门面向中小企业的政府采购货物项目，以及预留份额政府采购货物项目中的非预留部分标项，对小型和微型企业的投标报价给予</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%的扣除，用扣除后的价格参加评审。</w:t>
            </w:r>
          </w:p>
        </w:tc>
        <w:tc>
          <w:tcPr>
            <w:tcW w:w="1068" w:type="dxa"/>
            <w:tcBorders>
              <w:top w:val="single" w:color="000000" w:sz="4" w:space="0"/>
              <w:left w:val="single" w:color="000000" w:sz="4" w:space="0"/>
              <w:bottom w:val="single" w:color="000000" w:sz="4" w:space="0"/>
              <w:right w:val="single" w:color="000000" w:sz="4" w:space="0"/>
            </w:tcBorders>
            <w:vAlign w:val="center"/>
          </w:tcPr>
          <w:p w14:paraId="02186E4E">
            <w:pPr>
              <w:jc w:val="center"/>
              <w:rPr>
                <w:rFonts w:hint="default" w:eastAsia="宋体"/>
                <w:color w:val="auto"/>
                <w:highlight w:val="none"/>
                <w:lang w:val="en-US" w:eastAsia="zh-CN"/>
              </w:rPr>
            </w:pPr>
            <w:r>
              <w:rPr>
                <w:rFonts w:hint="eastAsia"/>
                <w:color w:val="auto"/>
                <w:highlight w:val="none"/>
                <w:lang w:val="en-US" w:eastAsia="zh-CN"/>
              </w:rPr>
              <w:t>30</w:t>
            </w:r>
          </w:p>
        </w:tc>
      </w:tr>
    </w:tbl>
    <w:p w14:paraId="523629C3">
      <w:pPr>
        <w:spacing w:line="360" w:lineRule="auto"/>
        <w:rPr>
          <w:rFonts w:hint="eastAsia" w:ascii="宋体" w:hAnsi="宋体" w:cs="宋体"/>
          <w:b w:val="0"/>
          <w:bCs w:val="0"/>
          <w:color w:val="auto"/>
          <w:sz w:val="20"/>
          <w:szCs w:val="20"/>
          <w:highlight w:val="none"/>
          <w:shd w:val="clear" w:color="auto" w:fill="FFFFFF"/>
        </w:rPr>
      </w:pPr>
    </w:p>
    <w:p w14:paraId="334D25D9">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0"/>
          <w:szCs w:val="20"/>
          <w:highlight w:val="none"/>
          <w:shd w:val="clear" w:color="auto" w:fill="FFFFFF"/>
        </w:rPr>
        <w:t>*</w:t>
      </w:r>
      <w:r>
        <w:rPr>
          <w:rFonts w:hint="eastAsia" w:ascii="宋体" w:hAnsi="宋体" w:cs="宋体"/>
          <w:b w:val="0"/>
          <w:bCs w:val="0"/>
          <w:color w:val="auto"/>
          <w:sz w:val="24"/>
          <w:highlight w:val="none"/>
        </w:rPr>
        <w:t xml:space="preserve">备注：1、投标人编制投标文件（商务技术文件部分）时，建议按此目录（序号和内容）提供评标标准相应的商务技术资料。 </w:t>
      </w:r>
    </w:p>
    <w:p w14:paraId="7462C97F">
      <w:pPr>
        <w:spacing w:line="360" w:lineRule="auto"/>
        <w:rPr>
          <w:rFonts w:hint="default" w:ascii="宋体" w:hAnsi="宋体" w:cs="宋体"/>
          <w:b w:val="0"/>
          <w:bCs w:val="0"/>
          <w:color w:val="auto"/>
          <w:sz w:val="24"/>
          <w:highlight w:val="none"/>
        </w:rPr>
      </w:pPr>
      <w:r>
        <w:rPr>
          <w:rFonts w:hint="eastAsia" w:ascii="宋体" w:hAnsi="宋体" w:cs="宋体"/>
          <w:b w:val="0"/>
          <w:bCs w:val="0"/>
          <w:color w:val="auto"/>
          <w:sz w:val="24"/>
          <w:highlight w:val="none"/>
        </w:rPr>
        <w:t>2、评分条款中涉及的业绩、荣誉、人员、社保等分公司均有效。涉及社保、劳动关系证明关系的，如人员为法人代表，则无需提供相关证明</w:t>
      </w:r>
      <w:r>
        <w:rPr>
          <w:rFonts w:hint="default" w:ascii="宋体" w:hAnsi="宋体" w:cs="宋体"/>
          <w:b w:val="0"/>
          <w:bCs w:val="0"/>
          <w:color w:val="auto"/>
          <w:sz w:val="24"/>
          <w:highlight w:val="none"/>
        </w:rPr>
        <w:t>，提供营业执照及身份证</w:t>
      </w:r>
      <w:r>
        <w:rPr>
          <w:rFonts w:hint="eastAsia" w:ascii="宋体" w:hAnsi="宋体" w:cs="宋体"/>
          <w:b w:val="0"/>
          <w:bCs w:val="0"/>
          <w:color w:val="auto"/>
          <w:sz w:val="24"/>
          <w:highlight w:val="none"/>
        </w:rPr>
        <w:t>。</w:t>
      </w:r>
    </w:p>
    <w:p w14:paraId="658D37D4">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3、投标文件中如附有外文资料，必须逐一对应翻译成中文并加盖投标人公章后附在相关外文资料后面，否则外文资料不予认可。</w:t>
      </w:r>
    </w:p>
    <w:p w14:paraId="1D1E20F6">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234FF4A6">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76CCDBB6">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3C8C768D">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DB9976B">
      <w:pPr>
        <w:spacing w:line="360" w:lineRule="auto"/>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三、评标程序</w:t>
      </w:r>
    </w:p>
    <w:p w14:paraId="1E8CBBB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1B525E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4E9D92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FFBC8F0">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F819444">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B4E5A15">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E41AEA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7A44FD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77642128">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7F13FD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A990FD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4D1291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AD7777D">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61AA6C9">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05DD2CB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38914CC">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9AB532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882B9A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720EB1CA">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4DF8A56">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07304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EB426B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6AD00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5D67F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6BBDD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D87FEF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B8C93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7E9D65A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4762EE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5ABD1E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78B2305">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C3ED0AE">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4.2.12</w:t>
      </w:r>
      <w:r>
        <w:rPr>
          <w:rFonts w:hint="eastAsia" w:ascii="宋体" w:hAnsi="宋体" w:eastAsia="宋体" w:cs="宋体"/>
          <w:color w:val="auto"/>
          <w:kern w:val="0"/>
          <w:sz w:val="24"/>
          <w:highlight w:val="none"/>
          <w:lang w:val="en-US" w:eastAsia="zh-CN"/>
        </w:rPr>
        <w:t>参与同一个采购包（标段）的供应商存在下列情形之一且无法合理解释的，其投标文件无效：</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不同供应商的电子投标文件上传计算机的网卡MAC地址或硬盘序列号等硬件信息相同的；</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上传的电子投标文件若出现使用本项目其他投标供应商的数字证书加密的，或者加盖本项目其他投标供应商的电子印章的；</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不同供应商的投标文件的内容存在3处（含）以上错误一致的；</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不同供应商联系人为同一人或不同联系人的联系电话一致的。</w:t>
      </w:r>
    </w:p>
    <w:p w14:paraId="534BE25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投标人仅提交备份投标文件，未在电子交易平台传输递交投标文件的，投标无效；</w:t>
      </w:r>
    </w:p>
    <w:p w14:paraId="47ABEE3D">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投标人未提供样品或提供的样品不满足采购需求实质性条件的，投标无效；</w:t>
      </w:r>
    </w:p>
    <w:p w14:paraId="27817BCC">
      <w:pPr>
        <w:spacing w:line="360" w:lineRule="auto"/>
        <w:ind w:firstLine="480" w:firstLineChars="200"/>
        <w:rPr>
          <w:color w:val="auto"/>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投标文件不满足招标文件的实质性要求的；</w:t>
      </w:r>
    </w:p>
    <w:p w14:paraId="371E4A6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法律、法规、规章（适用本市的）及省级以上规范性文件（适用本市的）规定的其他无效情形。</w:t>
      </w:r>
    </w:p>
    <w:p w14:paraId="12D88A41">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5157E11">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1457F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9CC75B1">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54AE87FE">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4E501D73">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82D66B4">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2632F33B">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B87059D">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9B61A96">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0F624F28">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9EE89D6">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F390C95">
      <w:pPr>
        <w:pStyle w:val="24"/>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5" w:name="第五部分"/>
      <w:bookmarkStart w:id="396" w:name="_Toc86217003"/>
    </w:p>
    <w:p w14:paraId="640F4BD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5C34F95">
      <w:pPr>
        <w:pStyle w:val="24"/>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598035DF">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02286A3">
      <w:pPr>
        <w:spacing w:line="480" w:lineRule="auto"/>
        <w:jc w:val="center"/>
        <w:rPr>
          <w:rFonts w:hint="eastAsia" w:ascii="宋体" w:hAnsi="宋体" w:cs="宋体"/>
          <w:b/>
          <w:color w:val="auto"/>
          <w:sz w:val="36"/>
          <w:szCs w:val="36"/>
          <w:highlight w:val="none"/>
        </w:rPr>
      </w:pPr>
    </w:p>
    <w:p w14:paraId="366F5744">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003086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货物</w:t>
      </w:r>
      <w:r>
        <w:rPr>
          <w:rFonts w:hint="eastAsia" w:ascii="宋体" w:hAnsi="宋体" w:cs="宋体"/>
          <w:b/>
          <w:color w:val="auto"/>
          <w:sz w:val="36"/>
          <w:szCs w:val="36"/>
          <w:highlight w:val="none"/>
        </w:rPr>
        <w:t>类）</w:t>
      </w:r>
    </w:p>
    <w:p w14:paraId="58B0433E">
      <w:pPr>
        <w:pStyle w:val="699"/>
        <w:ind w:left="0" w:leftChars="0" w:firstLine="2891" w:firstLineChars="1200"/>
        <w:rPr>
          <w:rFonts w:hint="eastAsia" w:ascii="宋体" w:hAnsi="宋体" w:cs="宋体"/>
          <w:b/>
          <w:color w:val="auto"/>
          <w:szCs w:val="24"/>
          <w:highlight w:val="none"/>
        </w:rPr>
      </w:pPr>
    </w:p>
    <w:p w14:paraId="22031AEF">
      <w:pPr>
        <w:pStyle w:val="699"/>
        <w:numPr>
          <w:ilvl w:val="0"/>
          <w:numId w:val="14"/>
        </w:numPr>
        <w:ind w:left="0" w:leftChars="0" w:firstLine="2891" w:firstLineChars="1200"/>
        <w:rPr>
          <w:rFonts w:hint="eastAsia" w:eastAsia="宋体"/>
          <w:color w:val="auto"/>
          <w:highlight w:val="none"/>
          <w:lang w:eastAsia="zh-CN"/>
        </w:rPr>
      </w:pPr>
      <w:r>
        <w:rPr>
          <w:rFonts w:hint="eastAsia" w:ascii="宋体" w:hAnsi="宋体" w:cs="宋体"/>
          <w:b/>
          <w:color w:val="auto"/>
          <w:szCs w:val="24"/>
          <w:highlight w:val="none"/>
        </w:rPr>
        <w:t>合同书</w:t>
      </w:r>
    </w:p>
    <w:p w14:paraId="58D501A4">
      <w:pPr>
        <w:pStyle w:val="699"/>
        <w:ind w:left="0" w:leftChars="0" w:firstLine="0" w:firstLineChars="0"/>
        <w:rPr>
          <w:rFonts w:ascii="宋体" w:hAnsi="宋体" w:cs="宋体"/>
          <w:color w:val="auto"/>
          <w:szCs w:val="24"/>
          <w:highlight w:val="none"/>
        </w:rPr>
      </w:pPr>
    </w:p>
    <w:p w14:paraId="7C45F836">
      <w:pPr>
        <w:spacing w:before="120" w:line="22" w:lineRule="atLeast"/>
        <w:rPr>
          <w:rFonts w:ascii="宋体" w:hAnsi="宋体" w:cs="宋体"/>
          <w:color w:val="auto"/>
          <w:sz w:val="24"/>
          <w:highlight w:val="none"/>
        </w:rPr>
      </w:pPr>
    </w:p>
    <w:p w14:paraId="3AF881C2">
      <w:pPr>
        <w:spacing w:before="120" w:line="22" w:lineRule="atLeast"/>
        <w:ind w:left="1478" w:leftChars="704" w:firstLine="0" w:firstLineChars="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D45B999">
      <w:pPr>
        <w:pStyle w:val="596"/>
        <w:spacing w:before="120" w:line="22" w:lineRule="atLeast"/>
        <w:ind w:left="1478" w:leftChars="704" w:firstLine="0" w:firstLineChars="0"/>
        <w:rPr>
          <w:rFonts w:ascii="宋体" w:hAnsi="宋体" w:eastAsia="宋体" w:cs="宋体"/>
          <w:color w:val="auto"/>
          <w:szCs w:val="24"/>
          <w:highlight w:val="none"/>
        </w:rPr>
      </w:pPr>
    </w:p>
    <w:p w14:paraId="363B63B5">
      <w:pPr>
        <w:ind w:left="1478" w:leftChars="704" w:firstLine="0" w:firstLineChars="0"/>
        <w:rPr>
          <w:rFonts w:ascii="宋体" w:hAnsi="宋体" w:cs="宋体"/>
          <w:color w:val="auto"/>
          <w:sz w:val="24"/>
          <w:highlight w:val="none"/>
        </w:rPr>
      </w:pPr>
    </w:p>
    <w:p w14:paraId="6C390237">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D76C3D">
      <w:pPr>
        <w:spacing w:before="120" w:line="22" w:lineRule="atLeast"/>
        <w:ind w:left="1478" w:leftChars="704" w:firstLine="0" w:firstLineChars="0"/>
        <w:rPr>
          <w:rFonts w:ascii="宋体" w:hAnsi="宋体" w:cs="宋体"/>
          <w:color w:val="auto"/>
          <w:sz w:val="24"/>
          <w:highlight w:val="none"/>
        </w:rPr>
      </w:pPr>
    </w:p>
    <w:p w14:paraId="0D0E1DFC">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A80ED12">
      <w:pPr>
        <w:spacing w:before="120" w:line="22" w:lineRule="atLeast"/>
        <w:ind w:left="1478" w:leftChars="704" w:firstLine="0" w:firstLineChars="0"/>
        <w:rPr>
          <w:rFonts w:ascii="宋体" w:hAnsi="宋体" w:cs="宋体"/>
          <w:color w:val="auto"/>
          <w:sz w:val="24"/>
          <w:highlight w:val="none"/>
        </w:rPr>
      </w:pPr>
    </w:p>
    <w:p w14:paraId="69739C5B">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8B54FE2">
      <w:pPr>
        <w:spacing w:before="120" w:line="22" w:lineRule="atLeast"/>
        <w:ind w:left="1478" w:leftChars="704" w:firstLine="0" w:firstLineChars="0"/>
        <w:rPr>
          <w:rFonts w:ascii="宋体" w:hAnsi="宋体" w:cs="宋体"/>
          <w:color w:val="auto"/>
          <w:sz w:val="24"/>
          <w:highlight w:val="none"/>
        </w:rPr>
      </w:pPr>
    </w:p>
    <w:p w14:paraId="43D7444B">
      <w:pPr>
        <w:spacing w:before="120" w:line="22" w:lineRule="atLeast"/>
        <w:ind w:left="1478" w:leftChars="704" w:firstLine="0" w:firstLineChars="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22AA420">
      <w:pPr>
        <w:widowControl/>
        <w:ind w:left="1478" w:leftChars="704" w:firstLine="0" w:firstLineChars="0"/>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1F095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（项目名称、编号）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w:t>
      </w:r>
      <w:r>
        <w:rPr>
          <w:rFonts w:hint="eastAsia" w:ascii="宋体" w:hAnsi="宋体" w:cs="宋体"/>
          <w:color w:val="auto"/>
          <w:sz w:val="24"/>
          <w:highlight w:val="none"/>
        </w:rPr>
        <w:t>为该项目中标或者成交供应商。现于中标或者成交通知书发出之日起10个工作日内，按照采购文件等确定的事项签订本合同。</w:t>
      </w:r>
    </w:p>
    <w:p w14:paraId="3F6570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73226A4C">
      <w:pPr>
        <w:spacing w:line="560" w:lineRule="exact"/>
        <w:ind w:firstLine="482" w:firstLineChars="200"/>
        <w:outlineLvl w:val="0"/>
        <w:rPr>
          <w:rFonts w:ascii="宋体" w:hAnsi="宋体" w:cs="宋体"/>
          <w:b/>
          <w:color w:val="auto"/>
          <w:sz w:val="24"/>
          <w:highlight w:val="none"/>
        </w:rPr>
      </w:pPr>
      <w:bookmarkStart w:id="397" w:name="_Toc2232"/>
      <w:bookmarkStart w:id="398" w:name="_Toc3029"/>
      <w:bookmarkStart w:id="399" w:name="_Toc24059"/>
      <w:r>
        <w:rPr>
          <w:rFonts w:hint="eastAsia" w:ascii="宋体" w:hAnsi="宋体" w:cs="宋体"/>
          <w:b/>
          <w:color w:val="auto"/>
          <w:sz w:val="24"/>
          <w:highlight w:val="none"/>
        </w:rPr>
        <w:t>1.1 合同组成部分</w:t>
      </w:r>
      <w:bookmarkEnd w:id="397"/>
      <w:bookmarkEnd w:id="398"/>
      <w:bookmarkEnd w:id="399"/>
    </w:p>
    <w:p w14:paraId="549EF2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8BAD79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6D5C16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5EE8EF0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8DFC15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7D2A94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60AED47F">
      <w:pPr>
        <w:spacing w:line="560" w:lineRule="exact"/>
        <w:ind w:firstLine="482" w:firstLineChars="200"/>
        <w:outlineLvl w:val="0"/>
        <w:rPr>
          <w:rFonts w:ascii="宋体" w:hAnsi="宋体" w:cs="宋体"/>
          <w:b/>
          <w:color w:val="auto"/>
          <w:sz w:val="24"/>
          <w:highlight w:val="none"/>
        </w:rPr>
      </w:pPr>
      <w:bookmarkStart w:id="400" w:name="_Toc24300"/>
      <w:bookmarkStart w:id="401" w:name="_Toc27126"/>
      <w:bookmarkStart w:id="402" w:name="_Toc21295"/>
      <w:r>
        <w:rPr>
          <w:rFonts w:hint="eastAsia" w:ascii="宋体" w:hAnsi="宋体" w:cs="宋体"/>
          <w:b/>
          <w:color w:val="auto"/>
          <w:sz w:val="24"/>
          <w:highlight w:val="none"/>
        </w:rPr>
        <w:t>1.2 货物</w:t>
      </w:r>
      <w:bookmarkEnd w:id="400"/>
      <w:bookmarkEnd w:id="401"/>
      <w:bookmarkEnd w:id="402"/>
    </w:p>
    <w:p w14:paraId="6386E68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BB00AE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84C90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619F48AE">
      <w:pPr>
        <w:spacing w:line="560" w:lineRule="exact"/>
        <w:ind w:firstLine="482" w:firstLineChars="200"/>
        <w:outlineLvl w:val="0"/>
        <w:rPr>
          <w:rFonts w:ascii="宋体" w:hAnsi="宋体" w:cs="宋体"/>
          <w:b/>
          <w:color w:val="auto"/>
          <w:sz w:val="24"/>
          <w:highlight w:val="none"/>
        </w:rPr>
      </w:pPr>
      <w:bookmarkStart w:id="403" w:name="_Toc23292"/>
      <w:bookmarkStart w:id="404" w:name="_Toc21631"/>
      <w:bookmarkStart w:id="405" w:name="_Toc21551"/>
      <w:r>
        <w:rPr>
          <w:rFonts w:hint="eastAsia" w:ascii="宋体" w:hAnsi="宋体" w:cs="宋体"/>
          <w:b/>
          <w:color w:val="auto"/>
          <w:sz w:val="24"/>
          <w:highlight w:val="none"/>
        </w:rPr>
        <w:t>1.3 价款</w:t>
      </w:r>
      <w:bookmarkEnd w:id="403"/>
      <w:bookmarkEnd w:id="404"/>
      <w:bookmarkEnd w:id="405"/>
    </w:p>
    <w:p w14:paraId="4C90F6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6B46F0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9BF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AF9756F">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69C928E">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62DF5E18">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3F5E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405B1C8">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3DAD4D3">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8ADF34B">
            <w:pPr>
              <w:pStyle w:val="317"/>
              <w:spacing w:line="560" w:lineRule="exact"/>
              <w:ind w:firstLine="200"/>
              <w:jc w:val="center"/>
              <w:rPr>
                <w:rFonts w:hAnsi="宋体" w:cs="宋体"/>
                <w:color w:val="auto"/>
                <w:sz w:val="24"/>
                <w:szCs w:val="24"/>
                <w:highlight w:val="none"/>
              </w:rPr>
            </w:pPr>
          </w:p>
        </w:tc>
      </w:tr>
      <w:tr w14:paraId="4042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7A031EA">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EFEB86B">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68935F1">
            <w:pPr>
              <w:pStyle w:val="317"/>
              <w:spacing w:line="560" w:lineRule="exact"/>
              <w:ind w:firstLine="200"/>
              <w:jc w:val="center"/>
              <w:rPr>
                <w:rFonts w:hAnsi="宋体" w:cs="宋体"/>
                <w:color w:val="auto"/>
                <w:sz w:val="24"/>
                <w:szCs w:val="24"/>
                <w:highlight w:val="none"/>
              </w:rPr>
            </w:pPr>
          </w:p>
        </w:tc>
      </w:tr>
      <w:tr w14:paraId="695C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8A02E86">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AE53E19">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2F40FD2">
            <w:pPr>
              <w:pStyle w:val="317"/>
              <w:spacing w:line="560" w:lineRule="exact"/>
              <w:ind w:firstLine="200"/>
              <w:jc w:val="center"/>
              <w:rPr>
                <w:rFonts w:hAnsi="宋体" w:cs="宋体"/>
                <w:color w:val="auto"/>
                <w:sz w:val="24"/>
                <w:szCs w:val="24"/>
                <w:highlight w:val="none"/>
              </w:rPr>
            </w:pPr>
          </w:p>
        </w:tc>
      </w:tr>
      <w:tr w14:paraId="1780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A0617A2">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AD15691">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654FB6EE">
            <w:pPr>
              <w:pStyle w:val="317"/>
              <w:spacing w:line="560" w:lineRule="exact"/>
              <w:ind w:firstLine="200"/>
              <w:jc w:val="center"/>
              <w:rPr>
                <w:rFonts w:hAnsi="宋体" w:cs="宋体"/>
                <w:color w:val="auto"/>
                <w:sz w:val="24"/>
                <w:szCs w:val="24"/>
                <w:highlight w:val="none"/>
              </w:rPr>
            </w:pPr>
          </w:p>
        </w:tc>
      </w:tr>
      <w:tr w14:paraId="5C896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226694D">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49031E6E">
            <w:pPr>
              <w:pStyle w:val="317"/>
              <w:spacing w:line="560" w:lineRule="exact"/>
              <w:ind w:firstLine="200"/>
              <w:jc w:val="center"/>
              <w:rPr>
                <w:rFonts w:hAnsi="宋体" w:cs="宋体"/>
                <w:color w:val="auto"/>
                <w:sz w:val="24"/>
                <w:szCs w:val="24"/>
                <w:highlight w:val="none"/>
              </w:rPr>
            </w:pPr>
          </w:p>
        </w:tc>
      </w:tr>
    </w:tbl>
    <w:p w14:paraId="365B2E8F">
      <w:pPr>
        <w:pStyle w:val="957"/>
        <w:spacing w:before="0" w:beforeAutospacing="0" w:after="0" w:afterAutospacing="0" w:line="360" w:lineRule="auto"/>
        <w:ind w:firstLine="480"/>
        <w:rPr>
          <w:b/>
          <w:color w:val="auto"/>
          <w:highlight w:val="none"/>
        </w:rPr>
      </w:pPr>
      <w:bookmarkStart w:id="406" w:name="_Toc22618"/>
      <w:bookmarkStart w:id="407" w:name="_Toc10340"/>
      <w:bookmarkStart w:id="408" w:name="_Toc1814"/>
      <w:r>
        <w:rPr>
          <w:rFonts w:hint="eastAsia"/>
          <w:b/>
          <w:color w:val="auto"/>
          <w:highlight w:val="none"/>
        </w:rPr>
        <w:t>1.4履约保证金</w:t>
      </w:r>
    </w:p>
    <w:p w14:paraId="2A76E263">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0AB9481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CE15CF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FD071C">
      <w:pPr>
        <w:pStyle w:val="3"/>
        <w:tabs>
          <w:tab w:val="left" w:pos="0"/>
          <w:tab w:val="clear" w:pos="432"/>
        </w:tabs>
        <w:spacing w:line="560" w:lineRule="exact"/>
        <w:ind w:left="0" w:firstLine="480" w:firstLineChars="200"/>
        <w:rPr>
          <w:rFonts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F3FEAC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kern w:val="0"/>
          <w:sz w:val="24"/>
          <w:highlight w:val="none"/>
        </w:rPr>
        <w:t>1.4.4 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60DE6E74">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6"/>
      <w:bookmarkEnd w:id="407"/>
      <w:bookmarkEnd w:id="408"/>
      <w:r>
        <w:rPr>
          <w:rFonts w:hint="eastAsia" w:ascii="宋体" w:hAnsi="宋体" w:cs="宋体"/>
          <w:b/>
          <w:color w:val="auto"/>
          <w:sz w:val="24"/>
          <w:highlight w:val="none"/>
        </w:rPr>
        <w:t>预付款</w:t>
      </w:r>
    </w:p>
    <w:p w14:paraId="0F3CB80E">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17BC8E50">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3624DE8">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D134ADF">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4A7C074">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9E5DA24">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3776238">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9238BA2">
      <w:pPr>
        <w:spacing w:line="560" w:lineRule="exact"/>
        <w:ind w:firstLine="482" w:firstLineChars="200"/>
        <w:outlineLvl w:val="0"/>
        <w:rPr>
          <w:rFonts w:ascii="宋体" w:hAnsi="宋体" w:cs="宋体"/>
          <w:b/>
          <w:color w:val="auto"/>
          <w:sz w:val="24"/>
          <w:highlight w:val="none"/>
        </w:rPr>
      </w:pPr>
      <w:bookmarkStart w:id="409" w:name="_Toc19304"/>
      <w:bookmarkStart w:id="410" w:name="_Toc32071"/>
      <w:bookmarkStart w:id="411" w:name="_Toc2846"/>
      <w:r>
        <w:rPr>
          <w:rFonts w:hint="eastAsia" w:ascii="宋体" w:hAnsi="宋体" w:cs="宋体"/>
          <w:b/>
          <w:color w:val="auto"/>
          <w:sz w:val="24"/>
          <w:highlight w:val="none"/>
        </w:rPr>
        <w:t>1.7货物交付期限、地点和方式</w:t>
      </w:r>
      <w:bookmarkEnd w:id="409"/>
      <w:bookmarkEnd w:id="410"/>
      <w:bookmarkEnd w:id="411"/>
    </w:p>
    <w:p w14:paraId="330E3B7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2195BE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36EE1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7CC820D">
      <w:pPr>
        <w:spacing w:line="560" w:lineRule="exact"/>
        <w:ind w:firstLine="482" w:firstLineChars="200"/>
        <w:outlineLvl w:val="0"/>
        <w:rPr>
          <w:rFonts w:ascii="宋体" w:hAnsi="宋体" w:cs="宋体"/>
          <w:b/>
          <w:color w:val="auto"/>
          <w:sz w:val="24"/>
          <w:highlight w:val="none"/>
        </w:rPr>
      </w:pPr>
      <w:bookmarkStart w:id="412" w:name="_Toc19554"/>
      <w:bookmarkStart w:id="413" w:name="_Toc21423"/>
      <w:bookmarkStart w:id="414" w:name="_Toc27250"/>
      <w:r>
        <w:rPr>
          <w:rFonts w:hint="eastAsia" w:ascii="宋体" w:hAnsi="宋体" w:cs="宋体"/>
          <w:b/>
          <w:color w:val="auto"/>
          <w:sz w:val="24"/>
          <w:highlight w:val="none"/>
        </w:rPr>
        <w:t>1.8违约责任</w:t>
      </w:r>
      <w:bookmarkEnd w:id="412"/>
      <w:bookmarkEnd w:id="413"/>
      <w:bookmarkEnd w:id="414"/>
    </w:p>
    <w:p w14:paraId="0AEA73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4B41949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5D3ECBF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6E5841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93EC7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1712E197">
      <w:pPr>
        <w:spacing w:line="560" w:lineRule="exact"/>
        <w:ind w:left="-420" w:leftChars="-200" w:right="-420" w:rightChars="-200" w:firstLine="960" w:firstLineChars="400"/>
        <w:rPr>
          <w:rFonts w:ascii="宋体" w:hAnsi="宋体" w:cs="宋体"/>
          <w:color w:val="auto"/>
          <w:sz w:val="24"/>
          <w:highlight w:val="none"/>
        </w:rPr>
      </w:pPr>
      <w:r>
        <w:rPr>
          <w:rFonts w:hint="eastAsia" w:ascii="宋体" w:hAnsi="宋体" w:cs="宋体"/>
          <w:color w:val="auto"/>
          <w:sz w:val="24"/>
          <w:highlight w:val="none"/>
        </w:rPr>
        <w:t>1.8.6违约责任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14:paraId="62E1593E">
      <w:pPr>
        <w:spacing w:line="560" w:lineRule="exact"/>
        <w:ind w:firstLine="482" w:firstLineChars="200"/>
        <w:outlineLvl w:val="0"/>
        <w:rPr>
          <w:rFonts w:ascii="宋体" w:hAnsi="宋体" w:cs="宋体"/>
          <w:b/>
          <w:color w:val="auto"/>
          <w:sz w:val="24"/>
          <w:highlight w:val="none"/>
        </w:rPr>
      </w:pPr>
      <w:bookmarkStart w:id="415" w:name="_Toc28375"/>
      <w:bookmarkStart w:id="416" w:name="_Toc16021"/>
      <w:bookmarkStart w:id="417" w:name="_Toc15583"/>
      <w:r>
        <w:rPr>
          <w:rFonts w:hint="eastAsia" w:ascii="宋体" w:hAnsi="宋体" w:cs="宋体"/>
          <w:b/>
          <w:color w:val="auto"/>
          <w:sz w:val="24"/>
          <w:highlight w:val="none"/>
        </w:rPr>
        <w:t>1.9合同争议的解决</w:t>
      </w:r>
      <w:bookmarkEnd w:id="415"/>
      <w:bookmarkEnd w:id="416"/>
      <w:bookmarkEnd w:id="417"/>
    </w:p>
    <w:p w14:paraId="7FE6BFD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61806B7">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515CB63B">
      <w:pPr>
        <w:spacing w:line="560" w:lineRule="exact"/>
        <w:ind w:left="-420" w:leftChars="-200" w:right="-420" w:rightChars="-200" w:firstLine="840" w:firstLineChars="3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6482909B">
      <w:pPr>
        <w:spacing w:line="560" w:lineRule="exact"/>
        <w:ind w:firstLine="482" w:firstLineChars="200"/>
        <w:outlineLvl w:val="0"/>
        <w:rPr>
          <w:rFonts w:ascii="宋体" w:hAnsi="宋体" w:cs="宋体"/>
          <w:b/>
          <w:color w:val="auto"/>
          <w:sz w:val="24"/>
          <w:highlight w:val="none"/>
        </w:rPr>
      </w:pPr>
      <w:bookmarkStart w:id="418" w:name="_Toc11173"/>
      <w:bookmarkStart w:id="419" w:name="_Toc7245"/>
      <w:bookmarkStart w:id="420" w:name="_Toc15322"/>
      <w:r>
        <w:rPr>
          <w:rFonts w:hint="eastAsia" w:ascii="宋体" w:hAnsi="宋体" w:cs="宋体"/>
          <w:b/>
          <w:color w:val="auto"/>
          <w:sz w:val="24"/>
          <w:highlight w:val="none"/>
        </w:rPr>
        <w:t>2.0 合同生效</w:t>
      </w:r>
      <w:bookmarkEnd w:id="418"/>
      <w:bookmarkEnd w:id="419"/>
      <w:bookmarkEnd w:id="420"/>
    </w:p>
    <w:p w14:paraId="1F918321">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43BC3FFF">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3511F7C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统一社会信用代码或身份证码：</w:t>
      </w:r>
    </w:p>
    <w:p w14:paraId="4E9E473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0C6EEBD8">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2E50BA3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634CA182">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AFD3ED3">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178A46E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11FA9D9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0F33B7B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3BC3369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128FCC18">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AEE3AC3">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518C799">
      <w:pPr>
        <w:autoSpaceDE w:val="0"/>
        <w:autoSpaceDN w:val="0"/>
        <w:spacing w:line="560" w:lineRule="exact"/>
        <w:rPr>
          <w:rFonts w:ascii="宋体" w:hAnsi="宋体" w:eastAsia="宋体" w:cs="宋体"/>
          <w:color w:val="auto"/>
          <w:sz w:val="24"/>
          <w:szCs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2849781">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51BBF330">
      <w:pPr>
        <w:spacing w:line="560" w:lineRule="exact"/>
        <w:ind w:firstLine="482" w:firstLineChars="200"/>
        <w:outlineLvl w:val="0"/>
        <w:rPr>
          <w:rFonts w:ascii="宋体" w:hAnsi="宋体" w:cs="宋体"/>
          <w:b/>
          <w:color w:val="auto"/>
          <w:sz w:val="24"/>
          <w:highlight w:val="none"/>
        </w:rPr>
      </w:pPr>
      <w:bookmarkStart w:id="421" w:name="_Toc487900349"/>
      <w:bookmarkStart w:id="422" w:name="_Toc16917"/>
      <w:bookmarkStart w:id="423" w:name="_Ref467379205"/>
      <w:bookmarkStart w:id="424" w:name="_Toc19614"/>
      <w:bookmarkStart w:id="425" w:name="_Ref467378499"/>
      <w:bookmarkStart w:id="426" w:name="_Ref467379094"/>
      <w:bookmarkStart w:id="427" w:name="_Ref467378404"/>
      <w:bookmarkStart w:id="428" w:name="_Ref467379101"/>
      <w:bookmarkStart w:id="429" w:name="_Ref467378463"/>
      <w:bookmarkStart w:id="430" w:name="_Ref467379109"/>
      <w:bookmarkStart w:id="431" w:name="_Toc28763"/>
      <w:bookmarkStart w:id="432" w:name="_Ref467379195"/>
      <w:bookmarkStart w:id="433" w:name="_Ref467379214"/>
      <w:bookmarkStart w:id="434" w:name="_Ref467379225"/>
      <w:bookmarkStart w:id="435" w:name="_Toc279701240"/>
      <w:bookmarkStart w:id="436" w:name="_Toc259093669"/>
      <w:r>
        <w:rPr>
          <w:rFonts w:hint="eastAsia" w:ascii="宋体" w:hAnsi="宋体" w:cs="宋体"/>
          <w:b/>
          <w:color w:val="auto"/>
          <w:sz w:val="24"/>
          <w:highlight w:val="none"/>
        </w:rPr>
        <w:t>2.1 定义</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2A18B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D103B9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6078284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352D32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04B2C7E">
      <w:pPr>
        <w:spacing w:line="560" w:lineRule="exact"/>
        <w:ind w:firstLine="480" w:firstLineChars="200"/>
        <w:rPr>
          <w:rFonts w:ascii="宋体" w:hAnsi="宋体" w:cs="宋体"/>
          <w:color w:val="auto"/>
          <w:sz w:val="24"/>
          <w:highlight w:val="none"/>
        </w:rPr>
      </w:pPr>
      <w:bookmarkStart w:id="437" w:name="_Ref467378840"/>
      <w:r>
        <w:rPr>
          <w:rFonts w:hint="eastAsia" w:ascii="宋体" w:hAnsi="宋体" w:cs="宋体"/>
          <w:color w:val="auto"/>
          <w:sz w:val="24"/>
          <w:highlight w:val="none"/>
        </w:rPr>
        <w:t>2.1.4 “甲方”系指与中标或成交供应商签署合同的采购人</w:t>
      </w:r>
      <w:bookmarkEnd w:id="437"/>
      <w:r>
        <w:rPr>
          <w:rFonts w:hint="eastAsia" w:ascii="宋体" w:hAnsi="宋体" w:cs="宋体"/>
          <w:color w:val="auto"/>
          <w:sz w:val="24"/>
          <w:highlight w:val="none"/>
        </w:rPr>
        <w:t>；采购人委托采购代理机构代表其与乙方签订合同的，采购人的授权委托书作为合同附件。</w:t>
      </w:r>
    </w:p>
    <w:p w14:paraId="68275C30">
      <w:pPr>
        <w:spacing w:line="560" w:lineRule="exact"/>
        <w:ind w:firstLine="480" w:firstLineChars="200"/>
        <w:rPr>
          <w:rFonts w:ascii="宋体" w:hAnsi="宋体" w:cs="宋体"/>
          <w:color w:val="auto"/>
          <w:sz w:val="24"/>
          <w:highlight w:val="none"/>
        </w:rPr>
      </w:pPr>
      <w:bookmarkStart w:id="438" w:name="_Ref467379400"/>
      <w:r>
        <w:rPr>
          <w:rFonts w:hint="eastAsia" w:ascii="宋体" w:hAnsi="宋体" w:cs="宋体"/>
          <w:color w:val="auto"/>
          <w:sz w:val="24"/>
          <w:highlight w:val="none"/>
        </w:rPr>
        <w:t>2.1.5 “乙方”系指根据合同约定交付货物的中标或成交供应商</w:t>
      </w:r>
      <w:bookmarkEnd w:id="438"/>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A87ED22">
      <w:pPr>
        <w:spacing w:line="560" w:lineRule="exact"/>
        <w:ind w:firstLine="480" w:firstLineChars="200"/>
        <w:rPr>
          <w:rFonts w:ascii="宋体" w:hAnsi="宋体" w:cs="宋体"/>
          <w:color w:val="auto"/>
          <w:sz w:val="24"/>
          <w:highlight w:val="none"/>
        </w:rPr>
      </w:pPr>
      <w:bookmarkStart w:id="439" w:name="_Ref467379436"/>
      <w:r>
        <w:rPr>
          <w:rFonts w:hint="eastAsia" w:ascii="宋体" w:hAnsi="宋体" w:cs="宋体"/>
          <w:color w:val="auto"/>
          <w:sz w:val="24"/>
          <w:highlight w:val="none"/>
        </w:rPr>
        <w:t>2.1.6 “现场”系指合同约定货物将要运至或者安装的地点。</w:t>
      </w:r>
      <w:bookmarkEnd w:id="439"/>
    </w:p>
    <w:p w14:paraId="240408E5">
      <w:pPr>
        <w:spacing w:line="560" w:lineRule="exact"/>
        <w:ind w:firstLine="482" w:firstLineChars="200"/>
        <w:outlineLvl w:val="0"/>
        <w:rPr>
          <w:rFonts w:ascii="宋体" w:hAnsi="宋体" w:cs="宋体"/>
          <w:b/>
          <w:color w:val="auto"/>
          <w:sz w:val="24"/>
          <w:highlight w:val="none"/>
        </w:rPr>
      </w:pPr>
      <w:bookmarkStart w:id="440" w:name="_Toc32504"/>
      <w:bookmarkStart w:id="441" w:name="_Toc259093670"/>
      <w:bookmarkStart w:id="442" w:name="_Toc279701241"/>
      <w:bookmarkStart w:id="443" w:name="_Toc27635"/>
      <w:bookmarkStart w:id="444" w:name="_Toc13336"/>
      <w:bookmarkStart w:id="445" w:name="_Toc487900350"/>
      <w:r>
        <w:rPr>
          <w:rFonts w:hint="eastAsia" w:ascii="宋体" w:hAnsi="宋体" w:cs="宋体"/>
          <w:b/>
          <w:color w:val="auto"/>
          <w:sz w:val="24"/>
          <w:highlight w:val="none"/>
        </w:rPr>
        <w:t>2.2 技术规范</w:t>
      </w:r>
      <w:bookmarkEnd w:id="440"/>
      <w:bookmarkEnd w:id="441"/>
      <w:bookmarkEnd w:id="442"/>
      <w:bookmarkEnd w:id="443"/>
      <w:bookmarkEnd w:id="444"/>
      <w:bookmarkEnd w:id="445"/>
    </w:p>
    <w:p w14:paraId="0B8B6D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836ECD8">
      <w:pPr>
        <w:spacing w:line="560" w:lineRule="exact"/>
        <w:ind w:firstLine="482" w:firstLineChars="200"/>
        <w:outlineLvl w:val="0"/>
        <w:rPr>
          <w:rFonts w:ascii="宋体" w:hAnsi="宋体" w:cs="宋体"/>
          <w:b/>
          <w:color w:val="auto"/>
          <w:sz w:val="24"/>
          <w:highlight w:val="none"/>
        </w:rPr>
      </w:pPr>
      <w:bookmarkStart w:id="446" w:name="_Toc31634"/>
      <w:bookmarkStart w:id="447" w:name="_Toc279701242"/>
      <w:bookmarkStart w:id="448" w:name="_Toc9829"/>
      <w:bookmarkStart w:id="449" w:name="_Toc487900351"/>
      <w:bookmarkStart w:id="450" w:name="_Toc259093671"/>
      <w:bookmarkStart w:id="451" w:name="_Toc27853"/>
      <w:r>
        <w:rPr>
          <w:rFonts w:hint="eastAsia" w:ascii="宋体" w:hAnsi="宋体" w:cs="宋体"/>
          <w:b/>
          <w:color w:val="auto"/>
          <w:sz w:val="24"/>
          <w:highlight w:val="none"/>
        </w:rPr>
        <w:t>2.3 知识产权</w:t>
      </w:r>
      <w:bookmarkEnd w:id="446"/>
      <w:bookmarkEnd w:id="447"/>
      <w:bookmarkEnd w:id="448"/>
      <w:bookmarkEnd w:id="449"/>
      <w:bookmarkEnd w:id="450"/>
      <w:bookmarkEnd w:id="451"/>
    </w:p>
    <w:p w14:paraId="782BCA5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2E0762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3B29C3">
      <w:pPr>
        <w:spacing w:line="560" w:lineRule="exact"/>
        <w:ind w:firstLine="482" w:firstLineChars="200"/>
        <w:outlineLvl w:val="0"/>
        <w:rPr>
          <w:rFonts w:ascii="宋体" w:hAnsi="宋体" w:cs="宋体"/>
          <w:b/>
          <w:color w:val="auto"/>
          <w:sz w:val="24"/>
          <w:highlight w:val="none"/>
        </w:rPr>
      </w:pPr>
      <w:bookmarkStart w:id="452" w:name="_Toc4194"/>
      <w:bookmarkStart w:id="453" w:name="_Toc11932"/>
      <w:bookmarkStart w:id="454" w:name="_Toc29149"/>
      <w:r>
        <w:rPr>
          <w:rFonts w:hint="eastAsia" w:ascii="宋体" w:hAnsi="宋体" w:cs="宋体"/>
          <w:b/>
          <w:color w:val="auto"/>
          <w:sz w:val="24"/>
          <w:highlight w:val="none"/>
        </w:rPr>
        <w:t>2.4 包装和装运</w:t>
      </w:r>
      <w:bookmarkEnd w:id="452"/>
      <w:bookmarkEnd w:id="453"/>
      <w:bookmarkEnd w:id="454"/>
    </w:p>
    <w:p w14:paraId="5FC2321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DC04CE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EA8ED6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0BC576E">
      <w:pPr>
        <w:spacing w:line="560" w:lineRule="exact"/>
        <w:ind w:firstLine="482" w:firstLineChars="200"/>
        <w:outlineLvl w:val="0"/>
        <w:rPr>
          <w:rFonts w:ascii="宋体" w:hAnsi="宋体" w:cs="宋体"/>
          <w:b/>
          <w:color w:val="auto"/>
          <w:sz w:val="24"/>
          <w:highlight w:val="none"/>
        </w:rPr>
      </w:pPr>
      <w:bookmarkStart w:id="455" w:name="_Ref467379536"/>
      <w:bookmarkStart w:id="456" w:name="_Ref467378591"/>
      <w:bookmarkStart w:id="457" w:name="_Toc259093674"/>
      <w:bookmarkStart w:id="458" w:name="_Toc279701245"/>
      <w:bookmarkStart w:id="459" w:name="_Ref467379527"/>
      <w:bookmarkStart w:id="460" w:name="_Ref467379542"/>
      <w:bookmarkStart w:id="461" w:name="_Ref467378541"/>
      <w:bookmarkStart w:id="462" w:name="_Toc487900354"/>
      <w:bookmarkStart w:id="463" w:name="_Toc26182"/>
      <w:bookmarkStart w:id="464" w:name="_Toc30272"/>
      <w:bookmarkStart w:id="465" w:name="_Toc19074"/>
      <w:r>
        <w:rPr>
          <w:rFonts w:hint="eastAsia" w:ascii="宋体" w:hAnsi="宋体" w:cs="宋体"/>
          <w:b/>
          <w:color w:val="auto"/>
          <w:sz w:val="24"/>
          <w:highlight w:val="none"/>
        </w:rPr>
        <w:t>2.</w:t>
      </w:r>
      <w:bookmarkEnd w:id="455"/>
      <w:bookmarkEnd w:id="456"/>
      <w:bookmarkEnd w:id="457"/>
      <w:bookmarkEnd w:id="458"/>
      <w:bookmarkEnd w:id="459"/>
      <w:bookmarkEnd w:id="460"/>
      <w:bookmarkEnd w:id="461"/>
      <w:bookmarkEnd w:id="462"/>
      <w:r>
        <w:rPr>
          <w:rFonts w:hint="eastAsia" w:ascii="宋体" w:hAnsi="宋体" w:cs="宋体"/>
          <w:b/>
          <w:color w:val="auto"/>
          <w:sz w:val="24"/>
          <w:highlight w:val="none"/>
        </w:rPr>
        <w:t>5 履约检查和问题反馈</w:t>
      </w:r>
      <w:bookmarkEnd w:id="463"/>
      <w:bookmarkEnd w:id="464"/>
      <w:bookmarkEnd w:id="465"/>
    </w:p>
    <w:p w14:paraId="18AD715E">
      <w:pPr>
        <w:spacing w:line="560" w:lineRule="exact"/>
        <w:ind w:firstLine="480" w:firstLineChars="200"/>
        <w:rPr>
          <w:rFonts w:ascii="宋体" w:hAnsi="宋体" w:cs="宋体"/>
          <w:color w:val="auto"/>
          <w:sz w:val="24"/>
          <w:highlight w:val="none"/>
        </w:rPr>
      </w:pPr>
      <w:bookmarkStart w:id="466" w:name="_Ref467379657"/>
      <w:r>
        <w:rPr>
          <w:rFonts w:hint="eastAsia" w:ascii="宋体" w:hAnsi="宋体" w:cs="宋体"/>
          <w:color w:val="auto"/>
          <w:sz w:val="24"/>
          <w:highlight w:val="none"/>
        </w:rPr>
        <w:t>2.5.1</w:t>
      </w:r>
      <w:bookmarkEnd w:id="466"/>
      <w:bookmarkStart w:id="467" w:name="_Toc186431854"/>
      <w:bookmarkStart w:id="468" w:name="_Toc487900357"/>
      <w:bookmarkStart w:id="469" w:name="_Toc259093676"/>
      <w:bookmarkStart w:id="470" w:name="_Toc279701247"/>
      <w:bookmarkStart w:id="471" w:name="_Ref467379807"/>
      <w:bookmarkStart w:id="472" w:name="_Ref467379793"/>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5BF5C4F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67"/>
      <w:bookmarkStart w:id="473" w:name="_Toc186431855"/>
      <w:r>
        <w:rPr>
          <w:rFonts w:hint="eastAsia" w:ascii="宋体" w:hAnsi="宋体" w:cs="宋体"/>
          <w:color w:val="auto"/>
          <w:sz w:val="24"/>
          <w:highlight w:val="none"/>
        </w:rPr>
        <w:t>。</w:t>
      </w:r>
    </w:p>
    <w:bookmarkEnd w:id="468"/>
    <w:bookmarkEnd w:id="469"/>
    <w:bookmarkEnd w:id="470"/>
    <w:bookmarkEnd w:id="471"/>
    <w:bookmarkEnd w:id="472"/>
    <w:bookmarkEnd w:id="473"/>
    <w:p w14:paraId="486C8625">
      <w:pPr>
        <w:spacing w:line="560" w:lineRule="exact"/>
        <w:ind w:firstLine="482" w:firstLineChars="200"/>
        <w:outlineLvl w:val="0"/>
        <w:rPr>
          <w:rFonts w:ascii="宋体" w:hAnsi="宋体" w:cs="宋体"/>
          <w:b/>
          <w:color w:val="auto"/>
          <w:sz w:val="24"/>
          <w:highlight w:val="none"/>
        </w:rPr>
      </w:pPr>
      <w:bookmarkStart w:id="474" w:name="_Toc279701248"/>
      <w:bookmarkStart w:id="475" w:name="_Ref467379863"/>
      <w:bookmarkStart w:id="476" w:name="_Toc487900358"/>
      <w:bookmarkStart w:id="477" w:name="_Ref467379852"/>
      <w:bookmarkStart w:id="478" w:name="_Toc259093677"/>
      <w:bookmarkStart w:id="479" w:name="_Ref467379923"/>
      <w:bookmarkStart w:id="480" w:name="_Toc3225"/>
      <w:bookmarkStart w:id="481" w:name="_Toc16110"/>
      <w:bookmarkStart w:id="482" w:name="_Toc774"/>
      <w:r>
        <w:rPr>
          <w:rFonts w:hint="eastAsia" w:ascii="宋体" w:hAnsi="宋体" w:cs="宋体"/>
          <w:b/>
          <w:color w:val="auto"/>
          <w:sz w:val="24"/>
          <w:highlight w:val="none"/>
        </w:rPr>
        <w:t>2.6 技术资料</w:t>
      </w:r>
      <w:bookmarkEnd w:id="474"/>
      <w:bookmarkEnd w:id="475"/>
      <w:bookmarkEnd w:id="476"/>
      <w:bookmarkEnd w:id="477"/>
      <w:bookmarkEnd w:id="478"/>
      <w:bookmarkEnd w:id="479"/>
      <w:r>
        <w:rPr>
          <w:rFonts w:hint="eastAsia" w:ascii="宋体" w:hAnsi="宋体" w:cs="宋体"/>
          <w:b/>
          <w:color w:val="auto"/>
          <w:sz w:val="24"/>
          <w:highlight w:val="none"/>
        </w:rPr>
        <w:t>和保密义务</w:t>
      </w:r>
      <w:bookmarkEnd w:id="480"/>
      <w:bookmarkEnd w:id="481"/>
      <w:bookmarkEnd w:id="482"/>
    </w:p>
    <w:p w14:paraId="4AF5E2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3C6A4F9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5199AB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5236F6">
      <w:pPr>
        <w:spacing w:line="560" w:lineRule="exact"/>
        <w:ind w:firstLine="482" w:firstLineChars="200"/>
        <w:outlineLvl w:val="0"/>
        <w:rPr>
          <w:rFonts w:ascii="宋体" w:hAnsi="宋体" w:cs="宋体"/>
          <w:b/>
          <w:color w:val="auto"/>
          <w:sz w:val="24"/>
          <w:highlight w:val="none"/>
        </w:rPr>
      </w:pPr>
      <w:bookmarkStart w:id="483" w:name="_Toc7860"/>
      <w:r>
        <w:rPr>
          <w:rFonts w:hint="eastAsia" w:ascii="宋体" w:hAnsi="宋体" w:cs="宋体"/>
          <w:b/>
          <w:color w:val="auto"/>
          <w:sz w:val="24"/>
          <w:highlight w:val="none"/>
        </w:rPr>
        <w:t>2.7 质量保证</w:t>
      </w:r>
      <w:bookmarkEnd w:id="483"/>
    </w:p>
    <w:p w14:paraId="78D897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5850EC2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21AEC8C">
      <w:pPr>
        <w:spacing w:line="560" w:lineRule="exact"/>
        <w:ind w:firstLine="482" w:firstLineChars="200"/>
        <w:outlineLvl w:val="0"/>
        <w:rPr>
          <w:rFonts w:ascii="宋体" w:hAnsi="宋体" w:cs="宋体"/>
          <w:b/>
          <w:color w:val="auto"/>
          <w:sz w:val="24"/>
          <w:highlight w:val="none"/>
        </w:rPr>
      </w:pPr>
      <w:bookmarkStart w:id="484" w:name="_Toc17244"/>
      <w:bookmarkStart w:id="485" w:name="_Toc487900362"/>
      <w:bookmarkStart w:id="486" w:name="_Toc279701252"/>
      <w:bookmarkStart w:id="487" w:name="_Toc259093681"/>
      <w:r>
        <w:rPr>
          <w:rFonts w:hint="eastAsia" w:ascii="宋体" w:hAnsi="宋体" w:cs="宋体"/>
          <w:b/>
          <w:color w:val="auto"/>
          <w:sz w:val="24"/>
          <w:highlight w:val="none"/>
        </w:rPr>
        <w:t>2.8 货物的风险负担</w:t>
      </w:r>
      <w:bookmarkEnd w:id="484"/>
    </w:p>
    <w:p w14:paraId="582039C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9881556">
      <w:pPr>
        <w:spacing w:line="560" w:lineRule="exact"/>
        <w:ind w:firstLine="482" w:firstLineChars="200"/>
        <w:outlineLvl w:val="0"/>
        <w:rPr>
          <w:rFonts w:ascii="宋体" w:hAnsi="宋体" w:cs="宋体"/>
          <w:b/>
          <w:color w:val="auto"/>
          <w:sz w:val="24"/>
          <w:highlight w:val="none"/>
        </w:rPr>
      </w:pPr>
      <w:bookmarkStart w:id="488" w:name="_Toc14055"/>
      <w:r>
        <w:rPr>
          <w:rFonts w:hint="eastAsia" w:ascii="宋体" w:hAnsi="宋体" w:cs="宋体"/>
          <w:b/>
          <w:color w:val="auto"/>
          <w:sz w:val="24"/>
          <w:highlight w:val="none"/>
        </w:rPr>
        <w:t>2.9 延迟交货</w:t>
      </w:r>
      <w:bookmarkEnd w:id="485"/>
      <w:bookmarkEnd w:id="486"/>
      <w:bookmarkEnd w:id="487"/>
      <w:bookmarkEnd w:id="488"/>
    </w:p>
    <w:p w14:paraId="15666E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1D51B834">
      <w:pPr>
        <w:spacing w:line="560" w:lineRule="exact"/>
        <w:ind w:firstLine="482" w:firstLineChars="200"/>
        <w:outlineLvl w:val="0"/>
        <w:rPr>
          <w:rFonts w:ascii="宋体" w:hAnsi="宋体" w:cs="宋体"/>
          <w:b/>
          <w:color w:val="auto"/>
          <w:sz w:val="24"/>
          <w:highlight w:val="none"/>
        </w:rPr>
      </w:pPr>
      <w:bookmarkStart w:id="489" w:name="_Toc7502"/>
      <w:bookmarkStart w:id="490" w:name="_Toc259093683"/>
      <w:bookmarkStart w:id="491" w:name="_Toc487900364"/>
      <w:bookmarkStart w:id="492" w:name="_Ref467378121"/>
      <w:bookmarkStart w:id="493" w:name="_Toc279701254"/>
      <w:r>
        <w:rPr>
          <w:rFonts w:hint="eastAsia" w:ascii="宋体" w:hAnsi="宋体" w:cs="宋体"/>
          <w:b/>
          <w:color w:val="auto"/>
          <w:sz w:val="24"/>
          <w:highlight w:val="none"/>
        </w:rPr>
        <w:t>2.10 合同变更</w:t>
      </w:r>
      <w:bookmarkEnd w:id="489"/>
    </w:p>
    <w:p w14:paraId="119BBC6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4" w:name="_Toc259093688"/>
      <w:bookmarkStart w:id="495" w:name="_Toc279701259"/>
      <w:bookmarkStart w:id="496" w:name="_Toc487900369"/>
    </w:p>
    <w:p w14:paraId="4CACF917">
      <w:pPr>
        <w:spacing w:line="560" w:lineRule="exact"/>
        <w:ind w:firstLine="482" w:firstLineChars="200"/>
        <w:outlineLvl w:val="0"/>
        <w:rPr>
          <w:rFonts w:ascii="宋体" w:hAnsi="宋体" w:cs="宋体"/>
          <w:b/>
          <w:color w:val="auto"/>
          <w:sz w:val="24"/>
          <w:highlight w:val="none"/>
        </w:rPr>
      </w:pPr>
      <w:bookmarkStart w:id="497" w:name="_Toc22955"/>
      <w:bookmarkStart w:id="498" w:name="_Toc15237"/>
      <w:bookmarkStart w:id="499" w:name="_Toc10366"/>
      <w:r>
        <w:rPr>
          <w:rFonts w:hint="eastAsia" w:ascii="宋体" w:hAnsi="宋体" w:cs="宋体"/>
          <w:b/>
          <w:color w:val="auto"/>
          <w:sz w:val="24"/>
          <w:highlight w:val="none"/>
        </w:rPr>
        <w:t>2.11 合同转让</w:t>
      </w:r>
      <w:bookmarkEnd w:id="494"/>
      <w:bookmarkEnd w:id="495"/>
      <w:bookmarkEnd w:id="496"/>
      <w:r>
        <w:rPr>
          <w:rFonts w:hint="eastAsia" w:ascii="宋体" w:hAnsi="宋体" w:cs="宋体"/>
          <w:b/>
          <w:color w:val="auto"/>
          <w:sz w:val="24"/>
          <w:highlight w:val="none"/>
        </w:rPr>
        <w:t>和分包</w:t>
      </w:r>
      <w:bookmarkEnd w:id="497"/>
      <w:bookmarkEnd w:id="498"/>
      <w:bookmarkEnd w:id="499"/>
    </w:p>
    <w:p w14:paraId="45D8408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AEAF19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27AB3B7F">
      <w:pPr>
        <w:spacing w:line="560" w:lineRule="exact"/>
        <w:ind w:firstLine="482" w:firstLineChars="200"/>
        <w:outlineLvl w:val="0"/>
        <w:rPr>
          <w:rFonts w:ascii="宋体" w:hAnsi="宋体" w:cs="宋体"/>
          <w:b/>
          <w:color w:val="auto"/>
          <w:sz w:val="24"/>
          <w:highlight w:val="none"/>
        </w:rPr>
      </w:pPr>
      <w:bookmarkStart w:id="500" w:name="_Toc13566"/>
      <w:bookmarkStart w:id="501" w:name="_Toc16508"/>
      <w:bookmarkStart w:id="502" w:name="_Toc14066"/>
      <w:r>
        <w:rPr>
          <w:rFonts w:hint="eastAsia" w:ascii="宋体" w:hAnsi="宋体" w:cs="宋体"/>
          <w:b/>
          <w:color w:val="auto"/>
          <w:sz w:val="24"/>
          <w:highlight w:val="none"/>
        </w:rPr>
        <w:t>2.12 不可抗力</w:t>
      </w:r>
      <w:bookmarkEnd w:id="500"/>
      <w:bookmarkEnd w:id="501"/>
      <w:bookmarkEnd w:id="502"/>
    </w:p>
    <w:p w14:paraId="5DD6DB3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EB2EB5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5B41AFB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D4AC12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110E3773">
      <w:pPr>
        <w:spacing w:line="560" w:lineRule="exact"/>
        <w:ind w:firstLine="482" w:firstLineChars="200"/>
        <w:outlineLvl w:val="0"/>
        <w:rPr>
          <w:rFonts w:ascii="宋体" w:hAnsi="宋体" w:cs="宋体"/>
          <w:b/>
          <w:color w:val="auto"/>
          <w:sz w:val="24"/>
          <w:highlight w:val="none"/>
        </w:rPr>
      </w:pPr>
      <w:bookmarkStart w:id="503" w:name="_Toc279701255"/>
      <w:bookmarkStart w:id="504" w:name="_Toc487900365"/>
      <w:bookmarkStart w:id="505" w:name="_Toc689"/>
      <w:bookmarkStart w:id="506" w:name="_Toc30676"/>
      <w:bookmarkStart w:id="507" w:name="_Toc259093684"/>
      <w:bookmarkStart w:id="508" w:name="_Toc6969"/>
      <w:r>
        <w:rPr>
          <w:rFonts w:hint="eastAsia" w:ascii="宋体" w:hAnsi="宋体" w:cs="宋体"/>
          <w:b/>
          <w:color w:val="auto"/>
          <w:sz w:val="24"/>
          <w:highlight w:val="none"/>
        </w:rPr>
        <w:t>2.13 税费</w:t>
      </w:r>
      <w:bookmarkEnd w:id="503"/>
      <w:bookmarkEnd w:id="504"/>
      <w:bookmarkEnd w:id="505"/>
      <w:bookmarkEnd w:id="506"/>
      <w:bookmarkEnd w:id="507"/>
      <w:bookmarkEnd w:id="508"/>
    </w:p>
    <w:p w14:paraId="24AF98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06867FA9">
      <w:pPr>
        <w:spacing w:line="560" w:lineRule="exact"/>
        <w:ind w:firstLine="482" w:firstLineChars="200"/>
        <w:outlineLvl w:val="0"/>
        <w:rPr>
          <w:rFonts w:ascii="宋体" w:hAnsi="宋体" w:cs="宋体"/>
          <w:b/>
          <w:color w:val="auto"/>
          <w:sz w:val="24"/>
          <w:highlight w:val="none"/>
        </w:rPr>
      </w:pPr>
      <w:bookmarkStart w:id="509" w:name="_Toc7102"/>
      <w:bookmarkStart w:id="510" w:name="_Toc8298"/>
      <w:bookmarkStart w:id="511" w:name="_Toc16959"/>
      <w:bookmarkStart w:id="512" w:name="_Toc279701258"/>
      <w:bookmarkStart w:id="513" w:name="_Toc487900368"/>
      <w:bookmarkStart w:id="514" w:name="_Toc259093687"/>
      <w:r>
        <w:rPr>
          <w:rFonts w:hint="eastAsia" w:ascii="宋体" w:hAnsi="宋体" w:cs="宋体"/>
          <w:b/>
          <w:color w:val="auto"/>
          <w:sz w:val="24"/>
          <w:highlight w:val="none"/>
        </w:rPr>
        <w:t>2.14乙方破产</w:t>
      </w:r>
      <w:bookmarkEnd w:id="509"/>
      <w:bookmarkEnd w:id="510"/>
      <w:bookmarkEnd w:id="511"/>
      <w:bookmarkEnd w:id="512"/>
      <w:bookmarkEnd w:id="513"/>
      <w:bookmarkEnd w:id="514"/>
    </w:p>
    <w:p w14:paraId="243AB85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3476ED0">
      <w:pPr>
        <w:spacing w:line="560" w:lineRule="exact"/>
        <w:ind w:firstLine="482" w:firstLineChars="200"/>
        <w:outlineLvl w:val="0"/>
        <w:rPr>
          <w:rFonts w:ascii="宋体" w:hAnsi="宋体" w:cs="宋体"/>
          <w:b/>
          <w:color w:val="auto"/>
          <w:sz w:val="24"/>
          <w:highlight w:val="none"/>
        </w:rPr>
      </w:pPr>
      <w:bookmarkStart w:id="515" w:name="_Toc15387"/>
      <w:bookmarkStart w:id="516" w:name="_Toc6134"/>
      <w:bookmarkStart w:id="517" w:name="_Toc29333"/>
      <w:r>
        <w:rPr>
          <w:rFonts w:hint="eastAsia" w:ascii="宋体" w:hAnsi="宋体" w:cs="宋体"/>
          <w:b/>
          <w:color w:val="auto"/>
          <w:sz w:val="24"/>
          <w:highlight w:val="none"/>
        </w:rPr>
        <w:t>2.15 合同中止、终止</w:t>
      </w:r>
      <w:bookmarkEnd w:id="515"/>
      <w:bookmarkEnd w:id="516"/>
      <w:bookmarkEnd w:id="517"/>
    </w:p>
    <w:p w14:paraId="242AD0B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75B2C0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6FFDE185">
      <w:pPr>
        <w:spacing w:line="560" w:lineRule="exact"/>
        <w:ind w:firstLine="482" w:firstLineChars="200"/>
        <w:outlineLvl w:val="0"/>
        <w:rPr>
          <w:rFonts w:ascii="宋体" w:hAnsi="宋体" w:cs="宋体"/>
          <w:b/>
          <w:color w:val="auto"/>
          <w:sz w:val="24"/>
          <w:highlight w:val="none"/>
        </w:rPr>
      </w:pPr>
      <w:bookmarkStart w:id="518" w:name="_Toc6596"/>
      <w:bookmarkStart w:id="519" w:name="_Toc14563"/>
      <w:bookmarkStart w:id="520" w:name="_Toc1125"/>
      <w:r>
        <w:rPr>
          <w:rFonts w:hint="eastAsia" w:ascii="宋体" w:hAnsi="宋体" w:cs="宋体"/>
          <w:b/>
          <w:color w:val="auto"/>
          <w:sz w:val="24"/>
          <w:highlight w:val="none"/>
        </w:rPr>
        <w:t>2.16检验和验收</w:t>
      </w:r>
      <w:bookmarkEnd w:id="518"/>
      <w:bookmarkEnd w:id="519"/>
      <w:bookmarkEnd w:id="520"/>
    </w:p>
    <w:p w14:paraId="244F1688">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5919DB2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7A6BFB6">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490"/>
    <w:bookmarkEnd w:id="491"/>
    <w:bookmarkEnd w:id="492"/>
    <w:bookmarkEnd w:id="493"/>
    <w:p w14:paraId="168651AD">
      <w:pPr>
        <w:spacing w:line="560" w:lineRule="exact"/>
        <w:ind w:firstLine="482" w:firstLineChars="200"/>
        <w:outlineLvl w:val="0"/>
        <w:rPr>
          <w:rFonts w:ascii="宋体" w:hAnsi="宋体" w:cs="宋体"/>
          <w:b/>
          <w:color w:val="auto"/>
          <w:sz w:val="24"/>
          <w:highlight w:val="none"/>
        </w:rPr>
      </w:pPr>
      <w:bookmarkStart w:id="521" w:name="_Toc487900371"/>
      <w:bookmarkStart w:id="522" w:name="_Toc259093690"/>
      <w:bookmarkStart w:id="523" w:name="_Toc279701261"/>
      <w:bookmarkStart w:id="524" w:name="_Toc25182"/>
      <w:bookmarkStart w:id="525" w:name="_Toc19604"/>
      <w:bookmarkStart w:id="526" w:name="_Toc11284"/>
      <w:r>
        <w:rPr>
          <w:rFonts w:hint="eastAsia" w:ascii="宋体" w:hAnsi="宋体" w:cs="宋体"/>
          <w:b/>
          <w:color w:val="auto"/>
          <w:sz w:val="24"/>
          <w:highlight w:val="none"/>
        </w:rPr>
        <w:t>2.17 通知</w:t>
      </w:r>
      <w:bookmarkEnd w:id="521"/>
      <w:bookmarkEnd w:id="522"/>
      <w:bookmarkEnd w:id="523"/>
      <w:r>
        <w:rPr>
          <w:rFonts w:hint="eastAsia" w:ascii="宋体" w:hAnsi="宋体" w:cs="宋体"/>
          <w:b/>
          <w:color w:val="auto"/>
          <w:sz w:val="24"/>
          <w:highlight w:val="none"/>
        </w:rPr>
        <w:t>和送达</w:t>
      </w:r>
      <w:bookmarkEnd w:id="524"/>
      <w:bookmarkEnd w:id="525"/>
      <w:bookmarkEnd w:id="526"/>
    </w:p>
    <w:p w14:paraId="2B6EFEFD">
      <w:pPr>
        <w:spacing w:line="560" w:lineRule="exact"/>
        <w:ind w:firstLine="480" w:firstLineChars="200"/>
        <w:rPr>
          <w:rFonts w:ascii="宋体" w:hAnsi="宋体" w:cs="宋体"/>
          <w:color w:val="auto"/>
          <w:sz w:val="24"/>
          <w:highlight w:val="none"/>
        </w:rPr>
      </w:pPr>
      <w:bookmarkStart w:id="527" w:name="_Toc6698"/>
      <w:bookmarkStart w:id="528" w:name="_Toc3135"/>
      <w:bookmarkStart w:id="529" w:name="_Toc487900372"/>
      <w:bookmarkStart w:id="530" w:name="_Toc279701262"/>
      <w:bookmarkStart w:id="531" w:name="_Toc25909369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27"/>
      <w:bookmarkEnd w:id="528"/>
    </w:p>
    <w:p w14:paraId="3BDED641">
      <w:pPr>
        <w:spacing w:line="560" w:lineRule="exact"/>
        <w:ind w:firstLine="480" w:firstLineChars="200"/>
        <w:rPr>
          <w:rFonts w:ascii="宋体" w:hAnsi="宋体" w:cs="宋体"/>
          <w:color w:val="auto"/>
          <w:sz w:val="24"/>
          <w:highlight w:val="none"/>
        </w:rPr>
      </w:pPr>
      <w:bookmarkStart w:id="532" w:name="_Toc23128"/>
      <w:bookmarkStart w:id="533"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2"/>
      <w:bookmarkEnd w:id="533"/>
    </w:p>
    <w:p w14:paraId="7E60A400">
      <w:pPr>
        <w:spacing w:line="560" w:lineRule="exact"/>
        <w:ind w:firstLine="482" w:firstLineChars="200"/>
        <w:outlineLvl w:val="0"/>
        <w:rPr>
          <w:rFonts w:ascii="宋体" w:hAnsi="宋体" w:cs="宋体"/>
          <w:b/>
          <w:color w:val="auto"/>
          <w:sz w:val="24"/>
          <w:highlight w:val="none"/>
        </w:rPr>
      </w:pPr>
      <w:bookmarkStart w:id="534" w:name="_Toc4355"/>
      <w:bookmarkStart w:id="535" w:name="_Toc18540"/>
      <w:bookmarkStart w:id="536" w:name="_Toc30599"/>
      <w:r>
        <w:rPr>
          <w:rFonts w:hint="eastAsia" w:ascii="宋体" w:hAnsi="宋体" w:cs="宋体"/>
          <w:b/>
          <w:color w:val="auto"/>
          <w:sz w:val="24"/>
          <w:highlight w:val="none"/>
        </w:rPr>
        <w:t>2.18 计量单位</w:t>
      </w:r>
      <w:bookmarkEnd w:id="529"/>
      <w:bookmarkEnd w:id="530"/>
      <w:bookmarkEnd w:id="531"/>
      <w:bookmarkEnd w:id="534"/>
      <w:bookmarkEnd w:id="535"/>
      <w:bookmarkEnd w:id="536"/>
    </w:p>
    <w:p w14:paraId="362060C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7EC393C">
      <w:pPr>
        <w:spacing w:line="560" w:lineRule="exact"/>
        <w:ind w:firstLine="482" w:firstLineChars="200"/>
        <w:outlineLvl w:val="0"/>
        <w:rPr>
          <w:rFonts w:ascii="宋体" w:hAnsi="宋体" w:cs="宋体"/>
          <w:b/>
          <w:color w:val="auto"/>
          <w:sz w:val="24"/>
          <w:highlight w:val="none"/>
        </w:rPr>
      </w:pPr>
      <w:bookmarkStart w:id="537" w:name="_Toc487900373"/>
      <w:bookmarkStart w:id="538" w:name="_Toc279701263"/>
      <w:bookmarkStart w:id="539" w:name="_Toc18567"/>
      <w:bookmarkStart w:id="540" w:name="_Toc259093692"/>
      <w:bookmarkStart w:id="541" w:name="_Toc12773"/>
      <w:bookmarkStart w:id="542" w:name="_Toc10330"/>
      <w:r>
        <w:rPr>
          <w:rFonts w:hint="eastAsia" w:ascii="宋体" w:hAnsi="宋体" w:cs="宋体"/>
          <w:b/>
          <w:color w:val="auto"/>
          <w:sz w:val="24"/>
          <w:highlight w:val="none"/>
        </w:rPr>
        <w:t>2.19 合同使用的文字和适用的法律</w:t>
      </w:r>
      <w:bookmarkEnd w:id="537"/>
      <w:bookmarkEnd w:id="538"/>
      <w:bookmarkEnd w:id="539"/>
      <w:bookmarkEnd w:id="540"/>
      <w:bookmarkEnd w:id="541"/>
      <w:bookmarkEnd w:id="542"/>
    </w:p>
    <w:p w14:paraId="3440306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14:paraId="3708EE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F60BC13">
      <w:pPr>
        <w:spacing w:line="560" w:lineRule="exact"/>
        <w:ind w:firstLine="482" w:firstLineChars="200"/>
        <w:outlineLvl w:val="0"/>
        <w:rPr>
          <w:rFonts w:ascii="宋体" w:hAnsi="宋体" w:cs="宋体"/>
          <w:b/>
          <w:color w:val="auto"/>
          <w:sz w:val="24"/>
          <w:highlight w:val="none"/>
        </w:rPr>
      </w:pPr>
      <w:bookmarkStart w:id="543" w:name="_Toc14001"/>
      <w:bookmarkStart w:id="544" w:name="_Toc19890"/>
      <w:bookmarkStart w:id="545" w:name="_Toc6885"/>
      <w:r>
        <w:rPr>
          <w:rFonts w:hint="eastAsia" w:ascii="宋体" w:hAnsi="宋体" w:cs="宋体"/>
          <w:b/>
          <w:color w:val="auto"/>
          <w:sz w:val="24"/>
          <w:highlight w:val="none"/>
        </w:rPr>
        <w:t>2.20 合同份数</w:t>
      </w:r>
      <w:bookmarkEnd w:id="543"/>
      <w:bookmarkEnd w:id="544"/>
      <w:bookmarkEnd w:id="545"/>
    </w:p>
    <w:p w14:paraId="6F3CC3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1782BC8B">
      <w:pPr>
        <w:adjustRightInd/>
        <w:spacing w:line="36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第三部分  合同专用条款</w:t>
      </w:r>
    </w:p>
    <w:p w14:paraId="05BF8237">
      <w:pPr>
        <w:spacing w:line="560" w:lineRule="exact"/>
        <w:ind w:left="-420" w:leftChars="-200" w:right="-420" w:rightChars="-200" w:firstLine="480" w:firstLineChars="200"/>
        <w:rPr>
          <w:rFonts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0CD9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2CC691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3E3B92A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F78C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6ADF818">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4534" w:type="pct"/>
            <w:vAlign w:val="center"/>
          </w:tcPr>
          <w:p w14:paraId="22C2CD05">
            <w:pPr>
              <w:spacing w:line="360" w:lineRule="auto"/>
              <w:rPr>
                <w:rFonts w:ascii="宋体" w:hAnsi="宋体" w:cs="宋体"/>
                <w:color w:val="auto"/>
                <w:sz w:val="24"/>
                <w:highlight w:val="none"/>
              </w:rPr>
            </w:pPr>
            <w:r>
              <w:rPr>
                <w:rFonts w:hint="eastAsia"/>
                <w:color w:val="auto"/>
                <w:sz w:val="24"/>
                <w:highlight w:val="none"/>
              </w:rPr>
              <w:t>乙方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否）需要支付履约保证金。</w:t>
            </w:r>
          </w:p>
        </w:tc>
      </w:tr>
      <w:tr w14:paraId="36B61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0083BA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1.4.1</w:t>
            </w:r>
          </w:p>
        </w:tc>
        <w:tc>
          <w:tcPr>
            <w:tcW w:w="4534" w:type="pct"/>
            <w:vAlign w:val="center"/>
          </w:tcPr>
          <w:p w14:paraId="644FE28B">
            <w:pPr>
              <w:spacing w:line="360" w:lineRule="auto"/>
              <w:rPr>
                <w:rFonts w:hint="eastAsia"/>
                <w:color w:val="auto"/>
                <w:sz w:val="24"/>
                <w:highlight w:val="none"/>
              </w:rPr>
            </w:pPr>
            <w:r>
              <w:rPr>
                <w:rFonts w:hint="eastAsia" w:ascii="Times New Roman" w:hAnsi="Times New Roman" w:cs="Times New Roman"/>
                <w:color w:val="auto"/>
                <w:kern w:val="2"/>
                <w:sz w:val="24"/>
                <w:highlight w:val="none"/>
              </w:rPr>
              <w:t>履约保证金的比例为合同金额的</w:t>
            </w:r>
            <w:r>
              <w:rPr>
                <w:rFonts w:hint="eastAsia" w:ascii="Times New Roman" w:hAnsi="Times New Roman" w:cs="Times New Roman"/>
                <w:color w:val="auto"/>
                <w:kern w:val="2"/>
                <w:sz w:val="24"/>
                <w:highlight w:val="none"/>
                <w:u w:val="none"/>
              </w:rPr>
              <w:t xml:space="preserve">     </w:t>
            </w:r>
            <w:r>
              <w:rPr>
                <w:rFonts w:hint="eastAsia" w:ascii="Times New Roman" w:hAnsi="Times New Roman" w:cs="Times New Roman"/>
                <w:color w:val="auto"/>
                <w:kern w:val="2"/>
                <w:sz w:val="24"/>
                <w:highlight w:val="none"/>
              </w:rPr>
              <w:t>%；</w:t>
            </w:r>
          </w:p>
        </w:tc>
      </w:tr>
      <w:tr w14:paraId="79B6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67ADDCF2">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1.4.2</w:t>
            </w:r>
          </w:p>
        </w:tc>
        <w:tc>
          <w:tcPr>
            <w:tcW w:w="4534" w:type="pct"/>
            <w:vAlign w:val="center"/>
          </w:tcPr>
          <w:p w14:paraId="74E34F76">
            <w:pPr>
              <w:spacing w:line="360" w:lineRule="auto"/>
              <w:rPr>
                <w:rFonts w:ascii="宋体" w:hAnsi="宋体" w:cs="宋体"/>
                <w:color w:val="auto"/>
                <w:sz w:val="24"/>
                <w:highlight w:val="none"/>
              </w:rPr>
            </w:pPr>
          </w:p>
        </w:tc>
      </w:tr>
      <w:tr w14:paraId="4481D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3EFBF4F">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4534" w:type="pct"/>
            <w:vAlign w:val="center"/>
          </w:tcPr>
          <w:p w14:paraId="42414295">
            <w:pPr>
              <w:spacing w:line="360" w:lineRule="auto"/>
              <w:rPr>
                <w:rFonts w:ascii="宋体" w:hAnsi="宋体" w:cs="宋体"/>
                <w:color w:val="auto"/>
                <w:sz w:val="24"/>
                <w:highlight w:val="none"/>
              </w:rPr>
            </w:pPr>
            <w:r>
              <w:rPr>
                <w:rFonts w:hint="eastAsia"/>
                <w:color w:val="auto"/>
                <w:sz w:val="24"/>
                <w:highlight w:val="none"/>
              </w:rPr>
              <w:t>甲方</w:t>
            </w:r>
            <w:r>
              <w:rPr>
                <w:rFonts w:hint="eastAsia"/>
                <w:color w:val="auto"/>
                <w:sz w:val="24"/>
                <w:highlight w:val="none"/>
                <w:u w:val="single"/>
              </w:rPr>
              <w:t xml:space="preserve">     </w:t>
            </w:r>
            <w:r>
              <w:rPr>
                <w:rFonts w:hint="eastAsia"/>
                <w:color w:val="auto"/>
                <w:sz w:val="24"/>
                <w:highlight w:val="none"/>
              </w:rPr>
              <w:t>（是</w:t>
            </w:r>
            <w:r>
              <w:rPr>
                <w:rFonts w:hint="eastAsia" w:ascii="仿宋" w:hAnsi="仿宋" w:eastAsia="仿宋" w:cs="仿宋"/>
                <w:color w:val="auto"/>
                <w:sz w:val="24"/>
                <w:highlight w:val="none"/>
              </w:rPr>
              <w:t>/</w:t>
            </w:r>
            <w:r>
              <w:rPr>
                <w:rFonts w:hint="eastAsia"/>
                <w:color w:val="auto"/>
                <w:sz w:val="24"/>
                <w:highlight w:val="none"/>
              </w:rPr>
              <w:t>否）需要支付预付款。</w:t>
            </w:r>
          </w:p>
        </w:tc>
      </w:tr>
      <w:tr w14:paraId="13057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0BF7CC">
            <w:pPr>
              <w:spacing w:line="360" w:lineRule="auto"/>
              <w:rPr>
                <w:rFonts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D7CD6CE">
            <w:pPr>
              <w:spacing w:line="360" w:lineRule="auto"/>
              <w:rPr>
                <w:rFonts w:ascii="宋体" w:hAnsi="宋体" w:cs="宋体"/>
                <w:color w:val="auto"/>
                <w:sz w:val="24"/>
                <w:highlight w:val="none"/>
              </w:rPr>
            </w:pPr>
          </w:p>
        </w:tc>
      </w:tr>
      <w:tr w14:paraId="094F3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A4E6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5993F389">
            <w:pPr>
              <w:spacing w:line="360" w:lineRule="auto"/>
              <w:rPr>
                <w:rFonts w:ascii="宋体" w:hAnsi="宋体" w:cs="宋体"/>
                <w:color w:val="auto"/>
                <w:sz w:val="24"/>
                <w:highlight w:val="none"/>
              </w:rPr>
            </w:pPr>
          </w:p>
        </w:tc>
      </w:tr>
      <w:tr w14:paraId="402206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8B1C472">
            <w:pPr>
              <w:spacing w:line="360" w:lineRule="auto"/>
              <w:rPr>
                <w:rFonts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6DFE3513">
            <w:pPr>
              <w:spacing w:line="360" w:lineRule="auto"/>
              <w:rPr>
                <w:rFonts w:ascii="宋体" w:hAnsi="宋体" w:cs="宋体"/>
                <w:color w:val="auto"/>
                <w:sz w:val="24"/>
                <w:highlight w:val="none"/>
              </w:rPr>
            </w:pPr>
          </w:p>
        </w:tc>
      </w:tr>
      <w:tr w14:paraId="3BB31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7BB84B2">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35AB604">
            <w:pPr>
              <w:spacing w:line="360" w:lineRule="auto"/>
              <w:rPr>
                <w:rFonts w:ascii="宋体" w:hAnsi="宋体" w:cs="宋体"/>
                <w:color w:val="auto"/>
                <w:sz w:val="24"/>
                <w:highlight w:val="none"/>
              </w:rPr>
            </w:pPr>
          </w:p>
        </w:tc>
      </w:tr>
      <w:tr w14:paraId="512A6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4AB1C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09F4D0D3">
            <w:pPr>
              <w:spacing w:line="360" w:lineRule="auto"/>
              <w:rPr>
                <w:rFonts w:ascii="宋体" w:hAnsi="宋体" w:cs="宋体"/>
                <w:color w:val="auto"/>
                <w:sz w:val="24"/>
                <w:highlight w:val="none"/>
              </w:rPr>
            </w:pPr>
          </w:p>
        </w:tc>
      </w:tr>
      <w:tr w14:paraId="0F77D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BC1427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57D38999">
            <w:pPr>
              <w:spacing w:line="360" w:lineRule="auto"/>
              <w:rPr>
                <w:rFonts w:ascii="宋体" w:hAnsi="宋体" w:cs="宋体"/>
                <w:color w:val="auto"/>
                <w:sz w:val="24"/>
                <w:highlight w:val="none"/>
              </w:rPr>
            </w:pPr>
          </w:p>
        </w:tc>
      </w:tr>
      <w:tr w14:paraId="798C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883D7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013AABC2">
            <w:pPr>
              <w:spacing w:line="360" w:lineRule="auto"/>
              <w:rPr>
                <w:rFonts w:ascii="宋体" w:hAnsi="宋体" w:cs="宋体"/>
                <w:color w:val="auto"/>
                <w:sz w:val="24"/>
                <w:highlight w:val="none"/>
              </w:rPr>
            </w:pPr>
          </w:p>
        </w:tc>
      </w:tr>
      <w:tr w14:paraId="1E64F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17EA9B">
            <w:pPr>
              <w:spacing w:line="360" w:lineRule="auto"/>
              <w:rPr>
                <w:rFonts w:ascii="宋体" w:hAnsi="宋体" w:cs="宋体"/>
                <w:color w:val="auto"/>
                <w:sz w:val="24"/>
                <w:highlight w:val="none"/>
              </w:rPr>
            </w:pPr>
            <w:r>
              <w:rPr>
                <w:rFonts w:hint="eastAsia" w:ascii="宋体" w:hAnsi="宋体" w:cs="宋体"/>
                <w:color w:val="auto"/>
                <w:sz w:val="24"/>
                <w:highlight w:val="none"/>
              </w:rPr>
              <w:t>1.8.6</w:t>
            </w:r>
          </w:p>
        </w:tc>
        <w:tc>
          <w:tcPr>
            <w:tcW w:w="4534" w:type="pct"/>
            <w:vAlign w:val="center"/>
          </w:tcPr>
          <w:p w14:paraId="6E1F37E7">
            <w:pPr>
              <w:spacing w:line="360" w:lineRule="auto"/>
              <w:rPr>
                <w:rFonts w:ascii="宋体" w:hAnsi="宋体" w:cs="宋体"/>
                <w:color w:val="auto"/>
                <w:sz w:val="24"/>
                <w:highlight w:val="none"/>
              </w:rPr>
            </w:pPr>
          </w:p>
        </w:tc>
      </w:tr>
      <w:tr w14:paraId="17CBC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55926D">
            <w:pPr>
              <w:spacing w:line="360" w:lineRule="auto"/>
              <w:rPr>
                <w:rFonts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5CF192BC">
            <w:pPr>
              <w:spacing w:line="360" w:lineRule="auto"/>
              <w:rPr>
                <w:rFonts w:ascii="宋体" w:hAnsi="宋体" w:cs="宋体"/>
                <w:color w:val="auto"/>
                <w:sz w:val="24"/>
                <w:highlight w:val="none"/>
              </w:rPr>
            </w:pPr>
          </w:p>
        </w:tc>
      </w:tr>
      <w:tr w14:paraId="775B0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2DE677D">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1.9.1</w:t>
            </w:r>
          </w:p>
        </w:tc>
        <w:tc>
          <w:tcPr>
            <w:tcW w:w="4534" w:type="pct"/>
            <w:vAlign w:val="center"/>
          </w:tcPr>
          <w:p w14:paraId="06C67271">
            <w:pPr>
              <w:spacing w:line="360" w:lineRule="auto"/>
              <w:rPr>
                <w:rFonts w:ascii="宋体" w:hAnsi="宋体" w:cs="宋体"/>
                <w:color w:val="auto"/>
                <w:sz w:val="24"/>
                <w:highlight w:val="none"/>
              </w:rPr>
            </w:pPr>
          </w:p>
        </w:tc>
      </w:tr>
      <w:tr w14:paraId="7BC79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4F0E383">
            <w:pPr>
              <w:spacing w:line="360" w:lineRule="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c>
          <w:tcPr>
            <w:tcW w:w="4534" w:type="pct"/>
            <w:vAlign w:val="center"/>
          </w:tcPr>
          <w:p w14:paraId="2AB9CDA5">
            <w:pPr>
              <w:spacing w:line="360" w:lineRule="auto"/>
              <w:rPr>
                <w:rFonts w:ascii="宋体" w:hAnsi="宋体" w:cs="宋体"/>
                <w:color w:val="auto"/>
                <w:sz w:val="24"/>
                <w:highlight w:val="none"/>
              </w:rPr>
            </w:pPr>
          </w:p>
        </w:tc>
      </w:tr>
      <w:tr w14:paraId="40D32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E34AC0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2248D9DE">
            <w:pPr>
              <w:spacing w:line="360" w:lineRule="auto"/>
              <w:ind w:left="-420" w:leftChars="-200" w:right="-420" w:rightChars="-200" w:firstLine="480" w:firstLineChars="200"/>
              <w:rPr>
                <w:rFonts w:ascii="宋体" w:hAnsi="宋体" w:cs="宋体"/>
                <w:color w:val="auto"/>
                <w:sz w:val="24"/>
                <w:highlight w:val="none"/>
              </w:rPr>
            </w:pPr>
          </w:p>
        </w:tc>
      </w:tr>
      <w:tr w14:paraId="59C7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2E381E6">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5C20A65C">
            <w:pPr>
              <w:spacing w:line="360" w:lineRule="auto"/>
              <w:ind w:left="-420" w:leftChars="-200" w:right="-420" w:rightChars="-200" w:firstLine="480" w:firstLineChars="200"/>
              <w:rPr>
                <w:rFonts w:ascii="宋体" w:hAnsi="宋体" w:cs="宋体"/>
                <w:color w:val="auto"/>
                <w:sz w:val="24"/>
                <w:highlight w:val="none"/>
              </w:rPr>
            </w:pPr>
          </w:p>
        </w:tc>
      </w:tr>
      <w:tr w14:paraId="3DCE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F24D9B">
            <w:pPr>
              <w:spacing w:line="360" w:lineRule="auto"/>
              <w:rPr>
                <w:rFonts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7A56C9F">
            <w:pPr>
              <w:spacing w:line="360" w:lineRule="auto"/>
              <w:rPr>
                <w:rFonts w:ascii="宋体" w:hAnsi="宋体" w:cs="宋体"/>
                <w:color w:val="auto"/>
                <w:sz w:val="24"/>
                <w:highlight w:val="none"/>
              </w:rPr>
            </w:pPr>
          </w:p>
        </w:tc>
      </w:tr>
      <w:tr w14:paraId="22AF2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A1E5A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57D3F67E">
            <w:pPr>
              <w:spacing w:line="360" w:lineRule="auto"/>
              <w:rPr>
                <w:rFonts w:ascii="宋体" w:hAnsi="宋体" w:cs="宋体"/>
                <w:color w:val="auto"/>
                <w:sz w:val="24"/>
                <w:highlight w:val="none"/>
              </w:rPr>
            </w:pPr>
          </w:p>
        </w:tc>
      </w:tr>
      <w:tr w14:paraId="484B9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0D8A29">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DD5A5F9">
            <w:pPr>
              <w:spacing w:line="360" w:lineRule="auto"/>
              <w:rPr>
                <w:rFonts w:ascii="宋体" w:hAnsi="宋体" w:cs="宋体"/>
                <w:color w:val="auto"/>
                <w:sz w:val="24"/>
                <w:highlight w:val="none"/>
              </w:rPr>
            </w:pPr>
          </w:p>
        </w:tc>
      </w:tr>
      <w:tr w14:paraId="75774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D2B2FF">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vAlign w:val="center"/>
          </w:tcPr>
          <w:p w14:paraId="3B5D8981">
            <w:pPr>
              <w:spacing w:line="360" w:lineRule="auto"/>
              <w:rPr>
                <w:rFonts w:ascii="宋体" w:hAnsi="宋体" w:cs="宋体"/>
                <w:color w:val="auto"/>
                <w:sz w:val="24"/>
                <w:highlight w:val="none"/>
              </w:rPr>
            </w:pPr>
          </w:p>
        </w:tc>
      </w:tr>
      <w:tr w14:paraId="14450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8B61C1">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119AF74D">
            <w:pPr>
              <w:spacing w:line="360" w:lineRule="auto"/>
              <w:rPr>
                <w:rFonts w:ascii="宋体" w:hAnsi="宋体" w:cs="宋体"/>
                <w:color w:val="auto"/>
                <w:sz w:val="24"/>
                <w:highlight w:val="none"/>
              </w:rPr>
            </w:pPr>
          </w:p>
        </w:tc>
      </w:tr>
      <w:tr w14:paraId="1DEDE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396ADE57">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4B5A2220">
            <w:pPr>
              <w:spacing w:line="360" w:lineRule="auto"/>
              <w:rPr>
                <w:rFonts w:ascii="宋体" w:hAnsi="宋体" w:cs="宋体"/>
                <w:color w:val="auto"/>
                <w:sz w:val="24"/>
                <w:highlight w:val="none"/>
              </w:rPr>
            </w:pPr>
          </w:p>
        </w:tc>
      </w:tr>
      <w:tr w14:paraId="7401E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trPr>
        <w:tc>
          <w:tcPr>
            <w:tcW w:w="465" w:type="pct"/>
            <w:tcBorders>
              <w:left w:val="single" w:color="auto" w:sz="4" w:space="0"/>
            </w:tcBorders>
            <w:vAlign w:val="center"/>
          </w:tcPr>
          <w:p w14:paraId="3D2B1907">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vAlign w:val="center"/>
          </w:tcPr>
          <w:p w14:paraId="6B660C6B">
            <w:pPr>
              <w:spacing w:line="360" w:lineRule="auto"/>
              <w:rPr>
                <w:rFonts w:ascii="宋体" w:hAnsi="宋体" w:cs="宋体"/>
                <w:color w:val="auto"/>
                <w:sz w:val="24"/>
                <w:highlight w:val="none"/>
              </w:rPr>
            </w:pPr>
          </w:p>
        </w:tc>
      </w:tr>
    </w:tbl>
    <w:p w14:paraId="28F356ED">
      <w:pPr>
        <w:rPr>
          <w:rFonts w:ascii="宋体" w:hAnsi="宋体" w:cs="宋体"/>
          <w:color w:val="auto"/>
          <w:sz w:val="24"/>
          <w:highlight w:val="none"/>
        </w:rPr>
      </w:pPr>
    </w:p>
    <w:p w14:paraId="36F4A346">
      <w:pPr>
        <w:rPr>
          <w:color w:val="auto"/>
          <w:highlight w:val="none"/>
        </w:rPr>
      </w:pPr>
    </w:p>
    <w:p w14:paraId="0426899D">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17F20FF">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0C939173">
      <w:pPr>
        <w:spacing w:line="360" w:lineRule="auto"/>
        <w:jc w:val="center"/>
        <w:outlineLvl w:val="0"/>
        <w:rPr>
          <w:rFonts w:ascii="宋体" w:hAnsi="宋体" w:cs="宋体"/>
          <w:b/>
          <w:color w:val="auto"/>
          <w:kern w:val="0"/>
          <w:sz w:val="36"/>
          <w:szCs w:val="36"/>
          <w:highlight w:val="none"/>
        </w:rPr>
      </w:pPr>
    </w:p>
    <w:p w14:paraId="1FEDCB4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AC5D7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B1A3F36">
      <w:pPr>
        <w:spacing w:line="360" w:lineRule="auto"/>
        <w:jc w:val="center"/>
        <w:outlineLvl w:val="0"/>
        <w:rPr>
          <w:rFonts w:ascii="宋体" w:hAnsi="宋体" w:cs="宋体"/>
          <w:b/>
          <w:color w:val="auto"/>
          <w:kern w:val="0"/>
          <w:sz w:val="36"/>
          <w:szCs w:val="36"/>
          <w:highlight w:val="none"/>
        </w:rPr>
      </w:pPr>
    </w:p>
    <w:p w14:paraId="465A94F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F45555F">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8B797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6C0DA0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5EE1F64E">
      <w:pPr>
        <w:snapToGrid w:val="0"/>
        <w:spacing w:line="360" w:lineRule="auto"/>
        <w:ind w:firstLine="480" w:firstLineChars="200"/>
        <w:rPr>
          <w:rFonts w:ascii="宋体" w:hAnsi="宋体" w:cs="宋体"/>
          <w:color w:val="auto"/>
          <w:sz w:val="24"/>
          <w:highlight w:val="none"/>
        </w:rPr>
      </w:pPr>
    </w:p>
    <w:p w14:paraId="348CFD9B">
      <w:pPr>
        <w:spacing w:line="360" w:lineRule="auto"/>
        <w:ind w:firstLine="480" w:firstLineChars="200"/>
        <w:rPr>
          <w:rFonts w:ascii="宋体" w:hAnsi="宋体" w:cs="宋体"/>
          <w:color w:val="auto"/>
          <w:sz w:val="24"/>
          <w:highlight w:val="none"/>
        </w:rPr>
      </w:pPr>
    </w:p>
    <w:p w14:paraId="54B218C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B7DFB42">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8E363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A6AE3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36CFF9C">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3B8919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CE8C5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74503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8EA06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789B63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1C3849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31618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E4B94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F161B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CEB32A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70E5C4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AA666D">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C414B1">
      <w:pPr>
        <w:snapToGrid w:val="0"/>
        <w:spacing w:line="360" w:lineRule="auto"/>
        <w:ind w:right="480" w:firstLine="559" w:firstLineChars="233"/>
        <w:jc w:val="left"/>
        <w:rPr>
          <w:rFonts w:hint="eastAsia" w:cs="仿宋_GB2312" w:asciiTheme="minorEastAsia" w:hAnsiTheme="minorEastAsia" w:eastAsiaTheme="minorEastAsia"/>
          <w:b/>
          <w:color w:val="auto"/>
          <w:sz w:val="24"/>
          <w:highlight w:val="none"/>
          <w:u w:val="singl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5EFAFB3">
      <w:pPr>
        <w:widowControl/>
        <w:spacing w:line="360" w:lineRule="auto"/>
        <w:ind w:firstLine="643" w:firstLineChars="200"/>
        <w:jc w:val="center"/>
        <w:rPr>
          <w:rFonts w:hint="eastAsia" w:ascii="宋体" w:hAnsi="宋体" w:cs="宋体"/>
          <w:b/>
          <w:color w:val="auto"/>
          <w:kern w:val="0"/>
          <w:sz w:val="32"/>
          <w:szCs w:val="32"/>
          <w:highlight w:val="none"/>
        </w:rPr>
      </w:pPr>
    </w:p>
    <w:p w14:paraId="78B32877">
      <w:pPr>
        <w:widowControl/>
        <w:spacing w:line="360" w:lineRule="auto"/>
        <w:ind w:firstLine="643" w:firstLineChars="200"/>
        <w:jc w:val="center"/>
        <w:rPr>
          <w:rFonts w:hint="eastAsia" w:ascii="宋体" w:hAnsi="宋体" w:cs="宋体"/>
          <w:b/>
          <w:color w:val="auto"/>
          <w:kern w:val="0"/>
          <w:sz w:val="32"/>
          <w:szCs w:val="32"/>
          <w:highlight w:val="none"/>
        </w:rPr>
      </w:pPr>
    </w:p>
    <w:p w14:paraId="463167B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934AF7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DAE84B0">
      <w:pPr>
        <w:snapToGrid w:val="0"/>
        <w:spacing w:line="360" w:lineRule="auto"/>
        <w:ind w:right="480"/>
        <w:jc w:val="center"/>
        <w:rPr>
          <w:rFonts w:hint="eastAsia" w:ascii="宋体" w:hAnsi="宋体" w:cs="宋体"/>
          <w:b/>
          <w:color w:val="auto"/>
          <w:kern w:val="0"/>
          <w:sz w:val="32"/>
          <w:szCs w:val="32"/>
          <w:highlight w:val="none"/>
        </w:rPr>
      </w:pPr>
    </w:p>
    <w:p w14:paraId="38C8E951">
      <w:pPr>
        <w:snapToGrid w:val="0"/>
        <w:spacing w:line="360" w:lineRule="auto"/>
        <w:ind w:right="480"/>
        <w:jc w:val="center"/>
        <w:rPr>
          <w:rFonts w:hint="eastAsia" w:ascii="宋体" w:hAnsi="宋体" w:cs="宋体"/>
          <w:b/>
          <w:color w:val="auto"/>
          <w:kern w:val="0"/>
          <w:sz w:val="32"/>
          <w:szCs w:val="32"/>
          <w:highlight w:val="none"/>
        </w:rPr>
      </w:pPr>
    </w:p>
    <w:p w14:paraId="319AB56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18F16DDF">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9CCB6D9">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57057205">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r>
        <w:rPr>
          <w:rFonts w:hint="eastAsia" w:ascii="宋体" w:hAnsi="宋体" w:cs="宋体"/>
          <w:b/>
          <w:color w:val="auto"/>
          <w:sz w:val="24"/>
          <w:highlight w:val="none"/>
        </w:rPr>
        <w:t xml:space="preserve">    </w:t>
      </w:r>
    </w:p>
    <w:p w14:paraId="3FDE7C1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58DE73E">
      <w:pPr>
        <w:widowControl/>
        <w:spacing w:line="360" w:lineRule="auto"/>
        <w:ind w:left="150"/>
        <w:jc w:val="center"/>
        <w:rPr>
          <w:rFonts w:hint="eastAsia" w:ascii="宋体" w:hAnsi="宋体" w:cs="宋体"/>
          <w:b/>
          <w:color w:val="auto"/>
          <w:kern w:val="0"/>
          <w:sz w:val="32"/>
          <w:szCs w:val="32"/>
          <w:highlight w:val="none"/>
        </w:rPr>
      </w:pPr>
    </w:p>
    <w:p w14:paraId="70FC13EE">
      <w:pPr>
        <w:widowControl/>
        <w:spacing w:line="360" w:lineRule="auto"/>
        <w:ind w:left="150"/>
        <w:jc w:val="center"/>
        <w:rPr>
          <w:rFonts w:hint="eastAsia" w:ascii="宋体" w:hAnsi="宋体" w:cs="宋体"/>
          <w:b/>
          <w:color w:val="auto"/>
          <w:kern w:val="0"/>
          <w:sz w:val="32"/>
          <w:szCs w:val="32"/>
          <w:highlight w:val="none"/>
        </w:rPr>
      </w:pPr>
    </w:p>
    <w:p w14:paraId="1D88B8C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B79021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69F8C0">
      <w:pPr>
        <w:rPr>
          <w:rFonts w:ascii="宋体" w:hAnsi="宋体" w:cs="宋体"/>
          <w:color w:val="auto"/>
          <w:highlight w:val="none"/>
        </w:rPr>
      </w:pPr>
    </w:p>
    <w:p w14:paraId="0C2C3CC3">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1A7B125">
      <w:pPr>
        <w:widowControl/>
        <w:adjustRightInd/>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9D81383">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58457E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81B865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F2927B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E0E1C8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A1EE15D">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574A156">
      <w:pPr>
        <w:snapToGrid w:val="0"/>
        <w:spacing w:line="360" w:lineRule="auto"/>
        <w:jc w:val="center"/>
        <w:rPr>
          <w:rFonts w:ascii="宋体" w:hAnsi="宋体" w:cs="宋体"/>
          <w:b/>
          <w:color w:val="auto"/>
          <w:kern w:val="0"/>
          <w:sz w:val="32"/>
          <w:szCs w:val="32"/>
          <w:highlight w:val="none"/>
          <w:lang w:val="zh-CN"/>
        </w:rPr>
      </w:pPr>
    </w:p>
    <w:p w14:paraId="46A008FA">
      <w:pPr>
        <w:snapToGrid w:val="0"/>
        <w:spacing w:line="360" w:lineRule="auto"/>
        <w:jc w:val="center"/>
        <w:rPr>
          <w:rFonts w:ascii="宋体" w:hAnsi="宋体" w:cs="宋体"/>
          <w:b/>
          <w:color w:val="auto"/>
          <w:kern w:val="0"/>
          <w:sz w:val="32"/>
          <w:szCs w:val="32"/>
          <w:highlight w:val="none"/>
          <w:lang w:val="zh-CN"/>
        </w:rPr>
      </w:pPr>
    </w:p>
    <w:p w14:paraId="600A882D">
      <w:pPr>
        <w:snapToGrid w:val="0"/>
        <w:spacing w:line="360" w:lineRule="auto"/>
        <w:jc w:val="center"/>
        <w:rPr>
          <w:rFonts w:ascii="宋体" w:hAnsi="宋体" w:cs="宋体"/>
          <w:b/>
          <w:color w:val="auto"/>
          <w:kern w:val="0"/>
          <w:sz w:val="32"/>
          <w:szCs w:val="32"/>
          <w:highlight w:val="none"/>
          <w:lang w:val="zh-CN"/>
        </w:rPr>
      </w:pPr>
    </w:p>
    <w:p w14:paraId="1609014F">
      <w:pPr>
        <w:snapToGrid w:val="0"/>
        <w:spacing w:line="360" w:lineRule="auto"/>
        <w:jc w:val="center"/>
        <w:rPr>
          <w:rFonts w:ascii="宋体" w:hAnsi="宋体" w:cs="宋体"/>
          <w:b/>
          <w:color w:val="auto"/>
          <w:kern w:val="0"/>
          <w:sz w:val="32"/>
          <w:szCs w:val="32"/>
          <w:highlight w:val="none"/>
          <w:lang w:val="zh-CN"/>
        </w:rPr>
      </w:pPr>
    </w:p>
    <w:p w14:paraId="4010A543">
      <w:pPr>
        <w:snapToGrid w:val="0"/>
        <w:spacing w:line="360" w:lineRule="auto"/>
        <w:jc w:val="center"/>
        <w:rPr>
          <w:rFonts w:ascii="宋体" w:hAnsi="宋体" w:cs="宋体"/>
          <w:b/>
          <w:color w:val="auto"/>
          <w:kern w:val="0"/>
          <w:sz w:val="32"/>
          <w:szCs w:val="32"/>
          <w:highlight w:val="none"/>
          <w:lang w:val="zh-CN"/>
        </w:rPr>
      </w:pPr>
    </w:p>
    <w:p w14:paraId="2C76437A">
      <w:pPr>
        <w:snapToGrid w:val="0"/>
        <w:spacing w:line="360" w:lineRule="auto"/>
        <w:jc w:val="center"/>
        <w:outlineLvl w:val="0"/>
        <w:rPr>
          <w:rFonts w:ascii="宋体" w:hAnsi="宋体" w:cs="宋体"/>
          <w:b/>
          <w:color w:val="auto"/>
          <w:kern w:val="0"/>
          <w:sz w:val="32"/>
          <w:szCs w:val="32"/>
          <w:highlight w:val="none"/>
        </w:rPr>
      </w:pPr>
    </w:p>
    <w:p w14:paraId="3CDB94CA">
      <w:pPr>
        <w:snapToGrid w:val="0"/>
        <w:spacing w:line="360" w:lineRule="auto"/>
        <w:jc w:val="center"/>
        <w:outlineLvl w:val="0"/>
        <w:rPr>
          <w:rFonts w:ascii="宋体" w:hAnsi="宋体" w:cs="宋体"/>
          <w:b/>
          <w:color w:val="auto"/>
          <w:kern w:val="0"/>
          <w:sz w:val="32"/>
          <w:szCs w:val="32"/>
          <w:highlight w:val="none"/>
        </w:rPr>
      </w:pPr>
    </w:p>
    <w:p w14:paraId="447B2A02">
      <w:pPr>
        <w:rPr>
          <w:rFonts w:ascii="宋体" w:hAnsi="宋体" w:cs="宋体"/>
          <w:color w:val="auto"/>
          <w:highlight w:val="none"/>
        </w:rPr>
      </w:pPr>
    </w:p>
    <w:p w14:paraId="68FE2EC7">
      <w:pPr>
        <w:snapToGrid w:val="0"/>
        <w:spacing w:line="360" w:lineRule="auto"/>
        <w:jc w:val="center"/>
        <w:outlineLvl w:val="0"/>
        <w:rPr>
          <w:rFonts w:ascii="宋体" w:hAnsi="宋体" w:cs="宋体"/>
          <w:b/>
          <w:color w:val="auto"/>
          <w:kern w:val="0"/>
          <w:sz w:val="32"/>
          <w:szCs w:val="32"/>
          <w:highlight w:val="none"/>
        </w:rPr>
      </w:pPr>
    </w:p>
    <w:p w14:paraId="0933BE7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74559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8C3CA5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56DDE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1F02A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08B4A0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4C9D9EA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155EDAF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D5329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55E39D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39D9A9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511159C">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C1EB93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4C4BA41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F2A1B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41A8F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44FB3F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276243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374B3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C244113">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B9C694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FA124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E03A2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4B38A40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1158C9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601C995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036FDDB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0B0796E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0B41E4A">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47E847EB">
      <w:pPr>
        <w:numPr>
          <w:ilvl w:val="0"/>
          <w:numId w:val="15"/>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65F3B40">
      <w:pPr>
        <w:numPr>
          <w:ilvl w:val="0"/>
          <w:numId w:val="15"/>
        </w:numPr>
        <w:snapToGri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9DDB3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0A5AB8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A786EA7">
      <w:pPr>
        <w:snapToGrid w:val="0"/>
        <w:spacing w:line="360" w:lineRule="auto"/>
        <w:ind w:left="420" w:leftChars="200" w:firstLine="4200" w:firstLineChars="1750"/>
        <w:rPr>
          <w:rFonts w:ascii="宋体" w:hAnsi="宋体" w:cs="宋体"/>
          <w:color w:val="auto"/>
          <w:kern w:val="0"/>
          <w:sz w:val="24"/>
          <w:highlight w:val="none"/>
          <w:u w:val="single"/>
        </w:rPr>
      </w:pPr>
    </w:p>
    <w:p w14:paraId="63B2576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2E0E05F">
      <w:pPr>
        <w:rPr>
          <w:rFonts w:hint="eastAsia" w:ascii="宋体" w:hAnsi="宋体" w:cs="宋体"/>
          <w:color w:val="auto"/>
          <w:sz w:val="24"/>
          <w:highlight w:val="none"/>
        </w:rPr>
      </w:pPr>
      <w:r>
        <w:rPr>
          <w:rFonts w:hint="eastAsia" w:ascii="宋体" w:hAnsi="宋体" w:cs="宋体"/>
          <w:color w:val="auto"/>
          <w:sz w:val="24"/>
          <w:highlight w:val="none"/>
        </w:rPr>
        <w:br w:type="page"/>
      </w:r>
    </w:p>
    <w:p w14:paraId="0608BDD4">
      <w:pPr>
        <w:spacing w:line="360" w:lineRule="auto"/>
        <w:ind w:right="420"/>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08D0BF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7FE8DB30">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641F056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9D2A05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63AF6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05CA8A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73F4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0031B29">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val="zh-CN"/>
        </w:rPr>
        <w:t xml:space="preserve">                                                 签发日期：  年  月   日</w:t>
      </w:r>
    </w:p>
    <w:p w14:paraId="177052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54368DE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3E4D6F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F19E8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024F28E">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014709C">
      <w:pPr>
        <w:rPr>
          <w:rFonts w:ascii="宋体" w:hAnsi="宋体" w:cs="宋体"/>
          <w:color w:val="auto"/>
          <w:highlight w:val="none"/>
        </w:rPr>
      </w:pPr>
    </w:p>
    <w:p w14:paraId="138D175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86EB5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FCF7B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58354169">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7E6B1B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1B22BAD">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775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697620">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A061634">
            <w:pPr>
              <w:pStyle w:val="146"/>
              <w:adjustRightInd w:val="0"/>
              <w:spacing w:line="360" w:lineRule="auto"/>
              <w:rPr>
                <w:rFonts w:hAnsi="宋体" w:cs="宋体"/>
                <w:bCs/>
                <w:color w:val="auto"/>
                <w:sz w:val="24"/>
                <w:highlight w:val="none"/>
              </w:rPr>
            </w:pPr>
          </w:p>
        </w:tc>
      </w:tr>
    </w:tbl>
    <w:p w14:paraId="21081EE5">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B6E20C2">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8F179AB">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89E0EA2">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7E6B45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C5CA27F">
      <w:pPr>
        <w:widowControl/>
        <w:spacing w:line="360" w:lineRule="auto"/>
        <w:ind w:firstLine="120" w:firstLineChars="50"/>
        <w:jc w:val="left"/>
        <w:rPr>
          <w:rFonts w:ascii="宋体" w:hAnsi="宋体" w:cs="宋体"/>
          <w:color w:val="auto"/>
          <w:sz w:val="24"/>
          <w:highlight w:val="none"/>
        </w:rPr>
      </w:pPr>
      <w:bookmarkStart w:id="54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546"/>
    <w:p w14:paraId="4F7D27D4">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A89442A">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049E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7D5B9B75">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874" w:type="dxa"/>
            <w:vAlign w:val="center"/>
          </w:tcPr>
          <w:p w14:paraId="43E3F5C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165E4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B2856F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70BC7E2E">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EB2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59C003C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874" w:type="dxa"/>
          </w:tcPr>
          <w:p w14:paraId="44DAB05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19B464">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F2C0527">
            <w:pPr>
              <w:rPr>
                <w:rFonts w:ascii="宋体" w:hAnsi="宋体" w:cs="宋体"/>
                <w:color w:val="auto"/>
                <w:sz w:val="24"/>
                <w:highlight w:val="none"/>
              </w:rPr>
            </w:pPr>
            <w:r>
              <w:rPr>
                <w:rFonts w:hint="eastAsia" w:ascii="宋体" w:hAnsi="宋体" w:cs="宋体"/>
                <w:color w:val="auto"/>
                <w:sz w:val="24"/>
                <w:highlight w:val="none"/>
              </w:rPr>
              <w:t>见投标文件</w:t>
            </w:r>
          </w:p>
          <w:p w14:paraId="0EA1D5C0">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30C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5BFEB6F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874" w:type="dxa"/>
          </w:tcPr>
          <w:p w14:paraId="76EA55B1">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325E11D">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24B58D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9EA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B844DBE">
            <w:pPr>
              <w:jc w:val="cente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3</w:t>
            </w:r>
          </w:p>
        </w:tc>
        <w:tc>
          <w:tcPr>
            <w:tcW w:w="4874" w:type="dxa"/>
          </w:tcPr>
          <w:p w14:paraId="4BFD9EED">
            <w:pPr>
              <w:snapToGrid w:val="0"/>
              <w:spacing w:line="360" w:lineRule="auto"/>
              <w:ind w:firstLine="0" w:firstLineChars="0"/>
              <w:rPr>
                <w:rFonts w:hint="eastAsia" w:ascii="宋体" w:hAnsi="宋体" w:cs="宋体"/>
                <w:b w:val="0"/>
                <w:bCs w:val="0"/>
                <w:snapToGrid w:val="0"/>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p w14:paraId="0E36ECD7">
            <w:pPr>
              <w:spacing w:line="360" w:lineRule="auto"/>
              <w:rPr>
                <w:rFonts w:hint="default" w:ascii="宋体" w:hAnsi="宋体" w:cs="宋体"/>
                <w:b w:val="0"/>
                <w:bCs w:val="0"/>
                <w:snapToGrid w:val="0"/>
                <w:color w:val="auto"/>
                <w:sz w:val="24"/>
                <w:highlight w:val="none"/>
                <w:lang w:val="en-US" w:eastAsia="zh-CN"/>
              </w:rPr>
            </w:pPr>
          </w:p>
        </w:tc>
        <w:tc>
          <w:tcPr>
            <w:tcW w:w="2551" w:type="dxa"/>
            <w:vAlign w:val="center"/>
          </w:tcPr>
          <w:p w14:paraId="47D3B039">
            <w:pPr>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投标文件</w:t>
            </w:r>
          </w:p>
        </w:tc>
        <w:tc>
          <w:tcPr>
            <w:tcW w:w="1418" w:type="dxa"/>
          </w:tcPr>
          <w:p w14:paraId="05A23F93">
            <w:pPr>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w:t>
            </w:r>
          </w:p>
        </w:tc>
      </w:tr>
      <w:tr w14:paraId="379C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5508EB">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874" w:type="dxa"/>
          </w:tcPr>
          <w:p w14:paraId="55A78BF9">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2420ECD6">
            <w:pPr>
              <w:rPr>
                <w:rFonts w:hint="eastAsia" w:ascii="宋体" w:hAnsi="宋体" w:cs="宋体"/>
                <w:b w:val="0"/>
                <w:bCs w:val="0"/>
                <w:color w:val="auto"/>
                <w:sz w:val="24"/>
                <w:highlight w:val="none"/>
                <w:lang w:val="en-US" w:eastAsia="zh-CN"/>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tcPr>
          <w:p w14:paraId="09422472">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0ED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FC41907">
            <w:pPr>
              <w:jc w:val="center"/>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5</w:t>
            </w:r>
          </w:p>
        </w:tc>
        <w:tc>
          <w:tcPr>
            <w:tcW w:w="4874" w:type="dxa"/>
          </w:tcPr>
          <w:p w14:paraId="5A9C4E36">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5FF38265">
            <w:pPr>
              <w:rPr>
                <w:rFonts w:hint="eastAsia" w:ascii="宋体" w:hAnsi="宋体" w:cs="宋体"/>
                <w:b w:val="0"/>
                <w:bCs w:val="0"/>
                <w:color w:val="auto"/>
                <w:kern w:val="0"/>
                <w:sz w:val="24"/>
                <w:highlight w:val="none"/>
              </w:rPr>
            </w:pPr>
          </w:p>
        </w:tc>
        <w:tc>
          <w:tcPr>
            <w:tcW w:w="1418" w:type="dxa"/>
          </w:tcPr>
          <w:p w14:paraId="494591AC">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293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7CAAAB63">
            <w:pPr>
              <w:jc w:val="center"/>
              <w:rPr>
                <w:rFonts w:hint="default"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874" w:type="dxa"/>
          </w:tcPr>
          <w:p w14:paraId="5D4213AC">
            <w:pPr>
              <w:spacing w:line="360" w:lineRule="auto"/>
              <w:rPr>
                <w:rFonts w:hint="default" w:ascii="宋体" w:hAnsi="宋体" w:cs="宋体"/>
                <w:b w:val="0"/>
                <w:bCs w:val="0"/>
                <w:snapToGrid w:val="0"/>
                <w:color w:val="auto"/>
                <w:sz w:val="24"/>
                <w:highlight w:val="none"/>
                <w:lang w:val="en-US" w:eastAsia="zh-CN"/>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45B52A4A">
            <w:pPr>
              <w:rPr>
                <w:rFonts w:hint="eastAsia" w:ascii="宋体" w:hAnsi="宋体" w:cs="宋体"/>
                <w:b w:val="0"/>
                <w:bCs w:val="0"/>
                <w:color w:val="auto"/>
                <w:kern w:val="0"/>
                <w:sz w:val="24"/>
                <w:highlight w:val="none"/>
              </w:rPr>
            </w:pPr>
          </w:p>
        </w:tc>
        <w:tc>
          <w:tcPr>
            <w:tcW w:w="1418" w:type="dxa"/>
          </w:tcPr>
          <w:p w14:paraId="24B07A9A">
            <w:pP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52779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13ED31">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E6B9B9E">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997B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DB18FA8">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FED4D44">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E9849D7">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691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E9428A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26356D6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3966C2F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068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1FEDA07">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49898B1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76414399">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AAD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70BC052">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1FE56AA">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17BDBA02">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26A6701">
      <w:pPr>
        <w:pStyle w:val="3"/>
        <w:rPr>
          <w:color w:val="auto"/>
          <w:highlight w:val="none"/>
        </w:rPr>
      </w:pPr>
    </w:p>
    <w:p w14:paraId="4CA38C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4F9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1EAD73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9CE5E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BA1C1F3">
            <w:pPr>
              <w:spacing w:line="360" w:lineRule="auto"/>
              <w:jc w:val="center"/>
              <w:rPr>
                <w:rFonts w:ascii="宋体" w:hAnsi="宋体" w:cs="宋体"/>
                <w:b/>
                <w:color w:val="auto"/>
                <w:sz w:val="24"/>
                <w:highlight w:val="none"/>
              </w:rPr>
            </w:pPr>
          </w:p>
          <w:p w14:paraId="65805A1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1A445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B030F1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FCA93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115E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8E2C5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A84DE3">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C0A264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E6F081">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CDBAF0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C71D50">
            <w:pPr>
              <w:spacing w:line="360" w:lineRule="auto"/>
              <w:jc w:val="center"/>
              <w:rPr>
                <w:rFonts w:ascii="宋体" w:hAnsi="宋体" w:cs="宋体"/>
                <w:color w:val="auto"/>
                <w:sz w:val="24"/>
                <w:highlight w:val="none"/>
              </w:rPr>
            </w:pPr>
          </w:p>
        </w:tc>
      </w:tr>
      <w:tr w14:paraId="5CED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3A14E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67817A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744BD83">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D7D5532">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81007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F11BB2">
            <w:pPr>
              <w:spacing w:line="360" w:lineRule="auto"/>
              <w:jc w:val="center"/>
              <w:rPr>
                <w:rFonts w:ascii="宋体" w:hAnsi="宋体" w:cs="宋体"/>
                <w:color w:val="auto"/>
                <w:sz w:val="24"/>
                <w:highlight w:val="none"/>
              </w:rPr>
            </w:pPr>
          </w:p>
        </w:tc>
      </w:tr>
      <w:tr w14:paraId="1D5A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AF0FD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647AB2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85715AB">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FE5AA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5702C1">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9C7C2F8">
            <w:pPr>
              <w:spacing w:line="360" w:lineRule="auto"/>
              <w:jc w:val="center"/>
              <w:rPr>
                <w:rFonts w:ascii="宋体" w:hAnsi="宋体" w:cs="宋体"/>
                <w:color w:val="auto"/>
                <w:sz w:val="24"/>
                <w:highlight w:val="none"/>
              </w:rPr>
            </w:pPr>
          </w:p>
        </w:tc>
      </w:tr>
    </w:tbl>
    <w:p w14:paraId="69FF557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597C23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687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94A93F">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0148F73">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70C2192A">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986AECE">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1AC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D76D2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A08FE1B">
            <w:pPr>
              <w:jc w:val="center"/>
              <w:rPr>
                <w:rFonts w:ascii="宋体" w:hAnsi="宋体" w:cs="宋体"/>
                <w:b/>
                <w:color w:val="auto"/>
                <w:kern w:val="0"/>
                <w:sz w:val="32"/>
                <w:szCs w:val="32"/>
                <w:highlight w:val="none"/>
              </w:rPr>
            </w:pPr>
          </w:p>
        </w:tc>
        <w:tc>
          <w:tcPr>
            <w:tcW w:w="3546" w:type="dxa"/>
          </w:tcPr>
          <w:p w14:paraId="504358C1">
            <w:pPr>
              <w:jc w:val="center"/>
              <w:rPr>
                <w:rFonts w:ascii="宋体" w:hAnsi="宋体" w:cs="宋体"/>
                <w:b/>
                <w:color w:val="auto"/>
                <w:kern w:val="0"/>
                <w:sz w:val="32"/>
                <w:szCs w:val="32"/>
                <w:highlight w:val="none"/>
              </w:rPr>
            </w:pPr>
          </w:p>
        </w:tc>
        <w:tc>
          <w:tcPr>
            <w:tcW w:w="1276" w:type="dxa"/>
          </w:tcPr>
          <w:p w14:paraId="3C812C0B">
            <w:pPr>
              <w:jc w:val="center"/>
              <w:rPr>
                <w:rFonts w:ascii="宋体" w:hAnsi="宋体" w:cs="宋体"/>
                <w:b/>
                <w:color w:val="auto"/>
                <w:kern w:val="0"/>
                <w:sz w:val="32"/>
                <w:szCs w:val="32"/>
                <w:highlight w:val="none"/>
              </w:rPr>
            </w:pPr>
          </w:p>
        </w:tc>
      </w:tr>
      <w:tr w14:paraId="0403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606EB4">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D1679A9">
            <w:pPr>
              <w:jc w:val="center"/>
              <w:rPr>
                <w:rFonts w:ascii="宋体" w:hAnsi="宋体" w:cs="宋体"/>
                <w:b/>
                <w:color w:val="auto"/>
                <w:kern w:val="0"/>
                <w:sz w:val="32"/>
                <w:szCs w:val="32"/>
                <w:highlight w:val="none"/>
              </w:rPr>
            </w:pPr>
          </w:p>
        </w:tc>
        <w:tc>
          <w:tcPr>
            <w:tcW w:w="3546" w:type="dxa"/>
          </w:tcPr>
          <w:p w14:paraId="4E6CA115">
            <w:pPr>
              <w:jc w:val="center"/>
              <w:rPr>
                <w:rFonts w:ascii="宋体" w:hAnsi="宋体" w:cs="宋体"/>
                <w:b/>
                <w:color w:val="auto"/>
                <w:kern w:val="0"/>
                <w:sz w:val="32"/>
                <w:szCs w:val="32"/>
                <w:highlight w:val="none"/>
              </w:rPr>
            </w:pPr>
          </w:p>
        </w:tc>
        <w:tc>
          <w:tcPr>
            <w:tcW w:w="1276" w:type="dxa"/>
          </w:tcPr>
          <w:p w14:paraId="11295103">
            <w:pPr>
              <w:jc w:val="center"/>
              <w:rPr>
                <w:rFonts w:ascii="宋体" w:hAnsi="宋体" w:cs="宋体"/>
                <w:b/>
                <w:color w:val="auto"/>
                <w:kern w:val="0"/>
                <w:sz w:val="32"/>
                <w:szCs w:val="32"/>
                <w:highlight w:val="none"/>
              </w:rPr>
            </w:pPr>
          </w:p>
        </w:tc>
      </w:tr>
      <w:tr w14:paraId="31D3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90553F">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0B55BE84">
            <w:pPr>
              <w:jc w:val="center"/>
              <w:rPr>
                <w:rFonts w:ascii="宋体" w:hAnsi="宋体" w:cs="宋体"/>
                <w:b/>
                <w:color w:val="auto"/>
                <w:kern w:val="0"/>
                <w:sz w:val="32"/>
                <w:szCs w:val="32"/>
                <w:highlight w:val="none"/>
              </w:rPr>
            </w:pPr>
          </w:p>
        </w:tc>
        <w:tc>
          <w:tcPr>
            <w:tcW w:w="3546" w:type="dxa"/>
          </w:tcPr>
          <w:p w14:paraId="0EB33CCD">
            <w:pPr>
              <w:jc w:val="center"/>
              <w:rPr>
                <w:rFonts w:ascii="宋体" w:hAnsi="宋体" w:cs="宋体"/>
                <w:b/>
                <w:color w:val="auto"/>
                <w:kern w:val="0"/>
                <w:sz w:val="32"/>
                <w:szCs w:val="32"/>
                <w:highlight w:val="none"/>
              </w:rPr>
            </w:pPr>
          </w:p>
        </w:tc>
        <w:tc>
          <w:tcPr>
            <w:tcW w:w="1276" w:type="dxa"/>
          </w:tcPr>
          <w:p w14:paraId="4DFD2E80">
            <w:pPr>
              <w:jc w:val="center"/>
              <w:rPr>
                <w:rFonts w:ascii="宋体" w:hAnsi="宋体" w:cs="宋体"/>
                <w:b/>
                <w:color w:val="auto"/>
                <w:kern w:val="0"/>
                <w:sz w:val="32"/>
                <w:szCs w:val="32"/>
                <w:highlight w:val="none"/>
              </w:rPr>
            </w:pPr>
          </w:p>
        </w:tc>
      </w:tr>
    </w:tbl>
    <w:p w14:paraId="67D8B10B">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0E1C4F4E">
      <w:pPr>
        <w:spacing w:line="360" w:lineRule="auto"/>
        <w:ind w:right="42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2、本表格所反映的偏离情况与“</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不一致的，以</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符合性审查资料</w:t>
      </w:r>
      <w:r>
        <w:rPr>
          <w:rFonts w:hint="eastAsia" w:ascii="宋体" w:hAnsi="宋体" w:cs="宋体"/>
          <w:b w:val="0"/>
          <w:color w:val="auto"/>
          <w:kern w:val="2"/>
          <w:sz w:val="24"/>
          <w:szCs w:val="24"/>
          <w:highlight w:val="none"/>
          <w:lang w:eastAsia="zh-CN"/>
        </w:rPr>
        <w:t>”</w:t>
      </w:r>
      <w:r>
        <w:rPr>
          <w:rFonts w:hint="eastAsia" w:ascii="宋体" w:hAnsi="宋体" w:cs="宋体"/>
          <w:color w:val="auto"/>
          <w:sz w:val="24"/>
          <w:highlight w:val="none"/>
          <w:lang w:val="en-US" w:eastAsia="zh-CN"/>
        </w:rPr>
        <w:t>、“</w:t>
      </w:r>
      <w:r>
        <w:rPr>
          <w:rFonts w:hint="eastAsia" w:ascii="宋体" w:hAnsi="宋体" w:cs="宋体"/>
          <w:b w:val="0"/>
          <w:color w:val="auto"/>
          <w:kern w:val="2"/>
          <w:sz w:val="24"/>
          <w:szCs w:val="24"/>
          <w:highlight w:val="none"/>
        </w:rPr>
        <w:t>评标标准相应的商务技术资料</w:t>
      </w:r>
      <w:r>
        <w:rPr>
          <w:rFonts w:hint="eastAsia" w:ascii="宋体" w:hAnsi="宋体" w:cs="宋体"/>
          <w:b w:val="0"/>
          <w:color w:val="auto"/>
          <w:kern w:val="2"/>
          <w:sz w:val="24"/>
          <w:szCs w:val="24"/>
          <w:highlight w:val="none"/>
          <w:lang w:eastAsia="zh-CN"/>
        </w:rPr>
        <w:t>”</w:t>
      </w:r>
      <w:r>
        <w:rPr>
          <w:rFonts w:hint="eastAsia" w:ascii="宋体" w:hAnsi="宋体" w:cs="宋体"/>
          <w:b w:val="0"/>
          <w:color w:val="auto"/>
          <w:kern w:val="2"/>
          <w:sz w:val="24"/>
          <w:szCs w:val="24"/>
          <w:highlight w:val="none"/>
          <w:lang w:val="en-US" w:eastAsia="zh-CN"/>
        </w:rPr>
        <w:t>为准。</w:t>
      </w:r>
    </w:p>
    <w:p w14:paraId="0B3F2DC8">
      <w:pPr>
        <w:numPr>
          <w:ilvl w:val="0"/>
          <w:numId w:val="0"/>
        </w:numPr>
        <w:spacing w:line="360" w:lineRule="auto"/>
        <w:ind w:right="420"/>
        <w:rPr>
          <w:color w:val="auto"/>
          <w:highlight w:val="none"/>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highlight w:val="none"/>
        </w:rPr>
        <w:t>投标人须保证：除商务技术偏离表列出的偏离外，投标人响应招标文件的全部非实质性要求。</w:t>
      </w:r>
    </w:p>
    <w:p w14:paraId="5EB26A23">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CB26D30">
      <w:pPr>
        <w:ind w:firstLine="1911" w:firstLineChars="595"/>
        <w:rPr>
          <w:rFonts w:ascii="宋体" w:hAnsi="宋体" w:cs="宋体"/>
          <w:color w:val="auto"/>
          <w:sz w:val="24"/>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BA8FBB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FD0780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3D758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0C1359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04805E8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7C39EE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1EA9044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417037D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639468D">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0C166C9A">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F3675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88CAA98">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68F1BB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4F6F19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9ED386">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96BA0F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B804F5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6E59E2C">
      <w:pPr>
        <w:spacing w:line="360" w:lineRule="auto"/>
        <w:jc w:val="center"/>
        <w:outlineLvl w:val="0"/>
        <w:rPr>
          <w:rFonts w:ascii="宋体" w:hAnsi="宋体" w:cs="宋体"/>
          <w:b/>
          <w:color w:val="auto"/>
          <w:kern w:val="0"/>
          <w:sz w:val="36"/>
          <w:szCs w:val="36"/>
          <w:highlight w:val="none"/>
        </w:rPr>
      </w:pPr>
    </w:p>
    <w:p w14:paraId="27E7EE73">
      <w:pPr>
        <w:numPr>
          <w:ilvl w:val="0"/>
          <w:numId w:val="16"/>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6A674EA">
      <w:pPr>
        <w:snapToGrid w:val="0"/>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3B79D0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4A11A83E">
      <w:pPr>
        <w:snapToGrid w:val="0"/>
        <w:spacing w:line="360" w:lineRule="auto"/>
        <w:ind w:right="480"/>
        <w:jc w:val="center"/>
        <w:rPr>
          <w:rFonts w:ascii="宋体" w:hAnsi="宋体" w:cs="宋体"/>
          <w:b/>
          <w:color w:val="auto"/>
          <w:kern w:val="0"/>
          <w:sz w:val="32"/>
          <w:szCs w:val="32"/>
          <w:highlight w:val="none"/>
        </w:rPr>
      </w:pPr>
    </w:p>
    <w:p w14:paraId="5313F1DF">
      <w:pPr>
        <w:snapToGrid w:val="0"/>
        <w:spacing w:line="360" w:lineRule="auto"/>
        <w:ind w:right="480"/>
        <w:jc w:val="center"/>
        <w:rPr>
          <w:rFonts w:ascii="宋体" w:hAnsi="宋体" w:cs="宋体"/>
          <w:b/>
          <w:color w:val="auto"/>
          <w:kern w:val="0"/>
          <w:sz w:val="32"/>
          <w:szCs w:val="32"/>
          <w:highlight w:val="none"/>
        </w:rPr>
      </w:pPr>
    </w:p>
    <w:p w14:paraId="5D370063">
      <w:pPr>
        <w:snapToGrid w:val="0"/>
        <w:spacing w:line="360" w:lineRule="auto"/>
        <w:ind w:right="480"/>
        <w:jc w:val="center"/>
        <w:rPr>
          <w:rFonts w:ascii="宋体" w:hAnsi="宋体" w:cs="宋体"/>
          <w:b/>
          <w:color w:val="auto"/>
          <w:kern w:val="0"/>
          <w:sz w:val="32"/>
          <w:szCs w:val="32"/>
          <w:highlight w:val="none"/>
        </w:rPr>
      </w:pPr>
    </w:p>
    <w:p w14:paraId="42786135">
      <w:pPr>
        <w:snapToGrid w:val="0"/>
        <w:spacing w:line="360" w:lineRule="auto"/>
        <w:ind w:right="480"/>
        <w:jc w:val="center"/>
        <w:rPr>
          <w:rFonts w:ascii="宋体" w:hAnsi="宋体" w:cs="宋体"/>
          <w:b/>
          <w:color w:val="auto"/>
          <w:kern w:val="0"/>
          <w:sz w:val="32"/>
          <w:szCs w:val="32"/>
          <w:highlight w:val="none"/>
        </w:rPr>
      </w:pPr>
    </w:p>
    <w:p w14:paraId="3389EF70">
      <w:pPr>
        <w:snapToGrid w:val="0"/>
        <w:spacing w:line="360" w:lineRule="auto"/>
        <w:ind w:right="480"/>
        <w:jc w:val="center"/>
        <w:rPr>
          <w:rFonts w:ascii="宋体" w:hAnsi="宋体" w:cs="宋体"/>
          <w:b/>
          <w:color w:val="auto"/>
          <w:kern w:val="0"/>
          <w:sz w:val="32"/>
          <w:szCs w:val="32"/>
          <w:highlight w:val="none"/>
        </w:rPr>
      </w:pPr>
    </w:p>
    <w:p w14:paraId="7D8898FE">
      <w:pPr>
        <w:snapToGrid w:val="0"/>
        <w:spacing w:line="360" w:lineRule="auto"/>
        <w:ind w:right="480"/>
        <w:jc w:val="center"/>
        <w:rPr>
          <w:rFonts w:ascii="宋体" w:hAnsi="宋体" w:cs="宋体"/>
          <w:b/>
          <w:color w:val="auto"/>
          <w:kern w:val="0"/>
          <w:sz w:val="32"/>
          <w:szCs w:val="32"/>
          <w:highlight w:val="none"/>
        </w:rPr>
      </w:pPr>
    </w:p>
    <w:p w14:paraId="4AED4535">
      <w:pPr>
        <w:snapToGrid w:val="0"/>
        <w:spacing w:line="360" w:lineRule="auto"/>
        <w:ind w:right="480"/>
        <w:jc w:val="center"/>
        <w:rPr>
          <w:rFonts w:ascii="宋体" w:hAnsi="宋体" w:cs="宋体"/>
          <w:b/>
          <w:color w:val="auto"/>
          <w:kern w:val="0"/>
          <w:sz w:val="32"/>
          <w:szCs w:val="32"/>
          <w:highlight w:val="none"/>
        </w:rPr>
      </w:pPr>
    </w:p>
    <w:p w14:paraId="36ABE11E">
      <w:pPr>
        <w:snapToGrid w:val="0"/>
        <w:spacing w:line="360" w:lineRule="auto"/>
        <w:ind w:right="480"/>
        <w:jc w:val="center"/>
        <w:rPr>
          <w:rFonts w:ascii="宋体" w:hAnsi="宋体" w:cs="宋体"/>
          <w:b/>
          <w:color w:val="auto"/>
          <w:kern w:val="0"/>
          <w:sz w:val="32"/>
          <w:szCs w:val="32"/>
          <w:highlight w:val="none"/>
        </w:rPr>
      </w:pPr>
    </w:p>
    <w:p w14:paraId="7EEF19D9">
      <w:pPr>
        <w:snapToGrid w:val="0"/>
        <w:spacing w:line="360" w:lineRule="auto"/>
        <w:ind w:right="480"/>
        <w:jc w:val="center"/>
        <w:rPr>
          <w:rFonts w:ascii="宋体" w:hAnsi="宋体" w:cs="宋体"/>
          <w:b/>
          <w:color w:val="auto"/>
          <w:kern w:val="0"/>
          <w:sz w:val="32"/>
          <w:szCs w:val="32"/>
          <w:highlight w:val="none"/>
        </w:rPr>
      </w:pPr>
    </w:p>
    <w:p w14:paraId="0509CD54">
      <w:pPr>
        <w:snapToGrid w:val="0"/>
        <w:spacing w:line="360" w:lineRule="auto"/>
        <w:ind w:right="480"/>
        <w:jc w:val="center"/>
        <w:rPr>
          <w:rFonts w:ascii="宋体" w:hAnsi="宋体" w:cs="宋体"/>
          <w:b/>
          <w:color w:val="auto"/>
          <w:kern w:val="0"/>
          <w:sz w:val="32"/>
          <w:szCs w:val="32"/>
          <w:highlight w:val="none"/>
        </w:rPr>
      </w:pPr>
    </w:p>
    <w:p w14:paraId="3CA9371A">
      <w:pPr>
        <w:snapToGrid w:val="0"/>
        <w:spacing w:line="360" w:lineRule="auto"/>
        <w:ind w:right="480"/>
        <w:jc w:val="center"/>
        <w:rPr>
          <w:rFonts w:ascii="宋体" w:hAnsi="宋体" w:cs="宋体"/>
          <w:b/>
          <w:color w:val="auto"/>
          <w:kern w:val="0"/>
          <w:sz w:val="32"/>
          <w:szCs w:val="32"/>
          <w:highlight w:val="none"/>
        </w:rPr>
      </w:pPr>
    </w:p>
    <w:p w14:paraId="4FC1AE33">
      <w:pPr>
        <w:snapToGrid w:val="0"/>
        <w:spacing w:line="360" w:lineRule="auto"/>
        <w:ind w:right="480"/>
        <w:jc w:val="center"/>
        <w:rPr>
          <w:rFonts w:ascii="宋体" w:hAnsi="宋体" w:cs="宋体"/>
          <w:b/>
          <w:color w:val="auto"/>
          <w:kern w:val="0"/>
          <w:sz w:val="32"/>
          <w:szCs w:val="32"/>
          <w:highlight w:val="none"/>
        </w:rPr>
      </w:pPr>
    </w:p>
    <w:p w14:paraId="5691C124">
      <w:pPr>
        <w:pStyle w:val="690"/>
        <w:keepNext w:val="0"/>
        <w:pageBreakBefore w:val="0"/>
        <w:tabs>
          <w:tab w:val="clear" w:pos="720"/>
        </w:tabs>
        <w:snapToGrid w:val="0"/>
        <w:spacing w:before="120" w:after="120"/>
        <w:jc w:val="both"/>
        <w:outlineLvl w:val="9"/>
        <w:rPr>
          <w:rFonts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1A29E7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0FC0FF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72B6F04">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B380398">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135E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71AC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604A4B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5D31C458">
            <w:pPr>
              <w:spacing w:line="360" w:lineRule="auto"/>
              <w:jc w:val="center"/>
              <w:rPr>
                <w:rFonts w:ascii="宋体" w:hAnsi="宋体" w:cs="宋体"/>
                <w:b/>
                <w:color w:val="auto"/>
                <w:sz w:val="24"/>
                <w:highlight w:val="none"/>
              </w:rPr>
            </w:pPr>
          </w:p>
          <w:p w14:paraId="479535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524AC5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37CE570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79EB920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001124D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2F1412AD">
            <w:pPr>
              <w:spacing w:line="360" w:lineRule="auto"/>
              <w:jc w:val="center"/>
              <w:rPr>
                <w:rFonts w:ascii="宋体" w:hAnsi="宋体" w:cs="宋体"/>
                <w:b/>
                <w:color w:val="auto"/>
                <w:sz w:val="24"/>
                <w:highlight w:val="none"/>
              </w:rPr>
            </w:pPr>
          </w:p>
          <w:p w14:paraId="124C217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851D322">
            <w:pPr>
              <w:spacing w:line="360" w:lineRule="auto"/>
              <w:jc w:val="center"/>
              <w:rPr>
                <w:rFonts w:ascii="宋体" w:hAnsi="宋体" w:cs="宋体"/>
                <w:b/>
                <w:color w:val="auto"/>
                <w:sz w:val="24"/>
                <w:highlight w:val="none"/>
              </w:rPr>
            </w:pPr>
          </w:p>
        </w:tc>
      </w:tr>
      <w:tr w14:paraId="6A8D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81BD0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6D4BF4E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E71F640">
            <w:pPr>
              <w:snapToGrid w:val="0"/>
              <w:spacing w:line="360" w:lineRule="auto"/>
              <w:jc w:val="center"/>
              <w:rPr>
                <w:rFonts w:ascii="宋体" w:hAnsi="宋体" w:cs="宋体"/>
                <w:color w:val="auto"/>
                <w:sz w:val="24"/>
                <w:highlight w:val="none"/>
              </w:rPr>
            </w:pPr>
          </w:p>
        </w:tc>
        <w:tc>
          <w:tcPr>
            <w:tcW w:w="3118" w:type="dxa"/>
            <w:vAlign w:val="center"/>
          </w:tcPr>
          <w:p w14:paraId="57E6BBD4">
            <w:pPr>
              <w:snapToGrid w:val="0"/>
              <w:spacing w:line="360" w:lineRule="auto"/>
              <w:jc w:val="center"/>
              <w:rPr>
                <w:rFonts w:ascii="宋体" w:hAnsi="宋体" w:cs="宋体"/>
                <w:color w:val="auto"/>
                <w:sz w:val="24"/>
                <w:highlight w:val="none"/>
              </w:rPr>
            </w:pPr>
          </w:p>
        </w:tc>
        <w:tc>
          <w:tcPr>
            <w:tcW w:w="993" w:type="dxa"/>
            <w:vAlign w:val="center"/>
          </w:tcPr>
          <w:p w14:paraId="347B2B41">
            <w:pPr>
              <w:snapToGrid w:val="0"/>
              <w:spacing w:line="360" w:lineRule="auto"/>
              <w:jc w:val="center"/>
              <w:rPr>
                <w:rFonts w:ascii="宋体" w:hAnsi="宋体" w:cs="宋体"/>
                <w:color w:val="auto"/>
                <w:sz w:val="24"/>
                <w:highlight w:val="none"/>
              </w:rPr>
            </w:pPr>
          </w:p>
        </w:tc>
        <w:tc>
          <w:tcPr>
            <w:tcW w:w="1559" w:type="dxa"/>
            <w:vAlign w:val="center"/>
          </w:tcPr>
          <w:p w14:paraId="73C82BE5">
            <w:pPr>
              <w:spacing w:line="360" w:lineRule="auto"/>
              <w:jc w:val="center"/>
              <w:rPr>
                <w:rFonts w:ascii="宋体" w:hAnsi="宋体" w:cs="宋体"/>
                <w:color w:val="auto"/>
                <w:sz w:val="24"/>
                <w:highlight w:val="none"/>
              </w:rPr>
            </w:pPr>
          </w:p>
        </w:tc>
        <w:tc>
          <w:tcPr>
            <w:tcW w:w="1984" w:type="dxa"/>
            <w:vAlign w:val="center"/>
          </w:tcPr>
          <w:p w14:paraId="34464F04">
            <w:pPr>
              <w:spacing w:line="360" w:lineRule="auto"/>
              <w:jc w:val="center"/>
              <w:rPr>
                <w:rFonts w:ascii="宋体" w:hAnsi="宋体" w:cs="宋体"/>
                <w:color w:val="auto"/>
                <w:sz w:val="24"/>
                <w:highlight w:val="none"/>
              </w:rPr>
            </w:pPr>
          </w:p>
        </w:tc>
        <w:tc>
          <w:tcPr>
            <w:tcW w:w="3119" w:type="dxa"/>
            <w:vAlign w:val="center"/>
          </w:tcPr>
          <w:p w14:paraId="7650BEB3">
            <w:pPr>
              <w:spacing w:line="360" w:lineRule="auto"/>
              <w:jc w:val="center"/>
              <w:rPr>
                <w:rFonts w:ascii="宋体" w:hAnsi="宋体" w:cs="宋体"/>
                <w:color w:val="auto"/>
                <w:sz w:val="24"/>
                <w:highlight w:val="none"/>
              </w:rPr>
            </w:pPr>
          </w:p>
        </w:tc>
      </w:tr>
      <w:tr w14:paraId="08D4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1422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537A13F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4468A25B">
            <w:pPr>
              <w:snapToGrid w:val="0"/>
              <w:spacing w:line="360" w:lineRule="auto"/>
              <w:jc w:val="center"/>
              <w:rPr>
                <w:rFonts w:ascii="宋体" w:hAnsi="宋体" w:cs="宋体"/>
                <w:color w:val="auto"/>
                <w:sz w:val="24"/>
                <w:highlight w:val="none"/>
              </w:rPr>
            </w:pPr>
          </w:p>
        </w:tc>
        <w:tc>
          <w:tcPr>
            <w:tcW w:w="3118" w:type="dxa"/>
            <w:vAlign w:val="center"/>
          </w:tcPr>
          <w:p w14:paraId="10B26077">
            <w:pPr>
              <w:snapToGrid w:val="0"/>
              <w:spacing w:line="360" w:lineRule="auto"/>
              <w:jc w:val="center"/>
              <w:rPr>
                <w:rFonts w:ascii="宋体" w:hAnsi="宋体" w:cs="宋体"/>
                <w:color w:val="auto"/>
                <w:sz w:val="24"/>
                <w:highlight w:val="none"/>
              </w:rPr>
            </w:pPr>
          </w:p>
        </w:tc>
        <w:tc>
          <w:tcPr>
            <w:tcW w:w="993" w:type="dxa"/>
            <w:vAlign w:val="center"/>
          </w:tcPr>
          <w:p w14:paraId="1700F45B">
            <w:pPr>
              <w:snapToGrid w:val="0"/>
              <w:spacing w:line="360" w:lineRule="auto"/>
              <w:jc w:val="center"/>
              <w:rPr>
                <w:rFonts w:ascii="宋体" w:hAnsi="宋体" w:cs="宋体"/>
                <w:color w:val="auto"/>
                <w:sz w:val="24"/>
                <w:highlight w:val="none"/>
              </w:rPr>
            </w:pPr>
          </w:p>
        </w:tc>
        <w:tc>
          <w:tcPr>
            <w:tcW w:w="1559" w:type="dxa"/>
            <w:vAlign w:val="center"/>
          </w:tcPr>
          <w:p w14:paraId="6EF4167F">
            <w:pPr>
              <w:spacing w:line="360" w:lineRule="auto"/>
              <w:jc w:val="center"/>
              <w:rPr>
                <w:rFonts w:ascii="宋体" w:hAnsi="宋体" w:cs="宋体"/>
                <w:color w:val="auto"/>
                <w:sz w:val="24"/>
                <w:highlight w:val="none"/>
              </w:rPr>
            </w:pPr>
          </w:p>
        </w:tc>
        <w:tc>
          <w:tcPr>
            <w:tcW w:w="1984" w:type="dxa"/>
            <w:vAlign w:val="center"/>
          </w:tcPr>
          <w:p w14:paraId="5E75E8D2">
            <w:pPr>
              <w:spacing w:line="360" w:lineRule="auto"/>
              <w:jc w:val="center"/>
              <w:rPr>
                <w:rFonts w:ascii="宋体" w:hAnsi="宋体" w:cs="宋体"/>
                <w:color w:val="auto"/>
                <w:sz w:val="24"/>
                <w:highlight w:val="none"/>
              </w:rPr>
            </w:pPr>
          </w:p>
        </w:tc>
        <w:tc>
          <w:tcPr>
            <w:tcW w:w="3119" w:type="dxa"/>
            <w:vAlign w:val="center"/>
          </w:tcPr>
          <w:p w14:paraId="401AFA92">
            <w:pPr>
              <w:spacing w:line="360" w:lineRule="auto"/>
              <w:jc w:val="center"/>
              <w:rPr>
                <w:rFonts w:ascii="宋体" w:hAnsi="宋体" w:cs="宋体"/>
                <w:color w:val="auto"/>
                <w:sz w:val="24"/>
                <w:highlight w:val="none"/>
              </w:rPr>
            </w:pPr>
          </w:p>
        </w:tc>
      </w:tr>
      <w:tr w14:paraId="47CF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57BA5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559C9FA1">
            <w:pPr>
              <w:snapToGrid w:val="0"/>
              <w:spacing w:line="360" w:lineRule="auto"/>
              <w:jc w:val="center"/>
              <w:rPr>
                <w:rFonts w:ascii="宋体" w:hAnsi="宋体" w:cs="宋体"/>
                <w:color w:val="auto"/>
                <w:sz w:val="24"/>
                <w:highlight w:val="none"/>
              </w:rPr>
            </w:pPr>
          </w:p>
        </w:tc>
        <w:tc>
          <w:tcPr>
            <w:tcW w:w="1843" w:type="dxa"/>
            <w:vAlign w:val="center"/>
          </w:tcPr>
          <w:p w14:paraId="4E652674">
            <w:pPr>
              <w:snapToGrid w:val="0"/>
              <w:spacing w:line="360" w:lineRule="auto"/>
              <w:jc w:val="center"/>
              <w:rPr>
                <w:rFonts w:ascii="宋体" w:hAnsi="宋体" w:cs="宋体"/>
                <w:color w:val="auto"/>
                <w:sz w:val="24"/>
                <w:highlight w:val="none"/>
              </w:rPr>
            </w:pPr>
          </w:p>
        </w:tc>
        <w:tc>
          <w:tcPr>
            <w:tcW w:w="3118" w:type="dxa"/>
            <w:vAlign w:val="center"/>
          </w:tcPr>
          <w:p w14:paraId="2E70FDC3">
            <w:pPr>
              <w:snapToGrid w:val="0"/>
              <w:spacing w:line="360" w:lineRule="auto"/>
              <w:jc w:val="center"/>
              <w:rPr>
                <w:rFonts w:ascii="宋体" w:hAnsi="宋体" w:cs="宋体"/>
                <w:color w:val="auto"/>
                <w:sz w:val="24"/>
                <w:highlight w:val="none"/>
              </w:rPr>
            </w:pPr>
          </w:p>
        </w:tc>
        <w:tc>
          <w:tcPr>
            <w:tcW w:w="993" w:type="dxa"/>
            <w:vAlign w:val="center"/>
          </w:tcPr>
          <w:p w14:paraId="225F2BDB">
            <w:pPr>
              <w:snapToGrid w:val="0"/>
              <w:spacing w:line="360" w:lineRule="auto"/>
              <w:jc w:val="center"/>
              <w:rPr>
                <w:rFonts w:ascii="宋体" w:hAnsi="宋体" w:cs="宋体"/>
                <w:color w:val="auto"/>
                <w:sz w:val="24"/>
                <w:highlight w:val="none"/>
              </w:rPr>
            </w:pPr>
          </w:p>
        </w:tc>
        <w:tc>
          <w:tcPr>
            <w:tcW w:w="1559" w:type="dxa"/>
            <w:vAlign w:val="center"/>
          </w:tcPr>
          <w:p w14:paraId="130D75AF">
            <w:pPr>
              <w:spacing w:line="360" w:lineRule="auto"/>
              <w:jc w:val="center"/>
              <w:rPr>
                <w:rFonts w:ascii="宋体" w:hAnsi="宋体" w:cs="宋体"/>
                <w:color w:val="auto"/>
                <w:sz w:val="24"/>
                <w:highlight w:val="none"/>
              </w:rPr>
            </w:pPr>
          </w:p>
        </w:tc>
        <w:tc>
          <w:tcPr>
            <w:tcW w:w="1984" w:type="dxa"/>
            <w:vAlign w:val="center"/>
          </w:tcPr>
          <w:p w14:paraId="776E7911">
            <w:pPr>
              <w:spacing w:line="360" w:lineRule="auto"/>
              <w:jc w:val="center"/>
              <w:rPr>
                <w:rFonts w:ascii="宋体" w:hAnsi="宋体" w:cs="宋体"/>
                <w:color w:val="auto"/>
                <w:sz w:val="24"/>
                <w:highlight w:val="none"/>
              </w:rPr>
            </w:pPr>
          </w:p>
        </w:tc>
        <w:tc>
          <w:tcPr>
            <w:tcW w:w="3119" w:type="dxa"/>
            <w:vAlign w:val="center"/>
          </w:tcPr>
          <w:p w14:paraId="37F8F449">
            <w:pPr>
              <w:spacing w:line="360" w:lineRule="auto"/>
              <w:jc w:val="center"/>
              <w:rPr>
                <w:rFonts w:ascii="宋体" w:hAnsi="宋体" w:cs="宋体"/>
                <w:color w:val="auto"/>
                <w:sz w:val="24"/>
                <w:highlight w:val="none"/>
              </w:rPr>
            </w:pPr>
          </w:p>
        </w:tc>
      </w:tr>
      <w:tr w14:paraId="260C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542BDF">
            <w:pPr>
              <w:spacing w:line="360" w:lineRule="auto"/>
              <w:jc w:val="center"/>
              <w:rPr>
                <w:rFonts w:ascii="宋体" w:hAnsi="宋体" w:cs="宋体"/>
                <w:color w:val="auto"/>
                <w:sz w:val="24"/>
                <w:highlight w:val="none"/>
              </w:rPr>
            </w:pPr>
          </w:p>
        </w:tc>
        <w:tc>
          <w:tcPr>
            <w:tcW w:w="1417" w:type="dxa"/>
            <w:vAlign w:val="center"/>
          </w:tcPr>
          <w:p w14:paraId="5D36298B">
            <w:pPr>
              <w:snapToGrid w:val="0"/>
              <w:spacing w:line="360" w:lineRule="auto"/>
              <w:jc w:val="center"/>
              <w:rPr>
                <w:rFonts w:ascii="宋体" w:hAnsi="宋体" w:cs="宋体"/>
                <w:color w:val="auto"/>
                <w:sz w:val="24"/>
                <w:highlight w:val="none"/>
              </w:rPr>
            </w:pPr>
          </w:p>
        </w:tc>
        <w:tc>
          <w:tcPr>
            <w:tcW w:w="1843" w:type="dxa"/>
            <w:vAlign w:val="center"/>
          </w:tcPr>
          <w:p w14:paraId="29807B4C">
            <w:pPr>
              <w:snapToGrid w:val="0"/>
              <w:spacing w:line="360" w:lineRule="auto"/>
              <w:jc w:val="center"/>
              <w:rPr>
                <w:rFonts w:ascii="宋体" w:hAnsi="宋体" w:cs="宋体"/>
                <w:color w:val="auto"/>
                <w:sz w:val="24"/>
                <w:highlight w:val="none"/>
              </w:rPr>
            </w:pPr>
          </w:p>
        </w:tc>
        <w:tc>
          <w:tcPr>
            <w:tcW w:w="3118" w:type="dxa"/>
            <w:vAlign w:val="center"/>
          </w:tcPr>
          <w:p w14:paraId="44A7C0A9">
            <w:pPr>
              <w:snapToGrid w:val="0"/>
              <w:spacing w:line="360" w:lineRule="auto"/>
              <w:jc w:val="center"/>
              <w:rPr>
                <w:rFonts w:ascii="宋体" w:hAnsi="宋体" w:cs="宋体"/>
                <w:color w:val="auto"/>
                <w:sz w:val="24"/>
                <w:highlight w:val="none"/>
              </w:rPr>
            </w:pPr>
          </w:p>
        </w:tc>
        <w:tc>
          <w:tcPr>
            <w:tcW w:w="993" w:type="dxa"/>
            <w:vAlign w:val="center"/>
          </w:tcPr>
          <w:p w14:paraId="318E1090">
            <w:pPr>
              <w:snapToGrid w:val="0"/>
              <w:spacing w:line="360" w:lineRule="auto"/>
              <w:jc w:val="center"/>
              <w:rPr>
                <w:rFonts w:ascii="宋体" w:hAnsi="宋体" w:cs="宋体"/>
                <w:color w:val="auto"/>
                <w:sz w:val="24"/>
                <w:highlight w:val="none"/>
              </w:rPr>
            </w:pPr>
          </w:p>
        </w:tc>
        <w:tc>
          <w:tcPr>
            <w:tcW w:w="1559" w:type="dxa"/>
            <w:vAlign w:val="center"/>
          </w:tcPr>
          <w:p w14:paraId="023F3E5E">
            <w:pPr>
              <w:spacing w:line="360" w:lineRule="auto"/>
              <w:jc w:val="center"/>
              <w:rPr>
                <w:rFonts w:ascii="宋体" w:hAnsi="宋体" w:cs="宋体"/>
                <w:color w:val="auto"/>
                <w:sz w:val="24"/>
                <w:highlight w:val="none"/>
              </w:rPr>
            </w:pPr>
          </w:p>
        </w:tc>
        <w:tc>
          <w:tcPr>
            <w:tcW w:w="1984" w:type="dxa"/>
            <w:vAlign w:val="center"/>
          </w:tcPr>
          <w:p w14:paraId="4A67444E">
            <w:pPr>
              <w:spacing w:line="360" w:lineRule="auto"/>
              <w:jc w:val="center"/>
              <w:rPr>
                <w:rFonts w:ascii="宋体" w:hAnsi="宋体" w:cs="宋体"/>
                <w:color w:val="auto"/>
                <w:sz w:val="24"/>
                <w:highlight w:val="none"/>
              </w:rPr>
            </w:pPr>
          </w:p>
        </w:tc>
        <w:tc>
          <w:tcPr>
            <w:tcW w:w="3119" w:type="dxa"/>
            <w:vAlign w:val="center"/>
          </w:tcPr>
          <w:p w14:paraId="1DEF4FDE">
            <w:pPr>
              <w:spacing w:line="360" w:lineRule="auto"/>
              <w:jc w:val="center"/>
              <w:rPr>
                <w:rFonts w:ascii="宋体" w:hAnsi="宋体" w:cs="宋体"/>
                <w:color w:val="auto"/>
                <w:sz w:val="24"/>
                <w:highlight w:val="none"/>
              </w:rPr>
            </w:pPr>
          </w:p>
        </w:tc>
      </w:tr>
      <w:tr w14:paraId="4C43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E69A7C">
            <w:pPr>
              <w:spacing w:line="360" w:lineRule="auto"/>
              <w:jc w:val="center"/>
              <w:rPr>
                <w:rFonts w:ascii="宋体" w:hAnsi="宋体" w:cs="宋体"/>
                <w:color w:val="auto"/>
                <w:sz w:val="24"/>
                <w:highlight w:val="none"/>
              </w:rPr>
            </w:pPr>
          </w:p>
        </w:tc>
        <w:tc>
          <w:tcPr>
            <w:tcW w:w="1417" w:type="dxa"/>
            <w:vAlign w:val="center"/>
          </w:tcPr>
          <w:p w14:paraId="0AFC20F4">
            <w:pPr>
              <w:snapToGrid w:val="0"/>
              <w:spacing w:line="360" w:lineRule="auto"/>
              <w:jc w:val="center"/>
              <w:rPr>
                <w:rFonts w:ascii="宋体" w:hAnsi="宋体" w:cs="宋体"/>
                <w:color w:val="auto"/>
                <w:sz w:val="24"/>
                <w:highlight w:val="none"/>
              </w:rPr>
            </w:pPr>
          </w:p>
        </w:tc>
        <w:tc>
          <w:tcPr>
            <w:tcW w:w="1843" w:type="dxa"/>
            <w:vAlign w:val="center"/>
          </w:tcPr>
          <w:p w14:paraId="31058D50">
            <w:pPr>
              <w:snapToGrid w:val="0"/>
              <w:spacing w:line="360" w:lineRule="auto"/>
              <w:jc w:val="center"/>
              <w:rPr>
                <w:rFonts w:ascii="宋体" w:hAnsi="宋体" w:cs="宋体"/>
                <w:color w:val="auto"/>
                <w:sz w:val="24"/>
                <w:highlight w:val="none"/>
              </w:rPr>
            </w:pPr>
          </w:p>
        </w:tc>
        <w:tc>
          <w:tcPr>
            <w:tcW w:w="3118" w:type="dxa"/>
            <w:vAlign w:val="center"/>
          </w:tcPr>
          <w:p w14:paraId="533CF86F">
            <w:pPr>
              <w:snapToGrid w:val="0"/>
              <w:spacing w:line="360" w:lineRule="auto"/>
              <w:jc w:val="center"/>
              <w:rPr>
                <w:rFonts w:ascii="宋体" w:hAnsi="宋体" w:cs="宋体"/>
                <w:color w:val="auto"/>
                <w:sz w:val="24"/>
                <w:highlight w:val="none"/>
              </w:rPr>
            </w:pPr>
          </w:p>
        </w:tc>
        <w:tc>
          <w:tcPr>
            <w:tcW w:w="993" w:type="dxa"/>
            <w:vAlign w:val="center"/>
          </w:tcPr>
          <w:p w14:paraId="413EE8F0">
            <w:pPr>
              <w:snapToGrid w:val="0"/>
              <w:spacing w:line="360" w:lineRule="auto"/>
              <w:jc w:val="center"/>
              <w:rPr>
                <w:rFonts w:ascii="宋体" w:hAnsi="宋体" w:cs="宋体"/>
                <w:color w:val="auto"/>
                <w:sz w:val="24"/>
                <w:highlight w:val="none"/>
              </w:rPr>
            </w:pPr>
          </w:p>
        </w:tc>
        <w:tc>
          <w:tcPr>
            <w:tcW w:w="1559" w:type="dxa"/>
            <w:vAlign w:val="center"/>
          </w:tcPr>
          <w:p w14:paraId="2A9F06D3">
            <w:pPr>
              <w:spacing w:line="360" w:lineRule="auto"/>
              <w:jc w:val="center"/>
              <w:rPr>
                <w:rFonts w:ascii="宋体" w:hAnsi="宋体" w:cs="宋体"/>
                <w:color w:val="auto"/>
                <w:sz w:val="24"/>
                <w:highlight w:val="none"/>
              </w:rPr>
            </w:pPr>
          </w:p>
        </w:tc>
        <w:tc>
          <w:tcPr>
            <w:tcW w:w="1984" w:type="dxa"/>
            <w:vAlign w:val="center"/>
          </w:tcPr>
          <w:p w14:paraId="1EB11577">
            <w:pPr>
              <w:spacing w:line="360" w:lineRule="auto"/>
              <w:jc w:val="center"/>
              <w:rPr>
                <w:rFonts w:ascii="宋体" w:hAnsi="宋体" w:cs="宋体"/>
                <w:color w:val="auto"/>
                <w:sz w:val="24"/>
                <w:highlight w:val="none"/>
              </w:rPr>
            </w:pPr>
          </w:p>
        </w:tc>
        <w:tc>
          <w:tcPr>
            <w:tcW w:w="3119" w:type="dxa"/>
            <w:vAlign w:val="center"/>
          </w:tcPr>
          <w:p w14:paraId="44EBF5E3">
            <w:pPr>
              <w:spacing w:line="360" w:lineRule="auto"/>
              <w:jc w:val="center"/>
              <w:rPr>
                <w:rFonts w:ascii="宋体" w:hAnsi="宋体" w:cs="宋体"/>
                <w:color w:val="auto"/>
                <w:sz w:val="24"/>
                <w:highlight w:val="none"/>
              </w:rPr>
            </w:pPr>
          </w:p>
        </w:tc>
      </w:tr>
      <w:tr w14:paraId="3865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DB03A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50A5DD58">
            <w:pPr>
              <w:spacing w:line="360" w:lineRule="auto"/>
              <w:jc w:val="center"/>
              <w:rPr>
                <w:rFonts w:ascii="宋体" w:hAnsi="宋体" w:cs="宋体"/>
                <w:color w:val="auto"/>
                <w:sz w:val="24"/>
                <w:highlight w:val="none"/>
              </w:rPr>
            </w:pPr>
          </w:p>
        </w:tc>
      </w:tr>
      <w:tr w14:paraId="2924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F3B1D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6C9D1536">
            <w:pPr>
              <w:spacing w:line="360" w:lineRule="auto"/>
              <w:jc w:val="center"/>
              <w:rPr>
                <w:rFonts w:ascii="宋体" w:hAnsi="宋体" w:cs="宋体"/>
                <w:color w:val="auto"/>
                <w:sz w:val="24"/>
                <w:highlight w:val="none"/>
              </w:rPr>
            </w:pPr>
          </w:p>
        </w:tc>
      </w:tr>
    </w:tbl>
    <w:p w14:paraId="0DAC133F">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5F54184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5C01FA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1D6C95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43BA5DF">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6CE158A1">
      <w:pPr>
        <w:pStyle w:val="690"/>
        <w:keepNext w:val="0"/>
        <w:pageBreakBefore w:val="0"/>
        <w:tabs>
          <w:tab w:val="clear" w:pos="720"/>
        </w:tabs>
        <w:snapToGrid w:val="0"/>
        <w:spacing w:before="120" w:after="120"/>
        <w:ind w:firstLine="643"/>
        <w:jc w:val="both"/>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23832736">
      <w:pPr>
        <w:pStyle w:val="690"/>
        <w:keepNext w:val="0"/>
        <w:pageBreakBefore w:val="0"/>
        <w:numPr>
          <w:ilvl w:val="-1"/>
          <w:numId w:val="0"/>
        </w:numPr>
        <w:tabs>
          <w:tab w:val="clear" w:pos="720"/>
        </w:tabs>
        <w:snapToGrid w:val="0"/>
        <w:spacing w:before="120" w:after="120"/>
        <w:ind w:firstLine="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283C1647">
      <w:pPr>
        <w:pStyle w:val="690"/>
        <w:keepNext w:val="0"/>
        <w:pageBreakBefore w:val="0"/>
        <w:tabs>
          <w:tab w:val="clear" w:pos="720"/>
        </w:tabs>
        <w:snapToGrid w:val="0"/>
        <w:spacing w:before="120" w:after="120"/>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2A5564EC">
      <w:pPr>
        <w:pStyle w:val="690"/>
        <w:keepNext w:val="0"/>
        <w:pageBreakBefore w:val="0"/>
        <w:tabs>
          <w:tab w:val="clear" w:pos="720"/>
        </w:tabs>
        <w:snapToGrid w:val="0"/>
        <w:spacing w:before="120" w:after="120"/>
        <w:jc w:val="center"/>
        <w:outlineLvl w:val="9"/>
        <w:rPr>
          <w:rFonts w:hint="eastAsia" w:ascii="宋体" w:hAnsi="宋体" w:eastAsia="宋体" w:cs="宋体"/>
          <w:color w:val="auto"/>
          <w:kern w:val="2"/>
          <w:sz w:val="32"/>
          <w:szCs w:val="32"/>
          <w:highlight w:val="none"/>
        </w:rPr>
      </w:pPr>
    </w:p>
    <w:p w14:paraId="31DD65A8">
      <w:pPr>
        <w:pStyle w:val="690"/>
        <w:keepNext w:val="0"/>
        <w:pageBreakBefore w:val="0"/>
        <w:tabs>
          <w:tab w:val="clear" w:pos="720"/>
        </w:tabs>
        <w:snapToGrid w:val="0"/>
        <w:spacing w:before="120" w:after="120"/>
        <w:jc w:val="center"/>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547" w:name="_Hlk101259491"/>
      <w:r>
        <w:rPr>
          <w:rFonts w:hint="eastAsia" w:ascii="宋体" w:hAnsi="宋体" w:eastAsia="宋体" w:cs="宋体"/>
          <w:color w:val="auto"/>
          <w:sz w:val="32"/>
          <w:szCs w:val="32"/>
          <w:highlight w:val="none"/>
        </w:rPr>
        <w:t>（如果有）</w:t>
      </w:r>
      <w:bookmarkEnd w:id="547"/>
    </w:p>
    <w:p w14:paraId="5DAE43F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A28CB39">
      <w:pPr>
        <w:spacing w:line="360" w:lineRule="auto"/>
        <w:ind w:right="420"/>
        <w:rPr>
          <w:rFonts w:ascii="宋体" w:hAnsi="宋体" w:cs="宋体"/>
          <w:b/>
          <w:color w:val="auto"/>
          <w:kern w:val="0"/>
          <w:sz w:val="36"/>
          <w:szCs w:val="36"/>
          <w:highlight w:val="none"/>
        </w:rPr>
      </w:pPr>
    </w:p>
    <w:p w14:paraId="60D487C8">
      <w:pPr>
        <w:pStyle w:val="2"/>
        <w:keepNext w:val="0"/>
        <w:keepLines w:val="0"/>
        <w:pageBreakBefore/>
        <w:widowControl/>
        <w:spacing w:before="100" w:beforeAutospacing="1" w:after="100" w:afterAutospacing="1" w:line="360" w:lineRule="auto"/>
        <w:ind w:left="0" w:leftChars="0" w:firstLine="0" w:firstLineChars="0"/>
        <w:jc w:val="center"/>
        <w:rPr>
          <w:rFonts w:ascii="宋体" w:hAnsi="宋体" w:cs="宋体"/>
          <w:color w:val="auto"/>
          <w:sz w:val="32"/>
          <w:szCs w:val="32"/>
          <w:highlight w:val="none"/>
        </w:rPr>
      </w:pPr>
      <w:bookmarkStart w:id="548" w:name="_Toc465665161"/>
      <w:r>
        <w:rPr>
          <w:rFonts w:hint="eastAsia" w:ascii="宋体" w:hAnsi="宋体" w:cs="宋体"/>
          <w:color w:val="auto"/>
          <w:sz w:val="32"/>
          <w:szCs w:val="32"/>
          <w:highlight w:val="none"/>
        </w:rPr>
        <w:t>附件</w:t>
      </w:r>
      <w:bookmarkEnd w:id="548"/>
    </w:p>
    <w:p w14:paraId="0F90069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347ABEC1">
      <w:pPr>
        <w:spacing w:line="360" w:lineRule="auto"/>
        <w:jc w:val="center"/>
        <w:rPr>
          <w:rFonts w:ascii="宋体" w:hAnsi="宋体" w:cs="宋体"/>
          <w:b/>
          <w:color w:val="auto"/>
          <w:spacing w:val="6"/>
          <w:sz w:val="32"/>
          <w:szCs w:val="32"/>
          <w:highlight w:val="none"/>
        </w:rPr>
      </w:pPr>
      <w:bookmarkStart w:id="549" w:name="OLE_LINK13"/>
      <w:bookmarkStart w:id="550" w:name="OLE_LINK14"/>
      <w:r>
        <w:rPr>
          <w:rFonts w:hint="eastAsia" w:ascii="宋体" w:hAnsi="宋体" w:cs="宋体"/>
          <w:b/>
          <w:color w:val="auto"/>
          <w:spacing w:val="6"/>
          <w:sz w:val="32"/>
          <w:szCs w:val="32"/>
          <w:highlight w:val="none"/>
        </w:rPr>
        <w:t>残疾人福利性单位声明函</w:t>
      </w:r>
    </w:p>
    <w:bookmarkEnd w:id="549"/>
    <w:bookmarkEnd w:id="550"/>
    <w:p w14:paraId="6C507238">
      <w:pPr>
        <w:spacing w:line="360" w:lineRule="auto"/>
        <w:rPr>
          <w:rFonts w:ascii="宋体" w:hAnsi="宋体" w:cs="宋体"/>
          <w:b/>
          <w:color w:val="auto"/>
          <w:spacing w:val="6"/>
          <w:sz w:val="30"/>
          <w:szCs w:val="30"/>
          <w:highlight w:val="none"/>
        </w:rPr>
      </w:pPr>
    </w:p>
    <w:p w14:paraId="661CBE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391A8A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B6A2465">
      <w:pPr>
        <w:spacing w:line="360" w:lineRule="auto"/>
        <w:ind w:firstLine="480" w:firstLineChars="200"/>
        <w:rPr>
          <w:rFonts w:ascii="宋体" w:hAnsi="宋体" w:cs="宋体"/>
          <w:color w:val="auto"/>
          <w:sz w:val="24"/>
          <w:highlight w:val="none"/>
        </w:rPr>
      </w:pPr>
    </w:p>
    <w:p w14:paraId="1C8FB89B">
      <w:pPr>
        <w:spacing w:line="360" w:lineRule="auto"/>
        <w:ind w:firstLine="480" w:firstLineChars="200"/>
        <w:rPr>
          <w:rFonts w:ascii="宋体" w:hAnsi="宋体" w:cs="宋体"/>
          <w:color w:val="auto"/>
          <w:sz w:val="24"/>
          <w:highlight w:val="none"/>
        </w:rPr>
      </w:pPr>
    </w:p>
    <w:p w14:paraId="535FADE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D3F33A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07913A41">
      <w:pPr>
        <w:spacing w:line="360" w:lineRule="auto"/>
        <w:ind w:firstLine="480" w:firstLineChars="200"/>
        <w:rPr>
          <w:rFonts w:ascii="宋体" w:hAnsi="宋体" w:cs="宋体"/>
          <w:color w:val="auto"/>
          <w:sz w:val="24"/>
          <w:highlight w:val="none"/>
        </w:rPr>
      </w:pPr>
    </w:p>
    <w:p w14:paraId="2D9648A8">
      <w:pPr>
        <w:spacing w:line="360" w:lineRule="auto"/>
        <w:ind w:firstLine="420" w:firstLineChars="200"/>
        <w:rPr>
          <w:rFonts w:ascii="宋体" w:hAnsi="宋体" w:cs="宋体"/>
          <w:color w:val="auto"/>
          <w:highlight w:val="none"/>
        </w:rPr>
      </w:pPr>
    </w:p>
    <w:p w14:paraId="05C09BB0">
      <w:pPr>
        <w:spacing w:line="360" w:lineRule="auto"/>
        <w:ind w:firstLine="420" w:firstLineChars="200"/>
        <w:rPr>
          <w:rFonts w:ascii="宋体" w:hAnsi="宋体" w:cs="宋体"/>
          <w:color w:val="auto"/>
          <w:highlight w:val="none"/>
        </w:rPr>
      </w:pPr>
    </w:p>
    <w:p w14:paraId="42FAC3EA">
      <w:pPr>
        <w:spacing w:line="360" w:lineRule="auto"/>
        <w:ind w:firstLine="420" w:firstLineChars="200"/>
        <w:rPr>
          <w:rFonts w:ascii="宋体" w:hAnsi="宋体" w:cs="宋体"/>
          <w:color w:val="auto"/>
          <w:highlight w:val="none"/>
        </w:rPr>
      </w:pPr>
    </w:p>
    <w:p w14:paraId="231CCF4B">
      <w:pPr>
        <w:spacing w:line="360" w:lineRule="auto"/>
        <w:ind w:firstLine="420" w:firstLineChars="200"/>
        <w:rPr>
          <w:rFonts w:ascii="宋体" w:hAnsi="宋体" w:cs="宋体"/>
          <w:color w:val="auto"/>
          <w:highlight w:val="none"/>
        </w:rPr>
      </w:pPr>
    </w:p>
    <w:p w14:paraId="500392A3">
      <w:pPr>
        <w:spacing w:line="360" w:lineRule="auto"/>
        <w:rPr>
          <w:rFonts w:ascii="宋体" w:hAnsi="宋体" w:cs="宋体"/>
          <w:b/>
          <w:color w:val="auto"/>
          <w:sz w:val="24"/>
          <w:highlight w:val="none"/>
        </w:rPr>
      </w:pPr>
    </w:p>
    <w:p w14:paraId="19D42EF3">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9D2D6D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304C3E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966968A">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612F9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2D3C0A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D57A48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810F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7CFB43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2829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87F61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C70B92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0F5B09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889CD7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EFED64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097FE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D25D7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318BDD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84867D3">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65ECB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C0096E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9D00E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D8BCF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B5BBB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5623C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BACF3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3C7CE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EF0871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453F1F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96B6E3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5AED1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3D34F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186A20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0B8C7E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17D16F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AD6ACD7">
      <w:pPr>
        <w:spacing w:line="360" w:lineRule="auto"/>
        <w:jc w:val="center"/>
        <w:rPr>
          <w:rFonts w:ascii="宋体" w:hAnsi="宋体" w:cs="宋体"/>
          <w:b/>
          <w:color w:val="auto"/>
          <w:sz w:val="24"/>
          <w:highlight w:val="none"/>
        </w:rPr>
      </w:pPr>
      <w:r>
        <w:rPr>
          <w:rFonts w:hint="eastAsia" w:ascii="宋体" w:hAnsi="宋体" w:cs="宋体"/>
          <w:b/>
          <w:color w:val="auto"/>
          <w:spacing w:val="6"/>
          <w:sz w:val="32"/>
          <w:szCs w:val="32"/>
          <w:highlight w:val="none"/>
        </w:rPr>
        <w:t>附件3：投诉书范本及制作说明</w:t>
      </w:r>
    </w:p>
    <w:p w14:paraId="6373C8B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06A0CF28">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64413CB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952D2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8D4DE14">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AD89E9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A277F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9B6FE7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F12DF8E">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A6979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D6B04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30A15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270A54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1AF76C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B46F4B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4EAB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03124AC">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23FBA8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5F4F4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6DBDAF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4BC27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F4D112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1DAA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5862B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4DBB7F1">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594AB1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6A39C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7BCD5F6">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3D25D3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7721FF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5697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A534B5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F9F3D5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70249DD">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726941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B53A644">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404262A">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9764D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6CFAF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99EA2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4524FEB">
      <w:pPr>
        <w:spacing w:line="360" w:lineRule="auto"/>
        <w:rPr>
          <w:rFonts w:ascii="宋体" w:hAnsi="宋体" w:cs="宋体"/>
          <w:b/>
          <w:color w:val="auto"/>
          <w:sz w:val="24"/>
          <w:highlight w:val="none"/>
        </w:rPr>
      </w:pPr>
    </w:p>
    <w:p w14:paraId="591C8A22">
      <w:pPr>
        <w:spacing w:line="360" w:lineRule="auto"/>
        <w:rPr>
          <w:rFonts w:ascii="宋体" w:hAnsi="宋体" w:cs="宋体"/>
          <w:b/>
          <w:color w:val="auto"/>
          <w:sz w:val="24"/>
          <w:highlight w:val="none"/>
        </w:rPr>
      </w:pPr>
    </w:p>
    <w:p w14:paraId="6ABC4DDE">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706FC30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9CCC86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27AC6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8817B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566E6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DF1911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6423758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3DE5DDF">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5109A70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9D3D252">
      <w:pPr>
        <w:spacing w:line="360" w:lineRule="auto"/>
        <w:rPr>
          <w:rFonts w:ascii="宋体" w:hAnsi="宋体" w:cs="宋体"/>
          <w:color w:val="auto"/>
          <w:sz w:val="24"/>
          <w:highlight w:val="none"/>
          <w:u w:val="single"/>
        </w:rPr>
      </w:pPr>
    </w:p>
    <w:p w14:paraId="750E0A4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163012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462F3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19C431F">
      <w:pPr>
        <w:spacing w:line="360" w:lineRule="auto"/>
        <w:ind w:firstLine="494"/>
        <w:rPr>
          <w:rFonts w:ascii="宋体" w:hAnsi="宋体" w:cs="宋体"/>
          <w:color w:val="auto"/>
          <w:sz w:val="24"/>
          <w:highlight w:val="none"/>
        </w:rPr>
      </w:pPr>
    </w:p>
    <w:p w14:paraId="25F9A85C">
      <w:pPr>
        <w:spacing w:line="360" w:lineRule="auto"/>
        <w:ind w:firstLine="494"/>
        <w:rPr>
          <w:rFonts w:ascii="宋体" w:hAnsi="宋体" w:cs="宋体"/>
          <w:color w:val="auto"/>
          <w:sz w:val="24"/>
          <w:highlight w:val="none"/>
        </w:rPr>
      </w:pPr>
    </w:p>
    <w:p w14:paraId="1248C7F6">
      <w:pPr>
        <w:spacing w:line="360" w:lineRule="auto"/>
        <w:ind w:firstLine="494"/>
        <w:rPr>
          <w:rFonts w:ascii="宋体" w:hAnsi="宋体" w:cs="宋体"/>
          <w:color w:val="auto"/>
          <w:sz w:val="24"/>
          <w:highlight w:val="none"/>
        </w:rPr>
      </w:pPr>
    </w:p>
    <w:p w14:paraId="2EABC3B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17B5AD4">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F706D8C">
      <w:pPr>
        <w:rPr>
          <w:rFonts w:ascii="宋体" w:hAnsi="宋体" w:cs="宋体"/>
          <w:color w:val="auto"/>
          <w:sz w:val="24"/>
          <w:highlight w:val="none"/>
        </w:rPr>
      </w:pPr>
      <w:r>
        <w:rPr>
          <w:rFonts w:hint="eastAsia" w:ascii="宋体" w:hAnsi="宋体" w:cs="宋体"/>
          <w:b/>
          <w:bCs/>
          <w:color w:val="auto"/>
          <w:sz w:val="24"/>
          <w:highlight w:val="none"/>
        </w:rPr>
        <w:t>附：</w:t>
      </w:r>
    </w:p>
    <w:p w14:paraId="56C03A7C">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C80BC41">
      <w:pPr>
        <w:autoSpaceDE w:val="0"/>
        <w:autoSpaceDN w:val="0"/>
        <w:jc w:val="center"/>
        <w:rPr>
          <w:rFonts w:ascii="宋体" w:hAnsi="宋体" w:cs="宋体"/>
          <w:b/>
          <w:color w:val="auto"/>
          <w:spacing w:val="6"/>
          <w:sz w:val="32"/>
          <w:szCs w:val="32"/>
          <w:highlight w:val="none"/>
        </w:rPr>
      </w:pPr>
    </w:p>
    <w:p w14:paraId="7C840820">
      <w:pPr>
        <w:autoSpaceDE w:val="0"/>
        <w:autoSpaceDN w:val="0"/>
        <w:jc w:val="center"/>
        <w:rPr>
          <w:rFonts w:ascii="宋体" w:hAnsi="宋体" w:cs="宋体"/>
          <w:b/>
          <w:color w:val="auto"/>
          <w:spacing w:val="6"/>
          <w:sz w:val="32"/>
          <w:szCs w:val="32"/>
          <w:highlight w:val="none"/>
        </w:rPr>
      </w:pPr>
    </w:p>
    <w:p w14:paraId="1C87EA73">
      <w:pPr>
        <w:autoSpaceDE w:val="0"/>
        <w:autoSpaceDN w:val="0"/>
        <w:jc w:val="center"/>
        <w:rPr>
          <w:rFonts w:ascii="宋体" w:hAnsi="宋体" w:cs="宋体"/>
          <w:b/>
          <w:color w:val="auto"/>
          <w:spacing w:val="6"/>
          <w:sz w:val="32"/>
          <w:szCs w:val="32"/>
          <w:highlight w:val="none"/>
        </w:rPr>
      </w:pPr>
    </w:p>
    <w:p w14:paraId="595C79FC">
      <w:pPr>
        <w:autoSpaceDE w:val="0"/>
        <w:autoSpaceDN w:val="0"/>
        <w:jc w:val="center"/>
        <w:rPr>
          <w:rFonts w:ascii="宋体" w:hAnsi="宋体" w:cs="宋体"/>
          <w:b/>
          <w:color w:val="auto"/>
          <w:spacing w:val="6"/>
          <w:sz w:val="32"/>
          <w:szCs w:val="32"/>
          <w:highlight w:val="none"/>
        </w:rPr>
      </w:pPr>
    </w:p>
    <w:p w14:paraId="694F37E4">
      <w:pPr>
        <w:autoSpaceDE w:val="0"/>
        <w:autoSpaceDN w:val="0"/>
        <w:jc w:val="center"/>
        <w:rPr>
          <w:rFonts w:ascii="宋体" w:hAnsi="宋体" w:cs="宋体"/>
          <w:b/>
          <w:color w:val="auto"/>
          <w:spacing w:val="6"/>
          <w:sz w:val="32"/>
          <w:szCs w:val="32"/>
          <w:highlight w:val="none"/>
        </w:rPr>
      </w:pPr>
    </w:p>
    <w:p w14:paraId="24134478">
      <w:pPr>
        <w:autoSpaceDE w:val="0"/>
        <w:autoSpaceDN w:val="0"/>
        <w:jc w:val="center"/>
        <w:rPr>
          <w:rFonts w:ascii="宋体" w:hAnsi="宋体" w:cs="宋体"/>
          <w:b/>
          <w:color w:val="auto"/>
          <w:spacing w:val="6"/>
          <w:sz w:val="32"/>
          <w:szCs w:val="32"/>
          <w:highlight w:val="none"/>
        </w:rPr>
      </w:pPr>
    </w:p>
    <w:p w14:paraId="3960AA5D">
      <w:pPr>
        <w:autoSpaceDE w:val="0"/>
        <w:autoSpaceDN w:val="0"/>
        <w:jc w:val="center"/>
        <w:rPr>
          <w:rFonts w:ascii="宋体" w:hAnsi="宋体" w:cs="宋体"/>
          <w:b/>
          <w:color w:val="auto"/>
          <w:spacing w:val="6"/>
          <w:sz w:val="32"/>
          <w:szCs w:val="32"/>
          <w:highlight w:val="none"/>
        </w:rPr>
      </w:pPr>
    </w:p>
    <w:p w14:paraId="7B54B1DA">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5385B5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6A27DE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0113F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44A39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453CA73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271D8AC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C657C2F">
      <w:pPr>
        <w:snapToGrid w:val="0"/>
        <w:spacing w:line="360" w:lineRule="auto"/>
        <w:ind w:firstLine="576"/>
        <w:rPr>
          <w:rFonts w:ascii="宋体" w:hAnsi="宋体" w:cs="宋体"/>
          <w:color w:val="auto"/>
          <w:kern w:val="0"/>
          <w:sz w:val="24"/>
          <w:highlight w:val="none"/>
          <w:lang w:val="zh-CN"/>
        </w:rPr>
      </w:pPr>
      <w:bookmarkStart w:id="551"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ACDC7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CEF90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51"/>
    <w:p w14:paraId="2A1E7F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r>
        <w:rPr>
          <w:rFonts w:hint="eastAsia" w:ascii="宋体" w:hAnsi="宋体" w:cs="宋体"/>
          <w:color w:val="auto"/>
          <w:kern w:val="0"/>
          <w:sz w:val="24"/>
          <w:highlight w:val="none"/>
          <w:lang w:val="en-US" w:eastAsia="zh-CN"/>
        </w:rPr>
        <w:t>根据项目具体情况二选一填写）</w:t>
      </w:r>
      <w:r>
        <w:rPr>
          <w:rFonts w:hint="eastAsia" w:ascii="宋体" w:hAnsi="宋体" w:cs="宋体"/>
          <w:color w:val="auto"/>
          <w:kern w:val="0"/>
          <w:sz w:val="24"/>
          <w:highlight w:val="none"/>
          <w:lang w:val="zh-CN"/>
        </w:rPr>
        <w:t>。</w:t>
      </w:r>
    </w:p>
    <w:p w14:paraId="4B022FCC">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790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BFF8762">
      <w:pPr>
        <w:snapToGrid w:val="0"/>
        <w:spacing w:line="360" w:lineRule="auto"/>
        <w:ind w:firstLine="576"/>
        <w:rPr>
          <w:rFonts w:ascii="宋体" w:hAnsi="宋体" w:cs="宋体"/>
          <w:color w:val="auto"/>
          <w:kern w:val="0"/>
          <w:sz w:val="24"/>
          <w:highlight w:val="none"/>
          <w:lang w:val="zh-CN"/>
        </w:rPr>
      </w:pPr>
      <w:sdt>
        <w:sdtPr>
          <w:rPr>
            <w:rFonts w:hint="eastAsia" w:ascii="宋体" w:hAnsi="宋体" w:cs="宋体"/>
            <w:color w:val="auto"/>
            <w:kern w:val="0"/>
            <w:sz w:val="24"/>
            <w:highlight w:val="none"/>
          </w:rPr>
          <w:id w:val="1474705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2C618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CB28C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4C09E5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947EF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52DA14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44580CD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E2EC4A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D976E1">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783C41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CDA941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05FE4C7">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6DDBFA5">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4325739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27F9506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766B14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w:t>
      </w:r>
      <w:r>
        <w:rPr>
          <w:rFonts w:hint="eastAsia" w:ascii="宋体" w:hAnsi="宋体" w:cs="宋体"/>
          <w:color w:val="auto"/>
          <w:kern w:val="0"/>
          <w:sz w:val="24"/>
          <w:highlight w:val="none"/>
          <w:u w:val="single"/>
          <w:lang w:val="zh-CN"/>
        </w:rPr>
        <w:t>（投标人名称）</w:t>
      </w:r>
      <w:r>
        <w:rPr>
          <w:rFonts w:hint="eastAsia" w:ascii="宋体" w:hAnsi="宋体" w:cs="宋体"/>
          <w:color w:val="auto"/>
          <w:kern w:val="0"/>
          <w:sz w:val="24"/>
          <w:highlight w:val="none"/>
          <w:u w:val="none"/>
          <w:lang w:val="zh-CN"/>
        </w:rPr>
        <w:t>将工作</w:t>
      </w:r>
      <w:r>
        <w:rPr>
          <w:rFonts w:hint="eastAsia" w:ascii="宋体" w:hAnsi="宋体" w:cs="宋体"/>
          <w:color w:val="auto"/>
          <w:kern w:val="0"/>
          <w:sz w:val="24"/>
          <w:highlight w:val="none"/>
          <w:lang w:val="zh-CN"/>
        </w:rPr>
        <w:t>分包如下：</w:t>
      </w:r>
      <w:r>
        <w:rPr>
          <w:rFonts w:hint="eastAsia" w:ascii="宋体" w:hAnsi="宋体" w:cs="宋体"/>
          <w:b/>
          <w:bCs/>
          <w:i/>
          <w:iCs/>
          <w:color w:val="auto"/>
          <w:kern w:val="0"/>
          <w:sz w:val="24"/>
          <w:szCs w:val="24"/>
          <w:highlight w:val="none"/>
          <w:lang w:val="zh-CN"/>
        </w:rPr>
        <w:t>（注：投标人只能将招标文件第二部分中“前附表”的“分包”规定的工作进行分包）</w:t>
      </w:r>
    </w:p>
    <w:p w14:paraId="410BBD1A">
      <w:pPr>
        <w:snapToGrid w:val="0"/>
        <w:spacing w:line="360" w:lineRule="auto"/>
        <w:ind w:firstLine="576"/>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u w:val="single"/>
          <w:lang w:eastAsia="zh-CN"/>
        </w:rPr>
        <w:t>；</w:t>
      </w:r>
    </w:p>
    <w:p w14:paraId="519C3309">
      <w:pPr>
        <w:snapToGrid w:val="0"/>
        <w:spacing w:line="360" w:lineRule="auto"/>
        <w:ind w:firstLine="576"/>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u w:val="single"/>
          <w:lang w:eastAsia="zh-CN"/>
        </w:rPr>
        <w:t>；</w:t>
      </w:r>
    </w:p>
    <w:p w14:paraId="70AF8AE1">
      <w:pPr>
        <w:pStyle w:val="3"/>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0D0F117F">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highlight w:val="none"/>
          <w:u w:val="none"/>
          <w:lang w:eastAsia="zh-CN"/>
        </w:rPr>
        <w:t>以上分包供应商</w:t>
      </w:r>
      <w:r>
        <w:rPr>
          <w:rFonts w:hint="eastAsia" w:ascii="宋体" w:hAnsi="宋体" w:eastAsia="宋体" w:cs="宋体"/>
          <w:color w:val="auto"/>
          <w:kern w:val="0"/>
          <w:sz w:val="24"/>
          <w:highlight w:val="none"/>
          <w:u w:val="none"/>
          <w:lang w:val="zh-CN"/>
        </w:rPr>
        <w:t>具备所承</w:t>
      </w:r>
      <w:r>
        <w:rPr>
          <w:rFonts w:hint="eastAsia" w:ascii="宋体" w:hAnsi="宋体" w:eastAsia="宋体" w:cs="宋体"/>
          <w:color w:val="auto"/>
          <w:kern w:val="0"/>
          <w:sz w:val="24"/>
          <w:highlight w:val="none"/>
          <w:u w:val="none"/>
        </w:rPr>
        <w:t>担</w:t>
      </w:r>
      <w:r>
        <w:rPr>
          <w:rFonts w:hint="eastAsia" w:ascii="宋体" w:hAnsi="宋体" w:eastAsia="宋体" w:cs="宋体"/>
          <w:color w:val="auto"/>
          <w:kern w:val="0"/>
          <w:sz w:val="24"/>
          <w:highlight w:val="none"/>
          <w:u w:val="none"/>
          <w:lang w:val="zh-CN"/>
        </w:rPr>
        <w:t>分包工作内容相应的资质条件且不得再次分包。</w:t>
      </w:r>
    </w:p>
    <w:p w14:paraId="4417A7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r>
        <w:rPr>
          <w:rFonts w:hint="eastAsia" w:ascii="宋体" w:hAnsi="宋体" w:cs="宋体"/>
          <w:color w:val="auto"/>
          <w:kern w:val="0"/>
          <w:sz w:val="24"/>
          <w:highlight w:val="none"/>
          <w:lang w:val="en-US" w:eastAsia="zh-CN"/>
        </w:rPr>
        <w:t>根据项目具体情况二选一填写）。</w:t>
      </w:r>
    </w:p>
    <w:p w14:paraId="1CCE1924">
      <w:pPr>
        <w:snapToGrid w:val="0"/>
        <w:spacing w:line="360" w:lineRule="auto"/>
        <w:ind w:firstLine="576"/>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4745921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F905EDA">
      <w:pPr>
        <w:spacing w:line="360" w:lineRule="auto"/>
        <w:ind w:firstLine="480" w:firstLineChars="200"/>
        <w:rPr>
          <w:rFonts w:ascii="宋体" w:hAnsi="宋体" w:cs="宋体"/>
          <w:b/>
          <w:bCs/>
          <w:color w:val="auto"/>
          <w:kern w:val="0"/>
          <w:sz w:val="24"/>
          <w:highlight w:val="none"/>
          <w:lang w:val="zh-CN"/>
        </w:rPr>
      </w:pPr>
      <w:sdt>
        <w:sdtPr>
          <w:rPr>
            <w:rFonts w:hint="eastAsia" w:ascii="宋体" w:hAnsi="宋体" w:cs="宋体"/>
            <w:color w:val="auto"/>
            <w:kern w:val="0"/>
            <w:sz w:val="24"/>
            <w:highlight w:val="none"/>
          </w:rPr>
          <w:id w:val="147466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 xml:space="preserve"> </w:t>
      </w:r>
      <w:bookmarkStart w:id="552"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其中</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中中小企业、其中小微企业合同金额应当达到的比例要求填写。</w:t>
      </w:r>
      <w:r>
        <w:rPr>
          <w:rFonts w:hint="eastAsia" w:ascii="宋体" w:hAnsi="宋体" w:cs="宋体"/>
          <w:b/>
          <w:bCs/>
          <w:color w:val="auto"/>
          <w:kern w:val="0"/>
          <w:sz w:val="24"/>
          <w:highlight w:val="none"/>
          <w:lang w:val="zh-CN"/>
        </w:rPr>
        <w:t>）</w:t>
      </w:r>
      <w:bookmarkEnd w:id="552"/>
    </w:p>
    <w:p w14:paraId="2153B5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DDF62DD">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71DFE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208E2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4C9490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12DDC8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482853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29FCB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1040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2DD1469">
      <w:pPr>
        <w:snapToGrid w:val="0"/>
        <w:spacing w:line="360" w:lineRule="auto"/>
        <w:ind w:left="770" w:leftChars="342" w:hanging="52" w:hangingChars="25"/>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八、其他</w:t>
      </w:r>
    </w:p>
    <w:p w14:paraId="52470222">
      <w:pPr>
        <w:snapToGrid w:val="0"/>
        <w:spacing w:line="360" w:lineRule="auto"/>
        <w:ind w:left="5128" w:leftChars="342" w:hanging="4410" w:hangingChars="210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 xml:space="preserve"> 投标人名称(电子签名)：</w:t>
      </w:r>
    </w:p>
    <w:p w14:paraId="32EFAEA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68D2F3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8F1096A">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1280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4835B0">
      <w:pPr>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br w:type="page"/>
      </w:r>
    </w:p>
    <w:p w14:paraId="21D02E87">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072B8C4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FF63C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none"/>
        </w:rPr>
        <w:t xml:space="preserve"> </w:t>
      </w:r>
      <w:r>
        <w:rPr>
          <w:rFonts w:hint="eastAsia" w:ascii="宋体" w:hAnsi="宋体" w:cs="宋体"/>
          <w:color w:val="auto"/>
          <w:sz w:val="24"/>
          <w:highlight w:val="none"/>
          <w:u w:val="single"/>
        </w:rPr>
        <w:t>杭州市萧山区第一人民医院</w:t>
      </w:r>
      <w:r>
        <w:rPr>
          <w:rFonts w:hint="eastAsia" w:ascii="宋体" w:hAnsi="宋体" w:cs="宋体"/>
          <w:color w:val="auto"/>
          <w:sz w:val="24"/>
          <w:highlight w:val="none"/>
          <w:u w:val="none"/>
        </w:rPr>
        <w:t xml:space="preserve">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杭州市萧山区第一人民医院超融合（信创）政府采购项目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61598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国产化服务器（DMZ）</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8B642F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国产化服务器（内网）</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650419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存储交换机（DMZ）</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01C65EE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业务交换机（内网）</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73B03C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lang w:val="en-US" w:eastAsia="zh-CN"/>
        </w:rPr>
        <w:t>管理</w:t>
      </w:r>
      <w:r>
        <w:rPr>
          <w:rFonts w:hint="eastAsia" w:ascii="宋体" w:hAnsi="宋体" w:cs="宋体"/>
          <w:color w:val="auto"/>
          <w:sz w:val="24"/>
          <w:highlight w:val="none"/>
          <w:u w:val="single"/>
        </w:rPr>
        <w:t>交换机（内网）</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①</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rPr>
        <w:t>② （中型企业、小型企业、微型企业）</w:t>
      </w:r>
      <w:r>
        <w:rPr>
          <w:rFonts w:hint="eastAsia" w:ascii="宋体" w:hAnsi="宋体" w:cs="宋体"/>
          <w:color w:val="auto"/>
          <w:sz w:val="24"/>
          <w:highlight w:val="none"/>
        </w:rPr>
        <w:t>；</w:t>
      </w:r>
    </w:p>
    <w:p w14:paraId="50353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422CF2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2257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7E9E69FB">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C24A7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BB0EF2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3FAC7639">
      <w:pPr>
        <w:numPr>
          <w:ilvl w:val="0"/>
          <w:numId w:val="0"/>
        </w:numPr>
        <w:spacing w:line="360" w:lineRule="auto"/>
        <w:ind w:right="420" w:rightChars="0" w:firstLine="420" w:firstLineChars="0"/>
        <w:rPr>
          <w:rFonts w:hint="eastAsia"/>
          <w:color w:val="auto"/>
          <w:highlight w:val="none"/>
          <w:lang w:eastAsia="zh-CN"/>
        </w:rPr>
      </w:pPr>
      <w:r>
        <w:rPr>
          <w:rFonts w:hint="eastAsia" w:ascii="宋体" w:hAnsi="宋体" w:cs="宋体"/>
          <w:color w:val="auto"/>
          <w:sz w:val="24"/>
          <w:highlight w:val="none"/>
          <w:lang w:val="en-US" w:eastAsia="zh-CN"/>
        </w:rPr>
        <w:t>1、应</w:t>
      </w:r>
      <w:r>
        <w:rPr>
          <w:rFonts w:hint="eastAsia" w:ascii="宋体" w:hAnsi="宋体" w:cs="宋体"/>
          <w:color w:val="auto"/>
          <w:sz w:val="24"/>
          <w:highlight w:val="none"/>
        </w:rPr>
        <w:t>按本格式</w:t>
      </w:r>
      <w:r>
        <w:rPr>
          <w:rFonts w:hint="eastAsia" w:ascii="宋体" w:hAnsi="宋体" w:cs="宋体"/>
          <w:color w:val="auto"/>
          <w:sz w:val="24"/>
          <w:highlight w:val="none"/>
          <w:lang w:eastAsia="zh-CN"/>
        </w:rPr>
        <w:t>和</w:t>
      </w:r>
      <w:r>
        <w:rPr>
          <w:rFonts w:hint="eastAsia" w:ascii="宋体" w:hAnsi="宋体" w:cs="宋体"/>
          <w:color w:val="auto"/>
          <w:sz w:val="24"/>
          <w:highlight w:val="none"/>
        </w:rPr>
        <w:t>要求填写</w:t>
      </w:r>
      <w:r>
        <w:rPr>
          <w:rFonts w:hint="eastAsia" w:ascii="宋体" w:hAnsi="宋体" w:cs="宋体"/>
          <w:color w:val="auto"/>
          <w:sz w:val="24"/>
          <w:highlight w:val="none"/>
          <w:lang w:eastAsia="zh-CN"/>
        </w:rPr>
        <w:t>。其中，</w:t>
      </w:r>
      <w:r>
        <w:rPr>
          <w:rFonts w:hint="eastAsia" w:ascii="宋体" w:hAnsi="宋体" w:cs="宋体"/>
          <w:color w:val="auto"/>
          <w:sz w:val="24"/>
          <w:highlight w:val="none"/>
        </w:rPr>
        <w:t>标的名称</w:t>
      </w:r>
      <w:r>
        <w:rPr>
          <w:rFonts w:hint="eastAsia" w:ascii="宋体" w:hAnsi="宋体" w:cs="宋体"/>
          <w:color w:val="auto"/>
          <w:sz w:val="24"/>
          <w:highlight w:val="none"/>
          <w:lang w:eastAsia="zh-CN"/>
        </w:rPr>
        <w:t>和</w:t>
      </w:r>
      <w:r>
        <w:rPr>
          <w:rFonts w:hint="eastAsia" w:ascii="宋体" w:hAnsi="宋体" w:cs="宋体"/>
          <w:color w:val="auto"/>
          <w:sz w:val="24"/>
          <w:highlight w:val="none"/>
        </w:rPr>
        <w:t>所属行业依据招标文件第二部分投标人须知前附表中“采购标的及其对应的中小企业划分标准所属行业”</w:t>
      </w:r>
      <w:r>
        <w:rPr>
          <w:rFonts w:hint="eastAsia" w:ascii="宋体" w:hAnsi="宋体" w:cs="宋体"/>
          <w:color w:val="auto"/>
          <w:sz w:val="24"/>
          <w:highlight w:val="none"/>
          <w:lang w:eastAsia="zh-CN"/>
        </w:rPr>
        <w:t>规定的要求</w:t>
      </w:r>
      <w:r>
        <w:rPr>
          <w:rFonts w:hint="eastAsia" w:ascii="宋体" w:hAnsi="宋体" w:cs="宋体"/>
          <w:color w:val="auto"/>
          <w:sz w:val="24"/>
          <w:highlight w:val="none"/>
        </w:rPr>
        <w:t>填写，不得缺漏</w:t>
      </w:r>
      <w:r>
        <w:rPr>
          <w:rFonts w:hint="eastAsia" w:ascii="宋体" w:hAnsi="宋体" w:cs="宋体"/>
          <w:color w:val="auto"/>
          <w:sz w:val="24"/>
          <w:highlight w:val="none"/>
          <w:lang w:eastAsia="zh-CN"/>
        </w:rPr>
        <w:t>（声明函格式内容中已填写的，无需改动）；标记“</w:t>
      </w:r>
      <w:r>
        <w:rPr>
          <w:rFonts w:hint="eastAsia" w:ascii="宋体" w:hAnsi="宋体" w:eastAsia="宋体" w:cs="宋体"/>
          <w:color w:val="auto"/>
          <w:sz w:val="24"/>
          <w:highlight w:val="none"/>
        </w:rPr>
        <w:t>①</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处填写企业名称；</w:t>
      </w:r>
      <w:r>
        <w:rPr>
          <w:rFonts w:hint="eastAsia" w:ascii="宋体" w:hAnsi="宋体" w:cs="宋体"/>
          <w:color w:val="auto"/>
          <w:sz w:val="24"/>
          <w:highlight w:val="none"/>
        </w:rPr>
        <w:t>从业人员、营业收入、资产总额填报上一年度数据，无上一年度数据的新成立企业可不填报；结合</w:t>
      </w:r>
      <w:r>
        <w:rPr>
          <w:rFonts w:hint="eastAsia" w:ascii="宋体" w:hAnsi="宋体" w:cs="宋体"/>
          <w:color w:val="auto"/>
          <w:sz w:val="24"/>
          <w:highlight w:val="none"/>
          <w:lang w:eastAsia="zh-CN"/>
        </w:rPr>
        <w:t>所填</w:t>
      </w:r>
      <w:r>
        <w:rPr>
          <w:rFonts w:hint="eastAsia" w:ascii="宋体" w:hAnsi="宋体" w:cs="宋体"/>
          <w:color w:val="auto"/>
          <w:sz w:val="24"/>
          <w:highlight w:val="none"/>
        </w:rPr>
        <w:t>数据</w:t>
      </w:r>
      <w:r>
        <w:rPr>
          <w:rFonts w:hint="eastAsia" w:ascii="宋体" w:hAnsi="宋体" w:cs="宋体"/>
          <w:color w:val="auto"/>
          <w:sz w:val="24"/>
          <w:highlight w:val="none"/>
          <w:lang w:eastAsia="zh-CN"/>
        </w:rPr>
        <w:t>，</w:t>
      </w:r>
      <w:r>
        <w:rPr>
          <w:rFonts w:hint="eastAsia" w:ascii="宋体" w:hAnsi="宋体" w:cs="宋体"/>
          <w:color w:val="auto"/>
          <w:sz w:val="24"/>
          <w:highlight w:val="none"/>
        </w:rPr>
        <w:t>依据《中小企业划型标准规定》（工信部联企业〔2011〕300号）</w:t>
      </w:r>
      <w:r>
        <w:rPr>
          <w:rFonts w:hint="eastAsia" w:ascii="宋体" w:hAnsi="宋体" w:cs="宋体"/>
          <w:color w:val="auto"/>
          <w:sz w:val="24"/>
          <w:highlight w:val="none"/>
          <w:lang w:eastAsia="zh-CN"/>
        </w:rPr>
        <w:t>规定</w:t>
      </w:r>
      <w:r>
        <w:rPr>
          <w:rFonts w:hint="eastAsia" w:ascii="宋体" w:hAnsi="宋体" w:cs="宋体"/>
          <w:color w:val="auto"/>
          <w:sz w:val="24"/>
          <w:highlight w:val="none"/>
        </w:rPr>
        <w:t>，确定中型企业、小型企业、微型企业</w:t>
      </w:r>
      <w:r>
        <w:rPr>
          <w:rFonts w:hint="eastAsia" w:ascii="宋体" w:hAnsi="宋体" w:cs="宋体"/>
          <w:color w:val="auto"/>
          <w:sz w:val="24"/>
          <w:highlight w:val="none"/>
          <w:lang w:val="en-US" w:eastAsia="zh-CN"/>
        </w:rPr>
        <w:t>三</w:t>
      </w:r>
      <w:r>
        <w:rPr>
          <w:rFonts w:hint="eastAsia" w:ascii="宋体" w:hAnsi="宋体" w:cs="宋体"/>
          <w:color w:val="auto"/>
          <w:sz w:val="24"/>
          <w:highlight w:val="none"/>
        </w:rPr>
        <w:t>种企业类型中</w:t>
      </w:r>
      <w:r>
        <w:rPr>
          <w:rFonts w:hint="eastAsia" w:ascii="宋体" w:hAnsi="宋体" w:cs="宋体"/>
          <w:color w:val="auto"/>
          <w:sz w:val="24"/>
          <w:highlight w:val="none"/>
          <w:lang w:eastAsia="zh-CN"/>
        </w:rPr>
        <w:t>的其中一</w:t>
      </w:r>
      <w:r>
        <w:rPr>
          <w:rFonts w:hint="eastAsia" w:ascii="宋体" w:hAnsi="宋体" w:cs="宋体"/>
          <w:color w:val="auto"/>
          <w:sz w:val="24"/>
          <w:highlight w:val="none"/>
        </w:rPr>
        <w:t>种</w:t>
      </w:r>
      <w:r>
        <w:rPr>
          <w:rFonts w:hint="eastAsia" w:ascii="宋体" w:hAnsi="宋体" w:cs="宋体"/>
          <w:color w:val="auto"/>
          <w:sz w:val="24"/>
          <w:highlight w:val="none"/>
          <w:lang w:eastAsia="zh-CN"/>
        </w:rPr>
        <w:t>在标记“②”处</w:t>
      </w:r>
      <w:r>
        <w:rPr>
          <w:rFonts w:hint="eastAsia" w:ascii="宋体" w:hAnsi="宋体" w:cs="宋体"/>
          <w:color w:val="auto"/>
          <w:sz w:val="24"/>
          <w:highlight w:val="none"/>
        </w:rPr>
        <w:t>填写。</w:t>
      </w:r>
    </w:p>
    <w:p w14:paraId="316CD8EF">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E1F0BDD">
      <w:pPr>
        <w:rPr>
          <w:rFonts w:hint="eastAsia"/>
          <w:color w:val="auto"/>
          <w:highlight w:val="none"/>
        </w:rPr>
      </w:pPr>
      <w:r>
        <w:rPr>
          <w:rFonts w:hint="eastAsia"/>
          <w:color w:val="auto"/>
          <w:highlight w:val="none"/>
        </w:rPr>
        <w:br w:type="page"/>
      </w:r>
    </w:p>
    <w:p w14:paraId="38009DBD">
      <w:pPr>
        <w:pStyle w:val="3"/>
        <w:rPr>
          <w:rFonts w:hint="eastAsia" w:ascii="宋体" w:hAnsi="宋体" w:eastAsia="宋体" w:cs="宋体"/>
          <w:b/>
          <w:bCs w:val="0"/>
          <w:color w:val="auto"/>
          <w:sz w:val="32"/>
          <w:szCs w:val="18"/>
          <w:highlight w:val="none"/>
          <w:lang w:val="en-US" w:eastAsia="zh-CN"/>
        </w:rPr>
      </w:pPr>
      <w:r>
        <w:rPr>
          <w:rFonts w:hint="eastAsia" w:ascii="宋体" w:hAnsi="宋体" w:eastAsia="宋体" w:cs="宋体"/>
          <w:b/>
          <w:bCs w:val="0"/>
          <w:color w:val="auto"/>
          <w:sz w:val="32"/>
          <w:szCs w:val="18"/>
          <w:highlight w:val="none"/>
          <w:lang w:val="en-US"/>
        </w:rPr>
        <w:t>附件</w:t>
      </w:r>
      <w:r>
        <w:rPr>
          <w:rFonts w:hint="eastAsia" w:ascii="宋体" w:hAnsi="宋体" w:eastAsia="宋体" w:cs="宋体"/>
          <w:b/>
          <w:bCs w:val="0"/>
          <w:color w:val="auto"/>
          <w:sz w:val="32"/>
          <w:szCs w:val="18"/>
          <w:highlight w:val="none"/>
          <w:lang w:val="en-US" w:eastAsia="zh-CN"/>
        </w:rPr>
        <w:t>8</w:t>
      </w:r>
      <w:r>
        <w:rPr>
          <w:rFonts w:hint="eastAsia" w:ascii="宋体" w:hAnsi="宋体" w:eastAsia="宋体" w:cs="宋体"/>
          <w:b/>
          <w:bCs w:val="0"/>
          <w:color w:val="auto"/>
          <w:sz w:val="32"/>
          <w:szCs w:val="18"/>
          <w:highlight w:val="none"/>
          <w:lang w:val="en-US"/>
        </w:rPr>
        <w:t>：中小企业</w:t>
      </w:r>
      <w:r>
        <w:rPr>
          <w:rFonts w:hint="eastAsia" w:ascii="宋体" w:hAnsi="宋体" w:eastAsia="宋体" w:cs="宋体"/>
          <w:b/>
          <w:bCs w:val="0"/>
          <w:color w:val="auto"/>
          <w:sz w:val="32"/>
          <w:szCs w:val="18"/>
          <w:highlight w:val="none"/>
          <w:lang w:val="en-US" w:eastAsia="zh-CN"/>
        </w:rPr>
        <w:t>划型标准</w:t>
      </w:r>
    </w:p>
    <w:p w14:paraId="317B833B">
      <w:pPr>
        <w:spacing w:line="360" w:lineRule="auto"/>
        <w:rPr>
          <w:rFonts w:hint="eastAsia"/>
          <w:color w:val="auto"/>
          <w:highlight w:val="none"/>
        </w:rPr>
      </w:pPr>
      <w:r>
        <w:rPr>
          <w:rFonts w:hint="eastAsia" w:ascii="宋体" w:hAnsi="宋体" w:eastAsia="宋体" w:cs="宋体"/>
          <w:color w:val="auto"/>
          <w:kern w:val="0"/>
          <w:sz w:val="24"/>
          <w:szCs w:val="24"/>
          <w:highlight w:val="none"/>
        </w:rPr>
        <w:t>各行业划型标准为：</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7E9FE32D">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t>附件</w:t>
      </w:r>
      <w:r>
        <w:rPr>
          <w:rFonts w:hint="eastAsia" w:asciiTheme="minorEastAsia" w:hAnsiTheme="minorEastAsia" w:eastAsiaTheme="minorEastAsia" w:cstheme="minorEastAsia"/>
          <w:color w:val="auto"/>
          <w:highlight w:val="none"/>
          <w:lang w:val="en-US" w:eastAsia="zh-CN"/>
        </w:rPr>
        <w:t>9</w:t>
      </w:r>
      <w:r>
        <w:rPr>
          <w:rFonts w:hint="eastAsia" w:asciiTheme="minorEastAsia" w:hAnsiTheme="minorEastAsia" w:eastAsiaTheme="minorEastAsia" w:cstheme="minorEastAsia"/>
          <w:color w:val="auto"/>
          <w:highlight w:val="none"/>
        </w:rPr>
        <w:t>样品（演示）授权委托书</w:t>
      </w:r>
    </w:p>
    <w:p w14:paraId="0BE0FC0F">
      <w:pPr>
        <w:jc w:val="center"/>
        <w:rPr>
          <w:color w:val="auto"/>
          <w:sz w:val="40"/>
          <w:highlight w:val="none"/>
        </w:rPr>
      </w:pPr>
      <w:r>
        <w:rPr>
          <w:rFonts w:hint="eastAsia"/>
          <w:color w:val="auto"/>
          <w:sz w:val="40"/>
          <w:highlight w:val="none"/>
        </w:rPr>
        <w:t>样品（演示）授权委托书</w:t>
      </w:r>
    </w:p>
    <w:p w14:paraId="10339D09">
      <w:pPr>
        <w:jc w:val="center"/>
        <w:rPr>
          <w:color w:val="auto"/>
          <w:sz w:val="40"/>
          <w:highlight w:val="none"/>
        </w:rPr>
      </w:pPr>
    </w:p>
    <w:p w14:paraId="2C9CC172">
      <w:pPr>
        <w:snapToGrid w:val="0"/>
        <w:spacing w:line="360" w:lineRule="auto"/>
        <w:rPr>
          <w:rFonts w:cs="仿宋"/>
          <w:color w:val="auto"/>
          <w:highlight w:val="none"/>
        </w:rPr>
      </w:pPr>
      <w:r>
        <w:rPr>
          <w:rFonts w:hint="eastAsia" w:cs="仿宋_GB2312"/>
          <w:color w:val="auto"/>
          <w:highlight w:val="none"/>
        </w:rPr>
        <w:t>XXX（单位名称或采购机构名称）</w:t>
      </w:r>
      <w:r>
        <w:rPr>
          <w:rFonts w:hint="eastAsia" w:cs="仿宋"/>
          <w:color w:val="auto"/>
          <w:highlight w:val="none"/>
          <w:lang w:val="zh-CN"/>
        </w:rPr>
        <w:t>：</w:t>
      </w:r>
    </w:p>
    <w:p w14:paraId="75487A00">
      <w:pPr>
        <w:snapToGrid w:val="0"/>
        <w:spacing w:line="360" w:lineRule="auto"/>
        <w:ind w:left="254" w:leftChars="121" w:firstLine="420" w:firstLineChars="200"/>
        <w:rPr>
          <w:rFonts w:cs="仿宋"/>
          <w:color w:val="auto"/>
          <w:highlight w:val="none"/>
          <w:u w:val="single"/>
          <w:lang w:val="zh-CN"/>
        </w:rPr>
      </w:pPr>
      <w:r>
        <w:rPr>
          <w:rFonts w:hint="eastAsia" w:cs="仿宋"/>
          <w:color w:val="auto"/>
          <w:highlight w:val="none"/>
          <w:lang w:val="zh-CN"/>
        </w:rPr>
        <w:t>兹委派</w:t>
      </w:r>
      <w:r>
        <w:rPr>
          <w:rFonts w:hint="eastAsia" w:cs="仿宋"/>
          <w:color w:val="auto"/>
          <w:highlight w:val="none"/>
          <w:u w:val="single"/>
          <w:lang w:val="zh-CN"/>
        </w:rPr>
        <w:t xml:space="preserve">                </w:t>
      </w:r>
      <w:r>
        <w:rPr>
          <w:rFonts w:hint="eastAsia" w:cs="仿宋"/>
          <w:color w:val="auto"/>
          <w:highlight w:val="none"/>
          <w:lang w:val="zh-CN"/>
        </w:rPr>
        <w:t>先生/女士，身份证号：</w:t>
      </w:r>
      <w:r>
        <w:rPr>
          <w:rFonts w:hint="eastAsia" w:cs="仿宋"/>
          <w:color w:val="auto"/>
          <w:highlight w:val="none"/>
          <w:u w:val="single"/>
          <w:lang w:val="zh-CN"/>
        </w:rPr>
        <w:t xml:space="preserve"> </w:t>
      </w:r>
      <w:r>
        <w:rPr>
          <w:rFonts w:cs="仿宋"/>
          <w:color w:val="auto"/>
          <w:highlight w:val="none"/>
          <w:u w:val="single"/>
          <w:lang w:val="zh-CN"/>
        </w:rPr>
        <w:t xml:space="preserve">                  </w:t>
      </w:r>
    </w:p>
    <w:p w14:paraId="37EAF8BA">
      <w:pPr>
        <w:snapToGrid w:val="0"/>
        <w:spacing w:line="360" w:lineRule="auto"/>
        <w:ind w:left="254" w:leftChars="121" w:firstLine="420" w:firstLineChars="200"/>
        <w:rPr>
          <w:rFonts w:cs="仿宋"/>
          <w:color w:val="auto"/>
          <w:highlight w:val="none"/>
        </w:rPr>
      </w:pPr>
      <w:r>
        <w:rPr>
          <w:rFonts w:hint="eastAsia" w:cs="仿宋"/>
          <w:color w:val="auto"/>
          <w:highlight w:val="none"/>
          <w:lang w:val="zh-CN"/>
        </w:rPr>
        <w:t>手机：</w:t>
      </w:r>
      <w:r>
        <w:rPr>
          <w:rFonts w:hint="eastAsia" w:cs="仿宋"/>
          <w:color w:val="auto"/>
          <w:highlight w:val="none"/>
          <w:u w:val="single"/>
          <w:lang w:val="zh-CN"/>
        </w:rPr>
        <w:t xml:space="preserve">      </w:t>
      </w:r>
      <w:r>
        <w:rPr>
          <w:rFonts w:cs="仿宋"/>
          <w:color w:val="auto"/>
          <w:highlight w:val="none"/>
          <w:u w:val="single"/>
          <w:lang w:val="zh-CN"/>
        </w:rPr>
        <w:t xml:space="preserve">     </w:t>
      </w:r>
      <w:r>
        <w:rPr>
          <w:rFonts w:hint="eastAsia" w:cs="仿宋"/>
          <w:color w:val="auto"/>
          <w:highlight w:val="none"/>
          <w:u w:val="single"/>
          <w:lang w:val="zh-CN"/>
        </w:rPr>
        <w:t xml:space="preserve">  </w:t>
      </w:r>
      <w:r>
        <w:rPr>
          <w:rFonts w:hint="eastAsia" w:cs="仿宋"/>
          <w:color w:val="auto"/>
          <w:highlight w:val="none"/>
          <w:lang w:val="zh-CN"/>
        </w:rPr>
        <w:t>，代表我公司前来递交</w:t>
      </w:r>
      <w:r>
        <w:rPr>
          <w:rFonts w:cs="仿宋"/>
          <w:color w:val="auto"/>
          <w:highlight w:val="none"/>
          <w:u w:val="single"/>
          <w:lang w:val="zh-CN"/>
        </w:rPr>
        <w:t xml:space="preserve">                           </w:t>
      </w:r>
      <w:r>
        <w:rPr>
          <w:rFonts w:hint="eastAsia" w:cs="仿宋"/>
          <w:color w:val="auto"/>
          <w:highlight w:val="none"/>
          <w:u w:val="single"/>
          <w:lang w:val="zh-CN"/>
        </w:rPr>
        <w:t>采购项目</w:t>
      </w:r>
      <w:r>
        <w:rPr>
          <w:rFonts w:hint="eastAsia" w:cs="仿宋"/>
          <w:color w:val="auto"/>
          <w:highlight w:val="none"/>
          <w:lang w:val="zh-CN"/>
        </w:rPr>
        <w:t>【项目编号：</w:t>
      </w:r>
      <w:r>
        <w:rPr>
          <w:rFonts w:cs="仿宋"/>
          <w:color w:val="auto"/>
          <w:highlight w:val="none"/>
          <w:lang w:val="zh-CN"/>
        </w:rPr>
        <w:t xml:space="preserve">              </w:t>
      </w:r>
      <w:r>
        <w:rPr>
          <w:rFonts w:hint="eastAsia" w:cs="仿宋"/>
          <w:color w:val="auto"/>
          <w:highlight w:val="none"/>
          <w:lang w:val="zh-CN"/>
        </w:rPr>
        <w:t xml:space="preserve">】（标项号： </w:t>
      </w:r>
      <w:r>
        <w:rPr>
          <w:rFonts w:cs="仿宋"/>
          <w:color w:val="auto"/>
          <w:highlight w:val="none"/>
          <w:lang w:val="zh-CN"/>
        </w:rPr>
        <w:t xml:space="preserve"> </w:t>
      </w:r>
      <w:r>
        <w:rPr>
          <w:rFonts w:hint="eastAsia" w:cs="仿宋"/>
          <w:color w:val="auto"/>
          <w:highlight w:val="none"/>
          <w:lang w:val="zh-CN"/>
        </w:rPr>
        <w:t>）投标样品或参加演示，并全权负责标后取回样品等其他处理事宜。</w:t>
      </w:r>
    </w:p>
    <w:p w14:paraId="6E22EDEC">
      <w:pPr>
        <w:snapToGrid w:val="0"/>
        <w:spacing w:line="360" w:lineRule="auto"/>
        <w:rPr>
          <w:rFonts w:cs="仿宋"/>
          <w:color w:val="auto"/>
          <w:highlight w:val="none"/>
          <w:lang w:val="zh-CN"/>
        </w:rPr>
      </w:pPr>
      <w:r>
        <w:rPr>
          <w:rFonts w:hint="eastAsia" w:cs="仿宋"/>
          <w:color w:val="auto"/>
          <w:highlight w:val="none"/>
          <w:lang w:val="zh-CN"/>
        </w:rPr>
        <w:t xml:space="preserve">  </w:t>
      </w:r>
    </w:p>
    <w:p w14:paraId="31121BBB">
      <w:pPr>
        <w:snapToGrid w:val="0"/>
        <w:spacing w:line="360" w:lineRule="auto"/>
        <w:rPr>
          <w:rFonts w:cs="仿宋"/>
          <w:color w:val="auto"/>
          <w:highlight w:val="none"/>
        </w:rPr>
      </w:pPr>
      <w:r>
        <w:rPr>
          <w:rFonts w:hint="eastAsia" w:cs="仿宋"/>
          <w:color w:val="auto"/>
          <w:highlight w:val="none"/>
          <w:lang w:val="zh-CN"/>
        </w:rPr>
        <w:t xml:space="preserve">    特此告知。</w:t>
      </w:r>
    </w:p>
    <w:p w14:paraId="57C9DA95">
      <w:pPr>
        <w:snapToGrid w:val="0"/>
        <w:spacing w:line="360" w:lineRule="auto"/>
        <w:rPr>
          <w:rFonts w:cs="仿宋"/>
          <w:color w:val="auto"/>
          <w:highlight w:val="none"/>
        </w:rPr>
      </w:pPr>
      <w:r>
        <w:rPr>
          <w:rFonts w:hint="eastAsia" w:cs="仿宋"/>
          <w:color w:val="auto"/>
          <w:highlight w:val="none"/>
          <w:lang w:val="zh-CN"/>
        </w:rPr>
        <w:t xml:space="preserve">                                                  投标人名称(公章)：</w:t>
      </w:r>
    </w:p>
    <w:p w14:paraId="1B35D178">
      <w:pPr>
        <w:snapToGrid w:val="0"/>
        <w:spacing w:line="360" w:lineRule="auto"/>
        <w:rPr>
          <w:rFonts w:cs="仿宋"/>
          <w:color w:val="auto"/>
          <w:highlight w:val="none"/>
        </w:rPr>
      </w:pPr>
      <w:r>
        <w:rPr>
          <w:rFonts w:hint="eastAsia" w:cs="仿宋"/>
          <w:color w:val="auto"/>
          <w:highlight w:val="none"/>
          <w:lang w:val="zh-CN"/>
        </w:rPr>
        <w:t xml:space="preserve">                                                  </w:t>
      </w:r>
    </w:p>
    <w:p w14:paraId="5070B275">
      <w:pPr>
        <w:snapToGrid w:val="0"/>
        <w:spacing w:line="360" w:lineRule="auto"/>
        <w:ind w:right="240"/>
        <w:jc w:val="right"/>
        <w:rPr>
          <w:rFonts w:cs="仿宋"/>
          <w:color w:val="auto"/>
          <w:highlight w:val="none"/>
          <w:lang w:val="zh-CN"/>
        </w:rPr>
      </w:pPr>
      <w:r>
        <w:rPr>
          <w:rFonts w:hint="eastAsia" w:cs="仿宋"/>
          <w:color w:val="auto"/>
          <w:highlight w:val="none"/>
          <w:lang w:val="zh-CN"/>
        </w:rPr>
        <w:t>签发日期：  年  月   日</w:t>
      </w:r>
    </w:p>
    <w:p w14:paraId="573C32A4">
      <w:pPr>
        <w:snapToGrid w:val="0"/>
        <w:spacing w:line="360" w:lineRule="auto"/>
        <w:ind w:right="240"/>
        <w:jc w:val="right"/>
        <w:rPr>
          <w:rFonts w:cs="仿宋"/>
          <w:color w:val="auto"/>
          <w:highlight w:val="none"/>
          <w:lang w:val="zh-CN"/>
        </w:rPr>
      </w:pPr>
    </w:p>
    <w:p w14:paraId="1F8C1B8A">
      <w:pPr>
        <w:snapToGrid w:val="0"/>
        <w:spacing w:line="360" w:lineRule="auto"/>
        <w:ind w:right="1920"/>
        <w:rPr>
          <w:rFonts w:cs="仿宋"/>
          <w:color w:val="auto"/>
          <w:highlight w:val="none"/>
          <w:lang w:val="zh-CN"/>
        </w:rPr>
      </w:pPr>
    </w:p>
    <w:p w14:paraId="40A8F473">
      <w:pPr>
        <w:snapToGrid w:val="0"/>
        <w:spacing w:line="360" w:lineRule="auto"/>
        <w:ind w:right="240"/>
        <w:jc w:val="right"/>
        <w:rPr>
          <w:rFonts w:cs="仿宋"/>
          <w:color w:val="auto"/>
          <w:highlight w:val="none"/>
          <w:lang w:val="zh-CN"/>
        </w:rPr>
      </w:pPr>
    </w:p>
    <w:p w14:paraId="0B692B46">
      <w:pPr>
        <w:snapToGrid w:val="0"/>
        <w:spacing w:line="360" w:lineRule="auto"/>
        <w:ind w:right="240"/>
        <w:rPr>
          <w:rFonts w:cs="仿宋"/>
          <w:color w:val="auto"/>
          <w:highlight w:val="none"/>
          <w:lang w:val="zh-CN"/>
        </w:rPr>
      </w:pPr>
      <w:r>
        <w:rPr>
          <w:rFonts w:hint="eastAsia" w:cs="仿宋"/>
          <w:color w:val="auto"/>
          <w:highlight w:val="none"/>
        </w:rPr>
        <w:t>受委托人</w:t>
      </w:r>
      <w:r>
        <w:rPr>
          <w:rFonts w:hint="eastAsia" w:cs="仿宋"/>
          <w:color w:val="auto"/>
          <w:highlight w:val="none"/>
          <w:lang w:val="zh-CN"/>
        </w:rPr>
        <w:t>身份证复印件：</w:t>
      </w:r>
    </w:p>
    <w:p w14:paraId="06B123E2">
      <w:pPr>
        <w:snapToGrid w:val="0"/>
        <w:spacing w:line="360" w:lineRule="auto"/>
        <w:ind w:right="240"/>
        <w:rPr>
          <w:rFonts w:cs="仿宋"/>
          <w:color w:val="auto"/>
          <w:highlight w:val="none"/>
          <w:lang w:val="zh-CN"/>
        </w:rPr>
      </w:pPr>
      <w:r>
        <w:rPr>
          <w:rFonts w:hint="eastAsia" w:cs="仿宋"/>
          <w:color w:val="auto"/>
          <w:highlight w:val="none"/>
          <w:lang w:val="zh-CN"/>
        </w:rPr>
        <w:t>说明：本委托书在有样品或演示时由受委托人携带至指定地点。</w:t>
      </w:r>
    </w:p>
    <w:p w14:paraId="0424C84F">
      <w:pPr>
        <w:spacing w:line="360" w:lineRule="auto"/>
        <w:rPr>
          <w:rFonts w:ascii="宋体" w:hAnsi="宋体" w:cs="宋体"/>
          <w:bCs/>
          <w:color w:val="auto"/>
          <w:sz w:val="24"/>
          <w:highlight w:val="none"/>
        </w:rPr>
      </w:pPr>
      <w:r>
        <w:rPr>
          <w:rFonts w:cs="仿宋_GB2312"/>
          <w:b/>
          <w:color w:val="auto"/>
          <w:highlight w:val="none"/>
        </w:rPr>
        <w:t>同时有样品和演示的</w:t>
      </w:r>
      <w:r>
        <w:rPr>
          <w:rFonts w:hint="eastAsia" w:cs="仿宋_GB2312"/>
          <w:b/>
          <w:color w:val="auto"/>
          <w:highlight w:val="none"/>
        </w:rPr>
        <w:t>，</w:t>
      </w:r>
      <w:r>
        <w:rPr>
          <w:rFonts w:cs="仿宋_GB2312"/>
          <w:b/>
          <w:color w:val="auto"/>
          <w:highlight w:val="none"/>
        </w:rPr>
        <w:t>可委托不同人员</w:t>
      </w:r>
      <w:r>
        <w:rPr>
          <w:rFonts w:hint="eastAsia" w:cs="仿宋_GB2312"/>
          <w:b/>
          <w:color w:val="auto"/>
          <w:highlight w:val="none"/>
        </w:rPr>
        <w:t>。</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panose1 w:val="020B0504020202030204"/>
    <w:charset w:val="00"/>
    <w:family w:val="swiss"/>
    <w:pitch w:val="default"/>
    <w:sig w:usb0="00000007" w:usb1="00000000" w:usb2="00000000" w:usb3="00000000" w:csb0="00000093"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B90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9D31C">
    <w:pPr>
      <w:pStyle w:val="39"/>
      <w:framePr w:wrap="around" w:vAnchor="text" w:hAnchor="margin" w:xAlign="right" w:y="1"/>
      <w:rPr>
        <w:rStyle w:val="72"/>
      </w:rPr>
    </w:pPr>
    <w:r>
      <w:fldChar w:fldCharType="begin"/>
    </w:r>
    <w:r>
      <w:rPr>
        <w:rStyle w:val="72"/>
      </w:rPr>
      <w:instrText xml:space="preserve">PAGE  </w:instrText>
    </w:r>
    <w:r>
      <w:fldChar w:fldCharType="end"/>
    </w:r>
  </w:p>
  <w:p w14:paraId="1D18EC5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A9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043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B9DC63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287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EE8F88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B61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691FC">
    <w:pPr>
      <w:pStyle w:val="39"/>
      <w:framePr w:wrap="around" w:vAnchor="text" w:hAnchor="margin" w:xAlign="right" w:y="1"/>
      <w:rPr>
        <w:rStyle w:val="72"/>
      </w:rPr>
    </w:pPr>
    <w:r>
      <w:fldChar w:fldCharType="begin"/>
    </w:r>
    <w:r>
      <w:rPr>
        <w:rStyle w:val="72"/>
      </w:rPr>
      <w:instrText xml:space="preserve">PAGE  </w:instrText>
    </w:r>
    <w:r>
      <w:fldChar w:fldCharType="end"/>
    </w:r>
  </w:p>
  <w:p w14:paraId="7B783CE7">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D51BC">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3" w:name="_Toc131845147"/>
    <w:bookmarkStart w:id="554" w:name="_Toc91899912"/>
    <w:bookmarkStart w:id="555" w:name="_Toc164085800"/>
    <w:bookmarkStart w:id="556" w:name="_Toc36110187"/>
    <w:r>
      <w:rPr>
        <w:rFonts w:hint="eastAsia" w:ascii="仿宋_GB2312" w:eastAsia="仿宋_GB2312"/>
        <w:kern w:val="0"/>
        <w:szCs w:val="21"/>
      </w:rPr>
      <w:t xml:space="preserve"> 页</w:t>
    </w:r>
    <w:bookmarkEnd w:id="553"/>
    <w:bookmarkEnd w:id="554"/>
    <w:bookmarkEnd w:id="555"/>
    <w:bookmarkEnd w:id="55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5E365">
    <w:pPr>
      <w:pStyle w:val="40"/>
      <w:pBdr>
        <w:bottom w:val="single" w:color="auto" w:sz="6" w:space="4"/>
      </w:pBdr>
      <w:jc w:val="right"/>
    </w:pPr>
    <w:r>
      <w:t></w:t>
    </w:r>
    <w:r>
      <w:rPr>
        <w:rFonts w:hint="eastAsia"/>
      </w:rPr>
      <w:t xml:space="preserve">             </w:t>
    </w:r>
    <w:r>
      <w:t>杭州市政府采购公开招标文件</w:t>
    </w:r>
  </w:p>
  <w:p w14:paraId="69903A0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A1267">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1C17C">
    <w:pPr>
      <w:pStyle w:val="40"/>
      <w:jc w:val="right"/>
      <w:rPr>
        <w:rFonts w:ascii="仿宋_GB2312" w:eastAsia="仿宋_GB2312"/>
        <w:b/>
        <w:i/>
        <w:u w:val="single"/>
      </w:rPr>
    </w:pPr>
    <w:r>
      <w:rPr>
        <w:rFonts w:hint="eastAsia"/>
      </w:rPr>
      <w:t xml:space="preserve">                                  </w:t>
    </w:r>
    <w:r>
      <w:t>杭州市政府采购公开招标文件</w:t>
    </w:r>
  </w:p>
  <w:p w14:paraId="7565ADF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A8B4">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EB70B">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68E0">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CF047"/>
    <w:multiLevelType w:val="singleLevel"/>
    <w:tmpl w:val="A91CF047"/>
    <w:lvl w:ilvl="0" w:tentative="0">
      <w:start w:val="1"/>
      <w:numFmt w:val="decimal"/>
      <w:lvlText w:val="%1)"/>
      <w:lvlJc w:val="left"/>
      <w:pPr>
        <w:tabs>
          <w:tab w:val="left" w:pos="312"/>
        </w:tabs>
      </w:pPr>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4B1BD6F"/>
    <w:multiLevelType w:val="singleLevel"/>
    <w:tmpl w:val="D4B1BD6F"/>
    <w:lvl w:ilvl="0" w:tentative="0">
      <w:start w:val="1"/>
      <w:numFmt w:val="lowerLetter"/>
      <w:suff w:val="space"/>
      <w:lvlText w:val="%1)"/>
      <w:lvlJc w:val="left"/>
    </w:lvl>
  </w:abstractNum>
  <w:abstractNum w:abstractNumId="3">
    <w:nsid w:val="D5131716"/>
    <w:multiLevelType w:val="singleLevel"/>
    <w:tmpl w:val="D5131716"/>
    <w:lvl w:ilvl="0" w:tentative="0">
      <w:start w:val="5"/>
      <w:numFmt w:val="decimal"/>
      <w:suff w:val="nothing"/>
      <w:lvlText w:val="%1、"/>
      <w:lvlJc w:val="left"/>
    </w:lvl>
  </w:abstractNum>
  <w:abstractNum w:abstractNumId="4">
    <w:nsid w:val="D57498BB"/>
    <w:multiLevelType w:val="singleLevel"/>
    <w:tmpl w:val="D57498BB"/>
    <w:lvl w:ilvl="0" w:tentative="0">
      <w:start w:val="2"/>
      <w:numFmt w:val="decimal"/>
      <w:suff w:val="space"/>
      <w:lvlText w:val="%1."/>
      <w:lvlJc w:val="left"/>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36A88E0"/>
    <w:multiLevelType w:val="singleLevel"/>
    <w:tmpl w:val="F36A88E0"/>
    <w:lvl w:ilvl="0" w:tentative="0">
      <w:start w:val="8"/>
      <w:numFmt w:val="decimal"/>
      <w:suff w:val="space"/>
      <w:lvlText w:val="%1."/>
      <w:lvlJc w:val="left"/>
    </w:lvl>
  </w:abstractNum>
  <w:abstractNum w:abstractNumId="7">
    <w:nsid w:val="F43A365C"/>
    <w:multiLevelType w:val="singleLevel"/>
    <w:tmpl w:val="F43A365C"/>
    <w:lvl w:ilvl="0" w:tentative="0">
      <w:start w:val="1"/>
      <w:numFmt w:val="decimal"/>
      <w:lvlText w:val="%1)"/>
      <w:lvlJc w:val="left"/>
      <w:pPr>
        <w:tabs>
          <w:tab w:val="left" w:pos="312"/>
        </w:tabs>
      </w:pPr>
    </w:lvl>
  </w:abstractNum>
  <w:abstractNum w:abstractNumId="8">
    <w:nsid w:val="F79E0EA8"/>
    <w:multiLevelType w:val="singleLevel"/>
    <w:tmpl w:val="F79E0EA8"/>
    <w:lvl w:ilvl="0" w:tentative="0">
      <w:start w:val="13"/>
      <w:numFmt w:val="decimal"/>
      <w:suff w:val="space"/>
      <w:lvlText w:val="%1."/>
      <w:lvlJc w:val="left"/>
    </w:lvl>
  </w:abstractNum>
  <w:abstractNum w:abstractNumId="9">
    <w:nsid w:val="FDE4442F"/>
    <w:multiLevelType w:val="singleLevel"/>
    <w:tmpl w:val="FDE4442F"/>
    <w:lvl w:ilvl="0" w:tentative="0">
      <w:start w:val="11"/>
      <w:numFmt w:val="decimal"/>
      <w:suff w:val="space"/>
      <w:lvlText w:val="%1."/>
      <w:lvlJc w:val="left"/>
    </w:lvl>
  </w:abstractNum>
  <w:abstractNum w:abstractNumId="10">
    <w:nsid w:val="FEBA56D7"/>
    <w:multiLevelType w:val="singleLevel"/>
    <w:tmpl w:val="FEBA56D7"/>
    <w:lvl w:ilvl="0" w:tentative="0">
      <w:start w:val="1"/>
      <w:numFmt w:val="chineseCounting"/>
      <w:suff w:val="space"/>
      <w:lvlText w:val="第%1部分"/>
      <w:lvlJc w:val="left"/>
      <w:rPr>
        <w:rFonts w:hint="eastAsia"/>
      </w:rPr>
    </w:lvl>
  </w:abstractNum>
  <w:abstractNum w:abstractNumId="11">
    <w:nsid w:val="FFE5FEDD"/>
    <w:multiLevelType w:val="singleLevel"/>
    <w:tmpl w:val="FFE5FEDD"/>
    <w:lvl w:ilvl="0" w:tentative="0">
      <w:start w:val="1"/>
      <w:numFmt w:val="decimal"/>
      <w:suff w:val="nothing"/>
      <w:lvlText w:val="（%1）"/>
      <w:lvlJc w:val="left"/>
    </w:lvl>
  </w:abstractNum>
  <w:abstractNum w:abstractNumId="12">
    <w:nsid w:val="FFEFBFBE"/>
    <w:multiLevelType w:val="singleLevel"/>
    <w:tmpl w:val="FFEFBFBE"/>
    <w:lvl w:ilvl="0" w:tentative="0">
      <w:start w:val="4"/>
      <w:numFmt w:val="decimal"/>
      <w:lvlText w:val="%1."/>
      <w:lvlJc w:val="left"/>
      <w:pPr>
        <w:tabs>
          <w:tab w:val="left" w:pos="312"/>
        </w:tabs>
      </w:pPr>
    </w:lvl>
  </w:abstractNum>
  <w:abstractNum w:abstractNumId="13">
    <w:nsid w:val="04D894CF"/>
    <w:multiLevelType w:val="singleLevel"/>
    <w:tmpl w:val="04D894CF"/>
    <w:lvl w:ilvl="0" w:tentative="0">
      <w:start w:val="1"/>
      <w:numFmt w:val="decimal"/>
      <w:suff w:val="nothing"/>
      <w:lvlText w:val="%1、"/>
      <w:lvlJc w:val="left"/>
    </w:lvl>
  </w:abstractNum>
  <w:abstractNum w:abstractNumId="1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7FF7EC6"/>
    <w:multiLevelType w:val="singleLevel"/>
    <w:tmpl w:val="57FF7EC6"/>
    <w:lvl w:ilvl="0" w:tentative="0">
      <w:start w:val="15"/>
      <w:numFmt w:val="decimal"/>
      <w:suff w:val="space"/>
      <w:lvlText w:val="%1."/>
      <w:lvlJc w:val="left"/>
    </w:lvl>
  </w:abstractNum>
  <w:num w:numId="1">
    <w:abstractNumId w:val="12"/>
  </w:num>
  <w:num w:numId="2">
    <w:abstractNumId w:val="4"/>
  </w:num>
  <w:num w:numId="3">
    <w:abstractNumId w:val="6"/>
  </w:num>
  <w:num w:numId="4">
    <w:abstractNumId w:val="9"/>
  </w:num>
  <w:num w:numId="5">
    <w:abstractNumId w:val="8"/>
  </w:num>
  <w:num w:numId="6">
    <w:abstractNumId w:val="15"/>
  </w:num>
  <w:num w:numId="7">
    <w:abstractNumId w:val="5"/>
  </w:num>
  <w:num w:numId="8">
    <w:abstractNumId w:val="1"/>
  </w:num>
  <w:num w:numId="9">
    <w:abstractNumId w:val="14"/>
  </w:num>
  <w:num w:numId="10">
    <w:abstractNumId w:val="13"/>
  </w:num>
  <w:num w:numId="11">
    <w:abstractNumId w:val="0"/>
  </w:num>
  <w:num w:numId="12">
    <w:abstractNumId w:val="2"/>
  </w:num>
  <w:num w:numId="13">
    <w:abstractNumId w:val="7"/>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25161"/>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4D05BDC"/>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3D060F"/>
    <w:rsid w:val="1E3F7D2E"/>
    <w:rsid w:val="1E4134E4"/>
    <w:rsid w:val="1E5062B3"/>
    <w:rsid w:val="1E523514"/>
    <w:rsid w:val="1E714A66"/>
    <w:rsid w:val="1E802593"/>
    <w:rsid w:val="1E8B6156"/>
    <w:rsid w:val="1E973C9B"/>
    <w:rsid w:val="1EA703CC"/>
    <w:rsid w:val="1EB7330C"/>
    <w:rsid w:val="1F0A0FF3"/>
    <w:rsid w:val="1F5771FF"/>
    <w:rsid w:val="1FD52574"/>
    <w:rsid w:val="1FE868A9"/>
    <w:rsid w:val="20034907"/>
    <w:rsid w:val="20173E4B"/>
    <w:rsid w:val="204E48BC"/>
    <w:rsid w:val="205D622D"/>
    <w:rsid w:val="208921B3"/>
    <w:rsid w:val="208D5628"/>
    <w:rsid w:val="20973DEB"/>
    <w:rsid w:val="20A07B3C"/>
    <w:rsid w:val="20B26522"/>
    <w:rsid w:val="20B44310"/>
    <w:rsid w:val="211116EB"/>
    <w:rsid w:val="216133FC"/>
    <w:rsid w:val="21D56769"/>
    <w:rsid w:val="21E52EF3"/>
    <w:rsid w:val="21FB5D7B"/>
    <w:rsid w:val="22015E94"/>
    <w:rsid w:val="220B1C3D"/>
    <w:rsid w:val="221D1D20"/>
    <w:rsid w:val="22334A87"/>
    <w:rsid w:val="224679D9"/>
    <w:rsid w:val="225B0A16"/>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485A15"/>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C55A06"/>
    <w:rsid w:val="32FB6478"/>
    <w:rsid w:val="33263B3F"/>
    <w:rsid w:val="336963EB"/>
    <w:rsid w:val="33816EEB"/>
    <w:rsid w:val="33EB55CD"/>
    <w:rsid w:val="33EC4C02"/>
    <w:rsid w:val="340D2360"/>
    <w:rsid w:val="3410665D"/>
    <w:rsid w:val="34211214"/>
    <w:rsid w:val="342E63AB"/>
    <w:rsid w:val="34950E68"/>
    <w:rsid w:val="34986E94"/>
    <w:rsid w:val="34AF62C9"/>
    <w:rsid w:val="34C00142"/>
    <w:rsid w:val="34CB4388"/>
    <w:rsid w:val="34FA6E12"/>
    <w:rsid w:val="354D7158"/>
    <w:rsid w:val="355D7285"/>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D4D0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F51CD"/>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BF1507"/>
    <w:rsid w:val="4FE625E0"/>
    <w:rsid w:val="5021480F"/>
    <w:rsid w:val="50962ECB"/>
    <w:rsid w:val="50A42E38"/>
    <w:rsid w:val="50A4577F"/>
    <w:rsid w:val="50B73D1F"/>
    <w:rsid w:val="50BD5BC9"/>
    <w:rsid w:val="50C11EEE"/>
    <w:rsid w:val="50D97871"/>
    <w:rsid w:val="50E97CFC"/>
    <w:rsid w:val="50FA4028"/>
    <w:rsid w:val="510D65B7"/>
    <w:rsid w:val="511157AB"/>
    <w:rsid w:val="5142540C"/>
    <w:rsid w:val="518832C8"/>
    <w:rsid w:val="519D3C50"/>
    <w:rsid w:val="51A0432A"/>
    <w:rsid w:val="51A86090"/>
    <w:rsid w:val="51B6016D"/>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7D22FF"/>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411801"/>
    <w:rsid w:val="58917D2F"/>
    <w:rsid w:val="5894085C"/>
    <w:rsid w:val="58AE4F0C"/>
    <w:rsid w:val="58B85899"/>
    <w:rsid w:val="58E363A9"/>
    <w:rsid w:val="59166304"/>
    <w:rsid w:val="595E1678"/>
    <w:rsid w:val="596D5BD4"/>
    <w:rsid w:val="59756AE8"/>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5550BC"/>
    <w:rsid w:val="5E611C10"/>
    <w:rsid w:val="5E7A0F3F"/>
    <w:rsid w:val="5E7C4AC9"/>
    <w:rsid w:val="5E811F2A"/>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91</Pages>
  <Words>15611</Words>
  <Characters>16874</Characters>
  <Lines>279</Lines>
  <Paragraphs>78</Paragraphs>
  <TotalTime>34</TotalTime>
  <ScaleCrop>false</ScaleCrop>
  <LinksUpToDate>false</LinksUpToDate>
  <CharactersWithSpaces>17160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Administrator</cp:lastModifiedBy>
  <cp:lastPrinted>2025-07-11T08:58:03Z</cp:lastPrinted>
  <dcterms:modified xsi:type="dcterms:W3CDTF">2025-07-11T08:58:11Z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CB7BA9A72E5B49E88E342CA0EBD28B25_13</vt:lpwstr>
  </property>
  <property fmtid="{D5CDD505-2E9C-101B-9397-08002B2CF9AE}" pid="5" name="KSOTemplateDocerSaveRecord">
    <vt:lpwstr>eyJoZGlkIjoiMjg2ZDg1MDQxYTFhNTJmYzkzNDRiZGU1ZjI0YjZiNTkifQ==</vt:lpwstr>
  </property>
</Properties>
</file>