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503CAFBF">
      <w:pPr>
        <w:adjustRightInd/>
        <w:spacing w:line="360" w:lineRule="auto"/>
        <w:jc w:val="center"/>
        <w:rPr>
          <w:rFonts w:hint="eastAsia" w:ascii="宋体" w:hAnsi="宋体" w:eastAsia="宋体" w:cs="仿宋"/>
          <w:color w:val="auto"/>
          <w:sz w:val="48"/>
          <w:szCs w:val="48"/>
          <w:highlight w:val="none"/>
          <w:lang w:eastAsia="zh-CN"/>
        </w:rPr>
      </w:pPr>
      <w:r>
        <w:rPr>
          <w:rFonts w:hint="eastAsia" w:ascii="宋体" w:hAnsi="宋体" w:cs="仿宋"/>
          <w:color w:val="auto"/>
          <w:sz w:val="48"/>
          <w:szCs w:val="48"/>
          <w:highlight w:val="none"/>
          <w:lang w:eastAsia="zh-CN"/>
        </w:rPr>
        <w:t xml:space="preserve">2025年闸弄口街道企业退休人员自管小组文体活动项目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QJ-ZNKJD2025-01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6DD6B9E9">
      <w:pPr>
        <w:spacing w:line="360" w:lineRule="auto"/>
        <w:jc w:val="center"/>
        <w:rPr>
          <w:rFonts w:hint="eastAsia" w:ascii="宋体" w:hAnsi="宋体" w:cs="仿宋"/>
          <w:color w:val="auto"/>
          <w:sz w:val="32"/>
          <w:szCs w:val="32"/>
          <w:highlight w:val="none"/>
        </w:rPr>
      </w:pPr>
      <w:r>
        <w:rPr>
          <w:rFonts w:hint="eastAsia" w:ascii="宋体" w:hAnsi="宋体" w:cs="仿宋"/>
          <w:color w:val="auto"/>
          <w:sz w:val="32"/>
          <w:szCs w:val="32"/>
          <w:highlight w:val="none"/>
        </w:rPr>
        <w:t xml:space="preserve"> 杭州市上城区人民政府闸弄口街道办事处</w:t>
      </w:r>
    </w:p>
    <w:p w14:paraId="6396A6A4">
      <w:pPr>
        <w:spacing w:line="360" w:lineRule="auto"/>
        <w:jc w:val="center"/>
        <w:rPr>
          <w:rFonts w:hint="eastAsia" w:ascii="宋体" w:hAnsi="宋体" w:eastAsia="宋体" w:cs="仿宋"/>
          <w:color w:val="auto"/>
          <w:sz w:val="32"/>
          <w:szCs w:val="32"/>
          <w:highlight w:val="none"/>
          <w:lang w:eastAsia="zh-CN"/>
        </w:rPr>
      </w:pPr>
      <w:r>
        <w:rPr>
          <w:rFonts w:hint="eastAsia" w:ascii="宋体" w:hAnsi="宋体" w:eastAsia="宋体" w:cs="仿宋"/>
          <w:color w:val="auto"/>
          <w:sz w:val="32"/>
          <w:szCs w:val="32"/>
          <w:highlight w:val="none"/>
          <w:lang w:eastAsia="zh-CN"/>
        </w:rPr>
        <w:t>杭州权璟建筑咨询有限公司</w:t>
      </w:r>
    </w:p>
    <w:p w14:paraId="59BEA590">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2025年闸弄口街道企业退休人员自管小组文体活动项目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QJ-ZNKJD2025-01</w:t>
      </w:r>
    </w:p>
    <w:p w14:paraId="0312DF7F">
      <w:pPr>
        <w:spacing w:line="360" w:lineRule="auto"/>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b/>
          <w:color w:val="auto"/>
          <w:sz w:val="24"/>
          <w:highlight w:val="none"/>
          <w:lang w:eastAsia="zh-CN"/>
        </w:rPr>
        <w:t xml:space="preserve">2025年闸弄口街道企业退休人员自管小组文体活动项目 </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2762500</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2762500</w:t>
      </w:r>
    </w:p>
    <w:p w14:paraId="6EC5DB8E">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2025年闸弄口街道企业退休人员自管小组文体活动项目</w:t>
      </w:r>
      <w:r>
        <w:rPr>
          <w:rFonts w:hint="eastAsia" w:hAnsi="宋体" w:cs="宋体"/>
          <w:bCs/>
          <w:snapToGrid/>
          <w:color w:val="auto"/>
          <w:kern w:val="2"/>
          <w:sz w:val="24"/>
          <w:szCs w:val="24"/>
          <w:highlight w:val="none"/>
        </w:rPr>
        <w:t>主要内容：</w:t>
      </w:r>
      <w:bookmarkStart w:id="11" w:name="_Hlk169516335"/>
      <w:r>
        <w:rPr>
          <w:rFonts w:hint="eastAsia" w:hAnsi="宋体" w:cs="宋体"/>
          <w:bCs/>
          <w:snapToGrid/>
          <w:color w:val="auto"/>
          <w:kern w:val="2"/>
          <w:sz w:val="24"/>
          <w:szCs w:val="24"/>
          <w:highlight w:val="none"/>
        </w:rPr>
        <w:t>根据杭退管服〔2024〕4号》、《杭人社发〔2024〕1号等文件精神，街道以社区为单位开展“外出旅游活动”和“小型多样活动”相结合的企退人员文化娱乐活动</w:t>
      </w:r>
      <w:r>
        <w:rPr>
          <w:rFonts w:hint="eastAsia" w:ascii="宋体" w:hAnsi="宋体" w:cs="仿宋"/>
          <w:bCs/>
          <w:color w:val="auto"/>
          <w:sz w:val="24"/>
          <w:highlight w:val="none"/>
        </w:rPr>
        <w:t>。</w:t>
      </w:r>
      <w:bookmarkEnd w:id="11"/>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9"/>
        <w:rPr>
          <w:rFonts w:ascii="宋体" w:hAnsi="宋体" w:cs="宋体"/>
          <w:color w:val="auto"/>
          <w:highlight w:val="none"/>
        </w:rPr>
      </w:pPr>
      <w:r>
        <w:rPr>
          <w:rFonts w:hint="eastAsia" w:ascii="宋体" w:hAnsi="宋体" w:cs="宋体"/>
          <w:b/>
          <w:color w:val="auto"/>
          <w:highlight w:val="none"/>
        </w:rPr>
        <w:t>合同履约期限：自合同签订之日起至202</w:t>
      </w:r>
      <w:r>
        <w:rPr>
          <w:rFonts w:hint="eastAsia" w:ascii="宋体" w:hAnsi="宋体" w:cs="宋体"/>
          <w:b/>
          <w:color w:val="auto"/>
          <w:highlight w:val="none"/>
          <w:lang w:val="en-US" w:eastAsia="zh-CN"/>
        </w:rPr>
        <w:t>5</w:t>
      </w:r>
      <w:r>
        <w:rPr>
          <w:rFonts w:hint="eastAsia" w:ascii="宋体" w:hAnsi="宋体" w:cs="宋体"/>
          <w:b/>
          <w:color w:val="auto"/>
          <w:highlight w:val="none"/>
        </w:rPr>
        <w:t>年1</w:t>
      </w:r>
      <w:r>
        <w:rPr>
          <w:rFonts w:hint="eastAsia" w:ascii="宋体" w:hAnsi="宋体" w:cs="宋体"/>
          <w:b/>
          <w:color w:val="auto"/>
          <w:highlight w:val="none"/>
          <w:lang w:val="en-US" w:eastAsia="zh-CN"/>
        </w:rPr>
        <w:t>2</w:t>
      </w:r>
      <w:r>
        <w:rPr>
          <w:rFonts w:hint="eastAsia" w:ascii="宋体" w:hAnsi="宋体" w:cs="宋体"/>
          <w:b/>
          <w:color w:val="auto"/>
          <w:highlight w:val="none"/>
        </w:rPr>
        <w:t>月31日，具体以招标文件第三部分采购需求为准。</w:t>
      </w:r>
      <w:r>
        <w:rPr>
          <w:rFonts w:ascii="宋体" w:hAnsi="宋体" w:cs="宋体"/>
          <w:color w:val="auto"/>
          <w:highlight w:val="none"/>
        </w:rPr>
        <w:t xml:space="preserve"> </w:t>
      </w:r>
    </w:p>
    <w:p w14:paraId="07281B02">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29BF40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分00秒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D24EBB">
      <w:pPr>
        <w:spacing w:line="360" w:lineRule="auto"/>
        <w:rPr>
          <w:rFonts w:hint="eastAsia" w:ascii="宋体" w:hAnsi="宋体" w:cs="仿宋"/>
          <w:color w:val="auto"/>
          <w:sz w:val="24"/>
          <w:highlight w:val="none"/>
        </w:rPr>
      </w:pPr>
      <w:r>
        <w:rPr>
          <w:rFonts w:hint="eastAsia" w:ascii="宋体" w:hAnsi="宋体" w:cs="宋体"/>
          <w:color w:val="auto"/>
          <w:sz w:val="24"/>
          <w:highlight w:val="none"/>
        </w:rPr>
        <w:t xml:space="preserve">    </w:t>
      </w:r>
      <w:r>
        <w:rPr>
          <w:rFonts w:hint="eastAsia" w:ascii="宋体" w:hAnsi="宋体" w:cs="仿宋"/>
          <w:color w:val="auto"/>
          <w:sz w:val="24"/>
          <w:highlight w:val="none"/>
        </w:rPr>
        <w:t xml:space="preserve">名    称： 杭州市上城区人民政府闸弄口街道办事处   </w:t>
      </w:r>
    </w:p>
    <w:p w14:paraId="05232032">
      <w:pPr>
        <w:spacing w:line="360" w:lineRule="auto"/>
        <w:rPr>
          <w:rFonts w:hint="eastAsia" w:ascii="宋体" w:hAnsi="宋体" w:cs="仿宋"/>
          <w:color w:val="auto"/>
          <w:sz w:val="24"/>
          <w:highlight w:val="none"/>
        </w:rPr>
      </w:pPr>
      <w:r>
        <w:rPr>
          <w:rFonts w:hint="eastAsia" w:ascii="宋体" w:hAnsi="宋体" w:cs="仿宋"/>
          <w:color w:val="auto"/>
          <w:sz w:val="24"/>
          <w:highlight w:val="none"/>
        </w:rPr>
        <w:t xml:space="preserve">    地    址： 杭州市上城区机场路一巷88号   </w:t>
      </w:r>
    </w:p>
    <w:p w14:paraId="2F96E3D9">
      <w:pPr>
        <w:spacing w:line="360" w:lineRule="auto"/>
        <w:ind w:firstLine="480"/>
        <w:rPr>
          <w:rFonts w:hint="eastAsia" w:ascii="宋体" w:hAnsi="宋体" w:cs="仿宋"/>
          <w:color w:val="auto"/>
          <w:sz w:val="24"/>
          <w:highlight w:val="none"/>
        </w:rPr>
      </w:pPr>
      <w:r>
        <w:rPr>
          <w:rFonts w:hint="eastAsia" w:ascii="宋体" w:hAnsi="宋体" w:cs="仿宋"/>
          <w:color w:val="auto"/>
          <w:sz w:val="24"/>
          <w:highlight w:val="none"/>
        </w:rPr>
        <w:t>传    真： /</w:t>
      </w:r>
    </w:p>
    <w:p w14:paraId="4AAFD2D3">
      <w:pPr>
        <w:spacing w:line="360" w:lineRule="auto"/>
        <w:ind w:firstLine="480"/>
        <w:rPr>
          <w:rFonts w:hint="eastAsia" w:ascii="宋体" w:hAnsi="宋体" w:cs="仿宋"/>
          <w:color w:val="auto"/>
          <w:sz w:val="24"/>
          <w:highlight w:val="none"/>
        </w:rPr>
      </w:pPr>
      <w:r>
        <w:rPr>
          <w:rFonts w:hint="eastAsia" w:ascii="宋体" w:hAnsi="宋体" w:cs="仿宋"/>
          <w:color w:val="auto"/>
          <w:sz w:val="24"/>
          <w:highlight w:val="none"/>
        </w:rPr>
        <w:t xml:space="preserve">项目联系人（询问）：裘女士   </w:t>
      </w:r>
    </w:p>
    <w:p w14:paraId="5637BE12">
      <w:pPr>
        <w:spacing w:line="360" w:lineRule="auto"/>
        <w:rPr>
          <w:rFonts w:hint="default" w:ascii="宋体" w:hAnsi="宋体" w:eastAsia="宋体" w:cs="仿宋"/>
          <w:color w:val="auto"/>
          <w:sz w:val="24"/>
          <w:highlight w:val="none"/>
          <w:lang w:val="en-US" w:eastAsia="zh-CN"/>
        </w:rPr>
      </w:pPr>
      <w:r>
        <w:rPr>
          <w:rFonts w:hint="eastAsia" w:ascii="宋体" w:hAnsi="宋体" w:cs="仿宋"/>
          <w:color w:val="auto"/>
          <w:sz w:val="24"/>
          <w:highlight w:val="none"/>
        </w:rPr>
        <w:t xml:space="preserve">    项目联系方式（询问）：0571-8</w:t>
      </w:r>
      <w:r>
        <w:rPr>
          <w:rFonts w:hint="eastAsia" w:ascii="宋体" w:hAnsi="宋体" w:cs="仿宋"/>
          <w:color w:val="auto"/>
          <w:sz w:val="24"/>
          <w:highlight w:val="none"/>
          <w:lang w:val="en-US" w:eastAsia="zh-CN"/>
        </w:rPr>
        <w:t>9503280</w:t>
      </w:r>
    </w:p>
    <w:p w14:paraId="33839514">
      <w:pPr>
        <w:spacing w:line="360" w:lineRule="auto"/>
        <w:rPr>
          <w:rFonts w:hint="eastAsia" w:ascii="宋体" w:hAnsi="宋体" w:cs="仿宋"/>
          <w:color w:val="auto"/>
          <w:sz w:val="24"/>
          <w:highlight w:val="none"/>
        </w:rPr>
      </w:pPr>
      <w:r>
        <w:rPr>
          <w:rFonts w:hint="eastAsia" w:ascii="宋体" w:hAnsi="宋体" w:cs="仿宋"/>
          <w:color w:val="auto"/>
          <w:sz w:val="24"/>
          <w:highlight w:val="none"/>
        </w:rPr>
        <w:t xml:space="preserve">   </w:t>
      </w:r>
      <w:bookmarkStart w:id="12" w:name="_Hlk165884266"/>
      <w:r>
        <w:rPr>
          <w:rFonts w:hint="eastAsia" w:ascii="宋体" w:hAnsi="宋体" w:cs="仿宋"/>
          <w:color w:val="auto"/>
          <w:sz w:val="24"/>
          <w:highlight w:val="none"/>
        </w:rPr>
        <w:t xml:space="preserve"> 质疑联系人：</w:t>
      </w:r>
      <w:r>
        <w:rPr>
          <w:rFonts w:hint="eastAsia" w:ascii="宋体" w:hAnsi="宋体" w:cs="仿宋"/>
          <w:color w:val="auto"/>
          <w:sz w:val="24"/>
          <w:highlight w:val="none"/>
          <w:lang w:val="en-US" w:eastAsia="zh-CN"/>
        </w:rPr>
        <w:t>汪工</w:t>
      </w:r>
    </w:p>
    <w:p w14:paraId="659293F3">
      <w:pPr>
        <w:spacing w:line="360" w:lineRule="auto"/>
        <w:rPr>
          <w:rFonts w:ascii="宋体" w:hAnsi="宋体" w:cs="宋体"/>
          <w:color w:val="auto"/>
          <w:sz w:val="24"/>
          <w:highlight w:val="none"/>
        </w:rPr>
      </w:pPr>
      <w:r>
        <w:rPr>
          <w:rFonts w:hint="eastAsia" w:ascii="宋体" w:hAnsi="宋体" w:cs="仿宋"/>
          <w:color w:val="auto"/>
          <w:sz w:val="24"/>
          <w:highlight w:val="none"/>
        </w:rPr>
        <w:t xml:space="preserve">    质疑联系方式：0571-8</w:t>
      </w:r>
      <w:r>
        <w:rPr>
          <w:rFonts w:hint="eastAsia" w:ascii="宋体" w:hAnsi="宋体" w:cs="仿宋"/>
          <w:color w:val="auto"/>
          <w:sz w:val="24"/>
          <w:highlight w:val="none"/>
          <w:lang w:val="en-US" w:eastAsia="zh-CN"/>
        </w:rPr>
        <w:t>9503280</w:t>
      </w:r>
      <w:bookmarkEnd w:id="12"/>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96615AE">
      <w:pPr>
        <w:spacing w:line="360" w:lineRule="auto"/>
        <w:ind w:firstLine="480"/>
        <w:rPr>
          <w:rFonts w:hint="eastAsia" w:ascii="宋体" w:hAnsi="宋体" w:eastAsia="宋体" w:cs="仿宋"/>
          <w:color w:val="auto"/>
          <w:sz w:val="24"/>
          <w:highlight w:val="none"/>
          <w:lang w:val="zh-TW" w:eastAsia="zh-TW"/>
        </w:rPr>
      </w:pPr>
      <w:r>
        <w:rPr>
          <w:rFonts w:hint="eastAsia" w:ascii="宋体" w:hAnsi="宋体" w:eastAsia="宋体" w:cs="仿宋"/>
          <w:color w:val="auto"/>
          <w:sz w:val="24"/>
          <w:highlight w:val="none"/>
          <w:lang w:val="zh-TW" w:eastAsia="zh-TW"/>
        </w:rPr>
        <w:t>名 称：</w:t>
      </w:r>
      <w:r>
        <w:rPr>
          <w:rFonts w:hint="eastAsia" w:ascii="宋体" w:hAnsi="宋体" w:eastAsia="宋体" w:cs="仿宋"/>
          <w:color w:val="auto"/>
          <w:sz w:val="24"/>
          <w:highlight w:val="none"/>
          <w:lang w:val="zh-TW" w:eastAsia="zh-CN"/>
        </w:rPr>
        <w:t>杭州权璟建筑咨询有限公司</w:t>
      </w:r>
      <w:r>
        <w:rPr>
          <w:rFonts w:hint="eastAsia" w:ascii="宋体" w:hAnsi="宋体" w:eastAsia="宋体" w:cs="仿宋"/>
          <w:color w:val="auto"/>
          <w:sz w:val="24"/>
          <w:highlight w:val="none"/>
          <w:lang w:val="zh-TW" w:eastAsia="zh-TW"/>
        </w:rPr>
        <w:t> 　　　　　　　　　　　</w:t>
      </w:r>
    </w:p>
    <w:p w14:paraId="4F4228FD">
      <w:pPr>
        <w:spacing w:line="360" w:lineRule="auto"/>
        <w:ind w:firstLine="480"/>
        <w:rPr>
          <w:rFonts w:hint="eastAsia" w:ascii="宋体" w:hAnsi="宋体" w:eastAsia="宋体" w:cs="仿宋"/>
          <w:color w:val="auto"/>
          <w:sz w:val="24"/>
          <w:highlight w:val="none"/>
          <w:lang w:val="zh-TW" w:eastAsia="zh-TW"/>
        </w:rPr>
      </w:pPr>
      <w:r>
        <w:rPr>
          <w:rFonts w:hint="eastAsia" w:ascii="宋体" w:hAnsi="宋体" w:eastAsia="宋体" w:cs="仿宋"/>
          <w:color w:val="auto"/>
          <w:sz w:val="24"/>
          <w:highlight w:val="none"/>
          <w:lang w:val="zh-TW" w:eastAsia="zh-TW"/>
        </w:rPr>
        <w:t>地 址：杭州市上城区红嘉汇商业中心3幢3楼301  　   　</w:t>
      </w:r>
    </w:p>
    <w:p w14:paraId="67BB2ED6">
      <w:pPr>
        <w:spacing w:line="360" w:lineRule="auto"/>
        <w:ind w:firstLine="480"/>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rPr>
        <w:t>项目联系人（询问）：</w:t>
      </w:r>
      <w:r>
        <w:rPr>
          <w:rFonts w:hint="eastAsia" w:ascii="宋体" w:hAnsi="宋体" w:eastAsia="宋体" w:cs="仿宋"/>
          <w:color w:val="auto"/>
          <w:sz w:val="24"/>
          <w:highlight w:val="none"/>
          <w:lang w:val="en-US" w:eastAsia="zh-CN"/>
        </w:rPr>
        <w:t xml:space="preserve">傅宇宁              </w:t>
      </w:r>
    </w:p>
    <w:p w14:paraId="35E53029">
      <w:pPr>
        <w:spacing w:line="360" w:lineRule="auto"/>
        <w:ind w:firstLine="480"/>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rPr>
        <w:t>项目联系方式（询问）：</w:t>
      </w:r>
      <w:r>
        <w:rPr>
          <w:rFonts w:hint="eastAsia" w:ascii="宋体" w:hAnsi="宋体" w:eastAsia="宋体" w:cs="仿宋"/>
          <w:color w:val="auto"/>
          <w:sz w:val="24"/>
          <w:highlight w:val="none"/>
          <w:lang w:val="en-US" w:eastAsia="zh-CN"/>
        </w:rPr>
        <w:t>15958120716</w:t>
      </w:r>
    </w:p>
    <w:p w14:paraId="21CA1BD2">
      <w:pPr>
        <w:spacing w:line="360" w:lineRule="auto"/>
        <w:ind w:firstLine="480"/>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rPr>
        <w:t>质疑联系人：</w:t>
      </w:r>
      <w:r>
        <w:rPr>
          <w:rFonts w:hint="eastAsia" w:ascii="宋体" w:hAnsi="宋体" w:eastAsia="宋体" w:cs="仿宋"/>
          <w:color w:val="auto"/>
          <w:sz w:val="24"/>
          <w:highlight w:val="none"/>
          <w:lang w:val="en-US" w:eastAsia="zh-CN"/>
        </w:rPr>
        <w:t>胡工</w:t>
      </w:r>
    </w:p>
    <w:p w14:paraId="5CBD3EDD">
      <w:pPr>
        <w:spacing w:line="360" w:lineRule="auto"/>
        <w:ind w:firstLine="480"/>
        <w:rPr>
          <w:rFonts w:hint="eastAsia" w:ascii="宋体" w:hAnsi="宋体" w:eastAsia="宋体" w:cs="仿宋"/>
          <w:color w:val="auto"/>
          <w:sz w:val="24"/>
          <w:highlight w:val="none"/>
        </w:rPr>
      </w:pPr>
      <w:r>
        <w:rPr>
          <w:rFonts w:hint="eastAsia" w:ascii="宋体" w:hAnsi="宋体" w:eastAsia="宋体" w:cs="仿宋"/>
          <w:color w:val="auto"/>
          <w:sz w:val="24"/>
          <w:highlight w:val="none"/>
        </w:rPr>
        <w:t>质疑联系方式：</w:t>
      </w:r>
      <w:r>
        <w:rPr>
          <w:rFonts w:hint="eastAsia" w:ascii="宋体" w:hAnsi="宋体" w:eastAsia="宋体" w:cs="仿宋"/>
          <w:color w:val="auto"/>
          <w:sz w:val="24"/>
          <w:highlight w:val="none"/>
          <w:lang w:val="en-US" w:eastAsia="zh-CN"/>
        </w:rPr>
        <w:t>15158122788</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8993FEB">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1"/>
        <w:gridCol w:w="1514"/>
        <w:gridCol w:w="7163"/>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0" w:type="auto"/>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0" w:type="auto"/>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0" w:type="auto"/>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0" w:type="auto"/>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vAlign w:val="center"/>
          </w:tcPr>
          <w:p w14:paraId="54D97391">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b/>
                <w:color w:val="auto"/>
                <w:sz w:val="24"/>
                <w:highlight w:val="none"/>
                <w:u w:val="single"/>
                <w:lang w:eastAsia="zh-CN"/>
              </w:rPr>
              <w:t>2025年闸弄口街道企业退休人员自管小组文体活动项目</w:t>
            </w:r>
            <w:r>
              <w:rPr>
                <w:rFonts w:hint="eastAsia" w:ascii="宋体" w:hAnsi="宋体" w:cs="宋体"/>
                <w:color w:val="auto"/>
                <w:kern w:val="0"/>
                <w:sz w:val="24"/>
                <w:highlight w:val="none"/>
              </w:rPr>
              <w:t>，属于</w:t>
            </w:r>
            <w:r>
              <w:rPr>
                <w:rFonts w:hint="eastAsia" w:ascii="宋体" w:hAnsi="宋体" w:cs="宋体"/>
                <w:b/>
                <w:bCs/>
                <w:color w:val="auto"/>
                <w:kern w:val="0"/>
                <w:sz w:val="24"/>
                <w:highlight w:val="none"/>
                <w:u w:val="single"/>
              </w:rPr>
              <w:t>其他未列明行业</w:t>
            </w:r>
            <w:r>
              <w:rPr>
                <w:rFonts w:hint="eastAsia" w:ascii="宋体" w:hAnsi="宋体" w:cs="宋体"/>
                <w:color w:val="auto"/>
                <w:kern w:val="0"/>
                <w:sz w:val="24"/>
                <w:highlight w:val="none"/>
              </w:rPr>
              <w:t>；</w:t>
            </w:r>
          </w:p>
          <w:p w14:paraId="46B353BA">
            <w:pPr>
              <w:snapToGrid w:val="0"/>
              <w:rPr>
                <w:rFonts w:ascii="宋体" w:hAnsi="宋体" w:eastAsia="宋体" w:cs="宋体"/>
                <w:color w:val="auto"/>
                <w:highlight w:val="none"/>
                <w:lang w:val="en-US"/>
              </w:rPr>
            </w:pPr>
            <w:r>
              <w:rPr>
                <w:rFonts w:hint="eastAsia" w:ascii="宋体" w:hAnsi="宋体" w:cs="宋体"/>
                <w:color w:val="auto"/>
                <w:kern w:val="0"/>
                <w:sz w:val="24"/>
                <w:highlight w:val="none"/>
              </w:rPr>
              <w:t>（2）备注：《关于印发中小企业划型标准规定的通知》（工信部联企业〔2011〕300）：</w:t>
            </w:r>
            <w:r>
              <w:rPr>
                <w:rFonts w:hint="eastAsia" w:ascii="宋体" w:hAnsi="宋体" w:cs="宋体"/>
                <w:b/>
                <w:bCs/>
                <w:color w:val="auto"/>
                <w:kern w:val="0"/>
                <w:sz w:val="24"/>
                <w:highlight w:val="none"/>
                <w:u w:val="single"/>
              </w:rPr>
              <w:t>其他未列明行业</w:t>
            </w:r>
            <w:r>
              <w:rPr>
                <w:rFonts w:hint="eastAsia" w:ascii="宋体" w:hAnsi="宋体" w:cs="宋体"/>
                <w:b/>
                <w:bCs/>
                <w:color w:val="auto"/>
                <w:kern w:val="0"/>
                <w:sz w:val="24"/>
                <w:highlight w:val="none"/>
                <w:lang w:eastAsia="zh-CN"/>
              </w:rPr>
              <w:t>：</w:t>
            </w:r>
            <w:r>
              <w:rPr>
                <w:rFonts w:hint="eastAsia" w:ascii="宋体" w:hAnsi="宋体" w:cs="宋体"/>
                <w:b w:val="0"/>
                <w:bCs w:val="0"/>
                <w:color w:val="auto"/>
                <w:kern w:val="0"/>
                <w:sz w:val="24"/>
                <w:highlight w:val="none"/>
                <w:lang w:eastAsia="zh-CN"/>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0" w:type="auto"/>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0" w:type="auto"/>
            <w:tcBorders>
              <w:top w:val="single" w:color="000000" w:sz="8" w:space="0"/>
              <w:left w:val="single" w:color="000000" w:sz="2" w:space="0"/>
              <w:bottom w:val="single" w:color="000000" w:sz="8" w:space="0"/>
              <w:right w:val="single" w:color="000000" w:sz="8" w:space="0"/>
            </w:tcBorders>
            <w:vAlign w:val="center"/>
          </w:tcPr>
          <w:p w14:paraId="59CFD0C2">
            <w:pPr>
              <w:spacing w:line="360" w:lineRule="auto"/>
              <w:rPr>
                <w:rFonts w:hint="eastAsia" w:ascii="宋体" w:hAnsi="宋体" w:eastAsia="宋体" w:cs="宋体"/>
                <w:color w:val="auto"/>
                <w:highlight w:val="none"/>
                <w:lang w:eastAsia="zh-CN"/>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r>
              <w:rPr>
                <w:rFonts w:hint="eastAsia" w:ascii="宋体" w:hAnsi="宋体" w:cs="宋体"/>
                <w:color w:val="auto"/>
                <w:kern w:val="0"/>
                <w:sz w:val="24"/>
                <w:highlight w:val="none"/>
                <w:lang w:eastAsia="zh-CN"/>
              </w:rPr>
              <w:t>。</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0" w:type="auto"/>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0" w:type="auto"/>
            <w:tcBorders>
              <w:top w:val="single" w:color="000000" w:sz="8" w:space="0"/>
              <w:left w:val="single" w:color="000000" w:sz="2" w:space="0"/>
              <w:bottom w:val="single" w:color="000000" w:sz="8" w:space="0"/>
              <w:right w:val="single" w:color="000000" w:sz="8" w:space="0"/>
            </w:tcBorders>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lang w:val="en-US" w:eastAsia="zh-CN"/>
              </w:rPr>
              <w:t>活动档案整理</w:t>
            </w:r>
            <w:r>
              <w:rPr>
                <w:rFonts w:hint="eastAsia" w:ascii="宋体" w:hAnsi="宋体" w:cs="宋体"/>
                <w:color w:val="auto"/>
                <w:sz w:val="24"/>
                <w:highlight w:val="none"/>
              </w:rPr>
              <w:t>工作分包。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0"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0" w:type="auto"/>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vAlign w:val="center"/>
          </w:tcPr>
          <w:p w14:paraId="418E5266">
            <w:pPr>
              <w:spacing w:line="360" w:lineRule="auto"/>
              <w:rPr>
                <w:color w:val="auto"/>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r>
              <w:rPr>
                <w:rFonts w:hint="eastAsia" w:ascii="宋体" w:hAnsi="宋体" w:cs="宋体"/>
                <w:color w:val="auto"/>
                <w:sz w:val="24"/>
                <w:highlight w:val="none"/>
                <w:lang w:eastAsia="zh-CN"/>
              </w:rPr>
              <w:t>。</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6"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0" w:type="auto"/>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14:paraId="78AD61E6">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0" w:type="auto"/>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0" w:type="auto"/>
            <w:tcBorders>
              <w:top w:val="single" w:color="000000" w:sz="8" w:space="0"/>
              <w:left w:val="single" w:color="000000" w:sz="2" w:space="0"/>
              <w:bottom w:val="single" w:color="000000" w:sz="8" w:space="0"/>
              <w:right w:val="single" w:color="000000" w:sz="8" w:space="0"/>
            </w:tcBorders>
            <w:vAlign w:val="center"/>
          </w:tcPr>
          <w:p w14:paraId="552D1C2A">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0" w:type="auto"/>
            <w:vMerge w:val="restart"/>
            <w:tcBorders>
              <w:top w:val="single" w:color="auto" w:sz="4" w:space="0"/>
              <w:left w:val="single" w:color="auto" w:sz="4" w:space="0"/>
              <w:right w:val="single" w:color="auto" w:sz="4" w:space="0"/>
            </w:tcBorders>
            <w:vAlign w:val="center"/>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0" w:type="auto"/>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0" w:type="auto"/>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0" w:type="auto"/>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ascii="宋体" w:hAnsi="宋体" w:cs="宋体"/>
                <w:color w:val="auto"/>
                <w:sz w:val="24"/>
                <w:highlight w:val="none"/>
              </w:rPr>
            </w:pPr>
          </w:p>
        </w:tc>
        <w:tc>
          <w:tcPr>
            <w:tcW w:w="0" w:type="auto"/>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0" w:type="auto"/>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0" w:type="auto"/>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0" w:type="auto"/>
            <w:tcBorders>
              <w:top w:val="single" w:color="000000" w:sz="8" w:space="0"/>
              <w:left w:val="single" w:color="000000" w:sz="2" w:space="0"/>
              <w:bottom w:val="single" w:color="000000" w:sz="8" w:space="0"/>
              <w:right w:val="single" w:color="000000" w:sz="8" w:space="0"/>
            </w:tcBorders>
            <w:vAlign w:val="center"/>
          </w:tcPr>
          <w:p w14:paraId="36C9C289">
            <w:pPr>
              <w:pStyle w:val="79"/>
              <w:snapToGrid w:val="0"/>
              <w:spacing w:line="360" w:lineRule="auto"/>
              <w:ind w:firstLine="0" w:firstLineChars="0"/>
              <w:rPr>
                <w:color w:val="auto"/>
                <w:highlight w:val="none"/>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0" w:type="auto"/>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0" w:type="auto"/>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2" w:hRule="atLeast"/>
          <w:tblHeader/>
        </w:trPr>
        <w:tc>
          <w:tcPr>
            <w:tcW w:w="0" w:type="auto"/>
            <w:tcBorders>
              <w:top w:val="single" w:color="auto" w:sz="4" w:space="0"/>
              <w:left w:val="single" w:color="000000" w:sz="8" w:space="0"/>
              <w:right w:val="single" w:color="000000" w:sz="2" w:space="0"/>
            </w:tcBorders>
            <w:vAlign w:val="center"/>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0" w:type="auto"/>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0" w:type="auto"/>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0" w:type="auto"/>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0" w:type="auto"/>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浙江省杭州市上城区铭苑路66号闸弄口街道党群服务中心</w:t>
            </w:r>
            <w:r>
              <w:rPr>
                <w:rFonts w:hint="eastAsia" w:hAnsi="宋体" w:cs="宋体"/>
                <w:color w:val="auto"/>
                <w:kern w:val="28"/>
                <w:sz w:val="24"/>
                <w:szCs w:val="24"/>
                <w:highlight w:val="none"/>
                <w:u w:val="single"/>
                <w:lang w:val="en-US" w:eastAsia="zh-CN"/>
              </w:rPr>
              <w:t>二楼会议室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傅宇宁 15958120716</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0" w:type="auto"/>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0" w:type="auto"/>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0" w:type="auto"/>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0" w:type="auto"/>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0" w:type="auto"/>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0" w:type="auto"/>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0" w:type="auto"/>
            <w:tcBorders>
              <w:top w:val="single" w:color="000000" w:sz="8" w:space="0"/>
              <w:left w:val="single" w:color="auto" w:sz="4" w:space="0"/>
              <w:bottom w:val="single" w:color="000000" w:sz="8" w:space="0"/>
              <w:right w:val="single" w:color="auto" w:sz="4" w:space="0"/>
            </w:tcBorders>
            <w:vAlign w:val="center"/>
          </w:tcPr>
          <w:p w14:paraId="C4055FBA">
            <w:pPr>
              <w:pStyle w:val="34"/>
              <w:keepLines w:val="0"/>
              <w:pageBreakBefore w:val="0"/>
              <w:widowControl w:val="0"/>
              <w:kinsoku/>
              <w:wordWrap/>
              <w:overflowPunct/>
              <w:topLinePunct w:val="0"/>
              <w:autoSpaceDE/>
              <w:autoSpaceDN/>
              <w:bidi w:val="0"/>
              <w:adjustRightInd w:val="0"/>
              <w:spacing w:line="360" w:lineRule="exact"/>
              <w:jc w:val="lef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（1）本项目代理服务费以中标金额为计算基础，以中标金额为计算基础，</w:t>
            </w:r>
            <w:r>
              <w:rPr>
                <w:rFonts w:hint="eastAsia" w:ascii="宋体" w:hAnsi="宋体" w:eastAsia="宋体" w:cs="宋体"/>
                <w:color w:val="auto"/>
                <w:kern w:val="28"/>
                <w:sz w:val="24"/>
                <w:szCs w:val="24"/>
                <w:highlight w:val="none"/>
                <w:lang w:val="en-US" w:eastAsia="zh-CN"/>
              </w:rPr>
              <w:t>按国家规定收费标准计价格(2002)1980号文《招标代理服务收费管理暂行办法》中服务类标准，由中标供应商支付</w:t>
            </w:r>
            <w:r>
              <w:rPr>
                <w:rFonts w:hint="eastAsia" w:ascii="宋体" w:hAnsi="宋体" w:eastAsia="宋体" w:cs="宋体"/>
                <w:snapToGrid w:val="0"/>
                <w:color w:val="auto"/>
                <w:kern w:val="28"/>
                <w:sz w:val="24"/>
                <w:szCs w:val="24"/>
                <w:highlight w:val="none"/>
                <w:lang w:val="en-US" w:eastAsia="zh-CN" w:bidi="ar-SA"/>
              </w:rPr>
              <w:t>。以上费用，中标供应商应当自中标结果公告发布之日起5个工作日内一次性向采购代理机构支付。</w:t>
            </w:r>
          </w:p>
          <w:p w14:paraId="A80DB6D1">
            <w:pPr>
              <w:pStyle w:val="34"/>
              <w:keepLines w:val="0"/>
              <w:pageBreakBefore w:val="0"/>
              <w:widowControl w:val="0"/>
              <w:kinsoku/>
              <w:wordWrap/>
              <w:overflowPunct/>
              <w:topLinePunct w:val="0"/>
              <w:autoSpaceDE/>
              <w:autoSpaceDN/>
              <w:bidi w:val="0"/>
              <w:adjustRightInd w:val="0"/>
              <w:spacing w:line="360" w:lineRule="exact"/>
              <w:jc w:val="lef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（2）代理服务费支付：</w:t>
            </w:r>
          </w:p>
          <w:p w14:paraId="DB448996">
            <w:pPr>
              <w:pStyle w:val="34"/>
              <w:keepLines w:val="0"/>
              <w:pageBreakBefore w:val="0"/>
              <w:widowControl w:val="0"/>
              <w:kinsoku/>
              <w:wordWrap/>
              <w:overflowPunct/>
              <w:topLinePunct w:val="0"/>
              <w:autoSpaceDE/>
              <w:autoSpaceDN/>
              <w:bidi w:val="0"/>
              <w:adjustRightInd w:val="0"/>
              <w:spacing w:line="360" w:lineRule="exact"/>
              <w:jc w:val="lef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①代理服务费缴纳形式：汇票/支票/电汇/现金</w:t>
            </w:r>
          </w:p>
          <w:p w14:paraId="A40FAB9B">
            <w:pPr>
              <w:pStyle w:val="34"/>
              <w:keepLines w:val="0"/>
              <w:pageBreakBefore w:val="0"/>
              <w:widowControl w:val="0"/>
              <w:kinsoku/>
              <w:wordWrap/>
              <w:overflowPunct/>
              <w:topLinePunct w:val="0"/>
              <w:autoSpaceDE/>
              <w:autoSpaceDN/>
              <w:bidi w:val="0"/>
              <w:adjustRightInd w:val="0"/>
              <w:spacing w:line="360" w:lineRule="exact"/>
              <w:jc w:val="lef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②代理服务费汇入以下账户：</w:t>
            </w:r>
          </w:p>
          <w:p w14:paraId="2B5DFF02">
            <w:pPr>
              <w:pStyle w:val="34"/>
              <w:keepLines w:val="0"/>
              <w:pageBreakBefore w:val="0"/>
              <w:widowControl w:val="0"/>
              <w:kinsoku/>
              <w:wordWrap/>
              <w:overflowPunct/>
              <w:topLinePunct w:val="0"/>
              <w:autoSpaceDE/>
              <w:autoSpaceDN/>
              <w:bidi w:val="0"/>
              <w:adjustRightInd w:val="0"/>
              <w:spacing w:line="360" w:lineRule="exact"/>
              <w:jc w:val="lef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收款单位（户名）： 杭州权璟建筑咨询有限公司</w:t>
            </w:r>
          </w:p>
          <w:p w14:paraId="1DB2E0F0">
            <w:pPr>
              <w:pStyle w:val="34"/>
              <w:keepLines w:val="0"/>
              <w:pageBreakBefore w:val="0"/>
              <w:widowControl w:val="0"/>
              <w:kinsoku/>
              <w:wordWrap/>
              <w:overflowPunct/>
              <w:topLinePunct w:val="0"/>
              <w:autoSpaceDE/>
              <w:autoSpaceDN/>
              <w:bidi w:val="0"/>
              <w:adjustRightInd w:val="0"/>
              <w:spacing w:line="360" w:lineRule="exact"/>
              <w:jc w:val="lef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开户行：中国银行杭州西城支行</w:t>
            </w:r>
          </w:p>
          <w:p w14:paraId="0DCF737E">
            <w:pPr>
              <w:pStyle w:val="34"/>
              <w:keepLines w:val="0"/>
              <w:pageBreakBefore w:val="0"/>
              <w:widowControl w:val="0"/>
              <w:kinsoku/>
              <w:wordWrap/>
              <w:overflowPunct/>
              <w:topLinePunct w:val="0"/>
              <w:autoSpaceDE/>
              <w:autoSpaceDN/>
              <w:bidi w:val="0"/>
              <w:adjustRightInd w:val="0"/>
              <w:spacing w:line="360" w:lineRule="exact"/>
              <w:jc w:val="lef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账  号： 383178033063</w:t>
            </w:r>
          </w:p>
          <w:p w14:paraId="63675D7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szCs w:val="24"/>
                <w:highlight w:val="none"/>
                <w:lang w:val="en-US" w:eastAsia="zh-CN" w:bidi="ar-SA"/>
              </w:rPr>
              <w:t>（3）增值税发票开具资料：单位名称、税号（统一社会信用代码）、开户行名称、账号、地址及联系电话。</w:t>
            </w:r>
          </w:p>
        </w:tc>
      </w:tr>
      <w:tr w14:paraId="58759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tcBorders>
              <w:top w:val="single" w:color="auto" w:sz="4" w:space="0"/>
              <w:left w:val="single" w:color="auto" w:sz="4" w:space="0"/>
              <w:bottom w:val="single" w:color="auto" w:sz="4" w:space="0"/>
              <w:right w:val="single" w:color="000000" w:sz="2" w:space="0"/>
            </w:tcBorders>
            <w:shd w:val="clear" w:color="auto" w:fill="auto"/>
            <w:vAlign w:val="center"/>
          </w:tcPr>
          <w:p w14:paraId="1BFBC05D">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rPr>
              <w:t>16</w:t>
            </w:r>
          </w:p>
        </w:tc>
        <w:tc>
          <w:tcPr>
            <w:tcW w:w="0" w:type="auto"/>
            <w:tcBorders>
              <w:top w:val="single" w:color="auto" w:sz="4" w:space="0"/>
              <w:left w:val="single" w:color="000000" w:sz="2" w:space="0"/>
              <w:bottom w:val="single" w:color="auto" w:sz="4" w:space="0"/>
              <w:right w:val="single" w:color="auto" w:sz="4" w:space="0"/>
            </w:tcBorders>
            <w:shd w:val="clear" w:color="auto" w:fill="auto"/>
            <w:vAlign w:val="center"/>
          </w:tcPr>
          <w:p w14:paraId="368B4DA6">
            <w:pPr>
              <w:snapToGrid w:val="0"/>
              <w:spacing w:line="360" w:lineRule="auto"/>
              <w:jc w:val="center"/>
              <w:rPr>
                <w:rFonts w:hint="eastAsia" w:ascii="宋体" w:hAnsi="宋体" w:eastAsia="宋体" w:cs="仿宋_GB2312"/>
                <w:b/>
                <w:color w:val="auto"/>
                <w:kern w:val="2"/>
                <w:sz w:val="24"/>
                <w:szCs w:val="24"/>
                <w:highlight w:val="none"/>
                <w:lang w:val="en" w:eastAsia="zh-CN" w:bidi="ar-SA"/>
              </w:rPr>
            </w:pPr>
            <w:r>
              <w:rPr>
                <w:rFonts w:hint="eastAsia" w:ascii="宋体" w:hAnsi="宋体" w:cs="仿宋_GB2312"/>
                <w:b/>
                <w:color w:val="auto"/>
                <w:sz w:val="24"/>
                <w:highlight w:val="none"/>
              </w:rPr>
              <w:t>其他</w:t>
            </w:r>
          </w:p>
        </w:tc>
        <w:tc>
          <w:tcPr>
            <w:tcW w:w="0" w:type="auto"/>
            <w:tcBorders>
              <w:top w:val="single" w:color="000000" w:sz="8" w:space="0"/>
              <w:left w:val="single" w:color="auto" w:sz="4" w:space="0"/>
              <w:bottom w:val="single" w:color="auto" w:sz="4" w:space="0"/>
              <w:right w:val="single" w:color="auto" w:sz="4" w:space="0"/>
            </w:tcBorders>
            <w:shd w:val="clear" w:color="auto" w:fill="auto"/>
            <w:vAlign w:val="center"/>
          </w:tcPr>
          <w:p w14:paraId="4C1EC3C1">
            <w:pPr>
              <w:pStyle w:val="724"/>
              <w:spacing w:line="300" w:lineRule="auto"/>
              <w:ind w:firstLine="0"/>
              <w:rPr>
                <w:rFonts w:hint="eastAsia" w:ascii="宋体" w:hAnsi="宋体" w:eastAsia="宋体" w:cs="仿宋"/>
                <w:color w:val="auto"/>
                <w:kern w:val="0"/>
                <w:sz w:val="24"/>
                <w:szCs w:val="24"/>
                <w:highlight w:val="none"/>
                <w:lang w:val="en-US" w:eastAsia="zh-CN" w:bidi="ar-SA"/>
              </w:rPr>
            </w:pPr>
            <w:r>
              <w:rPr>
                <w:rFonts w:hint="eastAsia" w:cs="仿宋"/>
                <w:b/>
                <w:color w:val="auto"/>
                <w:szCs w:val="24"/>
                <w:highlight w:val="none"/>
              </w:rPr>
              <w:t>中标人应提供与电子投标文件内容一致的纸质投标文件一正三副，装订成册，采用胶订或线订，不得采用活页夹等可随时拆换的方式装订。（胶订或线订以外装订形式视为活页装订）</w:t>
            </w:r>
          </w:p>
        </w:tc>
      </w:tr>
    </w:tbl>
    <w:p w14:paraId="2EC1C853">
      <w:pPr>
        <w:snapToGrid w:val="0"/>
        <w:spacing w:line="360" w:lineRule="auto"/>
        <w:jc w:val="center"/>
        <w:rPr>
          <w:rFonts w:ascii="宋体" w:hAnsi="宋体" w:cs="宋体"/>
          <w:b/>
          <w:color w:val="auto"/>
          <w:sz w:val="32"/>
          <w:szCs w:val="20"/>
          <w:highlight w:val="none"/>
        </w:rPr>
      </w:pPr>
    </w:p>
    <w:bookmarkEnd w:id="10"/>
    <w:p w14:paraId="3E9CD471">
      <w:pPr>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615ADE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snapToGrid w:val="0"/>
        <w:spacing w:line="360" w:lineRule="auto"/>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rPr>
        <w:t>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outlineLvl w:val="1"/>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w:t>
      </w:r>
      <w:r>
        <w:rPr>
          <w:rFonts w:hint="eastAsia" w:ascii="宋体" w:hAnsi="宋体" w:eastAsia="宋体" w:cs="宋体"/>
          <w:color w:val="auto"/>
          <w:sz w:val="24"/>
          <w:highlight w:val="none"/>
          <w:lang w:eastAsia="zh-CN"/>
        </w:rPr>
        <w:t>策</w:t>
      </w:r>
      <w:r>
        <w:rPr>
          <w:rFonts w:hint="eastAsia" w:ascii="宋体" w:hAnsi="宋体" w:eastAsia="宋体" w:cs="宋体"/>
          <w:color w:val="auto"/>
          <w:sz w:val="24"/>
          <w:highlight w:val="none"/>
        </w:rPr>
        <w:t>。</w:t>
      </w:r>
    </w:p>
    <w:p w14:paraId="3663ABCB">
      <w:pPr>
        <w:spacing w:line="36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3097E857">
      <w:pPr>
        <w:spacing w:line="36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086A4519">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平等对待内外资企业和符合条件的破产重整企业，切实保障企业公平竞争，平等维护企业的合法利益。</w:t>
      </w:r>
    </w:p>
    <w:p w14:paraId="3EE38953">
      <w:pPr>
        <w:spacing w:line="360" w:lineRule="auto"/>
        <w:ind w:firstLine="241" w:firstLineChars="100"/>
        <w:outlineLvl w:val="1"/>
        <w:rPr>
          <w:rFonts w:hint="eastAsia" w:ascii="宋体" w:hAnsi="宋体" w:eastAsia="宋体" w:cs="宋体"/>
          <w:b/>
          <w:color w:val="auto"/>
          <w:sz w:val="24"/>
          <w:highlight w:val="none"/>
        </w:rPr>
      </w:pP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ascii="宋体" w:hAnsi="宋体" w:eastAsia="宋体" w:cs="仿宋"/>
          <w:color w:val="auto"/>
          <w:sz w:val="24"/>
          <w:highlight w:val="none"/>
        </w:rPr>
      </w:pPr>
      <w:r>
        <w:rPr>
          <w:rFonts w:hint="eastAsia" w:ascii="宋体" w:hAnsi="宋体" w:cs="仿宋"/>
          <w:color w:val="auto"/>
          <w:sz w:val="24"/>
          <w:highlight w:val="none"/>
        </w:rPr>
        <w:t>采购人因政策</w:t>
      </w:r>
      <w:r>
        <w:rPr>
          <w:rFonts w:hint="eastAsia" w:ascii="宋体" w:hAnsi="宋体" w:eastAsia="宋体" w:cs="仿宋"/>
          <w:color w:val="auto"/>
          <w:sz w:val="24"/>
          <w:highlight w:val="none"/>
        </w:rPr>
        <w:t>变化、规划调整而不履行政府采购合同的，供应商可依据《杭州市涉企补偿救济实施办法（试行）》向采购人提起补偿申请。</w:t>
      </w:r>
    </w:p>
    <w:p w14:paraId="72BB4CFD">
      <w:pPr>
        <w:adjustRightInd w:val="0"/>
        <w:snapToGrid w:val="0"/>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B83C9F8">
      <w:pPr>
        <w:pStyle w:val="34"/>
        <w:spacing w:line="360" w:lineRule="auto"/>
        <w:outlineLvl w:val="1"/>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outlineLvl w:val="1"/>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617BD70F">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tabs>
          <w:tab w:val="left" w:pos="432"/>
        </w:tabs>
        <w:snapToGrid w:val="0"/>
        <w:spacing w:line="360" w:lineRule="auto"/>
        <w:ind w:left="0" w:firstLine="960" w:firstLineChars="400"/>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outlineLvl w:val="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18.开标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w:t>
      </w:r>
      <w:r>
        <w:rPr>
          <w:rFonts w:hint="eastAsia" w:ascii="宋体" w:hAnsi="宋体" w:eastAsia="宋体" w:cs="宋体"/>
          <w:b/>
          <w:snapToGrid w:val="0"/>
          <w:color w:val="auto"/>
          <w:kern w:val="2"/>
          <w:sz w:val="24"/>
          <w:szCs w:val="24"/>
          <w:highlight w:val="none"/>
          <w:lang w:val="en-US" w:eastAsia="zh-CN" w:bidi="ar-SA"/>
        </w:rPr>
        <w:t>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34"/>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outlineLvl w:val="1"/>
        <w:rPr>
          <w:rFonts w:ascii="宋体" w:hAnsi="宋体" w:cs="宋体"/>
          <w:b/>
          <w:color w:val="auto"/>
          <w:sz w:val="24"/>
          <w:highlight w:val="none"/>
        </w:rPr>
      </w:pPr>
      <w:bookmarkStart w:id="15" w:name="_Toc91899903"/>
      <w:r>
        <w:rPr>
          <w:rFonts w:hint="eastAsia" w:ascii="宋体" w:hAnsi="宋体" w:eastAsia="宋体" w:cs="宋体"/>
          <w:b/>
          <w:snapToGrid w:val="0"/>
          <w:color w:val="auto"/>
          <w:kern w:val="2"/>
          <w:sz w:val="24"/>
          <w:szCs w:val="24"/>
          <w:highlight w:val="none"/>
          <w:lang w:val="en-US" w:eastAsia="zh-CN" w:bidi="ar-SA"/>
        </w:rPr>
        <w:t xml:space="preserve">21.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outlineLvl w:val="1"/>
        <w:rPr>
          <w:rFonts w:cs="宋体"/>
          <w:b/>
          <w:color w:val="auto"/>
          <w:highlight w:val="none"/>
        </w:rPr>
      </w:pPr>
      <w:r>
        <w:rPr>
          <w:rFonts w:hint="eastAsia" w:ascii="宋体" w:hAnsi="宋体" w:eastAsia="宋体" w:cs="宋体"/>
          <w:b/>
          <w:snapToGrid w:val="0"/>
          <w:color w:val="auto"/>
          <w:kern w:val="2"/>
          <w:sz w:val="24"/>
          <w:szCs w:val="24"/>
          <w:highlight w:val="none"/>
          <w:lang w:val="en-US" w:eastAsia="zh-CN" w:bidi="ar-SA"/>
        </w:rPr>
        <w:t>22.</w:t>
      </w:r>
      <w:r>
        <w:rPr>
          <w:rFonts w:hint="eastAsia" w:cs="宋体"/>
          <w:b/>
          <w:color w:val="auto"/>
          <w:highlight w:val="none"/>
        </w:rPr>
        <w:t xml:space="preserve">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26"/>
        <w:spacing w:line="360" w:lineRule="auto"/>
        <w:ind w:left="479" w:hanging="479" w:hangingChars="199"/>
        <w:outlineLvl w:val="1"/>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 xml:space="preserve">3. </w:t>
      </w:r>
      <w:r>
        <w:rPr>
          <w:rFonts w:hint="eastAsia" w:ascii="宋体" w:hAnsi="宋体" w:eastAsia="宋体" w:cs="宋体"/>
          <w:b/>
          <w:color w:val="auto"/>
          <w:highlight w:val="none"/>
        </w:rPr>
        <w:t>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ascii="宋体" w:hAnsi="宋体" w:eastAsia="宋体"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outlineLvl w:val="1"/>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outlineLvl w:val="1"/>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5"/>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290"/>
      <w:bookmarkEnd w:id="17"/>
      <w:bookmarkStart w:id="18" w:name="_Hlt68057669"/>
      <w:bookmarkEnd w:id="18"/>
      <w:bookmarkStart w:id="19" w:name="_Hlt68072998"/>
      <w:bookmarkEnd w:id="19"/>
      <w:bookmarkStart w:id="20" w:name="_Hlt74714665"/>
      <w:bookmarkEnd w:id="20"/>
      <w:bookmarkStart w:id="21" w:name="_Hlt68072990"/>
      <w:bookmarkEnd w:id="21"/>
      <w:bookmarkStart w:id="22" w:name="_Hlt74707468"/>
      <w:bookmarkEnd w:id="22"/>
      <w:bookmarkStart w:id="23" w:name="_Hlt75236101"/>
      <w:bookmarkEnd w:id="23"/>
      <w:bookmarkStart w:id="24" w:name="_Hlt68403820"/>
      <w:bookmarkEnd w:id="24"/>
      <w:bookmarkStart w:id="25" w:name="_Hlt74729768"/>
      <w:bookmarkEnd w:id="25"/>
      <w:bookmarkStart w:id="26" w:name="_Hlt74730295"/>
      <w:bookmarkEnd w:id="26"/>
      <w:bookmarkStart w:id="27" w:name="_Hlt68073093"/>
      <w:bookmarkEnd w:id="27"/>
      <w:bookmarkStart w:id="28" w:name="_Hlt75236011"/>
      <w:bookmarkEnd w:id="28"/>
    </w:p>
    <w:bookmarkEnd w:id="13"/>
    <w:bookmarkEnd w:id="14"/>
    <w:p w14:paraId="5EB35967">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2B5DC1CA">
      <w:pPr>
        <w:adjustRightInd/>
        <w:snapToGrid w:val="0"/>
        <w:spacing w:line="360" w:lineRule="auto"/>
        <w:outlineLvl w:val="1"/>
        <w:rPr>
          <w:rFonts w:hint="eastAsia" w:ascii="宋体" w:hAnsi="宋体" w:cs="仿宋_GB2312"/>
          <w:b/>
          <w:color w:val="auto"/>
          <w:sz w:val="24"/>
          <w:highlight w:val="none"/>
        </w:rPr>
      </w:pPr>
      <w:bookmarkStart w:id="30" w:name="_Toc98317918"/>
      <w:bookmarkStart w:id="31" w:name="_Toc258262168"/>
      <w:bookmarkStart w:id="32" w:name="_Toc443986555"/>
      <w:bookmarkStart w:id="33" w:name="_Toc258262142"/>
      <w:bookmarkStart w:id="34" w:name="_Toc477170111"/>
      <w:bookmarkStart w:id="35" w:name="_Toc309306843"/>
      <w:r>
        <w:rPr>
          <w:rFonts w:ascii="宋体" w:hAnsi="宋体" w:cs="仿宋_GB2312"/>
          <w:b/>
          <w:color w:val="auto"/>
          <w:sz w:val="24"/>
          <w:highlight w:val="none"/>
        </w:rPr>
        <w:t>一、项目</w:t>
      </w:r>
      <w:bookmarkEnd w:id="30"/>
      <w:bookmarkEnd w:id="31"/>
      <w:bookmarkEnd w:id="32"/>
      <w:bookmarkEnd w:id="33"/>
      <w:bookmarkEnd w:id="34"/>
      <w:bookmarkEnd w:id="35"/>
      <w:r>
        <w:rPr>
          <w:rFonts w:hint="eastAsia" w:ascii="宋体" w:hAnsi="宋体" w:cs="仿宋_GB2312"/>
          <w:b/>
          <w:color w:val="auto"/>
          <w:sz w:val="24"/>
          <w:highlight w:val="none"/>
        </w:rPr>
        <w:t>简要说明</w:t>
      </w:r>
    </w:p>
    <w:p w14:paraId="46E03B66">
      <w:pPr>
        <w:snapToGrid w:val="0"/>
        <w:spacing w:line="360" w:lineRule="auto"/>
        <w:ind w:firstLine="480" w:firstLineChars="200"/>
        <w:outlineLvl w:val="3"/>
        <w:rPr>
          <w:rFonts w:hint="eastAsia" w:ascii="宋体" w:hAnsi="宋体" w:cs="宋体"/>
          <w:color w:val="auto"/>
          <w:kern w:val="0"/>
          <w:sz w:val="24"/>
          <w:highlight w:val="none"/>
        </w:rPr>
      </w:pPr>
      <w:r>
        <w:rPr>
          <w:rFonts w:hint="eastAsia" w:ascii="宋体" w:hAnsi="宋体" w:cs="Arial"/>
          <w:color w:val="auto"/>
          <w:sz w:val="24"/>
          <w:highlight w:val="none"/>
        </w:rPr>
        <w:t>根据杭退管服〔2024〕4号》、《杭人社发〔2024〕1号等文件精神，街道以社区为单位开展“外出旅游活动”和“小型多样活动”相结合的企退人员文化娱乐活动。为体现公正、公平原则，切实选好服务机构、能为广大企业退休人员提供优质的服务，现对企退人员文娱活动服务商采购进行社会公开招标。</w:t>
      </w:r>
    </w:p>
    <w:p w14:paraId="235389CE">
      <w:pPr>
        <w:snapToGrid w:val="0"/>
        <w:spacing w:line="360" w:lineRule="auto"/>
        <w:ind w:firstLine="480" w:firstLineChars="200"/>
        <w:outlineLvl w:val="3"/>
        <w:rPr>
          <w:rFonts w:hint="eastAsia" w:ascii="宋体" w:hAnsi="宋体" w:cs="宋体"/>
          <w:color w:val="auto"/>
          <w:kern w:val="0"/>
          <w:sz w:val="24"/>
          <w:highlight w:val="none"/>
        </w:rPr>
      </w:pPr>
      <w:r>
        <w:rPr>
          <w:rFonts w:ascii="宋体" w:hAnsi="宋体" w:cs="宋体"/>
          <w:color w:val="auto"/>
          <w:kern w:val="0"/>
          <w:sz w:val="24"/>
          <w:highlight w:val="none"/>
        </w:rPr>
        <w:t>目前街道</w:t>
      </w:r>
      <w:r>
        <w:rPr>
          <w:rFonts w:hint="eastAsia" w:ascii="宋体" w:hAnsi="宋体" w:cs="宋体"/>
          <w:color w:val="auto"/>
          <w:kern w:val="0"/>
          <w:sz w:val="24"/>
          <w:highlight w:val="none"/>
        </w:rPr>
        <w:t>有</w:t>
      </w:r>
      <w:r>
        <w:rPr>
          <w:rFonts w:ascii="宋体" w:hAnsi="宋体" w:cs="宋体"/>
          <w:color w:val="auto"/>
          <w:kern w:val="0"/>
          <w:sz w:val="24"/>
          <w:highlight w:val="none"/>
        </w:rPr>
        <w:t>企退人员</w:t>
      </w:r>
      <w:r>
        <w:rPr>
          <w:rFonts w:hint="eastAsia" w:ascii="宋体" w:hAnsi="宋体" w:cs="宋体"/>
          <w:color w:val="auto"/>
          <w:kern w:val="0"/>
          <w:sz w:val="24"/>
          <w:highlight w:val="none"/>
        </w:rPr>
        <w:t>暂定为</w:t>
      </w:r>
      <w:r>
        <w:rPr>
          <w:rFonts w:ascii="宋体" w:hAnsi="宋体" w:cs="宋体"/>
          <w:color w:val="auto"/>
          <w:kern w:val="0"/>
          <w:sz w:val="24"/>
          <w:highlight w:val="none"/>
        </w:rPr>
        <w:t>2</w:t>
      </w:r>
      <w:r>
        <w:rPr>
          <w:rFonts w:hint="eastAsia" w:ascii="宋体" w:hAnsi="宋体" w:cs="宋体"/>
          <w:color w:val="auto"/>
          <w:kern w:val="0"/>
          <w:sz w:val="24"/>
          <w:highlight w:val="none"/>
          <w:lang w:val="en-US" w:eastAsia="zh-CN"/>
        </w:rPr>
        <w:t>.125</w:t>
      </w:r>
      <w:r>
        <w:rPr>
          <w:rFonts w:ascii="宋体" w:hAnsi="宋体" w:cs="宋体"/>
          <w:color w:val="auto"/>
          <w:kern w:val="0"/>
          <w:sz w:val="24"/>
          <w:highlight w:val="none"/>
        </w:rPr>
        <w:t>万人</w:t>
      </w:r>
      <w:r>
        <w:rPr>
          <w:rFonts w:hint="eastAsia" w:ascii="宋体" w:hAnsi="宋体" w:cs="宋体"/>
          <w:color w:val="auto"/>
          <w:kern w:val="0"/>
          <w:sz w:val="24"/>
          <w:highlight w:val="none"/>
        </w:rPr>
        <w:t>/年，</w:t>
      </w:r>
      <w:r>
        <w:rPr>
          <w:rFonts w:hint="eastAsia" w:ascii="宋体" w:hAnsi="宋体"/>
          <w:color w:val="auto"/>
          <w:sz w:val="24"/>
          <w:highlight w:val="none"/>
        </w:rPr>
        <w:t>活动金额为</w:t>
      </w:r>
      <w:r>
        <w:rPr>
          <w:rFonts w:ascii="宋体" w:hAnsi="宋体"/>
          <w:color w:val="auto"/>
          <w:sz w:val="24"/>
          <w:highlight w:val="none"/>
        </w:rPr>
        <w:t>130元/人。预计总费用2</w:t>
      </w:r>
      <w:r>
        <w:rPr>
          <w:rFonts w:hint="eastAsia" w:ascii="宋体" w:hAnsi="宋体"/>
          <w:color w:val="auto"/>
          <w:sz w:val="24"/>
          <w:highlight w:val="none"/>
          <w:lang w:val="en-US" w:eastAsia="zh-CN"/>
        </w:rPr>
        <w:t>76.25</w:t>
      </w:r>
      <w:r>
        <w:rPr>
          <w:rFonts w:ascii="宋体" w:hAnsi="宋体"/>
          <w:color w:val="auto"/>
          <w:sz w:val="24"/>
          <w:highlight w:val="none"/>
        </w:rPr>
        <w:t>万元(总费用按实际参与活动人数结算)。</w:t>
      </w:r>
    </w:p>
    <w:p w14:paraId="56DA5DD4">
      <w:pPr>
        <w:snapToGrid w:val="0"/>
        <w:spacing w:line="360" w:lineRule="auto"/>
        <w:outlineLvl w:val="1"/>
        <w:rPr>
          <w:rFonts w:hint="eastAsia" w:ascii="宋体" w:hAnsi="宋体" w:cs="仿宋_GB2312"/>
          <w:b/>
          <w:color w:val="auto"/>
          <w:sz w:val="24"/>
          <w:highlight w:val="none"/>
        </w:rPr>
      </w:pPr>
      <w:bookmarkStart w:id="36" w:name="_Toc98317920"/>
      <w:r>
        <w:rPr>
          <w:rFonts w:hint="eastAsia" w:ascii="宋体" w:hAnsi="宋体" w:cs="仿宋_GB2312"/>
          <w:b/>
          <w:color w:val="auto"/>
          <w:sz w:val="24"/>
          <w:highlight w:val="none"/>
        </w:rPr>
        <w:t>二、基本原则与规范</w:t>
      </w:r>
      <w:bookmarkEnd w:id="36"/>
    </w:p>
    <w:p w14:paraId="124E7E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2.1基本原则</w:t>
      </w:r>
    </w:p>
    <w:p w14:paraId="685727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组织企业退休人员参加外出旅游活动、小型文娱活动等多样化的活动。</w:t>
      </w:r>
    </w:p>
    <w:p w14:paraId="7286B1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2.2投标人应当遵循下列相关规范：</w:t>
      </w:r>
    </w:p>
    <w:p w14:paraId="345FF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2.2.1投标人应设有相对独立的服务热线电话和服务质量投诉电话，指定专人负责本项目的业务。</w:t>
      </w:r>
    </w:p>
    <w:p w14:paraId="60BE47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2.2.2投标人应诚实信用，严格遵守中标的价格和服务承诺，提供价格公道、优质高效的服务。</w:t>
      </w:r>
    </w:p>
    <w:p w14:paraId="7EB99C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2.2.3投标人未按合同标准提供相关服务的，承担违约责任，给参与者造成损失的，依法赔偿。</w:t>
      </w:r>
    </w:p>
    <w:p w14:paraId="31AB9F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2.2.4国家及地方主管部门制定的相关规范。</w:t>
      </w:r>
    </w:p>
    <w:p w14:paraId="2001E6A1">
      <w:pPr>
        <w:snapToGrid w:val="0"/>
        <w:spacing w:line="360" w:lineRule="auto"/>
        <w:outlineLvl w:val="1"/>
        <w:rPr>
          <w:rFonts w:hint="eastAsia" w:ascii="宋体" w:hAnsi="宋体" w:cs="仿宋_GB2312"/>
          <w:b/>
          <w:color w:val="auto"/>
          <w:sz w:val="24"/>
          <w:highlight w:val="none"/>
        </w:rPr>
      </w:pPr>
      <w:bookmarkStart w:id="37" w:name="_Toc98317921"/>
      <w:r>
        <w:rPr>
          <w:rFonts w:hint="eastAsia" w:ascii="宋体" w:hAnsi="宋体" w:cs="仿宋_GB2312"/>
          <w:b/>
          <w:color w:val="auto"/>
          <w:sz w:val="24"/>
          <w:highlight w:val="none"/>
        </w:rPr>
        <w:t>三、基本要求</w:t>
      </w:r>
      <w:bookmarkEnd w:id="37"/>
    </w:p>
    <w:p w14:paraId="03F982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3.1活动对象：闸弄口街道纳入社会化管理的企业退休人员。</w:t>
      </w:r>
    </w:p>
    <w:p w14:paraId="161839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3.2活动人数：约为</w:t>
      </w:r>
      <w:r>
        <w:rPr>
          <w:rFonts w:ascii="宋体" w:hAnsi="宋体" w:cs="宋体"/>
          <w:color w:val="auto"/>
          <w:kern w:val="0"/>
          <w:sz w:val="24"/>
          <w:highlight w:val="none"/>
        </w:rPr>
        <w:t>2</w:t>
      </w:r>
      <w:r>
        <w:rPr>
          <w:rFonts w:hint="eastAsia" w:ascii="宋体" w:hAnsi="宋体" w:cs="宋体"/>
          <w:color w:val="auto"/>
          <w:kern w:val="0"/>
          <w:sz w:val="24"/>
          <w:highlight w:val="none"/>
          <w:lang w:val="en-US" w:eastAsia="zh-CN"/>
        </w:rPr>
        <w:t>.125</w:t>
      </w:r>
      <w:r>
        <w:rPr>
          <w:rFonts w:ascii="宋体" w:hAnsi="宋体" w:cs="宋体"/>
          <w:color w:val="auto"/>
          <w:sz w:val="24"/>
          <w:highlight w:val="none"/>
        </w:rPr>
        <w:t>万人</w:t>
      </w:r>
      <w:r>
        <w:rPr>
          <w:rFonts w:hint="eastAsia" w:ascii="宋体" w:hAnsi="宋体" w:cs="宋体"/>
          <w:color w:val="auto"/>
          <w:sz w:val="24"/>
          <w:highlight w:val="none"/>
        </w:rPr>
        <w:t>，由招标人提供具体人员名单。</w:t>
      </w:r>
    </w:p>
    <w:p w14:paraId="3A7195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3.3活动特点：活动以小型、多样、就近、安全的形式开展。</w:t>
      </w:r>
    </w:p>
    <w:p w14:paraId="68474E99">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3.4个人经费标准：</w:t>
      </w:r>
      <w:r>
        <w:rPr>
          <w:rFonts w:ascii="宋体" w:hAnsi="宋体"/>
          <w:color w:val="auto"/>
          <w:sz w:val="24"/>
          <w:highlight w:val="none"/>
        </w:rPr>
        <w:t>130元/人</w:t>
      </w:r>
      <w:r>
        <w:rPr>
          <w:rFonts w:hint="eastAsia" w:ascii="宋体" w:hAnsi="宋体" w:cs="宋体"/>
          <w:b/>
          <w:color w:val="auto"/>
          <w:sz w:val="24"/>
          <w:highlight w:val="none"/>
          <w:u w:val="single"/>
        </w:rPr>
        <w:t>（本次招标价格不得竞争）</w:t>
      </w:r>
      <w:r>
        <w:rPr>
          <w:rFonts w:hint="eastAsia" w:ascii="宋体" w:hAnsi="宋体" w:cs="宋体"/>
          <w:color w:val="auto"/>
          <w:sz w:val="24"/>
          <w:highlight w:val="none"/>
        </w:rPr>
        <w:t>。</w:t>
      </w:r>
      <w:r>
        <w:rPr>
          <w:rFonts w:hint="eastAsia" w:ascii="宋体" w:hAnsi="宋体" w:cs="仿宋"/>
          <w:color w:val="auto"/>
          <w:kern w:val="0"/>
          <w:sz w:val="24"/>
          <w:highlight w:val="none"/>
        </w:rPr>
        <w:t>包含组织活动过程中产生的一切费用。</w:t>
      </w:r>
      <w:r>
        <w:rPr>
          <w:rFonts w:hint="eastAsia" w:ascii="宋体" w:hAnsi="宋体" w:cs="仿宋"/>
          <w:b/>
          <w:bCs/>
          <w:color w:val="auto"/>
          <w:kern w:val="0"/>
          <w:sz w:val="24"/>
          <w:highlight w:val="none"/>
        </w:rPr>
        <w:t>承办单位须根据采购人调配安排参与人员活动形式，具体结算按实际使用人数进行结算。后续不得增加相应费用。</w:t>
      </w:r>
    </w:p>
    <w:p w14:paraId="129F40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3.5活动形式：</w:t>
      </w:r>
    </w:p>
    <w:p w14:paraId="02854C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3.5.1一次性活动：可适当整合资源，不接受现金、各类有价证券的活动形式。</w:t>
      </w:r>
    </w:p>
    <w:p w14:paraId="4EE29F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3.5.2活动种类多样、可操作性强。投标人在投标文件中需提供详细的多种类活动方案，供企退人员进行选择。</w:t>
      </w:r>
    </w:p>
    <w:p w14:paraId="66FD0E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3.6活动组织方式：由投标人统一组织安排活动。</w:t>
      </w:r>
    </w:p>
    <w:p w14:paraId="2CCE9B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3.7合同履约期限：自合同签订之日起至202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月31日</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highlight w:val="none"/>
          <w:lang w:val="en-US" w:eastAsia="zh-CN"/>
        </w:rPr>
        <w:t>组织</w:t>
      </w:r>
      <w:r>
        <w:rPr>
          <w:rFonts w:hint="eastAsia" w:ascii="宋体" w:hAnsi="宋体" w:eastAsia="宋体" w:cs="宋体"/>
          <w:b w:val="0"/>
          <w:color w:val="auto"/>
          <w:sz w:val="24"/>
          <w:highlight w:val="none"/>
        </w:rPr>
        <w:t>活动时间：</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31日前完成所有</w:t>
      </w:r>
      <w:r>
        <w:rPr>
          <w:rFonts w:hint="eastAsia" w:ascii="宋体" w:hAnsi="宋体" w:cs="Arial"/>
          <w:color w:val="auto"/>
          <w:sz w:val="24"/>
          <w:highlight w:val="none"/>
        </w:rPr>
        <w:t>企退人员文化娱乐活动</w:t>
      </w:r>
      <w:r>
        <w:rPr>
          <w:rFonts w:hint="eastAsia" w:ascii="宋体" w:hAnsi="宋体" w:cs="宋体"/>
          <w:color w:val="auto"/>
          <w:sz w:val="24"/>
          <w:highlight w:val="none"/>
        </w:rPr>
        <w:t>。</w:t>
      </w:r>
    </w:p>
    <w:p w14:paraId="5FAB56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3.8投标人能提供良好的接待、服务工作以及热情、细致、认真、周到的服务。</w:t>
      </w:r>
    </w:p>
    <w:p w14:paraId="4B13ED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3.9投标人必须随时向采购人提供完整的本项目所有活动参与人员实时动态数据（含实时动态结算数据）</w:t>
      </w:r>
    </w:p>
    <w:p w14:paraId="11A55C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3.10</w:t>
      </w:r>
      <w:r>
        <w:rPr>
          <w:rFonts w:hint="eastAsia" w:ascii="宋体" w:hAnsi="宋体" w:cs="宋体"/>
          <w:color w:val="auto"/>
          <w:sz w:val="24"/>
          <w:highlight w:val="none"/>
        </w:rPr>
        <w:t>投标人应承诺参加活动人员名单和个人信息不得外泄。</w:t>
      </w:r>
    </w:p>
    <w:p w14:paraId="10CD9D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如因企业退休人员年龄或身体健康原因无法出行，承办单位须进行上门慰问服务。如有因纠纷引起的相关费用及给招标人造成的损失，由承办单位承担。相关费用均包含在总报价中，中标后不作调整。</w:t>
      </w:r>
    </w:p>
    <w:p w14:paraId="15826A74">
      <w:pPr>
        <w:spacing w:line="360" w:lineRule="auto"/>
        <w:ind w:firstLine="480" w:firstLineChars="200"/>
        <w:jc w:val="center"/>
        <w:rPr>
          <w:rFonts w:hint="eastAsia" w:ascii="宋体" w:hAnsi="宋体" w:cs="宋体"/>
          <w:b w:val="0"/>
          <w:bCs/>
          <w:snapToGrid w:val="0"/>
          <w:color w:val="auto"/>
          <w:kern w:val="0"/>
          <w:sz w:val="24"/>
          <w:highlight w:val="none"/>
        </w:rPr>
      </w:pPr>
      <w:r>
        <w:rPr>
          <w:rFonts w:hint="eastAsia" w:ascii="宋体" w:hAnsi="宋体" w:cs="宋体"/>
          <w:b w:val="0"/>
          <w:bCs/>
          <w:snapToGrid w:val="0"/>
          <w:color w:val="auto"/>
          <w:kern w:val="0"/>
          <w:sz w:val="24"/>
          <w:highlight w:val="none"/>
          <w:lang w:val="en-US" w:eastAsia="zh-CN"/>
        </w:rPr>
        <w:t>上门慰问</w:t>
      </w:r>
      <w:r>
        <w:rPr>
          <w:rFonts w:hint="eastAsia" w:ascii="宋体" w:hAnsi="宋体" w:cs="宋体"/>
          <w:b w:val="0"/>
          <w:bCs/>
          <w:snapToGrid w:val="0"/>
          <w:color w:val="auto"/>
          <w:kern w:val="0"/>
          <w:sz w:val="24"/>
          <w:highlight w:val="none"/>
        </w:rPr>
        <w:t>服务套餐参考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632"/>
        <w:gridCol w:w="2844"/>
        <w:gridCol w:w="2693"/>
      </w:tblGrid>
      <w:tr w14:paraId="693D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26" w:type="dxa"/>
            <w:vAlign w:val="center"/>
          </w:tcPr>
          <w:p w14:paraId="2FDCC2CB">
            <w:pPr>
              <w:jc w:val="center"/>
              <w:rPr>
                <w:color w:val="auto"/>
                <w:highlight w:val="none"/>
              </w:rPr>
            </w:pPr>
            <w:bookmarkStart w:id="38" w:name="_Hlk172028882"/>
            <w:r>
              <w:rPr>
                <w:rFonts w:hint="eastAsia" w:ascii="宋体" w:hAnsi="宋体" w:cs="宋体"/>
                <w:color w:val="auto"/>
                <w:kern w:val="0"/>
                <w:sz w:val="24"/>
                <w:highlight w:val="none"/>
              </w:rPr>
              <w:t>套餐编号</w:t>
            </w:r>
          </w:p>
        </w:tc>
        <w:tc>
          <w:tcPr>
            <w:tcW w:w="1632" w:type="dxa"/>
            <w:vAlign w:val="center"/>
          </w:tcPr>
          <w:p w14:paraId="4329B23F">
            <w:pPr>
              <w:jc w:val="center"/>
              <w:rPr>
                <w:color w:val="auto"/>
                <w:highlight w:val="none"/>
              </w:rPr>
            </w:pPr>
            <w:r>
              <w:rPr>
                <w:rFonts w:hint="eastAsia" w:ascii="宋体" w:hAnsi="宋体" w:cs="宋体"/>
                <w:color w:val="auto"/>
                <w:kern w:val="0"/>
                <w:sz w:val="24"/>
                <w:highlight w:val="none"/>
              </w:rPr>
              <w:t>货物名称</w:t>
            </w:r>
          </w:p>
        </w:tc>
        <w:tc>
          <w:tcPr>
            <w:tcW w:w="2844" w:type="dxa"/>
            <w:vAlign w:val="center"/>
          </w:tcPr>
          <w:p w14:paraId="31A8062F">
            <w:pPr>
              <w:jc w:val="center"/>
              <w:rPr>
                <w:color w:val="auto"/>
                <w:highlight w:val="none"/>
              </w:rPr>
            </w:pPr>
            <w:r>
              <w:rPr>
                <w:rFonts w:hint="eastAsia" w:ascii="宋体" w:hAnsi="宋体" w:cs="宋体"/>
                <w:color w:val="auto"/>
                <w:kern w:val="0"/>
                <w:sz w:val="24"/>
                <w:highlight w:val="none"/>
              </w:rPr>
              <w:t>预算</w:t>
            </w:r>
          </w:p>
        </w:tc>
        <w:tc>
          <w:tcPr>
            <w:tcW w:w="2693" w:type="dxa"/>
            <w:vAlign w:val="center"/>
          </w:tcPr>
          <w:p w14:paraId="1602171D">
            <w:pPr>
              <w:jc w:val="center"/>
              <w:rPr>
                <w:color w:val="auto"/>
                <w:highlight w:val="none"/>
              </w:rPr>
            </w:pPr>
            <w:r>
              <w:rPr>
                <w:rFonts w:hint="eastAsia" w:ascii="宋体" w:hAnsi="宋体" w:cs="宋体"/>
                <w:color w:val="auto"/>
                <w:kern w:val="0"/>
                <w:sz w:val="24"/>
                <w:highlight w:val="none"/>
              </w:rPr>
              <w:t>备注</w:t>
            </w:r>
          </w:p>
        </w:tc>
      </w:tr>
      <w:tr w14:paraId="265F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26" w:type="dxa"/>
            <w:vAlign w:val="center"/>
          </w:tcPr>
          <w:p w14:paraId="2A8DF587">
            <w:pPr>
              <w:jc w:val="center"/>
              <w:rPr>
                <w:color w:val="auto"/>
                <w:highlight w:val="none"/>
              </w:rPr>
            </w:pPr>
            <w:r>
              <w:rPr>
                <w:rFonts w:hint="eastAsia"/>
                <w:color w:val="auto"/>
                <w:highlight w:val="none"/>
              </w:rPr>
              <w:t>A</w:t>
            </w:r>
          </w:p>
        </w:tc>
        <w:tc>
          <w:tcPr>
            <w:tcW w:w="1632" w:type="dxa"/>
            <w:vAlign w:val="center"/>
          </w:tcPr>
          <w:p w14:paraId="23110267">
            <w:pPr>
              <w:jc w:val="center"/>
              <w:rPr>
                <w:color w:val="auto"/>
                <w:highlight w:val="none"/>
              </w:rPr>
            </w:pPr>
            <w:r>
              <w:rPr>
                <w:rFonts w:hint="eastAsia" w:ascii="宋体" w:hAnsi="宋体" w:cs="宋体"/>
                <w:color w:val="auto"/>
                <w:kern w:val="0"/>
                <w:sz w:val="24"/>
                <w:highlight w:val="none"/>
              </w:rPr>
              <w:t>米+油</w:t>
            </w:r>
          </w:p>
        </w:tc>
        <w:tc>
          <w:tcPr>
            <w:tcW w:w="2844" w:type="dxa"/>
            <w:vAlign w:val="center"/>
          </w:tcPr>
          <w:p w14:paraId="5E95F266">
            <w:pPr>
              <w:jc w:val="center"/>
              <w:rPr>
                <w:color w:val="auto"/>
                <w:highlight w:val="none"/>
              </w:rPr>
            </w:pPr>
            <w:r>
              <w:rPr>
                <w:rFonts w:hint="eastAsia" w:ascii="宋体" w:hAnsi="宋体" w:cs="宋体"/>
                <w:color w:val="auto"/>
                <w:kern w:val="0"/>
                <w:sz w:val="24"/>
                <w:highlight w:val="none"/>
              </w:rPr>
              <w:t>130元/份</w:t>
            </w:r>
          </w:p>
        </w:tc>
        <w:tc>
          <w:tcPr>
            <w:tcW w:w="2693" w:type="dxa"/>
            <w:vMerge w:val="restart"/>
            <w:vAlign w:val="center"/>
          </w:tcPr>
          <w:p w14:paraId="398109BF">
            <w:pPr>
              <w:rPr>
                <w:color w:val="auto"/>
                <w:highlight w:val="none"/>
              </w:rPr>
            </w:pPr>
            <w:r>
              <w:rPr>
                <w:rFonts w:hint="eastAsia" w:ascii="宋体" w:hAnsi="宋体" w:cs="宋体"/>
                <w:color w:val="auto"/>
                <w:kern w:val="0"/>
                <w:sz w:val="24"/>
                <w:highlight w:val="none"/>
              </w:rPr>
              <w:t>要求提供的套餐内的所有活动用品均在浙江省内超市或京东、政采云网上销售（</w:t>
            </w:r>
            <w:r>
              <w:rPr>
                <w:rFonts w:hint="eastAsia" w:ascii="宋体" w:hAnsi="宋体" w:cs="宋体"/>
                <w:b/>
                <w:bCs/>
                <w:color w:val="auto"/>
                <w:kern w:val="0"/>
                <w:sz w:val="24"/>
                <w:highlight w:val="none"/>
              </w:rPr>
              <w:t>投标人应提供货物照片或网络链接</w:t>
            </w:r>
            <w:r>
              <w:rPr>
                <w:rFonts w:hint="eastAsia" w:ascii="宋体" w:hAnsi="宋体" w:cs="宋体"/>
                <w:color w:val="auto"/>
                <w:kern w:val="0"/>
                <w:sz w:val="24"/>
                <w:highlight w:val="none"/>
              </w:rPr>
              <w:t>）</w:t>
            </w:r>
          </w:p>
        </w:tc>
      </w:tr>
      <w:tr w14:paraId="336E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26" w:type="dxa"/>
            <w:vAlign w:val="center"/>
          </w:tcPr>
          <w:p w14:paraId="19FF3B8F">
            <w:pPr>
              <w:jc w:val="center"/>
              <w:rPr>
                <w:color w:val="auto"/>
                <w:highlight w:val="none"/>
              </w:rPr>
            </w:pPr>
            <w:r>
              <w:rPr>
                <w:rFonts w:hint="eastAsia"/>
                <w:color w:val="auto"/>
                <w:highlight w:val="none"/>
              </w:rPr>
              <w:t>B</w:t>
            </w:r>
          </w:p>
        </w:tc>
        <w:tc>
          <w:tcPr>
            <w:tcW w:w="1632" w:type="dxa"/>
            <w:vAlign w:val="center"/>
          </w:tcPr>
          <w:p w14:paraId="6F9CA328">
            <w:pPr>
              <w:jc w:val="center"/>
              <w:rPr>
                <w:color w:val="auto"/>
                <w:highlight w:val="none"/>
              </w:rPr>
            </w:pPr>
            <w:r>
              <w:rPr>
                <w:rFonts w:hint="eastAsia" w:ascii="宋体" w:hAnsi="宋体" w:cs="宋体"/>
                <w:color w:val="auto"/>
                <w:kern w:val="0"/>
                <w:sz w:val="24"/>
                <w:highlight w:val="none"/>
              </w:rPr>
              <w:t>高端油</w:t>
            </w:r>
          </w:p>
        </w:tc>
        <w:tc>
          <w:tcPr>
            <w:tcW w:w="2844" w:type="dxa"/>
            <w:vAlign w:val="center"/>
          </w:tcPr>
          <w:p w14:paraId="672C16F0">
            <w:pPr>
              <w:jc w:val="center"/>
              <w:rPr>
                <w:color w:val="auto"/>
                <w:highlight w:val="none"/>
              </w:rPr>
            </w:pPr>
            <w:r>
              <w:rPr>
                <w:rFonts w:hint="eastAsia" w:ascii="宋体" w:hAnsi="宋体" w:cs="宋体"/>
                <w:color w:val="auto"/>
                <w:kern w:val="0"/>
                <w:sz w:val="24"/>
                <w:highlight w:val="none"/>
              </w:rPr>
              <w:t>130元/份</w:t>
            </w:r>
          </w:p>
        </w:tc>
        <w:tc>
          <w:tcPr>
            <w:tcW w:w="2693" w:type="dxa"/>
            <w:vMerge w:val="continue"/>
          </w:tcPr>
          <w:p w14:paraId="2178D420">
            <w:pPr>
              <w:rPr>
                <w:color w:val="auto"/>
                <w:highlight w:val="none"/>
              </w:rPr>
            </w:pPr>
          </w:p>
        </w:tc>
      </w:tr>
      <w:tr w14:paraId="7366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26" w:type="dxa"/>
            <w:vAlign w:val="center"/>
          </w:tcPr>
          <w:p w14:paraId="36510C87">
            <w:pPr>
              <w:jc w:val="center"/>
              <w:rPr>
                <w:color w:val="auto"/>
                <w:highlight w:val="none"/>
              </w:rPr>
            </w:pPr>
            <w:r>
              <w:rPr>
                <w:rFonts w:hint="eastAsia"/>
                <w:color w:val="auto"/>
                <w:highlight w:val="none"/>
              </w:rPr>
              <w:t>C</w:t>
            </w:r>
          </w:p>
        </w:tc>
        <w:tc>
          <w:tcPr>
            <w:tcW w:w="1632" w:type="dxa"/>
            <w:vAlign w:val="center"/>
          </w:tcPr>
          <w:p w14:paraId="5E5A5981">
            <w:pPr>
              <w:jc w:val="center"/>
              <w:rPr>
                <w:color w:val="auto"/>
                <w:highlight w:val="none"/>
              </w:rPr>
            </w:pPr>
            <w:r>
              <w:rPr>
                <w:rFonts w:hint="eastAsia" w:ascii="宋体" w:hAnsi="宋体" w:cs="宋体"/>
                <w:color w:val="auto"/>
                <w:kern w:val="0"/>
                <w:sz w:val="24"/>
                <w:highlight w:val="none"/>
              </w:rPr>
              <w:t>日化套餐</w:t>
            </w:r>
          </w:p>
        </w:tc>
        <w:tc>
          <w:tcPr>
            <w:tcW w:w="2844" w:type="dxa"/>
            <w:vAlign w:val="center"/>
          </w:tcPr>
          <w:p w14:paraId="4B28881F">
            <w:pPr>
              <w:jc w:val="center"/>
              <w:rPr>
                <w:color w:val="auto"/>
                <w:highlight w:val="none"/>
              </w:rPr>
            </w:pPr>
            <w:r>
              <w:rPr>
                <w:rFonts w:hint="eastAsia" w:ascii="宋体" w:hAnsi="宋体" w:cs="宋体"/>
                <w:color w:val="auto"/>
                <w:kern w:val="0"/>
                <w:sz w:val="24"/>
                <w:highlight w:val="none"/>
              </w:rPr>
              <w:t>130元/份</w:t>
            </w:r>
          </w:p>
        </w:tc>
        <w:tc>
          <w:tcPr>
            <w:tcW w:w="2693" w:type="dxa"/>
            <w:vMerge w:val="continue"/>
          </w:tcPr>
          <w:p w14:paraId="6CFAFA6E">
            <w:pPr>
              <w:rPr>
                <w:color w:val="auto"/>
                <w:highlight w:val="none"/>
              </w:rPr>
            </w:pPr>
          </w:p>
        </w:tc>
      </w:tr>
      <w:bookmarkEnd w:id="38"/>
    </w:tbl>
    <w:p w14:paraId="47DDAA0C">
      <w:pPr>
        <w:rPr>
          <w:color w:val="auto"/>
          <w:highlight w:val="none"/>
        </w:rPr>
      </w:pPr>
    </w:p>
    <w:p w14:paraId="39D29E30">
      <w:pPr>
        <w:snapToGrid w:val="0"/>
        <w:spacing w:line="360" w:lineRule="auto"/>
        <w:ind w:firstLine="482" w:firstLineChars="200"/>
        <w:outlineLvl w:val="1"/>
        <w:rPr>
          <w:rFonts w:hint="eastAsia" w:ascii="宋体" w:hAnsi="宋体" w:cs="仿宋_GB2312"/>
          <w:b/>
          <w:color w:val="auto"/>
          <w:sz w:val="24"/>
          <w:highlight w:val="none"/>
        </w:rPr>
      </w:pPr>
      <w:bookmarkStart w:id="39" w:name="_Toc3395"/>
      <w:r>
        <w:rPr>
          <w:rFonts w:hint="eastAsia" w:ascii="宋体" w:hAnsi="宋体" w:cs="仿宋_GB2312"/>
          <w:b/>
          <w:color w:val="auto"/>
          <w:sz w:val="24"/>
          <w:highlight w:val="none"/>
          <w:lang w:val="en-US" w:eastAsia="zh-CN"/>
        </w:rPr>
        <w:t>四</w:t>
      </w:r>
      <w:r>
        <w:rPr>
          <w:rFonts w:hint="eastAsia" w:ascii="宋体" w:hAnsi="宋体" w:cs="仿宋_GB2312"/>
          <w:b/>
          <w:color w:val="auto"/>
          <w:sz w:val="24"/>
          <w:highlight w:val="none"/>
        </w:rPr>
        <w:t>、</w:t>
      </w:r>
      <w:r>
        <w:rPr>
          <w:rFonts w:hint="eastAsia" w:ascii="宋体" w:hAnsi="宋体" w:cs="仿宋_GB2312"/>
          <w:b/>
          <w:color w:val="auto"/>
          <w:sz w:val="24"/>
          <w:highlight w:val="none"/>
          <w:lang w:val="en-US" w:eastAsia="zh-CN"/>
        </w:rPr>
        <w:t>其他</w:t>
      </w:r>
      <w:r>
        <w:rPr>
          <w:rFonts w:hint="eastAsia" w:ascii="宋体" w:hAnsi="宋体" w:cs="仿宋_GB2312"/>
          <w:b/>
          <w:color w:val="auto"/>
          <w:sz w:val="24"/>
          <w:highlight w:val="none"/>
        </w:rPr>
        <w:t>要求</w:t>
      </w:r>
    </w:p>
    <w:p w14:paraId="6D59B751">
      <w:pPr>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 xml:space="preserve">4.1安全保障性预案与应急措施 </w:t>
      </w:r>
    </w:p>
    <w:p w14:paraId="76419E81">
      <w:pPr>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制定安全保障方案、应急预案，对活动中出现的突发情况进行分析及提出合理的应对措施方案</w:t>
      </w:r>
    </w:p>
    <w:p w14:paraId="6D8049D7">
      <w:pPr>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4.2保密</w:t>
      </w:r>
    </w:p>
    <w:p w14:paraId="5B77BF0E">
      <w:pPr>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中标人与采购人核准人数</w:t>
      </w:r>
      <w:r>
        <w:rPr>
          <w:rFonts w:hint="eastAsia" w:ascii="宋体" w:hAnsi="宋体" w:eastAsia="宋体" w:cs="宋体"/>
          <w:color w:val="auto"/>
          <w:kern w:val="2"/>
          <w:sz w:val="24"/>
          <w:highlight w:val="none"/>
        </w:rPr>
        <w:t>后落实活动开展，</w:t>
      </w:r>
      <w:r>
        <w:rPr>
          <w:rFonts w:hint="eastAsia" w:ascii="宋体" w:hAnsi="宋体" w:eastAsia="宋体" w:cs="宋体"/>
          <w:color w:val="auto"/>
          <w:kern w:val="2"/>
          <w:sz w:val="24"/>
          <w:highlight w:val="none"/>
          <w:lang w:val="en-US" w:eastAsia="zh-CN"/>
        </w:rPr>
        <w:t>中标人</w:t>
      </w:r>
      <w:r>
        <w:rPr>
          <w:rFonts w:hint="eastAsia" w:ascii="宋体" w:hAnsi="宋体" w:eastAsia="宋体" w:cs="宋体"/>
          <w:color w:val="auto"/>
          <w:kern w:val="2"/>
          <w:sz w:val="24"/>
          <w:highlight w:val="none"/>
        </w:rPr>
        <w:t>应承诺参加活动人员名单和个人信息不得外泄。</w:t>
      </w:r>
    </w:p>
    <w:p w14:paraId="4CBFD7C2">
      <w:pPr>
        <w:spacing w:line="360" w:lineRule="auto"/>
        <w:ind w:firstLine="480" w:firstLineChars="200"/>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4.3投诉处理：</w:t>
      </w:r>
      <w:r>
        <w:rPr>
          <w:rFonts w:hint="eastAsia" w:ascii="宋体" w:hAnsi="宋体" w:eastAsia="宋体" w:cs="宋体"/>
          <w:color w:val="auto"/>
          <w:kern w:val="2"/>
          <w:sz w:val="24"/>
          <w:highlight w:val="none"/>
          <w:lang w:eastAsia="zh-CN"/>
        </w:rPr>
        <w:t>对活动中</w:t>
      </w:r>
      <w:r>
        <w:rPr>
          <w:rFonts w:hint="eastAsia" w:ascii="宋体" w:hAnsi="宋体" w:eastAsia="宋体" w:cs="宋体"/>
          <w:color w:val="auto"/>
          <w:kern w:val="2"/>
          <w:sz w:val="24"/>
          <w:highlight w:val="none"/>
          <w:lang w:val="en-US" w:eastAsia="zh-CN"/>
        </w:rPr>
        <w:t>可能发生投诉的风险点分析和应对措施。在活动过程中，如发生投诉，中标人需积极应对，妥善处理，提供具体处理措施。</w:t>
      </w:r>
    </w:p>
    <w:p w14:paraId="5CBAFB85">
      <w:pPr>
        <w:spacing w:line="360" w:lineRule="auto"/>
        <w:ind w:firstLine="480" w:firstLineChars="200"/>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4.4投标人需具备科学合理、规范的管理规章考核制度，包括</w:t>
      </w:r>
      <w:r>
        <w:rPr>
          <w:rFonts w:hint="eastAsia" w:ascii="宋体" w:hAnsi="宋体" w:eastAsia="宋体" w:cs="宋体"/>
          <w:color w:val="auto"/>
          <w:kern w:val="2"/>
          <w:sz w:val="24"/>
          <w:highlight w:val="none"/>
          <w:lang w:eastAsia="zh-CN"/>
        </w:rPr>
        <w:t>各项工作制度、岗位责任制度、管理运作制度、考核管理制度及标准、</w:t>
      </w:r>
      <w:r>
        <w:rPr>
          <w:rFonts w:hint="eastAsia" w:ascii="宋体" w:hAnsi="宋体" w:eastAsia="宋体" w:cs="宋体"/>
          <w:color w:val="auto"/>
          <w:kern w:val="2"/>
          <w:sz w:val="24"/>
          <w:highlight w:val="none"/>
          <w:lang w:val="en-US" w:eastAsia="zh-CN"/>
        </w:rPr>
        <w:t>服务满意度回访制度</w:t>
      </w:r>
      <w:r>
        <w:rPr>
          <w:rFonts w:hint="eastAsia" w:ascii="宋体" w:hAnsi="宋体" w:eastAsia="宋体" w:cs="宋体"/>
          <w:color w:val="auto"/>
          <w:kern w:val="2"/>
          <w:sz w:val="24"/>
          <w:highlight w:val="none"/>
          <w:lang w:eastAsia="zh-CN"/>
        </w:rPr>
        <w:t>等。</w:t>
      </w:r>
    </w:p>
    <w:p w14:paraId="5DEE4EE4">
      <w:pPr>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4.5活动策划需体现活动宣传标语内容，活动结束后为采购人提供活动宣传素材。</w:t>
      </w:r>
    </w:p>
    <w:p w14:paraId="4B5D4BAA">
      <w:pPr>
        <w:spacing w:line="360" w:lineRule="auto"/>
        <w:ind w:firstLine="480" w:firstLineChars="200"/>
        <w:rPr>
          <w:rFonts w:hint="eastAsia" w:ascii="宋体" w:hAnsi="宋体" w:eastAsia="宋体" w:cs="宋体"/>
          <w:b w:val="0"/>
          <w:bCs w:val="0"/>
          <w:color w:val="auto"/>
          <w:kern w:val="2"/>
          <w:sz w:val="24"/>
          <w:highlight w:val="none"/>
          <w:lang w:val="en-US" w:eastAsia="zh-CN"/>
        </w:rPr>
      </w:pPr>
      <w:r>
        <w:rPr>
          <w:rFonts w:hint="eastAsia" w:ascii="宋体" w:hAnsi="宋体" w:eastAsia="宋体" w:cs="宋体"/>
          <w:b w:val="0"/>
          <w:bCs w:val="0"/>
          <w:color w:val="auto"/>
          <w:kern w:val="2"/>
          <w:sz w:val="24"/>
          <w:highlight w:val="none"/>
          <w:lang w:val="en-US" w:eastAsia="zh-CN"/>
        </w:rPr>
        <w:t>4.6用餐：一般10人一桌，午餐一餐，投标人需提供合适餐厅，菜肴和口味适合老年人，保证食品卫生及质量，餐厅须具有《食品经营许可证》，适配各出行方案线路。</w:t>
      </w:r>
    </w:p>
    <w:p w14:paraId="30CB9D83">
      <w:pPr>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4.7购物：全程不进购物点，无需要自费的景点或活动。</w:t>
      </w:r>
    </w:p>
    <w:p w14:paraId="5B55B84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4.8保险</w:t>
      </w:r>
    </w:p>
    <w:p w14:paraId="3D923021">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宋体" w:hAnsi="宋体" w:eastAsia="宋体" w:cs="宋体"/>
          <w:b w:val="0"/>
          <w:bCs w:val="0"/>
          <w:color w:val="auto"/>
          <w:sz w:val="24"/>
          <w:szCs w:val="24"/>
          <w:highlight w:val="none"/>
          <w:lang w:val="en-US" w:eastAsia="zh-CN"/>
        </w:rPr>
        <w:t>中标人应为服务对象购买老年短期意外险，需包含意外伤害身故和残疾、意外伤害医疗、汽车意外伤害身故和残疾</w:t>
      </w:r>
      <w:r>
        <w:rPr>
          <w:rFonts w:hint="eastAsia" w:ascii="宋体" w:hAnsi="宋体" w:cs="宋体"/>
          <w:b w:val="0"/>
          <w:bCs w:val="0"/>
          <w:color w:val="auto"/>
          <w:sz w:val="24"/>
          <w:szCs w:val="24"/>
          <w:highlight w:val="none"/>
          <w:lang w:val="en-US" w:eastAsia="zh-CN"/>
        </w:rPr>
        <w:t>。</w:t>
      </w:r>
    </w:p>
    <w:p w14:paraId="67EB865C">
      <w:pPr>
        <w:tabs>
          <w:tab w:val="left" w:pos="0"/>
        </w:tabs>
        <w:spacing w:line="360"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五、验收标准</w:t>
      </w:r>
      <w:bookmarkEnd w:id="39"/>
    </w:p>
    <w:p w14:paraId="73576AE1">
      <w:pPr>
        <w:tabs>
          <w:tab w:val="left" w:pos="0"/>
        </w:tabs>
        <w:spacing w:line="360" w:lineRule="auto"/>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1.本项目需进行满意度调查，调查费用由中标人承担，费用含在投标报价中。</w:t>
      </w:r>
    </w:p>
    <w:p w14:paraId="5A63A89F">
      <w:pPr>
        <w:tabs>
          <w:tab w:val="left" w:pos="0"/>
        </w:tabs>
        <w:spacing w:line="360" w:lineRule="auto"/>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2.验收标准</w:t>
      </w:r>
    </w:p>
    <w:p w14:paraId="2BC86642">
      <w:pPr>
        <w:tabs>
          <w:tab w:val="left" w:pos="0"/>
        </w:tabs>
        <w:spacing w:line="360" w:lineRule="auto"/>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服务满意率85%</w:t>
      </w:r>
      <w:r>
        <w:rPr>
          <w:rFonts w:hint="eastAsia" w:asciiTheme="minorEastAsia" w:hAnsiTheme="minorEastAsia" w:eastAsiaTheme="minorEastAsia" w:cstheme="minorEastAsia"/>
          <w:color w:val="auto"/>
          <w:kern w:val="0"/>
          <w:sz w:val="24"/>
          <w:highlight w:val="none"/>
        </w:rPr>
        <w:t>以上（含</w:t>
      </w:r>
      <w:r>
        <w:rPr>
          <w:rFonts w:hint="eastAsia" w:asciiTheme="minorEastAsia" w:hAnsiTheme="minorEastAsia" w:eastAsiaTheme="minorEastAsia" w:cstheme="minorEastAsia"/>
          <w:color w:val="auto"/>
          <w:kern w:val="0"/>
          <w:sz w:val="24"/>
          <w:highlight w:val="none"/>
          <w:lang w:val="en-US" w:eastAsia="zh-CN"/>
        </w:rPr>
        <w:t>85</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eastAsia="zh-CN"/>
        </w:rPr>
        <w:t>；</w:t>
      </w:r>
    </w:p>
    <w:p w14:paraId="5F268612">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首次满意度调查低于85%，</w:t>
      </w:r>
      <w:r>
        <w:rPr>
          <w:rFonts w:hint="eastAsia" w:asciiTheme="minorEastAsia" w:hAnsiTheme="minorEastAsia" w:eastAsiaTheme="minorEastAsia" w:cstheme="minorEastAsia"/>
          <w:color w:val="auto"/>
          <w:kern w:val="0"/>
          <w:sz w:val="24"/>
          <w:highlight w:val="none"/>
          <w:lang w:val="en-US" w:eastAsia="zh-CN"/>
        </w:rPr>
        <w:t>中标人应及时</w:t>
      </w:r>
      <w:r>
        <w:rPr>
          <w:rFonts w:hint="eastAsia" w:asciiTheme="minorEastAsia" w:hAnsiTheme="minorEastAsia" w:eastAsiaTheme="minorEastAsia" w:cstheme="minorEastAsia"/>
          <w:color w:val="auto"/>
          <w:kern w:val="0"/>
          <w:sz w:val="24"/>
          <w:highlight w:val="none"/>
        </w:rPr>
        <w:t>进行整改，</w:t>
      </w:r>
      <w:r>
        <w:rPr>
          <w:rFonts w:hint="eastAsia" w:asciiTheme="minorEastAsia" w:hAnsiTheme="minorEastAsia" w:eastAsiaTheme="minorEastAsia" w:cstheme="minorEastAsia"/>
          <w:color w:val="auto"/>
          <w:kern w:val="0"/>
          <w:sz w:val="24"/>
          <w:highlight w:val="none"/>
          <w:lang w:val="en-US" w:eastAsia="zh-CN"/>
        </w:rPr>
        <w:t>中标人</w:t>
      </w:r>
      <w:r>
        <w:rPr>
          <w:rFonts w:hint="eastAsia" w:asciiTheme="minorEastAsia" w:hAnsiTheme="minorEastAsia" w:eastAsiaTheme="minorEastAsia" w:cstheme="minorEastAsia"/>
          <w:color w:val="auto"/>
          <w:kern w:val="0"/>
          <w:sz w:val="24"/>
          <w:highlight w:val="none"/>
        </w:rPr>
        <w:t>二次或多次低于85%，</w:t>
      </w:r>
      <w:r>
        <w:rPr>
          <w:rFonts w:hint="eastAsia" w:asciiTheme="minorEastAsia" w:hAnsiTheme="minorEastAsia" w:eastAsiaTheme="minorEastAsia" w:cstheme="minorEastAsia"/>
          <w:color w:val="auto"/>
          <w:kern w:val="0"/>
          <w:sz w:val="24"/>
          <w:highlight w:val="none"/>
          <w:lang w:val="en-US" w:eastAsia="zh-CN"/>
        </w:rPr>
        <w:t>采购人</w:t>
      </w:r>
      <w:r>
        <w:rPr>
          <w:rFonts w:hint="eastAsia" w:asciiTheme="minorEastAsia" w:hAnsiTheme="minorEastAsia" w:eastAsiaTheme="minorEastAsia" w:cstheme="minorEastAsia"/>
          <w:color w:val="auto"/>
          <w:kern w:val="0"/>
          <w:sz w:val="24"/>
          <w:highlight w:val="none"/>
        </w:rPr>
        <w:t>有权单方面终止本协议</w:t>
      </w:r>
      <w:r>
        <w:rPr>
          <w:rFonts w:hint="eastAsia" w:asciiTheme="minorEastAsia" w:hAnsiTheme="minorEastAsia" w:eastAsiaTheme="minorEastAsia" w:cstheme="minorEastAsia"/>
          <w:color w:val="auto"/>
          <w:kern w:val="0"/>
          <w:sz w:val="24"/>
          <w:highlight w:val="none"/>
          <w:lang w:eastAsia="zh-CN"/>
        </w:rPr>
        <w:t>。</w:t>
      </w:r>
    </w:p>
    <w:p w14:paraId="2824CC95">
      <w:pPr>
        <w:pStyle w:val="85"/>
        <w:rPr>
          <w:rFonts w:hint="eastAsia"/>
          <w:color w:val="auto"/>
          <w:highlight w:val="none"/>
        </w:rPr>
      </w:pPr>
    </w:p>
    <w:p w14:paraId="795742A9">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395D609A">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96FDDA">
      <w:pPr>
        <w:spacing w:line="24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0" w:name="_Toc184310289"/>
      <w:bookmarkEnd w:id="40"/>
      <w:bookmarkStart w:id="41" w:name="_Toc184313283"/>
      <w:bookmarkEnd w:id="41"/>
      <w:bookmarkStart w:id="42" w:name="_Toc184312101"/>
      <w:bookmarkEnd w:id="42"/>
      <w:bookmarkStart w:id="43" w:name="_Toc184313277"/>
      <w:bookmarkEnd w:id="43"/>
      <w:bookmarkStart w:id="44" w:name="_Toc184308089"/>
      <w:bookmarkEnd w:id="44"/>
      <w:bookmarkStart w:id="45" w:name="_Toc184308063"/>
      <w:bookmarkEnd w:id="45"/>
      <w:bookmarkStart w:id="46" w:name="_Toc184314454"/>
      <w:bookmarkEnd w:id="46"/>
      <w:bookmarkStart w:id="47" w:name="_Toc184310279"/>
      <w:bookmarkEnd w:id="47"/>
      <w:bookmarkStart w:id="48" w:name="_Toc184308096"/>
      <w:bookmarkEnd w:id="48"/>
      <w:bookmarkStart w:id="49" w:name="_Toc184313304"/>
      <w:bookmarkEnd w:id="49"/>
      <w:bookmarkStart w:id="50" w:name="_Toc184312127"/>
      <w:bookmarkEnd w:id="50"/>
      <w:bookmarkStart w:id="51" w:name="_Toc184313258"/>
      <w:bookmarkEnd w:id="51"/>
      <w:bookmarkStart w:id="52" w:name="_Toc184310316"/>
      <w:bookmarkEnd w:id="52"/>
      <w:bookmarkStart w:id="53" w:name="_Toc184310284"/>
      <w:bookmarkEnd w:id="53"/>
      <w:bookmarkStart w:id="54" w:name="_Toc184313266"/>
      <w:bookmarkEnd w:id="54"/>
      <w:bookmarkStart w:id="55" w:name="_Toc184312072"/>
      <w:bookmarkEnd w:id="55"/>
      <w:bookmarkStart w:id="56" w:name="_Toc184308090"/>
      <w:bookmarkEnd w:id="56"/>
      <w:bookmarkStart w:id="57" w:name="_Toc184313276"/>
      <w:bookmarkEnd w:id="57"/>
      <w:bookmarkStart w:id="58" w:name="_Toc184308068"/>
      <w:bookmarkEnd w:id="58"/>
      <w:bookmarkStart w:id="59" w:name="_Toc184312137"/>
      <w:bookmarkEnd w:id="59"/>
      <w:bookmarkStart w:id="60" w:name="_Toc184313262"/>
      <w:bookmarkEnd w:id="60"/>
      <w:bookmarkStart w:id="61" w:name="_Toc184312113"/>
      <w:bookmarkEnd w:id="61"/>
      <w:bookmarkStart w:id="62" w:name="_Toc184310324"/>
      <w:bookmarkEnd w:id="62"/>
      <w:bookmarkStart w:id="63" w:name="_Toc184314452"/>
      <w:bookmarkEnd w:id="63"/>
      <w:bookmarkStart w:id="64" w:name="_Toc184314445"/>
      <w:bookmarkEnd w:id="64"/>
      <w:bookmarkStart w:id="65" w:name="_Toc184308064"/>
      <w:bookmarkEnd w:id="65"/>
      <w:bookmarkStart w:id="66" w:name="_Toc184310278"/>
      <w:bookmarkEnd w:id="66"/>
      <w:bookmarkStart w:id="67" w:name="_Toc184313265"/>
      <w:bookmarkEnd w:id="67"/>
      <w:bookmarkStart w:id="68" w:name="_Toc184314455"/>
      <w:bookmarkEnd w:id="68"/>
      <w:bookmarkStart w:id="69" w:name="_Toc184314474"/>
      <w:bookmarkEnd w:id="69"/>
      <w:bookmarkStart w:id="70" w:name="_Toc184312079"/>
      <w:bookmarkEnd w:id="70"/>
      <w:bookmarkStart w:id="71" w:name="_Toc184313245"/>
      <w:bookmarkEnd w:id="71"/>
      <w:bookmarkStart w:id="72" w:name="_Toc184313274"/>
      <w:bookmarkEnd w:id="72"/>
      <w:bookmarkStart w:id="73" w:name="_Toc184314417"/>
      <w:bookmarkEnd w:id="73"/>
      <w:bookmarkStart w:id="74" w:name="_Toc184308046"/>
      <w:bookmarkEnd w:id="74"/>
      <w:bookmarkStart w:id="75" w:name="_Toc184313278"/>
      <w:bookmarkEnd w:id="75"/>
      <w:bookmarkStart w:id="76" w:name="_Toc184310331"/>
      <w:bookmarkEnd w:id="76"/>
      <w:bookmarkStart w:id="77" w:name="_Toc184310326"/>
      <w:bookmarkEnd w:id="77"/>
      <w:bookmarkStart w:id="78" w:name="_Toc184310342"/>
      <w:bookmarkEnd w:id="78"/>
      <w:bookmarkStart w:id="79" w:name="_Toc184308041"/>
      <w:bookmarkEnd w:id="79"/>
      <w:bookmarkStart w:id="80" w:name="_Toc184310293"/>
      <w:bookmarkEnd w:id="80"/>
      <w:bookmarkStart w:id="81" w:name="_Toc184308056"/>
      <w:bookmarkEnd w:id="81"/>
      <w:bookmarkStart w:id="82" w:name="_Toc184312071"/>
      <w:bookmarkEnd w:id="82"/>
      <w:bookmarkStart w:id="83" w:name="_Toc184312130"/>
      <w:bookmarkEnd w:id="83"/>
      <w:bookmarkStart w:id="84" w:name="_Toc184313293"/>
      <w:bookmarkEnd w:id="84"/>
      <w:bookmarkStart w:id="85" w:name="_Toc184314414"/>
      <w:bookmarkEnd w:id="85"/>
      <w:bookmarkStart w:id="86" w:name="_Toc184314469"/>
      <w:bookmarkEnd w:id="86"/>
      <w:bookmarkStart w:id="87" w:name="_Toc184313286"/>
      <w:bookmarkEnd w:id="87"/>
      <w:bookmarkStart w:id="88" w:name="_Toc184310286"/>
      <w:bookmarkEnd w:id="88"/>
      <w:bookmarkStart w:id="89" w:name="_Toc184314473"/>
      <w:bookmarkEnd w:id="89"/>
      <w:bookmarkStart w:id="90" w:name="_Toc184310319"/>
      <w:bookmarkEnd w:id="90"/>
      <w:bookmarkStart w:id="91" w:name="_Toc184312069"/>
      <w:bookmarkEnd w:id="91"/>
      <w:bookmarkStart w:id="92" w:name="_Toc184314431"/>
      <w:bookmarkEnd w:id="92"/>
      <w:bookmarkStart w:id="93" w:name="_Toc184310314"/>
      <w:bookmarkEnd w:id="93"/>
      <w:bookmarkStart w:id="94" w:name="_Toc184310336"/>
      <w:bookmarkEnd w:id="94"/>
      <w:bookmarkStart w:id="95" w:name="_Toc184313240"/>
      <w:bookmarkEnd w:id="95"/>
      <w:bookmarkStart w:id="96" w:name="_Toc184312092"/>
      <w:bookmarkEnd w:id="96"/>
      <w:bookmarkStart w:id="97" w:name="_Toc184308062"/>
      <w:bookmarkEnd w:id="97"/>
      <w:bookmarkStart w:id="98" w:name="_Toc184310302"/>
      <w:bookmarkEnd w:id="98"/>
      <w:bookmarkStart w:id="99" w:name="_Toc184314466"/>
      <w:bookmarkEnd w:id="99"/>
      <w:bookmarkStart w:id="100" w:name="_Toc184314416"/>
      <w:bookmarkEnd w:id="100"/>
      <w:bookmarkStart w:id="101" w:name="_Toc184312073"/>
      <w:bookmarkEnd w:id="101"/>
      <w:bookmarkStart w:id="102" w:name="_Toc184314465"/>
      <w:bookmarkEnd w:id="102"/>
      <w:bookmarkStart w:id="103" w:name="_Toc184310299"/>
      <w:bookmarkEnd w:id="103"/>
      <w:bookmarkStart w:id="104" w:name="_Toc184310328"/>
      <w:bookmarkEnd w:id="104"/>
      <w:bookmarkStart w:id="105" w:name="_Toc184310339"/>
      <w:bookmarkEnd w:id="105"/>
      <w:bookmarkStart w:id="106" w:name="_Toc184310327"/>
      <w:bookmarkEnd w:id="106"/>
      <w:bookmarkStart w:id="107" w:name="_Toc184310280"/>
      <w:bookmarkEnd w:id="107"/>
      <w:bookmarkStart w:id="108" w:name="_Toc184312089"/>
      <w:bookmarkEnd w:id="108"/>
      <w:bookmarkStart w:id="109" w:name="_Toc184312135"/>
      <w:bookmarkEnd w:id="109"/>
      <w:bookmarkStart w:id="110" w:name="_Toc184312116"/>
      <w:bookmarkEnd w:id="110"/>
      <w:bookmarkStart w:id="111" w:name="_Toc184314410"/>
      <w:bookmarkEnd w:id="111"/>
      <w:bookmarkStart w:id="112" w:name="_Toc184310303"/>
      <w:bookmarkEnd w:id="112"/>
      <w:bookmarkStart w:id="113" w:name="_Toc184312068"/>
      <w:bookmarkEnd w:id="113"/>
      <w:bookmarkStart w:id="114" w:name="_Toc184308107"/>
      <w:bookmarkEnd w:id="114"/>
      <w:bookmarkStart w:id="115" w:name="_Toc184314421"/>
      <w:bookmarkEnd w:id="115"/>
      <w:bookmarkStart w:id="116" w:name="_Toc184308083"/>
      <w:bookmarkEnd w:id="116"/>
      <w:bookmarkStart w:id="117" w:name="_Toc184310305"/>
      <w:bookmarkEnd w:id="117"/>
      <w:bookmarkStart w:id="118" w:name="_Toc184310325"/>
      <w:bookmarkEnd w:id="118"/>
      <w:bookmarkStart w:id="119" w:name="_Toc184310317"/>
      <w:bookmarkEnd w:id="119"/>
      <w:bookmarkStart w:id="120" w:name="_Toc184308100"/>
      <w:bookmarkEnd w:id="120"/>
      <w:bookmarkStart w:id="121" w:name="_Toc184314472"/>
      <w:bookmarkEnd w:id="121"/>
      <w:bookmarkStart w:id="122" w:name="_Toc184312080"/>
      <w:bookmarkEnd w:id="122"/>
      <w:bookmarkStart w:id="123" w:name="_Toc184308093"/>
      <w:bookmarkEnd w:id="123"/>
      <w:bookmarkStart w:id="124" w:name="_Toc184310318"/>
      <w:bookmarkEnd w:id="124"/>
      <w:bookmarkStart w:id="125" w:name="_Toc184308082"/>
      <w:bookmarkEnd w:id="125"/>
      <w:bookmarkStart w:id="126" w:name="_Toc184314435"/>
      <w:bookmarkEnd w:id="126"/>
      <w:bookmarkStart w:id="127" w:name="_Toc184314463"/>
      <w:bookmarkEnd w:id="127"/>
      <w:bookmarkStart w:id="128" w:name="_Toc184312132"/>
      <w:bookmarkEnd w:id="128"/>
      <w:bookmarkStart w:id="129" w:name="_Toc184310297"/>
      <w:bookmarkEnd w:id="129"/>
      <w:bookmarkStart w:id="130" w:name="_Toc184310291"/>
      <w:bookmarkEnd w:id="130"/>
      <w:bookmarkStart w:id="131" w:name="_Toc184313243"/>
      <w:bookmarkEnd w:id="131"/>
      <w:bookmarkStart w:id="132" w:name="_Toc184308103"/>
      <w:bookmarkEnd w:id="132"/>
      <w:bookmarkStart w:id="133" w:name="_Toc184312086"/>
      <w:bookmarkEnd w:id="133"/>
      <w:bookmarkStart w:id="134" w:name="_Toc184312070"/>
      <w:bookmarkEnd w:id="134"/>
      <w:bookmarkStart w:id="135" w:name="_Toc184308059"/>
      <w:bookmarkEnd w:id="135"/>
      <w:bookmarkStart w:id="136" w:name="_Toc184308037"/>
      <w:bookmarkEnd w:id="136"/>
      <w:bookmarkStart w:id="137" w:name="_Toc184313252"/>
      <w:bookmarkEnd w:id="137"/>
      <w:bookmarkStart w:id="138" w:name="_Toc184310333"/>
      <w:bookmarkEnd w:id="138"/>
      <w:bookmarkStart w:id="139" w:name="_Toc184308088"/>
      <w:bookmarkEnd w:id="139"/>
      <w:bookmarkStart w:id="140" w:name="_Toc184314439"/>
      <w:bookmarkEnd w:id="140"/>
      <w:bookmarkStart w:id="141" w:name="_Toc184308036"/>
      <w:bookmarkEnd w:id="141"/>
      <w:bookmarkStart w:id="142" w:name="_Toc184313244"/>
      <w:bookmarkEnd w:id="142"/>
      <w:bookmarkStart w:id="143" w:name="_Toc184313289"/>
      <w:bookmarkEnd w:id="143"/>
      <w:bookmarkStart w:id="144" w:name="_Toc184308097"/>
      <w:bookmarkEnd w:id="144"/>
      <w:bookmarkStart w:id="145" w:name="_Toc184312087"/>
      <w:bookmarkEnd w:id="145"/>
      <w:bookmarkStart w:id="146" w:name="_Toc184314423"/>
      <w:bookmarkEnd w:id="146"/>
      <w:bookmarkStart w:id="147" w:name="_Toc184313308"/>
      <w:bookmarkEnd w:id="147"/>
      <w:bookmarkStart w:id="148" w:name="_Toc184312104"/>
      <w:bookmarkEnd w:id="148"/>
      <w:bookmarkStart w:id="149" w:name="_Toc184312105"/>
      <w:bookmarkEnd w:id="149"/>
      <w:bookmarkStart w:id="150" w:name="_Toc184313275"/>
      <w:bookmarkEnd w:id="150"/>
      <w:bookmarkStart w:id="151" w:name="_Toc184310300"/>
      <w:bookmarkEnd w:id="151"/>
      <w:bookmarkStart w:id="152" w:name="_Toc184313298"/>
      <w:bookmarkEnd w:id="152"/>
      <w:bookmarkStart w:id="153" w:name="_Toc184314464"/>
      <w:bookmarkEnd w:id="153"/>
      <w:bookmarkStart w:id="154" w:name="_Toc184312118"/>
      <w:bookmarkEnd w:id="154"/>
      <w:bookmarkStart w:id="155" w:name="_Toc184308092"/>
      <w:bookmarkEnd w:id="155"/>
      <w:bookmarkStart w:id="156" w:name="_Toc184314476"/>
      <w:bookmarkEnd w:id="156"/>
      <w:bookmarkStart w:id="157" w:name="_Toc184314425"/>
      <w:bookmarkEnd w:id="157"/>
      <w:bookmarkStart w:id="158" w:name="_Toc184313260"/>
      <w:bookmarkEnd w:id="158"/>
      <w:bookmarkStart w:id="159" w:name="_Toc184312117"/>
      <w:bookmarkEnd w:id="159"/>
      <w:bookmarkStart w:id="160" w:name="_Toc184314457"/>
      <w:bookmarkEnd w:id="160"/>
      <w:bookmarkStart w:id="161" w:name="_Toc184313306"/>
      <w:bookmarkEnd w:id="161"/>
      <w:bookmarkStart w:id="162" w:name="_Toc184310276"/>
      <w:bookmarkEnd w:id="162"/>
      <w:bookmarkStart w:id="163" w:name="_Toc184313291"/>
      <w:bookmarkEnd w:id="163"/>
      <w:bookmarkStart w:id="164" w:name="_Toc184314420"/>
      <w:bookmarkEnd w:id="164"/>
      <w:bookmarkStart w:id="165" w:name="_Toc184313261"/>
      <w:bookmarkEnd w:id="165"/>
      <w:bookmarkStart w:id="166" w:name="_Toc184313295"/>
      <w:bookmarkEnd w:id="166"/>
      <w:bookmarkStart w:id="167" w:name="_Toc184310322"/>
      <w:bookmarkEnd w:id="167"/>
      <w:bookmarkStart w:id="168" w:name="_Toc184313246"/>
      <w:bookmarkEnd w:id="168"/>
      <w:bookmarkStart w:id="169" w:name="_Toc184312136"/>
      <w:bookmarkEnd w:id="169"/>
      <w:bookmarkStart w:id="170" w:name="_Toc184312119"/>
      <w:bookmarkEnd w:id="170"/>
      <w:bookmarkStart w:id="171" w:name="_Toc184308102"/>
      <w:bookmarkEnd w:id="171"/>
      <w:bookmarkStart w:id="172" w:name="_Toc184310294"/>
      <w:bookmarkEnd w:id="172"/>
      <w:bookmarkStart w:id="173" w:name="_Toc184313302"/>
      <w:bookmarkEnd w:id="173"/>
      <w:bookmarkStart w:id="174" w:name="_Toc184308053"/>
      <w:bookmarkEnd w:id="174"/>
      <w:bookmarkStart w:id="175" w:name="_Toc184313301"/>
      <w:bookmarkEnd w:id="175"/>
      <w:bookmarkStart w:id="176" w:name="_Toc184308075"/>
      <w:bookmarkEnd w:id="176"/>
      <w:bookmarkStart w:id="177" w:name="_Toc184310273"/>
      <w:bookmarkEnd w:id="177"/>
      <w:bookmarkStart w:id="178" w:name="_Toc184313300"/>
      <w:bookmarkEnd w:id="178"/>
      <w:bookmarkStart w:id="179" w:name="_Toc184314411"/>
      <w:bookmarkEnd w:id="179"/>
      <w:bookmarkStart w:id="180" w:name="_Toc184308054"/>
      <w:bookmarkEnd w:id="180"/>
      <w:bookmarkStart w:id="181" w:name="_Toc184313257"/>
      <w:bookmarkEnd w:id="181"/>
      <w:bookmarkStart w:id="182" w:name="_Toc184314430"/>
      <w:bookmarkEnd w:id="182"/>
      <w:bookmarkStart w:id="183" w:name="_Toc184314458"/>
      <w:bookmarkEnd w:id="183"/>
      <w:bookmarkStart w:id="184" w:name="_Toc184313294"/>
      <w:bookmarkEnd w:id="184"/>
      <w:bookmarkStart w:id="185" w:name="_Toc184314467"/>
      <w:bookmarkEnd w:id="185"/>
      <w:bookmarkStart w:id="186" w:name="_Toc184310313"/>
      <w:bookmarkEnd w:id="186"/>
      <w:bookmarkStart w:id="187" w:name="_Toc184313263"/>
      <w:bookmarkEnd w:id="187"/>
      <w:bookmarkStart w:id="188" w:name="_Toc184314468"/>
      <w:bookmarkEnd w:id="188"/>
      <w:bookmarkStart w:id="189" w:name="_Toc184312077"/>
      <w:bookmarkEnd w:id="189"/>
      <w:bookmarkStart w:id="190" w:name="_Toc184313273"/>
      <w:bookmarkEnd w:id="190"/>
      <w:bookmarkStart w:id="191" w:name="_Toc184312090"/>
      <w:bookmarkEnd w:id="191"/>
      <w:bookmarkStart w:id="192" w:name="_Toc184310312"/>
      <w:bookmarkEnd w:id="192"/>
      <w:bookmarkStart w:id="193" w:name="_Toc184312121"/>
      <w:bookmarkEnd w:id="193"/>
      <w:bookmarkStart w:id="194" w:name="_Toc184313249"/>
      <w:bookmarkEnd w:id="194"/>
      <w:bookmarkStart w:id="195" w:name="_Toc184308073"/>
      <w:bookmarkEnd w:id="195"/>
      <w:bookmarkStart w:id="196" w:name="_Toc184314443"/>
      <w:bookmarkEnd w:id="196"/>
      <w:bookmarkStart w:id="197" w:name="_Toc184310277"/>
      <w:bookmarkEnd w:id="197"/>
      <w:bookmarkStart w:id="198" w:name="_Toc184312099"/>
      <w:bookmarkEnd w:id="198"/>
      <w:bookmarkStart w:id="199" w:name="_Toc184313297"/>
      <w:bookmarkEnd w:id="199"/>
      <w:bookmarkStart w:id="200" w:name="_Toc184310306"/>
      <w:bookmarkEnd w:id="200"/>
      <w:bookmarkStart w:id="201" w:name="_Toc184312115"/>
      <w:bookmarkEnd w:id="201"/>
      <w:bookmarkStart w:id="202" w:name="_Toc184313290"/>
      <w:bookmarkEnd w:id="202"/>
      <w:bookmarkStart w:id="203" w:name="_Toc184310332"/>
      <w:bookmarkEnd w:id="203"/>
      <w:bookmarkStart w:id="204" w:name="_Toc184310295"/>
      <w:bookmarkEnd w:id="204"/>
      <w:bookmarkStart w:id="205" w:name="_Toc184310285"/>
      <w:bookmarkEnd w:id="205"/>
      <w:bookmarkStart w:id="206" w:name="_Toc184308095"/>
      <w:bookmarkEnd w:id="206"/>
      <w:bookmarkStart w:id="207" w:name="_Toc184312125"/>
      <w:bookmarkEnd w:id="207"/>
      <w:bookmarkStart w:id="208" w:name="_Toc184308057"/>
      <w:bookmarkEnd w:id="208"/>
      <w:bookmarkStart w:id="209" w:name="_Toc184313281"/>
      <w:bookmarkEnd w:id="209"/>
      <w:bookmarkStart w:id="210" w:name="_Toc184310274"/>
      <w:bookmarkEnd w:id="210"/>
      <w:bookmarkStart w:id="211" w:name="_Toc184313256"/>
      <w:bookmarkEnd w:id="211"/>
      <w:bookmarkStart w:id="212" w:name="_Toc184313264"/>
      <w:bookmarkEnd w:id="212"/>
      <w:bookmarkStart w:id="213" w:name="_Toc184313267"/>
      <w:bookmarkEnd w:id="213"/>
      <w:bookmarkStart w:id="214" w:name="_Toc184313285"/>
      <w:bookmarkEnd w:id="214"/>
      <w:bookmarkStart w:id="215" w:name="_Toc184308069"/>
      <w:bookmarkEnd w:id="215"/>
      <w:bookmarkStart w:id="216" w:name="_Toc184313268"/>
      <w:bookmarkEnd w:id="216"/>
      <w:bookmarkStart w:id="217" w:name="_Toc184312131"/>
      <w:bookmarkEnd w:id="217"/>
      <w:bookmarkStart w:id="218" w:name="_Toc184314437"/>
      <w:bookmarkEnd w:id="218"/>
      <w:bookmarkStart w:id="219" w:name="_Toc184312120"/>
      <w:bookmarkEnd w:id="219"/>
      <w:bookmarkStart w:id="220" w:name="_Toc184310287"/>
      <w:bookmarkEnd w:id="220"/>
      <w:bookmarkStart w:id="221" w:name="_Toc184312078"/>
      <w:bookmarkEnd w:id="221"/>
      <w:bookmarkStart w:id="222" w:name="_Toc184314451"/>
      <w:bookmarkEnd w:id="222"/>
      <w:bookmarkStart w:id="223" w:name="_Toc184308044"/>
      <w:bookmarkEnd w:id="223"/>
      <w:bookmarkStart w:id="224" w:name="_Toc184312097"/>
      <w:bookmarkEnd w:id="224"/>
      <w:bookmarkStart w:id="225" w:name="_Toc184308084"/>
      <w:bookmarkEnd w:id="225"/>
      <w:bookmarkStart w:id="226" w:name="_Toc184313292"/>
      <w:bookmarkEnd w:id="226"/>
      <w:bookmarkStart w:id="227" w:name="_Toc184314447"/>
      <w:bookmarkEnd w:id="227"/>
      <w:bookmarkStart w:id="228" w:name="_Toc184312082"/>
      <w:bookmarkEnd w:id="228"/>
      <w:bookmarkStart w:id="229" w:name="_Toc184314481"/>
      <w:bookmarkEnd w:id="229"/>
      <w:bookmarkStart w:id="230" w:name="_Toc184313248"/>
      <w:bookmarkEnd w:id="230"/>
      <w:bookmarkStart w:id="231" w:name="_Toc184312123"/>
      <w:bookmarkEnd w:id="231"/>
      <w:bookmarkStart w:id="232" w:name="_Toc184314456"/>
      <w:bookmarkEnd w:id="232"/>
      <w:bookmarkStart w:id="233" w:name="_Toc184313296"/>
      <w:bookmarkEnd w:id="233"/>
      <w:bookmarkStart w:id="234" w:name="_Toc184314424"/>
      <w:bookmarkEnd w:id="234"/>
      <w:bookmarkStart w:id="235" w:name="_Toc184312081"/>
      <w:bookmarkEnd w:id="235"/>
      <w:bookmarkStart w:id="236" w:name="_Toc184308106"/>
      <w:bookmarkEnd w:id="236"/>
      <w:bookmarkStart w:id="237" w:name="_Toc184313309"/>
      <w:bookmarkEnd w:id="237"/>
      <w:bookmarkStart w:id="238" w:name="_Toc184313305"/>
      <w:bookmarkEnd w:id="238"/>
      <w:bookmarkStart w:id="239" w:name="_Toc184314422"/>
      <w:bookmarkEnd w:id="239"/>
      <w:bookmarkStart w:id="240" w:name="_Toc184310334"/>
      <w:bookmarkEnd w:id="240"/>
      <w:bookmarkStart w:id="241" w:name="_Toc184314446"/>
      <w:bookmarkEnd w:id="241"/>
      <w:bookmarkStart w:id="242" w:name="_Toc184314442"/>
      <w:bookmarkEnd w:id="242"/>
      <w:bookmarkStart w:id="243" w:name="_Toc184312074"/>
      <w:bookmarkEnd w:id="243"/>
      <w:bookmarkStart w:id="244" w:name="_Toc184313270"/>
      <w:bookmarkEnd w:id="244"/>
      <w:bookmarkStart w:id="245" w:name="_Toc184312126"/>
      <w:bookmarkEnd w:id="245"/>
      <w:bookmarkStart w:id="246" w:name="_Toc184312093"/>
      <w:bookmarkEnd w:id="246"/>
      <w:bookmarkStart w:id="247" w:name="_Toc184308067"/>
      <w:bookmarkEnd w:id="247"/>
      <w:bookmarkStart w:id="248" w:name="_Toc184314482"/>
      <w:bookmarkEnd w:id="248"/>
      <w:bookmarkStart w:id="249" w:name="_Toc184312091"/>
      <w:bookmarkEnd w:id="249"/>
      <w:bookmarkStart w:id="250" w:name="_Toc184313280"/>
      <w:bookmarkEnd w:id="250"/>
      <w:bookmarkStart w:id="251" w:name="_Toc184312129"/>
      <w:bookmarkEnd w:id="251"/>
      <w:bookmarkStart w:id="252" w:name="_Toc184310343"/>
      <w:bookmarkEnd w:id="252"/>
      <w:bookmarkStart w:id="253" w:name="_Toc184308061"/>
      <w:bookmarkEnd w:id="253"/>
      <w:bookmarkStart w:id="254" w:name="_Toc184313259"/>
      <w:bookmarkEnd w:id="254"/>
      <w:bookmarkStart w:id="255" w:name="_Toc184310330"/>
      <w:bookmarkEnd w:id="255"/>
      <w:bookmarkStart w:id="256" w:name="_Toc184308039"/>
      <w:bookmarkEnd w:id="256"/>
      <w:bookmarkStart w:id="257" w:name="_Toc184308040"/>
      <w:bookmarkEnd w:id="257"/>
      <w:bookmarkStart w:id="258" w:name="_Toc184308094"/>
      <w:bookmarkEnd w:id="258"/>
      <w:bookmarkStart w:id="259" w:name="_Toc184310320"/>
      <w:bookmarkEnd w:id="259"/>
      <w:bookmarkStart w:id="260" w:name="_Toc184310281"/>
      <w:bookmarkEnd w:id="260"/>
      <w:bookmarkStart w:id="261" w:name="_Toc184313299"/>
      <w:bookmarkEnd w:id="261"/>
      <w:bookmarkStart w:id="262" w:name="_Toc184314415"/>
      <w:bookmarkEnd w:id="262"/>
      <w:bookmarkStart w:id="263" w:name="_Toc184313272"/>
      <w:bookmarkEnd w:id="263"/>
      <w:bookmarkStart w:id="264" w:name="_Toc184308060"/>
      <w:bookmarkEnd w:id="264"/>
      <w:bookmarkStart w:id="265" w:name="_Toc184313303"/>
      <w:bookmarkEnd w:id="265"/>
      <w:bookmarkStart w:id="266" w:name="_Toc184314478"/>
      <w:bookmarkEnd w:id="266"/>
      <w:bookmarkStart w:id="267" w:name="_Toc184314453"/>
      <w:bookmarkEnd w:id="267"/>
      <w:bookmarkStart w:id="268" w:name="_Toc184314440"/>
      <w:bookmarkEnd w:id="268"/>
      <w:bookmarkStart w:id="269" w:name="_Toc184310296"/>
      <w:bookmarkEnd w:id="269"/>
      <w:bookmarkStart w:id="270" w:name="_Toc184310308"/>
      <w:bookmarkEnd w:id="270"/>
      <w:bookmarkStart w:id="271" w:name="_Toc184314462"/>
      <w:bookmarkEnd w:id="271"/>
      <w:bookmarkStart w:id="272" w:name="_Toc184308045"/>
      <w:bookmarkEnd w:id="272"/>
      <w:bookmarkStart w:id="273" w:name="_Toc184308076"/>
      <w:bookmarkEnd w:id="273"/>
      <w:bookmarkStart w:id="274" w:name="_Toc184313250"/>
      <w:bookmarkEnd w:id="274"/>
      <w:bookmarkStart w:id="275" w:name="_Toc184310311"/>
      <w:bookmarkEnd w:id="275"/>
      <w:bookmarkStart w:id="276" w:name="_Toc184310341"/>
      <w:bookmarkEnd w:id="276"/>
      <w:bookmarkStart w:id="277" w:name="_Toc184308080"/>
      <w:bookmarkEnd w:id="277"/>
      <w:bookmarkStart w:id="278" w:name="_Toc184313269"/>
      <w:bookmarkEnd w:id="278"/>
      <w:bookmarkStart w:id="279" w:name="_Toc184312095"/>
      <w:bookmarkEnd w:id="279"/>
      <w:bookmarkStart w:id="280" w:name="_Toc184310307"/>
      <w:bookmarkEnd w:id="280"/>
      <w:bookmarkStart w:id="281" w:name="_Toc184312075"/>
      <w:bookmarkEnd w:id="281"/>
      <w:bookmarkStart w:id="282" w:name="_Toc184310310"/>
      <w:bookmarkEnd w:id="282"/>
      <w:bookmarkStart w:id="283" w:name="_Toc184308081"/>
      <w:bookmarkEnd w:id="283"/>
      <w:bookmarkStart w:id="284" w:name="_Toc184312084"/>
      <w:bookmarkEnd w:id="284"/>
      <w:bookmarkStart w:id="285" w:name="_Toc184314434"/>
      <w:bookmarkEnd w:id="285"/>
      <w:bookmarkStart w:id="286" w:name="_Toc184312083"/>
      <w:bookmarkEnd w:id="286"/>
      <w:bookmarkStart w:id="287" w:name="_Toc184310275"/>
      <w:bookmarkEnd w:id="287"/>
      <w:bookmarkStart w:id="288" w:name="_Toc184310282"/>
      <w:bookmarkEnd w:id="288"/>
      <w:bookmarkStart w:id="289" w:name="_Toc184313238"/>
      <w:bookmarkEnd w:id="289"/>
      <w:bookmarkStart w:id="290" w:name="_Toc184308098"/>
      <w:bookmarkEnd w:id="290"/>
      <w:bookmarkStart w:id="291" w:name="_Toc184308087"/>
      <w:bookmarkEnd w:id="291"/>
      <w:bookmarkStart w:id="292" w:name="_Toc184308074"/>
      <w:bookmarkEnd w:id="292"/>
      <w:bookmarkStart w:id="293" w:name="_Toc184310337"/>
      <w:bookmarkEnd w:id="293"/>
      <w:bookmarkStart w:id="294" w:name="_Toc184310272"/>
      <w:bookmarkEnd w:id="294"/>
      <w:bookmarkStart w:id="295" w:name="_Toc184308072"/>
      <w:bookmarkEnd w:id="295"/>
      <w:bookmarkStart w:id="296" w:name="_Toc184313284"/>
      <w:bookmarkEnd w:id="296"/>
      <w:bookmarkStart w:id="297" w:name="_Toc184313279"/>
      <w:bookmarkEnd w:id="297"/>
      <w:bookmarkStart w:id="298" w:name="_Toc184314459"/>
      <w:bookmarkEnd w:id="298"/>
      <w:bookmarkStart w:id="299" w:name="_Toc184310315"/>
      <w:bookmarkEnd w:id="299"/>
      <w:bookmarkStart w:id="300" w:name="_Toc184314427"/>
      <w:bookmarkEnd w:id="300"/>
      <w:bookmarkStart w:id="301" w:name="_Toc184312103"/>
      <w:bookmarkEnd w:id="301"/>
      <w:bookmarkStart w:id="302" w:name="_Toc184312088"/>
      <w:bookmarkEnd w:id="302"/>
      <w:bookmarkStart w:id="303" w:name="_Toc184308104"/>
      <w:bookmarkEnd w:id="303"/>
      <w:bookmarkStart w:id="304" w:name="_Toc184308108"/>
      <w:bookmarkEnd w:id="304"/>
      <w:bookmarkStart w:id="305" w:name="_Toc184313282"/>
      <w:bookmarkEnd w:id="305"/>
      <w:bookmarkStart w:id="306" w:name="_Toc184312109"/>
      <w:bookmarkEnd w:id="306"/>
      <w:bookmarkStart w:id="307" w:name="_Toc184312110"/>
      <w:bookmarkEnd w:id="307"/>
      <w:bookmarkStart w:id="308" w:name="_Toc184310304"/>
      <w:bookmarkEnd w:id="308"/>
      <w:bookmarkStart w:id="309" w:name="_Toc184308058"/>
      <w:bookmarkEnd w:id="309"/>
      <w:bookmarkStart w:id="310" w:name="_Toc184313253"/>
      <w:bookmarkEnd w:id="310"/>
      <w:bookmarkStart w:id="311" w:name="_Toc184314470"/>
      <w:bookmarkEnd w:id="311"/>
      <w:bookmarkStart w:id="312" w:name="_Toc184310344"/>
      <w:bookmarkEnd w:id="312"/>
      <w:bookmarkStart w:id="313" w:name="_Toc184308101"/>
      <w:bookmarkEnd w:id="313"/>
      <w:bookmarkStart w:id="314" w:name="_Toc184310323"/>
      <w:bookmarkEnd w:id="314"/>
      <w:bookmarkStart w:id="315" w:name="_Toc184314480"/>
      <w:bookmarkEnd w:id="315"/>
      <w:bookmarkStart w:id="316" w:name="_Toc184314441"/>
      <w:bookmarkEnd w:id="316"/>
      <w:bookmarkStart w:id="317" w:name="_Toc184313251"/>
      <w:bookmarkEnd w:id="317"/>
      <w:bookmarkStart w:id="318" w:name="_Toc184312076"/>
      <w:bookmarkEnd w:id="318"/>
      <w:bookmarkStart w:id="319" w:name="_Toc184314436"/>
      <w:bookmarkEnd w:id="319"/>
      <w:bookmarkStart w:id="320" w:name="_Toc184314477"/>
      <w:bookmarkEnd w:id="320"/>
      <w:bookmarkStart w:id="321" w:name="_Toc184308065"/>
      <w:bookmarkEnd w:id="321"/>
      <w:bookmarkStart w:id="322" w:name="_Toc184312139"/>
      <w:bookmarkEnd w:id="322"/>
      <w:bookmarkStart w:id="323" w:name="_Toc184312111"/>
      <w:bookmarkEnd w:id="323"/>
      <w:bookmarkStart w:id="324" w:name="_Toc184312114"/>
      <w:bookmarkEnd w:id="324"/>
      <w:bookmarkStart w:id="325" w:name="_Toc184314433"/>
      <w:bookmarkEnd w:id="325"/>
      <w:bookmarkStart w:id="326" w:name="_Toc184308078"/>
      <w:bookmarkEnd w:id="326"/>
      <w:bookmarkStart w:id="327" w:name="_Toc184313310"/>
      <w:bookmarkEnd w:id="327"/>
      <w:bookmarkStart w:id="328" w:name="_Toc184308066"/>
      <w:bookmarkEnd w:id="328"/>
      <w:bookmarkStart w:id="329" w:name="_Toc184312106"/>
      <w:bookmarkEnd w:id="329"/>
      <w:bookmarkStart w:id="330" w:name="_Toc184310335"/>
      <w:bookmarkEnd w:id="330"/>
      <w:bookmarkStart w:id="331" w:name="_Toc184314428"/>
      <w:bookmarkEnd w:id="331"/>
      <w:bookmarkStart w:id="332" w:name="_Toc184308048"/>
      <w:bookmarkEnd w:id="332"/>
      <w:bookmarkStart w:id="333" w:name="_Toc184314449"/>
      <w:bookmarkEnd w:id="333"/>
      <w:bookmarkStart w:id="334" w:name="_Toc184312134"/>
      <w:bookmarkEnd w:id="334"/>
      <w:bookmarkStart w:id="335" w:name="_Toc184308105"/>
      <w:bookmarkEnd w:id="335"/>
      <w:bookmarkStart w:id="336" w:name="_Toc184312128"/>
      <w:bookmarkEnd w:id="336"/>
      <w:bookmarkStart w:id="337" w:name="_Toc184310338"/>
      <w:bookmarkEnd w:id="337"/>
      <w:bookmarkStart w:id="338" w:name="_Toc184314461"/>
      <w:bookmarkEnd w:id="338"/>
      <w:bookmarkStart w:id="339" w:name="_Toc184313307"/>
      <w:bookmarkEnd w:id="339"/>
      <w:bookmarkStart w:id="340" w:name="_Toc184308052"/>
      <w:bookmarkEnd w:id="340"/>
      <w:bookmarkStart w:id="341" w:name="_Toc184314412"/>
      <w:bookmarkEnd w:id="341"/>
      <w:bookmarkStart w:id="342" w:name="_Toc184310329"/>
      <w:bookmarkEnd w:id="342"/>
      <w:bookmarkStart w:id="343" w:name="_Toc184312100"/>
      <w:bookmarkEnd w:id="343"/>
      <w:bookmarkStart w:id="344" w:name="_Toc184314429"/>
      <w:bookmarkEnd w:id="344"/>
      <w:bookmarkStart w:id="345" w:name="_Toc184313241"/>
      <w:bookmarkEnd w:id="345"/>
      <w:bookmarkStart w:id="346" w:name="_Toc184312085"/>
      <w:bookmarkEnd w:id="346"/>
      <w:bookmarkStart w:id="347" w:name="_Toc184314413"/>
      <w:bookmarkEnd w:id="347"/>
      <w:bookmarkStart w:id="348" w:name="_Toc184314426"/>
      <w:bookmarkEnd w:id="348"/>
      <w:bookmarkStart w:id="349" w:name="_Toc184308043"/>
      <w:bookmarkEnd w:id="349"/>
      <w:bookmarkStart w:id="350" w:name="_Toc184312098"/>
      <w:bookmarkEnd w:id="350"/>
      <w:bookmarkStart w:id="351" w:name="_Toc184312133"/>
      <w:bookmarkEnd w:id="351"/>
      <w:bookmarkStart w:id="352" w:name="_Toc184312108"/>
      <w:bookmarkEnd w:id="352"/>
      <w:bookmarkStart w:id="353" w:name="_Toc184313239"/>
      <w:bookmarkEnd w:id="353"/>
      <w:bookmarkStart w:id="354" w:name="_Toc184308085"/>
      <w:bookmarkEnd w:id="354"/>
      <w:bookmarkStart w:id="355" w:name="_Toc184312067"/>
      <w:bookmarkEnd w:id="355"/>
      <w:bookmarkStart w:id="356" w:name="_Toc184312138"/>
      <w:bookmarkEnd w:id="356"/>
      <w:bookmarkStart w:id="357" w:name="_Toc184313271"/>
      <w:bookmarkEnd w:id="357"/>
      <w:bookmarkStart w:id="358" w:name="_Toc184312094"/>
      <w:bookmarkEnd w:id="358"/>
      <w:bookmarkStart w:id="359" w:name="_Toc184314450"/>
      <w:bookmarkEnd w:id="359"/>
      <w:bookmarkStart w:id="360" w:name="_Toc184308071"/>
      <w:bookmarkEnd w:id="360"/>
      <w:bookmarkStart w:id="361" w:name="_Toc184308042"/>
      <w:bookmarkEnd w:id="361"/>
      <w:bookmarkStart w:id="362" w:name="_Toc184314438"/>
      <w:bookmarkEnd w:id="362"/>
      <w:bookmarkStart w:id="363" w:name="_Toc184312107"/>
      <w:bookmarkEnd w:id="363"/>
      <w:bookmarkStart w:id="364" w:name="_Toc184314460"/>
      <w:bookmarkEnd w:id="364"/>
      <w:bookmarkStart w:id="365" w:name="_Toc184312102"/>
      <w:bookmarkEnd w:id="365"/>
      <w:bookmarkStart w:id="366" w:name="_Toc184308077"/>
      <w:bookmarkEnd w:id="366"/>
      <w:bookmarkStart w:id="367" w:name="_Toc184310290"/>
      <w:bookmarkEnd w:id="367"/>
      <w:bookmarkStart w:id="368" w:name="_Toc184313242"/>
      <w:bookmarkEnd w:id="368"/>
      <w:bookmarkStart w:id="369" w:name="_Toc184314471"/>
      <w:bookmarkEnd w:id="369"/>
      <w:bookmarkStart w:id="370" w:name="_Toc184313254"/>
      <w:bookmarkEnd w:id="370"/>
      <w:bookmarkStart w:id="371" w:name="_Toc184312124"/>
      <w:bookmarkEnd w:id="371"/>
      <w:bookmarkStart w:id="372" w:name="_Toc184314479"/>
      <w:bookmarkEnd w:id="372"/>
      <w:bookmarkStart w:id="373" w:name="_Toc184310309"/>
      <w:bookmarkEnd w:id="373"/>
      <w:bookmarkStart w:id="374" w:name="_Toc184312112"/>
      <w:bookmarkEnd w:id="374"/>
      <w:bookmarkStart w:id="375" w:name="_Toc184308099"/>
      <w:bookmarkEnd w:id="375"/>
      <w:bookmarkStart w:id="376" w:name="_Toc184310321"/>
      <w:bookmarkEnd w:id="376"/>
      <w:bookmarkStart w:id="377" w:name="_Toc184314418"/>
      <w:bookmarkEnd w:id="377"/>
      <w:bookmarkStart w:id="378" w:name="_Toc184308086"/>
      <w:bookmarkEnd w:id="378"/>
      <w:bookmarkStart w:id="379" w:name="_Toc184313247"/>
      <w:bookmarkEnd w:id="379"/>
      <w:bookmarkStart w:id="380" w:name="_Toc184308079"/>
      <w:bookmarkEnd w:id="380"/>
      <w:bookmarkStart w:id="381" w:name="_Toc184310288"/>
      <w:bookmarkEnd w:id="381"/>
      <w:bookmarkStart w:id="382" w:name="_Toc184312122"/>
      <w:bookmarkEnd w:id="382"/>
      <w:bookmarkStart w:id="383" w:name="_Toc184308047"/>
      <w:bookmarkEnd w:id="383"/>
      <w:bookmarkStart w:id="384" w:name="_Toc184313287"/>
      <w:bookmarkEnd w:id="384"/>
      <w:bookmarkStart w:id="385" w:name="_Toc184308070"/>
      <w:bookmarkEnd w:id="385"/>
      <w:bookmarkStart w:id="386" w:name="_Toc184308049"/>
      <w:bookmarkEnd w:id="386"/>
      <w:bookmarkStart w:id="387" w:name="_Toc184308091"/>
      <w:bookmarkEnd w:id="387"/>
      <w:bookmarkStart w:id="388" w:name="_Toc184308055"/>
      <w:bookmarkEnd w:id="388"/>
      <w:bookmarkStart w:id="389" w:name="_Toc184314448"/>
      <w:bookmarkEnd w:id="389"/>
      <w:bookmarkStart w:id="390" w:name="_Toc184308051"/>
      <w:bookmarkEnd w:id="390"/>
      <w:bookmarkStart w:id="391" w:name="_Toc184314475"/>
      <w:bookmarkEnd w:id="391"/>
      <w:bookmarkStart w:id="392" w:name="_Toc184310340"/>
      <w:bookmarkEnd w:id="392"/>
      <w:bookmarkStart w:id="393" w:name="_Toc184313255"/>
      <w:bookmarkEnd w:id="393"/>
      <w:bookmarkStart w:id="394" w:name="_Toc184314432"/>
      <w:bookmarkEnd w:id="394"/>
      <w:bookmarkStart w:id="395" w:name="_Toc184310301"/>
      <w:bookmarkEnd w:id="395"/>
      <w:bookmarkStart w:id="396" w:name="_Toc184308050"/>
      <w:bookmarkEnd w:id="396"/>
      <w:bookmarkStart w:id="397" w:name="_Toc184310292"/>
      <w:bookmarkEnd w:id="397"/>
      <w:bookmarkStart w:id="398" w:name="_Toc184310298"/>
      <w:bookmarkEnd w:id="398"/>
      <w:bookmarkStart w:id="399" w:name="_Toc184312096"/>
      <w:bookmarkEnd w:id="399"/>
      <w:bookmarkStart w:id="400" w:name="_Toc184310283"/>
      <w:bookmarkEnd w:id="400"/>
      <w:bookmarkStart w:id="401" w:name="_Toc184314444"/>
      <w:bookmarkEnd w:id="401"/>
      <w:bookmarkStart w:id="402" w:name="_Toc184308038"/>
      <w:bookmarkEnd w:id="402"/>
      <w:bookmarkStart w:id="403" w:name="_Toc184313288"/>
      <w:bookmarkEnd w:id="403"/>
      <w:bookmarkStart w:id="404" w:name="_Toc184314419"/>
      <w:bookmarkEnd w:id="404"/>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6283"/>
        <w:gridCol w:w="442"/>
        <w:gridCol w:w="677"/>
        <w:gridCol w:w="1080"/>
      </w:tblGrid>
      <w:tr w14:paraId="2FFB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5B1DC272">
            <w:pPr>
              <w:snapToGrid w:val="0"/>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6283" w:type="dxa"/>
            <w:vAlign w:val="center"/>
          </w:tcPr>
          <w:p w14:paraId="6F248E55">
            <w:pPr>
              <w:snapToGrid w:val="0"/>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评标标准</w:t>
            </w:r>
          </w:p>
        </w:tc>
        <w:tc>
          <w:tcPr>
            <w:tcW w:w="442" w:type="dxa"/>
            <w:vAlign w:val="center"/>
          </w:tcPr>
          <w:p w14:paraId="74B16FD0">
            <w:pPr>
              <w:snapToGrid w:val="0"/>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权重</w:t>
            </w:r>
          </w:p>
        </w:tc>
        <w:tc>
          <w:tcPr>
            <w:tcW w:w="677" w:type="dxa"/>
            <w:vAlign w:val="center"/>
          </w:tcPr>
          <w:p w14:paraId="27FFBE0E">
            <w:pPr>
              <w:snapToGrid w:val="0"/>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主观分/客观分属性</w:t>
            </w:r>
          </w:p>
        </w:tc>
        <w:tc>
          <w:tcPr>
            <w:tcW w:w="1080" w:type="dxa"/>
            <w:vAlign w:val="center"/>
          </w:tcPr>
          <w:p w14:paraId="224BC804">
            <w:pPr>
              <w:snapToGrid w:val="0"/>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投标文件中评标标准相应的商务技术资料目录*</w:t>
            </w:r>
          </w:p>
        </w:tc>
      </w:tr>
      <w:tr w14:paraId="27C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240FEEDB">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1</w:t>
            </w:r>
          </w:p>
        </w:tc>
        <w:tc>
          <w:tcPr>
            <w:tcW w:w="6283" w:type="dxa"/>
            <w:shd w:val="clear" w:color="auto" w:fill="auto"/>
            <w:vAlign w:val="center"/>
          </w:tcPr>
          <w:p w14:paraId="78E74A50">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bookmarkStart w:id="405" w:name="_Toc17265"/>
            <w:r>
              <w:rPr>
                <w:rFonts w:hint="eastAsia" w:ascii="宋体" w:hAnsi="宋体" w:cs="宋体"/>
                <w:bCs/>
                <w:color w:val="auto"/>
                <w:sz w:val="24"/>
                <w:highlight w:val="none"/>
              </w:rPr>
              <w:t>总体策划方案：提供线路安排等一系列策划安排，线路符合招标文件要求及相关政策，策划突出文体活动（</w:t>
            </w:r>
            <w:r>
              <w:rPr>
                <w:rFonts w:hint="eastAsia" w:ascii="宋体" w:hAnsi="宋体" w:cs="宋体"/>
                <w:bCs/>
                <w:color w:val="auto"/>
                <w:sz w:val="24"/>
                <w:highlight w:val="none"/>
                <w:lang w:val="en-US" w:eastAsia="zh-CN"/>
              </w:rPr>
              <w:t>外出旅游</w:t>
            </w:r>
            <w:r>
              <w:rPr>
                <w:rFonts w:hint="eastAsia" w:ascii="宋体" w:hAnsi="宋体" w:cs="宋体"/>
                <w:bCs/>
                <w:color w:val="auto"/>
                <w:sz w:val="24"/>
                <w:highlight w:val="none"/>
              </w:rPr>
              <w:t>）主题，</w:t>
            </w:r>
            <w:bookmarkEnd w:id="405"/>
            <w:r>
              <w:rPr>
                <w:rFonts w:hint="eastAsia" w:ascii="宋体" w:hAnsi="宋体" w:cs="宋体"/>
                <w:bCs/>
                <w:color w:val="auto"/>
                <w:sz w:val="24"/>
                <w:highlight w:val="none"/>
              </w:rPr>
              <w:t>根据方案的完整性、针对性进行打分。</w:t>
            </w:r>
            <w:r>
              <w:rPr>
                <w:rFonts w:hint="eastAsia" w:asciiTheme="minorEastAsia" w:hAnsiTheme="minorEastAsia" w:eastAsiaTheme="minorEastAsia" w:cstheme="minorEastAsia"/>
                <w:b w:val="0"/>
                <w:bCs w:val="0"/>
                <w:color w:val="auto"/>
                <w:kern w:val="0"/>
                <w:sz w:val="24"/>
                <w:szCs w:val="24"/>
                <w:highlight w:val="none"/>
                <w:lang w:val="en-US" w:eastAsia="zh-CN"/>
              </w:rPr>
              <w:t>根据投标人提供的总体策划方案</w:t>
            </w:r>
            <w:r>
              <w:rPr>
                <w:rFonts w:hint="eastAsia" w:asciiTheme="minorEastAsia" w:hAnsiTheme="minorEastAsia" w:eastAsiaTheme="minorEastAsia" w:cstheme="minorEastAsia"/>
                <w:b w:val="0"/>
                <w:bCs w:val="0"/>
                <w:color w:val="auto"/>
                <w:kern w:val="0"/>
                <w:sz w:val="24"/>
                <w:szCs w:val="24"/>
                <w:highlight w:val="none"/>
                <w:lang w:eastAsia="zh-CN"/>
              </w:rPr>
              <w:t>合理性和适用性进行打分：</w:t>
            </w:r>
            <w:r>
              <w:rPr>
                <w:rFonts w:hint="eastAsia" w:asciiTheme="minorEastAsia" w:hAnsiTheme="minorEastAsia" w:eastAsiaTheme="minorEastAsia" w:cstheme="minorEastAsia"/>
                <w:b w:val="0"/>
                <w:bCs w:val="0"/>
                <w:color w:val="auto"/>
                <w:kern w:val="0"/>
                <w:sz w:val="24"/>
                <w:szCs w:val="24"/>
                <w:highlight w:val="none"/>
                <w:lang w:val="en-US" w:eastAsia="zh-CN"/>
              </w:rPr>
              <w:t>方案合理，适用性强的，得5分；方案比较合理，适用性比较强的，得4分；方案基本合理，适用性一般，得3分；方案有瑕疵的，得2分，方案严重缺失的，得1分；无相关内容不得分。</w:t>
            </w:r>
          </w:p>
        </w:tc>
        <w:tc>
          <w:tcPr>
            <w:tcW w:w="442" w:type="dxa"/>
            <w:shd w:val="clear" w:color="auto" w:fill="auto"/>
            <w:vAlign w:val="center"/>
          </w:tcPr>
          <w:p w14:paraId="7558FBE3">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p>
        </w:tc>
        <w:tc>
          <w:tcPr>
            <w:tcW w:w="677" w:type="dxa"/>
            <w:shd w:val="clear" w:color="auto" w:fill="auto"/>
            <w:vAlign w:val="center"/>
          </w:tcPr>
          <w:p w14:paraId="0F242A1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Align w:val="center"/>
          </w:tcPr>
          <w:p w14:paraId="36434109">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（一）活动总体策划方案</w:t>
            </w:r>
          </w:p>
        </w:tc>
      </w:tr>
      <w:tr w14:paraId="4F8D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36487CCB">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2</w:t>
            </w:r>
          </w:p>
        </w:tc>
        <w:tc>
          <w:tcPr>
            <w:tcW w:w="6283" w:type="dxa"/>
            <w:shd w:val="clear" w:color="auto" w:fill="auto"/>
            <w:vAlign w:val="center"/>
          </w:tcPr>
          <w:p w14:paraId="7387F663">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根据投标人提供的活动过程中的管理和协调方法的合理性和适用性进行打分：管理和协调方法合理，适用性强的，得4分；管理和协调方法比较合理，适用性比较强的，得3分；管理和协调方法基本合理，适用性一般，得2分；管理和协调方法内容有瑕疵的，得1分；无相关内容不得分。</w:t>
            </w:r>
          </w:p>
        </w:tc>
        <w:tc>
          <w:tcPr>
            <w:tcW w:w="442" w:type="dxa"/>
            <w:shd w:val="clear" w:color="auto" w:fill="auto"/>
            <w:vAlign w:val="center"/>
          </w:tcPr>
          <w:p w14:paraId="3EAABB93">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4</w:t>
            </w:r>
          </w:p>
        </w:tc>
        <w:tc>
          <w:tcPr>
            <w:tcW w:w="677" w:type="dxa"/>
            <w:shd w:val="clear" w:color="auto" w:fill="auto"/>
            <w:vAlign w:val="center"/>
          </w:tcPr>
          <w:p w14:paraId="4C98A4F7">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Align w:val="center"/>
          </w:tcPr>
          <w:p w14:paraId="05A6E4A3">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（二）活动过程中的管理和协调方法</w:t>
            </w:r>
          </w:p>
        </w:tc>
      </w:tr>
      <w:tr w14:paraId="7503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59A1F9C4">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6283" w:type="dxa"/>
            <w:shd w:val="clear" w:color="auto" w:fill="auto"/>
            <w:vAlign w:val="center"/>
          </w:tcPr>
          <w:p w14:paraId="4FFB42AD">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根据投标人的安全保障方案、应急预案，对活动中如出现的突发情况进行分析及提出合理的应对措施方案进行打分：方案内容完整且考虑周到与项目匹配度好的得4分；方案内容基本完整、考虑基本到位且与项目匹配度较好的得3分；方案内容基本完整、考虑到位与项目匹配度一般的得2分；方案内容有瑕疵的，得1分；方案内容缺失严重、应对失措或与项目不匹配的不得分。</w:t>
            </w:r>
          </w:p>
        </w:tc>
        <w:tc>
          <w:tcPr>
            <w:tcW w:w="442" w:type="dxa"/>
            <w:shd w:val="clear" w:color="auto" w:fill="auto"/>
            <w:vAlign w:val="center"/>
          </w:tcPr>
          <w:p w14:paraId="444EB133">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4</w:t>
            </w:r>
          </w:p>
        </w:tc>
        <w:tc>
          <w:tcPr>
            <w:tcW w:w="677" w:type="dxa"/>
            <w:shd w:val="clear" w:color="auto" w:fill="auto"/>
            <w:vAlign w:val="center"/>
          </w:tcPr>
          <w:p w14:paraId="557D0234">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Align w:val="center"/>
          </w:tcPr>
          <w:p w14:paraId="26A3B14E">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（三）安全保障措施</w:t>
            </w:r>
          </w:p>
        </w:tc>
      </w:tr>
      <w:tr w14:paraId="442C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1951ABD1">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4</w:t>
            </w:r>
          </w:p>
        </w:tc>
        <w:tc>
          <w:tcPr>
            <w:tcW w:w="6283" w:type="dxa"/>
            <w:shd w:val="clear" w:color="auto" w:fill="auto"/>
            <w:vAlign w:val="center"/>
          </w:tcPr>
          <w:p w14:paraId="04204610">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根据投标人提供的对参加活动人员名单和个人信息的保密措施和方案的针对性、可行性进行打分；措施及方案完善、针对性强的，得4分；措施及方案比较完善，针对性较强的，得3分；措施及方案基本合理、可行的，得2分；措施及方案有瑕疵的，得1分；无相关内容不得分。</w:t>
            </w:r>
          </w:p>
        </w:tc>
        <w:tc>
          <w:tcPr>
            <w:tcW w:w="442" w:type="dxa"/>
            <w:shd w:val="clear" w:color="auto" w:fill="auto"/>
            <w:vAlign w:val="center"/>
          </w:tcPr>
          <w:p w14:paraId="468FE228">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4</w:t>
            </w:r>
          </w:p>
        </w:tc>
        <w:tc>
          <w:tcPr>
            <w:tcW w:w="677" w:type="dxa"/>
            <w:shd w:val="clear" w:color="auto" w:fill="auto"/>
            <w:vAlign w:val="center"/>
          </w:tcPr>
          <w:p w14:paraId="5290428C">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Align w:val="center"/>
          </w:tcPr>
          <w:p w14:paraId="44C7E2CA">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（四）保密措施</w:t>
            </w:r>
          </w:p>
        </w:tc>
      </w:tr>
      <w:tr w14:paraId="1AB4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21BE8FE8">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5</w:t>
            </w:r>
          </w:p>
        </w:tc>
        <w:tc>
          <w:tcPr>
            <w:tcW w:w="6283" w:type="dxa"/>
            <w:shd w:val="clear" w:color="auto" w:fill="auto"/>
            <w:vAlign w:val="center"/>
          </w:tcPr>
          <w:p w14:paraId="72FFF83F">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项目负责人的专业素质、从业时间、类似项目经验，具有调动各项资源的能力等。（提供人员简历及与评分有关的证明材料及近3个月内任意一个月有效社保缴纳证明。）项目负责人经验丰富，能力强的得4分；经验能力较强的得3分；经验能力一般的得2分；经验能力不足的得1分；无相关内容不得分。</w:t>
            </w:r>
          </w:p>
        </w:tc>
        <w:tc>
          <w:tcPr>
            <w:tcW w:w="442" w:type="dxa"/>
            <w:shd w:val="clear" w:color="auto" w:fill="auto"/>
            <w:vAlign w:val="center"/>
          </w:tcPr>
          <w:p w14:paraId="022E54FE">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default" w:asciiTheme="minorEastAsia" w:hAnsiTheme="minorEastAsia" w:eastAsiaTheme="minorEastAsia" w:cstheme="minorEastAsia"/>
                <w:b w:val="0"/>
                <w:bCs w:val="0"/>
                <w:color w:val="auto"/>
                <w:kern w:val="0"/>
                <w:sz w:val="24"/>
                <w:szCs w:val="24"/>
                <w:highlight w:val="none"/>
                <w:lang w:val="en-US" w:eastAsia="zh-CN"/>
              </w:rPr>
              <w:t>4</w:t>
            </w:r>
          </w:p>
        </w:tc>
        <w:tc>
          <w:tcPr>
            <w:tcW w:w="677" w:type="dxa"/>
            <w:shd w:val="clear" w:color="auto" w:fill="auto"/>
            <w:vAlign w:val="center"/>
          </w:tcPr>
          <w:p w14:paraId="5D4505A8">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restart"/>
            <w:vAlign w:val="center"/>
          </w:tcPr>
          <w:p w14:paraId="11AE9C68">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（五）团队人员配置情况</w:t>
            </w:r>
          </w:p>
        </w:tc>
      </w:tr>
      <w:tr w14:paraId="64B2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0DBBFC96">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6</w:t>
            </w:r>
          </w:p>
        </w:tc>
        <w:tc>
          <w:tcPr>
            <w:tcW w:w="6283" w:type="dxa"/>
            <w:shd w:val="clear" w:color="auto" w:fill="auto"/>
            <w:vAlign w:val="center"/>
          </w:tcPr>
          <w:p w14:paraId="6FBAAFA5">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本项目其他项目团队人员配置情况（项目负责人除外），人员数量、职责分工、技术能力以及从业经验的响应情况进行评分。（提供人员简历及与评分有关的证明材料及近3个月内任意一个月有效社保缴纳证明。）人员配置投入大、服务好、职责分工明确，质量优且合理可行的得2分；人员配置完整、职责分工较明确，服务较好、质量优且合理可行的得1分；无相关内容不得分。</w:t>
            </w:r>
          </w:p>
        </w:tc>
        <w:tc>
          <w:tcPr>
            <w:tcW w:w="442" w:type="dxa"/>
            <w:shd w:val="clear" w:color="auto" w:fill="auto"/>
            <w:vAlign w:val="center"/>
          </w:tcPr>
          <w:p w14:paraId="50F3F3B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default" w:asciiTheme="minorEastAsia" w:hAnsiTheme="minorEastAsia" w:eastAsiaTheme="minorEastAsia" w:cstheme="minorEastAsia"/>
                <w:b w:val="0"/>
                <w:bCs w:val="0"/>
                <w:color w:val="auto"/>
                <w:kern w:val="0"/>
                <w:sz w:val="24"/>
                <w:szCs w:val="24"/>
                <w:highlight w:val="none"/>
                <w:lang w:val="en-US" w:eastAsia="zh-CN"/>
              </w:rPr>
              <w:t>2</w:t>
            </w:r>
          </w:p>
        </w:tc>
        <w:tc>
          <w:tcPr>
            <w:tcW w:w="677" w:type="dxa"/>
            <w:shd w:val="clear" w:color="auto" w:fill="auto"/>
            <w:vAlign w:val="center"/>
          </w:tcPr>
          <w:p w14:paraId="2D276782">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vAlign w:val="center"/>
          </w:tcPr>
          <w:p w14:paraId="4E5FD9C5">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p>
        </w:tc>
      </w:tr>
      <w:tr w14:paraId="60E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3E7DF071">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7</w:t>
            </w:r>
          </w:p>
        </w:tc>
        <w:tc>
          <w:tcPr>
            <w:tcW w:w="6283" w:type="dxa"/>
            <w:shd w:val="clear" w:color="auto" w:fill="auto"/>
            <w:vAlign w:val="center"/>
          </w:tcPr>
          <w:p w14:paraId="49FF01EA">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根据投标人提供的针对活动中可能发生投诉的风险点的分析及应对处理措施进行打分；方案针对性强、措施到位的，得5分；方案针对性较强，措施较合理的，得4分；方案有针对性内容的，措施合理性一般得3分；方案合理，措施有瑕疵的得2分；方案和措施瑕疵较多的得1分；无相关内容不得分。</w:t>
            </w:r>
          </w:p>
        </w:tc>
        <w:tc>
          <w:tcPr>
            <w:tcW w:w="442" w:type="dxa"/>
            <w:shd w:val="clear" w:color="auto" w:fill="auto"/>
            <w:vAlign w:val="center"/>
          </w:tcPr>
          <w:p w14:paraId="601D72B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p>
        </w:tc>
        <w:tc>
          <w:tcPr>
            <w:tcW w:w="677" w:type="dxa"/>
            <w:shd w:val="clear" w:color="auto" w:fill="auto"/>
            <w:vAlign w:val="center"/>
          </w:tcPr>
          <w:p w14:paraId="0231CC44">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shd w:val="clear" w:color="auto" w:fill="auto"/>
            <w:vAlign w:val="center"/>
          </w:tcPr>
          <w:p w14:paraId="07B35D50">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（六）投诉处理方案</w:t>
            </w:r>
          </w:p>
        </w:tc>
      </w:tr>
      <w:tr w14:paraId="5575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dxa"/>
            <w:shd w:val="clear" w:color="auto" w:fill="auto"/>
            <w:vAlign w:val="center"/>
          </w:tcPr>
          <w:p w14:paraId="6985048C">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8</w:t>
            </w:r>
          </w:p>
        </w:tc>
        <w:tc>
          <w:tcPr>
            <w:tcW w:w="6283" w:type="dxa"/>
            <w:shd w:val="clear" w:color="auto" w:fill="auto"/>
            <w:vAlign w:val="center"/>
          </w:tcPr>
          <w:p w14:paraId="7B269914">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针对本项目拟设立的各项管理规章制度的完善情况进行打分：</w:t>
            </w:r>
          </w:p>
          <w:p w14:paraId="505E3E13">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具有各项公众制度的得2分，没有不得分；</w:t>
            </w:r>
          </w:p>
          <w:p w14:paraId="375C2507">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具有岗位责任制度的得2分，没有不得分；</w:t>
            </w:r>
          </w:p>
          <w:p w14:paraId="1FF156AD">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具有管理运作制度的得2分，没有不得分；</w:t>
            </w:r>
          </w:p>
          <w:p w14:paraId="00F4A68B">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具有考核管理制度及标准等的得2分，没有不得分。</w:t>
            </w:r>
          </w:p>
        </w:tc>
        <w:tc>
          <w:tcPr>
            <w:tcW w:w="442" w:type="dxa"/>
            <w:shd w:val="clear" w:color="auto" w:fill="auto"/>
            <w:vAlign w:val="center"/>
          </w:tcPr>
          <w:p w14:paraId="3F65A72C">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p>
        </w:tc>
        <w:tc>
          <w:tcPr>
            <w:tcW w:w="677" w:type="dxa"/>
            <w:shd w:val="clear" w:color="auto" w:fill="auto"/>
            <w:vAlign w:val="center"/>
          </w:tcPr>
          <w:p w14:paraId="7EE0DF45">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restart"/>
            <w:shd w:val="clear" w:color="auto" w:fill="auto"/>
            <w:vAlign w:val="center"/>
          </w:tcPr>
          <w:p w14:paraId="3D880F51">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（七）管理规章制度情况</w:t>
            </w:r>
          </w:p>
        </w:tc>
      </w:tr>
      <w:tr w14:paraId="6945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438" w:type="dxa"/>
            <w:shd w:val="clear" w:color="auto" w:fill="auto"/>
            <w:vAlign w:val="center"/>
          </w:tcPr>
          <w:p w14:paraId="4E9ADEB9">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9</w:t>
            </w:r>
          </w:p>
        </w:tc>
        <w:tc>
          <w:tcPr>
            <w:tcW w:w="6283" w:type="dxa"/>
            <w:shd w:val="clear" w:color="auto" w:fill="auto"/>
            <w:vAlign w:val="center"/>
          </w:tcPr>
          <w:p w14:paraId="179A58E5">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回访服务及总结方案：提供回访服务的具体计划及实施步骤，根据方案的完整性、针对性进行打分。</w:t>
            </w:r>
          </w:p>
          <w:p w14:paraId="0829499B">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方案符合要求，内容完整、充实的得4分；</w:t>
            </w:r>
          </w:p>
          <w:p w14:paraId="19647B12">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方案符合要求，内容完整，但有所欠缺的得3分；</w:t>
            </w:r>
          </w:p>
          <w:p w14:paraId="50547897">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方案符合要求，但内容不完整的得2分；</w:t>
            </w:r>
          </w:p>
          <w:p w14:paraId="6DE4B0AF">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方案内容瑕疵较多的得1分；</w:t>
            </w:r>
          </w:p>
          <w:p w14:paraId="4D6B12EE">
            <w:pPr>
              <w:pStyle w:val="24"/>
              <w:ind w:left="0" w:leftChars="0" w:firstLine="0" w:firstLineChars="0"/>
              <w:rPr>
                <w:rFonts w:hint="eastAsia"/>
                <w:color w:val="auto"/>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没有不得分。</w:t>
            </w:r>
          </w:p>
        </w:tc>
        <w:tc>
          <w:tcPr>
            <w:tcW w:w="442" w:type="dxa"/>
            <w:shd w:val="clear" w:color="auto" w:fill="auto"/>
            <w:vAlign w:val="center"/>
          </w:tcPr>
          <w:p w14:paraId="2FC8B19F">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4</w:t>
            </w:r>
          </w:p>
        </w:tc>
        <w:tc>
          <w:tcPr>
            <w:tcW w:w="677" w:type="dxa"/>
            <w:shd w:val="clear" w:color="auto" w:fill="auto"/>
            <w:vAlign w:val="center"/>
          </w:tcPr>
          <w:p w14:paraId="01ACD86D">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shd w:val="clear" w:color="auto" w:fill="auto"/>
            <w:vAlign w:val="center"/>
          </w:tcPr>
          <w:p w14:paraId="1AFE8742">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p>
        </w:tc>
      </w:tr>
      <w:tr w14:paraId="79DD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03AFC621">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10</w:t>
            </w:r>
          </w:p>
        </w:tc>
        <w:tc>
          <w:tcPr>
            <w:tcW w:w="6283" w:type="dxa"/>
            <w:shd w:val="clear" w:color="auto" w:fill="auto"/>
            <w:vAlign w:val="center"/>
          </w:tcPr>
          <w:p w14:paraId="079F5A55">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对活动方案的合理性、与主题的契合程度进行打分；活动方案内容完整且考虑周到，且与主题契合程度好的得6分；活动方案内容基本完整、考虑基本到位且与主题契合程度较好的得5分；活动方案内容完整度一般，与主题契合程度一般的得4分；活动方案内容存在欠缺、考虑有漏洞或与主题契合程度一般的得3分；活动方案内容存在欠缺较多、考虑漏洞较多或与主题契合程度一般的得2分；活动方案内容缺失严重的得1分，与主题的不得分。</w:t>
            </w:r>
          </w:p>
        </w:tc>
        <w:tc>
          <w:tcPr>
            <w:tcW w:w="442" w:type="dxa"/>
            <w:shd w:val="clear" w:color="auto" w:fill="auto"/>
            <w:vAlign w:val="center"/>
          </w:tcPr>
          <w:p w14:paraId="59C182DD">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6</w:t>
            </w:r>
          </w:p>
        </w:tc>
        <w:tc>
          <w:tcPr>
            <w:tcW w:w="677" w:type="dxa"/>
            <w:shd w:val="clear" w:color="auto" w:fill="auto"/>
            <w:vAlign w:val="center"/>
          </w:tcPr>
          <w:p w14:paraId="51AB8B27">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restart"/>
            <w:vAlign w:val="center"/>
          </w:tcPr>
          <w:p w14:paraId="01877F3E">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（八）文娱活动方案</w:t>
            </w:r>
          </w:p>
        </w:tc>
      </w:tr>
      <w:tr w14:paraId="047C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72B59B30">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11</w:t>
            </w:r>
          </w:p>
        </w:tc>
        <w:tc>
          <w:tcPr>
            <w:tcW w:w="6283" w:type="dxa"/>
            <w:shd w:val="clear" w:color="auto" w:fill="auto"/>
            <w:vAlign w:val="center"/>
          </w:tcPr>
          <w:p w14:paraId="56A47CEA">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根据投标人提供的对各类活动的活动场地、活动设施设备落实的具体方案进行打分；内容完整且考虑周到、活动设施设备与项目匹配度好的得6分；方案内容基本完整、考虑基本到位、活动设施设备与项目匹配度较好的得5分；活动方案内容完整度一般，活动设施设备与项目匹配度一般的得4分；活动方案内容存在欠缺、考虑有漏洞的得3分；活动方案内容存在欠缺较多、考虑有漏洞较多的得2分，方案内容缺失严重的、应对失措或活动设施设备与项目不匹配的得1分，无相关内容不得分。</w:t>
            </w:r>
          </w:p>
        </w:tc>
        <w:tc>
          <w:tcPr>
            <w:tcW w:w="442" w:type="dxa"/>
            <w:shd w:val="clear" w:color="auto" w:fill="auto"/>
            <w:vAlign w:val="center"/>
          </w:tcPr>
          <w:p w14:paraId="36A5EA03">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6</w:t>
            </w:r>
          </w:p>
        </w:tc>
        <w:tc>
          <w:tcPr>
            <w:tcW w:w="677" w:type="dxa"/>
            <w:shd w:val="clear" w:color="auto" w:fill="auto"/>
            <w:vAlign w:val="center"/>
          </w:tcPr>
          <w:p w14:paraId="43A44575">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vAlign w:val="center"/>
          </w:tcPr>
          <w:p w14:paraId="0C71A44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p>
        </w:tc>
      </w:tr>
      <w:tr w14:paraId="3BF9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34F7468B">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12</w:t>
            </w:r>
          </w:p>
        </w:tc>
        <w:tc>
          <w:tcPr>
            <w:tcW w:w="6283" w:type="dxa"/>
            <w:shd w:val="clear" w:color="auto" w:fill="auto"/>
            <w:vAlign w:val="center"/>
          </w:tcPr>
          <w:p w14:paraId="0DF28753">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zh-CN"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根据投标人提供的对参加各种类型活动的企退人员组织安排方案进行打分；方案内容考虑全面周到的得5分；方案内容考虑比较全面周到的得4分；方案内容考虑基本到位的得3分；方案内容存在欠缺、考虑有漏洞的得2分；方案内容瑕疵较多的得1分；无相关内容不得分。</w:t>
            </w:r>
          </w:p>
        </w:tc>
        <w:tc>
          <w:tcPr>
            <w:tcW w:w="442" w:type="dxa"/>
            <w:shd w:val="clear" w:color="auto" w:fill="auto"/>
            <w:vAlign w:val="center"/>
          </w:tcPr>
          <w:p w14:paraId="5E88928A">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p>
        </w:tc>
        <w:tc>
          <w:tcPr>
            <w:tcW w:w="677" w:type="dxa"/>
            <w:shd w:val="clear" w:color="auto" w:fill="auto"/>
            <w:vAlign w:val="center"/>
          </w:tcPr>
          <w:p w14:paraId="1AED61B2">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vAlign w:val="center"/>
          </w:tcPr>
          <w:p w14:paraId="49BC494A">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p>
        </w:tc>
      </w:tr>
      <w:tr w14:paraId="6804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62666E4C">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13</w:t>
            </w:r>
          </w:p>
        </w:tc>
        <w:tc>
          <w:tcPr>
            <w:tcW w:w="6283" w:type="dxa"/>
            <w:shd w:val="clear" w:color="auto" w:fill="auto"/>
            <w:vAlign w:val="center"/>
          </w:tcPr>
          <w:p w14:paraId="224676C7">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投标人活动策划、宣传标语内容，及为采购人提供活动宣传素材的方案进行打分。活动策划、宣传标语内容与活动相吻合，提供活动宣传素材完备的得5分；活动策划、宣传标语内容基本符合要求，提供活动宣传素材较完备的得4分；活动策划、宣传标语内容与活动主题存在细微偏差，提供活动宣传素材不完备的得3分；活动策划、宣传标语内容与活动主题存在重大偏差的得2分，提供活动宣传素材严重缺失的得1分，不提供不得分。</w:t>
            </w:r>
          </w:p>
        </w:tc>
        <w:tc>
          <w:tcPr>
            <w:tcW w:w="442" w:type="dxa"/>
            <w:shd w:val="clear" w:color="auto" w:fill="auto"/>
            <w:vAlign w:val="center"/>
          </w:tcPr>
          <w:p w14:paraId="0AB6C528">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p>
        </w:tc>
        <w:tc>
          <w:tcPr>
            <w:tcW w:w="677" w:type="dxa"/>
            <w:shd w:val="clear" w:color="auto" w:fill="auto"/>
            <w:vAlign w:val="center"/>
          </w:tcPr>
          <w:p w14:paraId="1978A1D8">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vAlign w:val="center"/>
          </w:tcPr>
          <w:p w14:paraId="09501D23">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p>
        </w:tc>
      </w:tr>
      <w:tr w14:paraId="6CE3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0A515805">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14</w:t>
            </w:r>
          </w:p>
        </w:tc>
        <w:tc>
          <w:tcPr>
            <w:tcW w:w="6283" w:type="dxa"/>
            <w:shd w:val="clear" w:color="auto" w:fill="auto"/>
            <w:vAlign w:val="center"/>
          </w:tcPr>
          <w:p w14:paraId="11D843B4">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对外出旅游方案的合理性、与主题的契合程度进行打分：活动方案内容完整且考虑周到，且与主题契合程度好的得5分；活动方案内容基本完整、考虑基本到位且与主题契合程度较好的得4分；活动方案内容完整度一般，与主题契合程度一般的得3分；活动方案内容存在欠缺、考虑有漏洞，与主题契合程度一般的得2分；活动方案内容存在欠缺较多、考虑漏洞较多，与主题契合程度一般的得1分；活动方案内容缺失严重，或与主题不契合，不得分。</w:t>
            </w:r>
          </w:p>
        </w:tc>
        <w:tc>
          <w:tcPr>
            <w:tcW w:w="442" w:type="dxa"/>
            <w:shd w:val="clear" w:color="auto" w:fill="auto"/>
            <w:vAlign w:val="center"/>
          </w:tcPr>
          <w:p w14:paraId="246C0559">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p>
        </w:tc>
        <w:tc>
          <w:tcPr>
            <w:tcW w:w="677" w:type="dxa"/>
            <w:shd w:val="clear" w:color="auto" w:fill="auto"/>
            <w:vAlign w:val="center"/>
          </w:tcPr>
          <w:p w14:paraId="1DBD7E05">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restart"/>
            <w:vAlign w:val="center"/>
          </w:tcPr>
          <w:p w14:paraId="3B8995F9">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（九）外出旅游活动方案</w:t>
            </w:r>
          </w:p>
        </w:tc>
      </w:tr>
      <w:tr w14:paraId="67E7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67A7D8B4">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15</w:t>
            </w:r>
          </w:p>
        </w:tc>
        <w:tc>
          <w:tcPr>
            <w:tcW w:w="6283" w:type="dxa"/>
            <w:shd w:val="clear" w:color="auto" w:fill="auto"/>
            <w:vAlign w:val="center"/>
          </w:tcPr>
          <w:p w14:paraId="1C8BA503">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投标人针对外出旅游项目提供的导游具有导游资格证书的得2分，提供资格证书复印件并加盖公章。</w:t>
            </w:r>
          </w:p>
        </w:tc>
        <w:tc>
          <w:tcPr>
            <w:tcW w:w="442" w:type="dxa"/>
            <w:shd w:val="clear" w:color="auto" w:fill="auto"/>
            <w:vAlign w:val="center"/>
          </w:tcPr>
          <w:p w14:paraId="2484A695">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2</w:t>
            </w:r>
          </w:p>
        </w:tc>
        <w:tc>
          <w:tcPr>
            <w:tcW w:w="677" w:type="dxa"/>
            <w:shd w:val="clear" w:color="auto" w:fill="auto"/>
            <w:vAlign w:val="center"/>
          </w:tcPr>
          <w:p w14:paraId="71F9734A">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客观</w:t>
            </w:r>
          </w:p>
        </w:tc>
        <w:tc>
          <w:tcPr>
            <w:tcW w:w="1080" w:type="dxa"/>
            <w:vMerge w:val="continue"/>
            <w:vAlign w:val="center"/>
          </w:tcPr>
          <w:p w14:paraId="3FBE955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p>
        </w:tc>
      </w:tr>
      <w:tr w14:paraId="5309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196A6AEB">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16</w:t>
            </w:r>
          </w:p>
        </w:tc>
        <w:tc>
          <w:tcPr>
            <w:tcW w:w="6283" w:type="dxa"/>
            <w:shd w:val="clear" w:color="auto" w:fill="auto"/>
            <w:vAlign w:val="center"/>
          </w:tcPr>
          <w:p w14:paraId="3117BF51">
            <w:pPr>
              <w:snapToGrid w:val="0"/>
              <w:spacing w:line="24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highlight w:val="none"/>
              </w:rPr>
              <w:t>餐饮安排：包括饭店名称、菜品名称等内容，餐饮安排具有当地特色、菜肴搭配丰富均衡，提供具体方案，根据方案的完整性、针对性进行打分</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方案合理，适用性强的，得3分；方案比较合理，适用性比较强的，得2分；方案基本合理，适用性一般，得1分；无相关内容不得分。</w:t>
            </w:r>
          </w:p>
        </w:tc>
        <w:tc>
          <w:tcPr>
            <w:tcW w:w="442" w:type="dxa"/>
            <w:shd w:val="clear" w:color="auto" w:fill="auto"/>
            <w:vAlign w:val="center"/>
          </w:tcPr>
          <w:p w14:paraId="24069723">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677" w:type="dxa"/>
            <w:shd w:val="clear" w:color="auto" w:fill="auto"/>
            <w:vAlign w:val="center"/>
          </w:tcPr>
          <w:p w14:paraId="4985EEF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vAlign w:val="center"/>
          </w:tcPr>
          <w:p w14:paraId="35582A39">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rPr>
            </w:pPr>
          </w:p>
        </w:tc>
      </w:tr>
      <w:tr w14:paraId="28E4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1889DAFE">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17</w:t>
            </w:r>
          </w:p>
        </w:tc>
        <w:tc>
          <w:tcPr>
            <w:tcW w:w="6283" w:type="dxa"/>
            <w:shd w:val="clear" w:color="auto" w:fill="auto"/>
            <w:vAlign w:val="center"/>
          </w:tcPr>
          <w:p w14:paraId="3AE148FC">
            <w:pPr>
              <w:snapToGrid w:val="0"/>
              <w:spacing w:line="24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highlight w:val="none"/>
              </w:rPr>
              <w:t>交通安排：包括所选车辆详细介绍（车型、车辆年限等），所选车辆符合项目人员出行及安全保障条件，旅游大巴车型多样化，符合不同批次出行人数需求，且车况良好为二年之内设施好的空调旅游车，提供具体方案，根据方案的完整性、针对性进行打分。</w:t>
            </w:r>
            <w:r>
              <w:rPr>
                <w:rFonts w:hint="eastAsia" w:asciiTheme="minorEastAsia" w:hAnsiTheme="minorEastAsia" w:eastAsiaTheme="minorEastAsia" w:cstheme="minorEastAsia"/>
                <w:b w:val="0"/>
                <w:bCs w:val="0"/>
                <w:color w:val="auto"/>
                <w:kern w:val="0"/>
                <w:sz w:val="24"/>
                <w:szCs w:val="24"/>
                <w:highlight w:val="none"/>
                <w:lang w:val="en-US" w:eastAsia="zh-CN"/>
              </w:rPr>
              <w:t>方案合理，适用性强的，得3分；方案比较合理，适用性比较强的，得2分；方案基本合理，适用性一般，得1分；无相关内容不得分。</w:t>
            </w:r>
            <w:r>
              <w:rPr>
                <w:rFonts w:hint="eastAsia" w:ascii="宋体" w:hAnsi="宋体" w:cs="宋体"/>
                <w:color w:val="auto"/>
                <w:sz w:val="24"/>
                <w:highlight w:val="none"/>
              </w:rPr>
              <w:t>（需提供旅游大巴车辆行驶证）</w:t>
            </w:r>
          </w:p>
        </w:tc>
        <w:tc>
          <w:tcPr>
            <w:tcW w:w="442" w:type="dxa"/>
            <w:shd w:val="clear" w:color="auto" w:fill="auto"/>
            <w:vAlign w:val="center"/>
          </w:tcPr>
          <w:p w14:paraId="2729DD8E">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677" w:type="dxa"/>
            <w:shd w:val="clear" w:color="auto" w:fill="auto"/>
            <w:vAlign w:val="center"/>
          </w:tcPr>
          <w:p w14:paraId="3B878746">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vAlign w:val="center"/>
          </w:tcPr>
          <w:p w14:paraId="4543DF2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rPr>
            </w:pPr>
          </w:p>
        </w:tc>
      </w:tr>
      <w:tr w14:paraId="32FB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345357F9">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18</w:t>
            </w:r>
          </w:p>
        </w:tc>
        <w:tc>
          <w:tcPr>
            <w:tcW w:w="6283" w:type="dxa"/>
            <w:shd w:val="clear" w:color="auto" w:fill="auto"/>
            <w:vAlign w:val="center"/>
          </w:tcPr>
          <w:p w14:paraId="092EDC97">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老年短期意外险需包含意外伤害身故和残疾、意外伤害医疗、汽车意外伤害身故和残疾，一个得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分，满分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tc>
        <w:tc>
          <w:tcPr>
            <w:tcW w:w="442" w:type="dxa"/>
            <w:shd w:val="clear" w:color="auto" w:fill="auto"/>
            <w:vAlign w:val="center"/>
          </w:tcPr>
          <w:p w14:paraId="6C6BF496">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77" w:type="dxa"/>
            <w:shd w:val="clear" w:color="auto" w:fill="auto"/>
            <w:vAlign w:val="center"/>
          </w:tcPr>
          <w:p w14:paraId="28BD8AC2">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080" w:type="dxa"/>
            <w:shd w:val="clear" w:color="auto" w:fill="auto"/>
            <w:vAlign w:val="center"/>
          </w:tcPr>
          <w:p w14:paraId="052E1757">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（十）保险情况</w:t>
            </w:r>
          </w:p>
        </w:tc>
      </w:tr>
      <w:tr w14:paraId="7E54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63F3BA7A">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19</w:t>
            </w:r>
          </w:p>
        </w:tc>
        <w:tc>
          <w:tcPr>
            <w:tcW w:w="6283" w:type="dxa"/>
            <w:shd w:val="clear" w:color="auto" w:fill="auto"/>
            <w:vAlign w:val="center"/>
          </w:tcPr>
          <w:p w14:paraId="1266C36A">
            <w:pPr>
              <w:snapToGrid w:val="0"/>
              <w:spacing w:line="24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针对本项目的合理化建议：在符合招标文件规定的线路标准的基础上，根据采购人活动目的地及服务对象等方面，提出合理化建议，增加文娱活动体验感提高满意度，根据方案的完整性、有效性进行打分。</w:t>
            </w:r>
            <w:r>
              <w:rPr>
                <w:rFonts w:hint="eastAsia" w:ascii="宋体" w:hAnsi="宋体" w:eastAsia="宋体" w:cs="宋体"/>
                <w:color w:val="auto"/>
                <w:sz w:val="24"/>
                <w:highlight w:val="none"/>
                <w:lang w:val="zh-CN" w:eastAsia="zh-CN"/>
              </w:rPr>
              <w:t>方案符合要求，</w:t>
            </w:r>
          </w:p>
          <w:p w14:paraId="29076271">
            <w:pPr>
              <w:snapToGrid w:val="0"/>
              <w:spacing w:line="24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内容完整、充实的得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分；</w:t>
            </w:r>
          </w:p>
          <w:p w14:paraId="021147C7">
            <w:pPr>
              <w:snapToGrid w:val="0"/>
              <w:spacing w:line="24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方案符合要求，内容完整，但有所欠缺的得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p>
          <w:p w14:paraId="69843C4A">
            <w:pPr>
              <w:snapToGrid w:val="0"/>
              <w:spacing w:line="24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方案符合要求，但内容不完整的得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p>
          <w:p w14:paraId="68BC57CA">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方案内容严重缺失的得1分；</w:t>
            </w:r>
          </w:p>
          <w:p w14:paraId="61C33A3D">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不提供不得分。</w:t>
            </w:r>
          </w:p>
        </w:tc>
        <w:tc>
          <w:tcPr>
            <w:tcW w:w="442" w:type="dxa"/>
            <w:shd w:val="clear" w:color="auto" w:fill="auto"/>
            <w:vAlign w:val="center"/>
          </w:tcPr>
          <w:p w14:paraId="0B4EBDED">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77" w:type="dxa"/>
            <w:shd w:val="clear" w:color="auto" w:fill="auto"/>
            <w:vAlign w:val="center"/>
          </w:tcPr>
          <w:p w14:paraId="281968B9">
            <w:pPr>
              <w:snapToGrid w:val="0"/>
              <w:spacing w:line="240" w:lineRule="auto"/>
              <w:jc w:val="center"/>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restart"/>
            <w:shd w:val="clear" w:color="auto" w:fill="auto"/>
            <w:vAlign w:val="center"/>
          </w:tcPr>
          <w:p w14:paraId="6C44174C">
            <w:pPr>
              <w:snapToGrid w:val="0"/>
              <w:spacing w:line="24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（十一）重难点分析及合理化建议</w:t>
            </w:r>
          </w:p>
          <w:p w14:paraId="688084D9">
            <w:pPr>
              <w:pStyle w:val="24"/>
              <w:rPr>
                <w:rFonts w:hint="eastAsia"/>
                <w:color w:val="auto"/>
                <w:highlight w:val="none"/>
                <w:lang w:val="en-US" w:eastAsia="zh-CN"/>
              </w:rPr>
            </w:pPr>
          </w:p>
        </w:tc>
      </w:tr>
      <w:tr w14:paraId="6184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0B21905D">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20</w:t>
            </w:r>
          </w:p>
        </w:tc>
        <w:tc>
          <w:tcPr>
            <w:tcW w:w="6283" w:type="dxa"/>
            <w:shd w:val="clear" w:color="auto" w:fill="auto"/>
            <w:vAlign w:val="center"/>
          </w:tcPr>
          <w:p w14:paraId="2CD1E7DE">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重点难点分析：根据实际情况，分析出本项目的服务重点、难点，且根据分析出的重点难点，具有针对性的提出解决方案，解决方案切合实际，能有效解决服务中的问题，根据分析的的完整性、有效性性进行打分。方案的完整性、针对性进行打分。</w:t>
            </w:r>
          </w:p>
          <w:p w14:paraId="16E271F7">
            <w:pPr>
              <w:snapToGrid w:val="0"/>
              <w:spacing w:line="24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方案符合要求，内容完整、充实的得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分；</w:t>
            </w:r>
          </w:p>
          <w:p w14:paraId="22C84FBB">
            <w:pPr>
              <w:snapToGrid w:val="0"/>
              <w:spacing w:line="24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方案符合要求，内容完整，但有所欠缺的得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p>
          <w:p w14:paraId="373BDF2A">
            <w:pPr>
              <w:snapToGrid w:val="0"/>
              <w:spacing w:line="24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方案符合要求，但内容不完整的得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p>
          <w:p w14:paraId="38B79BD5">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方案内容严重缺失的得1分；</w:t>
            </w:r>
          </w:p>
          <w:p w14:paraId="4D4FCED8">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不提供不得分。</w:t>
            </w:r>
          </w:p>
        </w:tc>
        <w:tc>
          <w:tcPr>
            <w:tcW w:w="442" w:type="dxa"/>
            <w:shd w:val="clear" w:color="auto" w:fill="auto"/>
            <w:vAlign w:val="center"/>
          </w:tcPr>
          <w:p w14:paraId="3C2820C3">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77" w:type="dxa"/>
            <w:shd w:val="clear" w:color="auto" w:fill="auto"/>
            <w:vAlign w:val="center"/>
          </w:tcPr>
          <w:p w14:paraId="34C87A89">
            <w:pPr>
              <w:snapToGrid w:val="0"/>
              <w:spacing w:line="240" w:lineRule="auto"/>
              <w:jc w:val="center"/>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主观</w:t>
            </w:r>
          </w:p>
        </w:tc>
        <w:tc>
          <w:tcPr>
            <w:tcW w:w="1080" w:type="dxa"/>
            <w:vMerge w:val="continue"/>
            <w:shd w:val="clear" w:color="auto" w:fill="auto"/>
            <w:vAlign w:val="center"/>
          </w:tcPr>
          <w:p w14:paraId="78B01A8D">
            <w:pPr>
              <w:pStyle w:val="24"/>
              <w:rPr>
                <w:rFonts w:hint="eastAsia"/>
                <w:color w:val="auto"/>
                <w:highlight w:val="none"/>
                <w:lang w:val="en-US" w:eastAsia="zh-CN"/>
              </w:rPr>
            </w:pPr>
          </w:p>
        </w:tc>
      </w:tr>
      <w:tr w14:paraId="12C2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35415128">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21</w:t>
            </w:r>
          </w:p>
        </w:tc>
        <w:tc>
          <w:tcPr>
            <w:tcW w:w="6283" w:type="dxa"/>
            <w:shd w:val="clear" w:color="auto" w:fill="auto"/>
            <w:vAlign w:val="center"/>
          </w:tcPr>
          <w:p w14:paraId="7926F2D4">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宋体" w:hAnsi="宋体" w:cs="宋体"/>
                <w:color w:val="auto"/>
                <w:sz w:val="24"/>
                <w:highlight w:val="none"/>
              </w:rPr>
              <w:t>2022年1月1日至今（以合同签订时间为准）投标人承担文体活动（参观游览）项目情况：每提供一个合同复印件得0.5分，最高1分。注：提供合同复印件。</w:t>
            </w:r>
          </w:p>
        </w:tc>
        <w:tc>
          <w:tcPr>
            <w:tcW w:w="442" w:type="dxa"/>
            <w:shd w:val="clear" w:color="auto" w:fill="auto"/>
            <w:vAlign w:val="center"/>
          </w:tcPr>
          <w:p w14:paraId="6D39A888">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1</w:t>
            </w:r>
          </w:p>
        </w:tc>
        <w:tc>
          <w:tcPr>
            <w:tcW w:w="677" w:type="dxa"/>
            <w:shd w:val="clear" w:color="auto" w:fill="auto"/>
            <w:vAlign w:val="center"/>
          </w:tcPr>
          <w:p w14:paraId="78141826">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客观</w:t>
            </w:r>
          </w:p>
        </w:tc>
        <w:tc>
          <w:tcPr>
            <w:tcW w:w="1080" w:type="dxa"/>
            <w:vAlign w:val="center"/>
          </w:tcPr>
          <w:p w14:paraId="16E03BAF">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rPr>
            </w:pPr>
          </w:p>
        </w:tc>
      </w:tr>
      <w:tr w14:paraId="4982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shd w:val="clear" w:color="auto" w:fill="auto"/>
            <w:vAlign w:val="center"/>
          </w:tcPr>
          <w:p w14:paraId="6786F603">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22</w:t>
            </w:r>
          </w:p>
        </w:tc>
        <w:tc>
          <w:tcPr>
            <w:tcW w:w="6283" w:type="dxa"/>
            <w:shd w:val="clear" w:color="auto" w:fill="auto"/>
            <w:vAlign w:val="center"/>
          </w:tcPr>
          <w:p w14:paraId="1F154392">
            <w:pPr>
              <w:snapToGrid w:val="0"/>
              <w:spacing w:line="240" w:lineRule="auto"/>
              <w:jc w:val="both"/>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418" w:name="_GoBack"/>
            <w:r>
              <w:rPr>
                <w:rFonts w:hint="eastAsia" w:asciiTheme="minorEastAsia" w:hAnsiTheme="minorEastAsia" w:eastAsiaTheme="minorEastAsia" w:cstheme="minorEastAsia"/>
                <w:b w:val="0"/>
                <w:bCs w:val="0"/>
                <w:color w:val="auto"/>
                <w:kern w:val="0"/>
                <w:sz w:val="24"/>
                <w:szCs w:val="24"/>
                <w:highlight w:val="none"/>
                <w:lang w:val="en-US" w:eastAsia="zh-CN"/>
              </w:rPr>
              <w:t>投标人（联合体投标的指牵头人）具有有效期内的质量管理体系认证、环境管理体系认证和职业健康管理体系认证证书的，每一个得1分，最高得3分。证明材料提供认证证书和全国认证认可信息公共服务平台官网（http://cx.cnca.cn/CertECloud/result/skipResultList）上的认证查询截图。存在一项未提供或不满足或未在有效期内的，该项不得分。</w:t>
            </w:r>
            <w:bookmarkEnd w:id="418"/>
          </w:p>
        </w:tc>
        <w:tc>
          <w:tcPr>
            <w:tcW w:w="442" w:type="dxa"/>
            <w:shd w:val="clear" w:color="auto" w:fill="auto"/>
            <w:vAlign w:val="center"/>
          </w:tcPr>
          <w:p w14:paraId="76B24700">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677" w:type="dxa"/>
            <w:shd w:val="clear" w:color="auto" w:fill="auto"/>
            <w:vAlign w:val="center"/>
          </w:tcPr>
          <w:p w14:paraId="3B3CB854">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客观</w:t>
            </w:r>
          </w:p>
        </w:tc>
        <w:tc>
          <w:tcPr>
            <w:tcW w:w="1080" w:type="dxa"/>
            <w:vAlign w:val="center"/>
          </w:tcPr>
          <w:p w14:paraId="5D46CBBC">
            <w:pPr>
              <w:snapToGrid w:val="0"/>
              <w:spacing w:line="240" w:lineRule="auto"/>
              <w:jc w:val="center"/>
              <w:rPr>
                <w:rFonts w:hint="eastAsia" w:asciiTheme="minorEastAsia" w:hAnsiTheme="minorEastAsia" w:eastAsiaTheme="minorEastAsia" w:cstheme="minorEastAsia"/>
                <w:b w:val="0"/>
                <w:bCs w:val="0"/>
                <w:color w:val="auto"/>
                <w:kern w:val="0"/>
                <w:sz w:val="24"/>
                <w:szCs w:val="24"/>
                <w:highlight w:val="none"/>
              </w:rPr>
            </w:pPr>
          </w:p>
        </w:tc>
      </w:tr>
      <w:tr w14:paraId="1377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8" w:type="dxa"/>
            <w:shd w:val="clear" w:color="auto" w:fill="auto"/>
            <w:vAlign w:val="center"/>
          </w:tcPr>
          <w:p w14:paraId="614F8EDD">
            <w:pPr>
              <w:snapToGrid w:val="0"/>
              <w:spacing w:line="240" w:lineRule="auto"/>
              <w:jc w:val="center"/>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23</w:t>
            </w:r>
          </w:p>
        </w:tc>
        <w:tc>
          <w:tcPr>
            <w:tcW w:w="6283" w:type="dxa"/>
            <w:vAlign w:val="center"/>
          </w:tcPr>
          <w:p w14:paraId="04613957">
            <w:pPr>
              <w:widowControl/>
              <w:shd w:val="clear" w:color="auto" w:fill="FFFFFF"/>
              <w:adjustRightInd/>
              <w:spacing w:after="225" w:line="24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采用统一报价计算：本项目价格不列为评审因素，中标人最终执行单价统一按 130元/人执行，投标人承诺执行此报价均得10分，如投标人报价文件报价高于或低于130元/人作无效标处理</w:t>
            </w:r>
            <w:r>
              <w:rPr>
                <w:rFonts w:hint="eastAsia" w:asciiTheme="minorEastAsia" w:hAnsiTheme="minorEastAsia" w:eastAsiaTheme="minorEastAsia" w:cstheme="minorEastAsia"/>
                <w:color w:val="auto"/>
                <w:kern w:val="0"/>
                <w:sz w:val="24"/>
                <w:szCs w:val="24"/>
                <w:highlight w:val="none"/>
                <w:lang w:eastAsia="zh-CN"/>
              </w:rPr>
              <w:t>。</w:t>
            </w:r>
          </w:p>
        </w:tc>
        <w:tc>
          <w:tcPr>
            <w:tcW w:w="442" w:type="dxa"/>
            <w:vAlign w:val="center"/>
          </w:tcPr>
          <w:p w14:paraId="5F1F71ED">
            <w:pPr>
              <w:spacing w:line="240" w:lineRule="auto"/>
              <w:jc w:val="center"/>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0</w:t>
            </w:r>
          </w:p>
        </w:tc>
        <w:tc>
          <w:tcPr>
            <w:tcW w:w="677" w:type="dxa"/>
            <w:vAlign w:val="center"/>
          </w:tcPr>
          <w:p w14:paraId="2918FA60">
            <w:pPr>
              <w:spacing w:line="240" w:lineRule="auto"/>
              <w:jc w:val="center"/>
              <w:outlineLvl w:val="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客观分</w:t>
            </w:r>
          </w:p>
        </w:tc>
        <w:tc>
          <w:tcPr>
            <w:tcW w:w="1080" w:type="dxa"/>
            <w:vAlign w:val="center"/>
          </w:tcPr>
          <w:p w14:paraId="79247B60">
            <w:pPr>
              <w:spacing w:line="240" w:lineRule="auto"/>
              <w:jc w:val="center"/>
              <w:outlineLvl w:val="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r>
    </w:tbl>
    <w:p w14:paraId="6B912A07">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outlineLvl w:val="0"/>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snapToGrid w:val="0"/>
        <w:spacing w:line="36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snapToGrid w:val="0"/>
        <w:spacing w:line="36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tabs>
          <w:tab w:val="left" w:pos="432"/>
        </w:tabs>
        <w:ind w:left="430" w:leftChars="205"/>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9"/>
    <w:p w14:paraId="797D816D">
      <w:pPr>
        <w:rPr>
          <w:rFonts w:hint="eastAsia" w:ascii="宋体" w:hAnsi="宋体" w:cs="宋体"/>
          <w:b/>
          <w:color w:val="auto"/>
          <w:sz w:val="36"/>
          <w:szCs w:val="36"/>
          <w:highlight w:val="none"/>
        </w:rPr>
      </w:pPr>
      <w:bookmarkStart w:id="406" w:name="第五部分"/>
      <w:bookmarkStart w:id="407" w:name="_Toc86217003"/>
      <w:r>
        <w:rPr>
          <w:rFonts w:hint="eastAsia"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10155C5">
      <w:pPr>
        <w:spacing w:line="336" w:lineRule="auto"/>
        <w:ind w:firstLine="480" w:firstLineChars="200"/>
        <w:rPr>
          <w:rFonts w:hint="eastAsia" w:ascii="宋体" w:hAnsi="宋体"/>
          <w:color w:val="auto"/>
          <w:sz w:val="24"/>
          <w:highlight w:val="none"/>
        </w:rPr>
      </w:pPr>
      <w:r>
        <w:rPr>
          <w:rFonts w:ascii="宋体" w:hAnsi="宋体"/>
          <w:color w:val="auto"/>
          <w:sz w:val="24"/>
          <w:highlight w:val="none"/>
        </w:rPr>
        <w:t>采购编号：</w:t>
      </w:r>
    </w:p>
    <w:p w14:paraId="7B4431CB">
      <w:pPr>
        <w:spacing w:line="336" w:lineRule="auto"/>
        <w:ind w:firstLine="480" w:firstLineChars="200"/>
        <w:rPr>
          <w:rFonts w:hint="eastAsia" w:ascii="宋体" w:hAnsi="宋体"/>
          <w:color w:val="auto"/>
          <w:sz w:val="24"/>
          <w:highlight w:val="none"/>
        </w:rPr>
      </w:pPr>
      <w:r>
        <w:rPr>
          <w:rFonts w:ascii="宋体" w:hAnsi="宋体"/>
          <w:color w:val="auto"/>
          <w:sz w:val="24"/>
          <w:highlight w:val="none"/>
        </w:rPr>
        <w:t>需方（</w:t>
      </w:r>
      <w:r>
        <w:rPr>
          <w:rFonts w:hint="eastAsia" w:ascii="宋体" w:hAnsi="宋体"/>
          <w:color w:val="auto"/>
          <w:sz w:val="24"/>
          <w:highlight w:val="none"/>
        </w:rPr>
        <w:t>甲方</w:t>
      </w:r>
      <w:r>
        <w:rPr>
          <w:rFonts w:ascii="宋体" w:hAnsi="宋体"/>
          <w:color w:val="auto"/>
          <w:sz w:val="24"/>
          <w:highlight w:val="none"/>
        </w:rPr>
        <w:t>）：</w:t>
      </w:r>
      <w:r>
        <w:rPr>
          <w:rFonts w:hint="eastAsia" w:ascii="宋体" w:hAnsi="宋体"/>
          <w:color w:val="auto"/>
          <w:sz w:val="24"/>
          <w:highlight w:val="none"/>
        </w:rPr>
        <w:t>杭州市上城区人民政府闸弄口街道办事处</w:t>
      </w:r>
    </w:p>
    <w:p w14:paraId="023720AD">
      <w:pPr>
        <w:spacing w:line="336" w:lineRule="auto"/>
        <w:ind w:firstLine="480" w:firstLineChars="200"/>
        <w:rPr>
          <w:rFonts w:hint="eastAsia" w:ascii="宋体" w:hAnsi="宋体"/>
          <w:color w:val="auto"/>
          <w:sz w:val="24"/>
          <w:highlight w:val="none"/>
        </w:rPr>
      </w:pPr>
      <w:r>
        <w:rPr>
          <w:rFonts w:ascii="宋体" w:hAnsi="宋体"/>
          <w:color w:val="auto"/>
          <w:sz w:val="24"/>
          <w:highlight w:val="none"/>
        </w:rPr>
        <w:t>供方（</w:t>
      </w:r>
      <w:r>
        <w:rPr>
          <w:rFonts w:hint="eastAsia" w:ascii="宋体" w:hAnsi="宋体"/>
          <w:color w:val="auto"/>
          <w:sz w:val="24"/>
          <w:highlight w:val="none"/>
        </w:rPr>
        <w:t>乙方</w:t>
      </w:r>
      <w:r>
        <w:rPr>
          <w:rFonts w:ascii="宋体" w:hAnsi="宋体"/>
          <w:color w:val="auto"/>
          <w:sz w:val="24"/>
          <w:highlight w:val="none"/>
        </w:rPr>
        <w:t>）：</w:t>
      </w:r>
    </w:p>
    <w:p w14:paraId="17ED3DEE">
      <w:pPr>
        <w:spacing w:line="336" w:lineRule="auto"/>
        <w:ind w:firstLine="480" w:firstLineChars="200"/>
        <w:rPr>
          <w:rFonts w:hint="eastAsia" w:ascii="宋体" w:hAnsi="宋体"/>
          <w:color w:val="auto"/>
          <w:sz w:val="24"/>
          <w:highlight w:val="none"/>
        </w:rPr>
      </w:pPr>
    </w:p>
    <w:p w14:paraId="036D85F8">
      <w:pPr>
        <w:spacing w:line="336" w:lineRule="auto"/>
        <w:ind w:firstLine="480" w:firstLineChars="200"/>
        <w:rPr>
          <w:rFonts w:hint="eastAsia" w:ascii="宋体" w:hAnsi="宋体"/>
          <w:color w:val="auto"/>
          <w:sz w:val="24"/>
          <w:highlight w:val="none"/>
        </w:rPr>
      </w:pPr>
      <w:r>
        <w:rPr>
          <w:rFonts w:ascii="宋体" w:hAnsi="宋体"/>
          <w:color w:val="auto"/>
          <w:sz w:val="24"/>
          <w:highlight w:val="none"/>
        </w:rPr>
        <w:t>签约时间、地点：202</w:t>
      </w:r>
      <w:r>
        <w:rPr>
          <w:rFonts w:hint="eastAsia" w:ascii="宋体" w:hAnsi="宋体"/>
          <w:color w:val="auto"/>
          <w:sz w:val="24"/>
          <w:highlight w:val="none"/>
          <w:lang w:val="en-US" w:eastAsia="zh-CN"/>
        </w:rPr>
        <w:t>5</w:t>
      </w:r>
      <w:r>
        <w:rPr>
          <w:rFonts w:ascii="宋体" w:hAnsi="宋体"/>
          <w:color w:val="auto"/>
          <w:sz w:val="24"/>
          <w:highlight w:val="none"/>
        </w:rPr>
        <w:t>年  月   日，杭州</w:t>
      </w:r>
    </w:p>
    <w:p w14:paraId="1BB92F8C">
      <w:pPr>
        <w:widowControl/>
        <w:spacing w:line="336" w:lineRule="auto"/>
        <w:ind w:firstLine="480"/>
        <w:rPr>
          <w:rFonts w:hint="eastAsia" w:ascii="宋体" w:hAnsi="宋体"/>
          <w:color w:val="auto"/>
          <w:sz w:val="24"/>
          <w:highlight w:val="none"/>
          <w:u w:val="single"/>
        </w:rPr>
      </w:pPr>
    </w:p>
    <w:p w14:paraId="2A61C708">
      <w:pPr>
        <w:widowControl/>
        <w:spacing w:line="336" w:lineRule="auto"/>
        <w:ind w:firstLine="480"/>
        <w:rPr>
          <w:rFonts w:hint="eastAsia" w:ascii="宋体" w:hAnsi="宋体"/>
          <w:color w:val="auto"/>
          <w:sz w:val="24"/>
          <w:highlight w:val="none"/>
        </w:rPr>
      </w:pPr>
      <w:r>
        <w:rPr>
          <w:rFonts w:hint="eastAsia" w:ascii="宋体" w:hAnsi="宋体"/>
          <w:color w:val="auto"/>
          <w:sz w:val="24"/>
          <w:highlight w:val="none"/>
          <w:u w:val="single"/>
        </w:rPr>
        <w:t>杭州市上城区人民政府闸弄口街道办事处</w:t>
      </w:r>
      <w:r>
        <w:rPr>
          <w:rFonts w:ascii="宋体" w:hAnsi="宋体"/>
          <w:color w:val="auto"/>
          <w:sz w:val="24"/>
          <w:highlight w:val="none"/>
        </w:rPr>
        <w:t>对编号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w:t>
      </w:r>
      <w:r>
        <w:rPr>
          <w:rFonts w:ascii="宋体" w:hAnsi="宋体"/>
          <w:color w:val="auto"/>
          <w:sz w:val="24"/>
          <w:highlight w:val="none"/>
        </w:rPr>
        <w:t>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项目经过公开招标采购，确定乙方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w:t>
      </w:r>
      <w:r>
        <w:rPr>
          <w:rFonts w:hint="eastAsia" w:ascii="宋体" w:hAnsi="宋体"/>
          <w:color w:val="auto"/>
          <w:sz w:val="24"/>
          <w:highlight w:val="none"/>
        </w:rPr>
        <w:t>为</w:t>
      </w:r>
      <w:r>
        <w:rPr>
          <w:rFonts w:ascii="宋体" w:hAnsi="宋体"/>
          <w:color w:val="auto"/>
          <w:sz w:val="24"/>
          <w:highlight w:val="none"/>
        </w:rPr>
        <w:t>项目的</w:t>
      </w:r>
      <w:r>
        <w:rPr>
          <w:rFonts w:hint="eastAsia" w:ascii="宋体" w:hAnsi="宋体"/>
          <w:color w:val="auto"/>
          <w:sz w:val="24"/>
          <w:highlight w:val="none"/>
        </w:rPr>
        <w:t>成交供应商</w:t>
      </w:r>
      <w:r>
        <w:rPr>
          <w:rFonts w:ascii="宋体" w:hAnsi="宋体"/>
          <w:color w:val="auto"/>
          <w:sz w:val="24"/>
          <w:highlight w:val="none"/>
        </w:rPr>
        <w:t>，经甲、乙双方协商，达成以下条款。具体如下：</w:t>
      </w:r>
    </w:p>
    <w:p w14:paraId="041D4817">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rPr>
        <w:t>一、合同组成部分</w:t>
      </w:r>
    </w:p>
    <w:p w14:paraId="72634716">
      <w:pPr>
        <w:tabs>
          <w:tab w:val="left" w:pos="996"/>
        </w:tabs>
        <w:spacing w:line="360" w:lineRule="auto"/>
        <w:ind w:left="420"/>
        <w:rPr>
          <w:rFonts w:hint="eastAsia" w:ascii="宋体" w:hAnsi="宋体" w:cs="仿宋"/>
          <w:color w:val="auto"/>
          <w:sz w:val="24"/>
          <w:highlight w:val="none"/>
        </w:rPr>
      </w:pPr>
      <w:r>
        <w:rPr>
          <w:rFonts w:hint="eastAsia" w:ascii="宋体" w:hAnsi="宋体" w:cs="仿宋"/>
          <w:color w:val="auto"/>
          <w:sz w:val="24"/>
          <w:highlight w:val="none"/>
        </w:rPr>
        <w:t>1.合同文本；</w:t>
      </w:r>
    </w:p>
    <w:p w14:paraId="65AB01B0">
      <w:pPr>
        <w:tabs>
          <w:tab w:val="left" w:pos="996"/>
        </w:tabs>
        <w:spacing w:line="360" w:lineRule="auto"/>
        <w:ind w:left="420"/>
        <w:rPr>
          <w:rFonts w:hint="eastAsia" w:ascii="宋体" w:hAnsi="宋体" w:cs="仿宋"/>
          <w:color w:val="auto"/>
          <w:sz w:val="24"/>
          <w:highlight w:val="none"/>
        </w:rPr>
      </w:pPr>
      <w:r>
        <w:rPr>
          <w:rFonts w:hint="eastAsia" w:ascii="宋体" w:hAnsi="宋体" w:cs="仿宋"/>
          <w:color w:val="auto"/>
          <w:sz w:val="24"/>
          <w:highlight w:val="none"/>
        </w:rPr>
        <w:t>2.招标文件；</w:t>
      </w:r>
    </w:p>
    <w:p w14:paraId="6C6CAFF3">
      <w:pPr>
        <w:tabs>
          <w:tab w:val="left" w:pos="996"/>
        </w:tabs>
        <w:spacing w:line="360" w:lineRule="auto"/>
        <w:ind w:left="420"/>
        <w:rPr>
          <w:rFonts w:hint="eastAsia" w:ascii="宋体" w:hAnsi="宋体" w:cs="仿宋"/>
          <w:color w:val="auto"/>
          <w:sz w:val="24"/>
          <w:highlight w:val="none"/>
        </w:rPr>
      </w:pPr>
      <w:r>
        <w:rPr>
          <w:rFonts w:hint="eastAsia" w:ascii="宋体" w:hAnsi="宋体" w:cs="仿宋"/>
          <w:color w:val="auto"/>
          <w:sz w:val="24"/>
          <w:highlight w:val="none"/>
        </w:rPr>
        <w:t>3.中标单位的投标文件；</w:t>
      </w:r>
    </w:p>
    <w:p w14:paraId="20A6F683">
      <w:pPr>
        <w:tabs>
          <w:tab w:val="left" w:pos="996"/>
        </w:tabs>
        <w:spacing w:line="360" w:lineRule="auto"/>
        <w:ind w:left="420"/>
        <w:rPr>
          <w:rFonts w:hint="eastAsia" w:ascii="宋体" w:hAnsi="宋体" w:cs="仿宋"/>
          <w:color w:val="auto"/>
          <w:sz w:val="24"/>
          <w:highlight w:val="none"/>
        </w:rPr>
      </w:pPr>
      <w:r>
        <w:rPr>
          <w:rFonts w:hint="eastAsia" w:ascii="宋体" w:hAnsi="宋体" w:cs="仿宋"/>
          <w:color w:val="auto"/>
          <w:sz w:val="24"/>
          <w:highlight w:val="none"/>
        </w:rPr>
        <w:t>4.询标纪要（如有）；</w:t>
      </w:r>
    </w:p>
    <w:p w14:paraId="404BD588">
      <w:pPr>
        <w:tabs>
          <w:tab w:val="left" w:pos="996"/>
        </w:tabs>
        <w:spacing w:line="360" w:lineRule="auto"/>
        <w:ind w:left="420"/>
        <w:rPr>
          <w:rFonts w:hint="eastAsia" w:ascii="宋体" w:hAnsi="宋体" w:cs="仿宋"/>
          <w:color w:val="auto"/>
          <w:sz w:val="24"/>
          <w:highlight w:val="none"/>
        </w:rPr>
      </w:pPr>
      <w:r>
        <w:rPr>
          <w:rFonts w:hint="eastAsia" w:ascii="宋体" w:hAnsi="宋体" w:cs="仿宋"/>
          <w:color w:val="auto"/>
          <w:sz w:val="24"/>
          <w:highlight w:val="none"/>
        </w:rPr>
        <w:t>5.中标通知书；</w:t>
      </w:r>
    </w:p>
    <w:p w14:paraId="384BA95C">
      <w:pPr>
        <w:tabs>
          <w:tab w:val="left" w:pos="996"/>
        </w:tabs>
        <w:spacing w:line="360" w:lineRule="auto"/>
        <w:ind w:left="420"/>
        <w:rPr>
          <w:rFonts w:hint="eastAsia" w:ascii="宋体" w:hAnsi="宋体" w:cs="仿宋"/>
          <w:color w:val="auto"/>
          <w:sz w:val="24"/>
          <w:highlight w:val="none"/>
        </w:rPr>
      </w:pPr>
      <w:r>
        <w:rPr>
          <w:rFonts w:hint="eastAsia" w:ascii="宋体" w:hAnsi="宋体" w:cs="仿宋"/>
          <w:color w:val="auto"/>
          <w:sz w:val="24"/>
          <w:highlight w:val="none"/>
        </w:rPr>
        <w:t>6.其他相关资料</w:t>
      </w:r>
    </w:p>
    <w:p w14:paraId="49ACF7ED">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以上6个部分都是本次合同中不可分割的部分。如各部分文件中有冲突时，以合同文本为准。</w:t>
      </w:r>
    </w:p>
    <w:p w14:paraId="0BB02035">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rPr>
        <w:t>二、合同期限</w:t>
      </w:r>
    </w:p>
    <w:p w14:paraId="12B8F04B">
      <w:pPr>
        <w:spacing w:line="360" w:lineRule="auto"/>
        <w:ind w:firstLine="480" w:firstLineChars="200"/>
        <w:rPr>
          <w:rFonts w:hint="eastAsia" w:ascii="宋体" w:hAnsi="宋体" w:cs="仿宋"/>
          <w:bCs/>
          <w:color w:val="auto"/>
          <w:sz w:val="24"/>
          <w:highlight w:val="none"/>
        </w:rPr>
      </w:pPr>
      <w:r>
        <w:rPr>
          <w:rFonts w:hint="eastAsia" w:ascii="宋体" w:hAnsi="宋体" w:cs="仿宋"/>
          <w:bCs/>
          <w:color w:val="auto"/>
          <w:sz w:val="24"/>
          <w:highlight w:val="none"/>
        </w:rPr>
        <w:t>自合同签订之日起至202</w:t>
      </w:r>
      <w:r>
        <w:rPr>
          <w:rFonts w:hint="eastAsia" w:ascii="宋体" w:hAnsi="宋体" w:cs="仿宋"/>
          <w:bCs/>
          <w:color w:val="auto"/>
          <w:sz w:val="24"/>
          <w:highlight w:val="none"/>
          <w:lang w:val="en-US" w:eastAsia="zh-CN"/>
        </w:rPr>
        <w:t>5</w:t>
      </w:r>
      <w:r>
        <w:rPr>
          <w:rFonts w:hint="eastAsia" w:ascii="宋体" w:hAnsi="宋体" w:cs="仿宋"/>
          <w:bCs/>
          <w:color w:val="auto"/>
          <w:sz w:val="24"/>
          <w:highlight w:val="none"/>
        </w:rPr>
        <w:t>年</w:t>
      </w:r>
      <w:r>
        <w:rPr>
          <w:rFonts w:hint="eastAsia" w:ascii="宋体" w:hAnsi="宋体" w:cs="仿宋"/>
          <w:bCs/>
          <w:color w:val="auto"/>
          <w:sz w:val="24"/>
          <w:highlight w:val="none"/>
          <w:lang w:val="en-US" w:eastAsia="zh-CN"/>
        </w:rPr>
        <w:t>12</w:t>
      </w:r>
      <w:r>
        <w:rPr>
          <w:rFonts w:hint="eastAsia" w:ascii="宋体" w:hAnsi="宋体" w:cs="仿宋"/>
          <w:bCs/>
          <w:color w:val="auto"/>
          <w:sz w:val="24"/>
          <w:highlight w:val="none"/>
        </w:rPr>
        <w:t>月</w:t>
      </w:r>
      <w:r>
        <w:rPr>
          <w:rFonts w:hint="eastAsia" w:ascii="宋体" w:hAnsi="宋体" w:cs="仿宋"/>
          <w:bCs/>
          <w:color w:val="auto"/>
          <w:sz w:val="24"/>
          <w:highlight w:val="none"/>
          <w:lang w:val="en-US" w:eastAsia="zh-CN"/>
        </w:rPr>
        <w:t>31</w:t>
      </w:r>
      <w:r>
        <w:rPr>
          <w:rFonts w:hint="eastAsia" w:ascii="宋体" w:hAnsi="宋体" w:cs="仿宋"/>
          <w:bCs/>
          <w:color w:val="auto"/>
          <w:sz w:val="24"/>
          <w:highlight w:val="none"/>
        </w:rPr>
        <w:t>日止。</w:t>
      </w:r>
    </w:p>
    <w:p w14:paraId="7ED05450">
      <w:pPr>
        <w:spacing w:line="360" w:lineRule="auto"/>
        <w:ind w:firstLine="482" w:firstLineChars="200"/>
        <w:rPr>
          <w:rFonts w:hint="eastAsia" w:ascii="宋体" w:hAnsi="宋体" w:cs="仿宋"/>
          <w:bCs/>
          <w:color w:val="auto"/>
          <w:sz w:val="24"/>
          <w:highlight w:val="none"/>
        </w:rPr>
      </w:pPr>
      <w:r>
        <w:rPr>
          <w:rFonts w:hint="eastAsia" w:ascii="宋体" w:hAnsi="宋体" w:eastAsia="宋体" w:cs="仿宋"/>
          <w:b/>
          <w:bCs w:val="0"/>
          <w:color w:val="auto"/>
          <w:sz w:val="24"/>
          <w:highlight w:val="none"/>
          <w:lang w:val="en-US" w:eastAsia="zh-CN"/>
        </w:rPr>
        <w:t>三、组织</w:t>
      </w:r>
      <w:r>
        <w:rPr>
          <w:rFonts w:hint="eastAsia" w:ascii="宋体" w:hAnsi="宋体" w:eastAsia="宋体" w:cs="仿宋"/>
          <w:b/>
          <w:color w:val="auto"/>
          <w:sz w:val="24"/>
          <w:highlight w:val="none"/>
        </w:rPr>
        <w:t>活动时间：</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31日前完成所有</w:t>
      </w:r>
      <w:r>
        <w:rPr>
          <w:rFonts w:hint="eastAsia" w:ascii="宋体" w:hAnsi="宋体" w:cs="Arial"/>
          <w:color w:val="auto"/>
          <w:sz w:val="24"/>
          <w:highlight w:val="none"/>
        </w:rPr>
        <w:t>企退人员文化娱乐活动</w:t>
      </w:r>
      <w:r>
        <w:rPr>
          <w:rFonts w:hint="eastAsia" w:ascii="宋体" w:hAnsi="宋体" w:cs="宋体"/>
          <w:color w:val="auto"/>
          <w:sz w:val="24"/>
          <w:highlight w:val="none"/>
        </w:rPr>
        <w:t>。</w:t>
      </w:r>
    </w:p>
    <w:p w14:paraId="193F70B5">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ascii="宋体" w:hAnsi="宋体" w:cs="仿宋"/>
          <w:b/>
          <w:color w:val="auto"/>
          <w:sz w:val="24"/>
          <w:highlight w:val="none"/>
        </w:rPr>
        <w:t xml:space="preserve">合同价格 </w:t>
      </w:r>
    </w:p>
    <w:tbl>
      <w:tblPr>
        <w:tblStyle w:val="6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37"/>
        <w:gridCol w:w="765"/>
        <w:gridCol w:w="1810"/>
        <w:gridCol w:w="1426"/>
      </w:tblGrid>
      <w:tr w14:paraId="6444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14:paraId="31D39C1B">
            <w:pPr>
              <w:pStyle w:val="24"/>
              <w:tabs>
                <w:tab w:val="left" w:pos="0"/>
              </w:tabs>
              <w:spacing w:line="240" w:lineRule="exact"/>
              <w:ind w:firstLine="0"/>
              <w:jc w:val="center"/>
              <w:rPr>
                <w:color w:val="auto"/>
                <w:highlight w:val="none"/>
              </w:rPr>
            </w:pPr>
            <w:r>
              <w:rPr>
                <w:color w:val="auto"/>
                <w:highlight w:val="none"/>
              </w:rPr>
              <w:t>序号</w:t>
            </w:r>
          </w:p>
        </w:tc>
        <w:tc>
          <w:tcPr>
            <w:tcW w:w="3937" w:type="dxa"/>
            <w:vAlign w:val="center"/>
          </w:tcPr>
          <w:p w14:paraId="1E18952C">
            <w:pPr>
              <w:pStyle w:val="24"/>
              <w:tabs>
                <w:tab w:val="left" w:pos="0"/>
              </w:tabs>
              <w:spacing w:line="240" w:lineRule="exact"/>
              <w:ind w:right="281" w:firstLine="360" w:firstLineChars="150"/>
              <w:jc w:val="center"/>
              <w:rPr>
                <w:color w:val="auto"/>
                <w:highlight w:val="none"/>
              </w:rPr>
            </w:pPr>
            <w:r>
              <w:rPr>
                <w:color w:val="auto"/>
                <w:highlight w:val="none"/>
              </w:rPr>
              <w:t>服务名称</w:t>
            </w:r>
          </w:p>
        </w:tc>
        <w:tc>
          <w:tcPr>
            <w:tcW w:w="765" w:type="dxa"/>
            <w:vAlign w:val="center"/>
          </w:tcPr>
          <w:p w14:paraId="301F78E6">
            <w:pPr>
              <w:pStyle w:val="24"/>
              <w:tabs>
                <w:tab w:val="left" w:pos="0"/>
              </w:tabs>
              <w:spacing w:line="240" w:lineRule="exact"/>
              <w:ind w:right="-91" w:firstLine="0"/>
              <w:jc w:val="center"/>
              <w:rPr>
                <w:color w:val="auto"/>
                <w:highlight w:val="none"/>
              </w:rPr>
            </w:pPr>
            <w:r>
              <w:rPr>
                <w:color w:val="auto"/>
                <w:highlight w:val="none"/>
              </w:rPr>
              <w:t>单位</w:t>
            </w:r>
          </w:p>
        </w:tc>
        <w:tc>
          <w:tcPr>
            <w:tcW w:w="1810" w:type="dxa"/>
            <w:vAlign w:val="center"/>
          </w:tcPr>
          <w:p w14:paraId="426DE712">
            <w:pPr>
              <w:pStyle w:val="24"/>
              <w:tabs>
                <w:tab w:val="left" w:pos="0"/>
              </w:tabs>
              <w:spacing w:line="240" w:lineRule="exact"/>
              <w:ind w:right="-63" w:firstLine="0"/>
              <w:jc w:val="center"/>
              <w:rPr>
                <w:color w:val="auto"/>
                <w:highlight w:val="none"/>
              </w:rPr>
            </w:pPr>
            <w:r>
              <w:rPr>
                <w:color w:val="auto"/>
                <w:highlight w:val="none"/>
              </w:rPr>
              <w:t>数量</w:t>
            </w:r>
          </w:p>
        </w:tc>
        <w:tc>
          <w:tcPr>
            <w:tcW w:w="1426" w:type="dxa"/>
            <w:vAlign w:val="center"/>
          </w:tcPr>
          <w:p w14:paraId="0D467D60">
            <w:pPr>
              <w:pStyle w:val="24"/>
              <w:tabs>
                <w:tab w:val="left" w:pos="0"/>
              </w:tabs>
              <w:spacing w:line="240" w:lineRule="exact"/>
              <w:ind w:right="-49" w:firstLine="0"/>
              <w:jc w:val="center"/>
              <w:rPr>
                <w:color w:val="auto"/>
                <w:highlight w:val="none"/>
              </w:rPr>
            </w:pPr>
            <w:r>
              <w:rPr>
                <w:color w:val="auto"/>
                <w:highlight w:val="none"/>
              </w:rPr>
              <w:t>人均（元）</w:t>
            </w:r>
          </w:p>
        </w:tc>
      </w:tr>
      <w:tr w14:paraId="5DF4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4AAFC4A">
            <w:pPr>
              <w:pStyle w:val="24"/>
              <w:tabs>
                <w:tab w:val="left" w:pos="0"/>
              </w:tabs>
              <w:spacing w:line="240" w:lineRule="exact"/>
              <w:ind w:right="281" w:firstLine="360" w:firstLineChars="150"/>
              <w:jc w:val="center"/>
              <w:rPr>
                <w:color w:val="auto"/>
                <w:highlight w:val="none"/>
              </w:rPr>
            </w:pPr>
            <w:r>
              <w:rPr>
                <w:color w:val="auto"/>
                <w:highlight w:val="none"/>
              </w:rPr>
              <w:t>1</w:t>
            </w:r>
          </w:p>
        </w:tc>
        <w:tc>
          <w:tcPr>
            <w:tcW w:w="3937" w:type="dxa"/>
            <w:vAlign w:val="center"/>
          </w:tcPr>
          <w:p w14:paraId="1E9D68B8">
            <w:pPr>
              <w:pStyle w:val="24"/>
              <w:tabs>
                <w:tab w:val="left" w:pos="0"/>
              </w:tabs>
              <w:spacing w:line="240" w:lineRule="exact"/>
              <w:ind w:right="281" w:firstLine="0"/>
              <w:jc w:val="center"/>
              <w:rPr>
                <w:color w:val="auto"/>
                <w:highlight w:val="none"/>
              </w:rPr>
            </w:pPr>
            <w:r>
              <w:rPr>
                <w:rFonts w:hint="eastAsia"/>
                <w:color w:val="auto"/>
                <w:highlight w:val="none"/>
                <w:lang w:eastAsia="zh-CN"/>
              </w:rPr>
              <w:t>2025年闸弄口街道企业退休人员自管小组文体活动项目</w:t>
            </w:r>
          </w:p>
        </w:tc>
        <w:tc>
          <w:tcPr>
            <w:tcW w:w="765" w:type="dxa"/>
            <w:vAlign w:val="center"/>
          </w:tcPr>
          <w:p w14:paraId="17C71969">
            <w:pPr>
              <w:pStyle w:val="24"/>
              <w:tabs>
                <w:tab w:val="left" w:pos="0"/>
              </w:tabs>
              <w:spacing w:line="240" w:lineRule="exact"/>
              <w:ind w:right="-91" w:firstLine="0"/>
              <w:jc w:val="center"/>
              <w:rPr>
                <w:color w:val="auto"/>
                <w:highlight w:val="none"/>
              </w:rPr>
            </w:pPr>
            <w:r>
              <w:rPr>
                <w:rFonts w:hint="eastAsia"/>
                <w:color w:val="auto"/>
                <w:highlight w:val="none"/>
              </w:rPr>
              <w:t>人</w:t>
            </w:r>
          </w:p>
        </w:tc>
        <w:tc>
          <w:tcPr>
            <w:tcW w:w="1810" w:type="dxa"/>
            <w:vAlign w:val="center"/>
          </w:tcPr>
          <w:p w14:paraId="4C269E52">
            <w:pPr>
              <w:pStyle w:val="24"/>
              <w:tabs>
                <w:tab w:val="left" w:pos="0"/>
              </w:tabs>
              <w:spacing w:line="240" w:lineRule="exact"/>
              <w:ind w:right="281" w:firstLine="0"/>
              <w:rPr>
                <w:color w:val="auto"/>
                <w:highlight w:val="none"/>
              </w:rPr>
            </w:pPr>
            <w:r>
              <w:rPr>
                <w:rFonts w:hint="eastAsia"/>
                <w:color w:val="auto"/>
                <w:highlight w:val="none"/>
              </w:rPr>
              <w:t xml:space="preserve"> </w:t>
            </w:r>
            <w:r>
              <w:rPr>
                <w:color w:val="auto"/>
                <w:highlight w:val="none"/>
              </w:rPr>
              <w:t>按实结算</w:t>
            </w:r>
          </w:p>
        </w:tc>
        <w:tc>
          <w:tcPr>
            <w:tcW w:w="1426" w:type="dxa"/>
            <w:vAlign w:val="center"/>
          </w:tcPr>
          <w:p w14:paraId="00948D14">
            <w:pPr>
              <w:pStyle w:val="24"/>
              <w:tabs>
                <w:tab w:val="left" w:pos="0"/>
              </w:tabs>
              <w:spacing w:line="240" w:lineRule="exact"/>
              <w:ind w:right="281" w:firstLine="0"/>
              <w:jc w:val="center"/>
              <w:rPr>
                <w:color w:val="auto"/>
                <w:highlight w:val="none"/>
              </w:rPr>
            </w:pPr>
            <w:r>
              <w:rPr>
                <w:rFonts w:hint="eastAsia"/>
                <w:color w:val="auto"/>
                <w:highlight w:val="none"/>
              </w:rPr>
              <w:t xml:space="preserve"> 130</w:t>
            </w:r>
          </w:p>
        </w:tc>
      </w:tr>
    </w:tbl>
    <w:p w14:paraId="18D68042">
      <w:pPr>
        <w:widowControl/>
        <w:spacing w:line="336" w:lineRule="auto"/>
        <w:ind w:left="-359" w:leftChars="-171" w:firstLine="480" w:firstLineChars="200"/>
        <w:rPr>
          <w:color w:val="auto"/>
          <w:sz w:val="24"/>
          <w:highlight w:val="none"/>
        </w:rPr>
      </w:pPr>
      <w:r>
        <w:rPr>
          <w:rFonts w:hint="eastAsia"/>
          <w:color w:val="auto"/>
          <w:sz w:val="24"/>
          <w:highlight w:val="none"/>
        </w:rPr>
        <w:t>人员名单由甲方提供。</w:t>
      </w:r>
    </w:p>
    <w:p w14:paraId="78032888">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lang w:val="en-US" w:eastAsia="zh-CN"/>
        </w:rPr>
        <w:t>五</w:t>
      </w:r>
      <w:r>
        <w:rPr>
          <w:rFonts w:ascii="宋体" w:hAnsi="宋体" w:cs="仿宋"/>
          <w:b/>
          <w:color w:val="auto"/>
          <w:sz w:val="24"/>
          <w:highlight w:val="none"/>
        </w:rPr>
        <w:t>、合同款的支付</w:t>
      </w:r>
    </w:p>
    <w:p w14:paraId="2C36F154">
      <w:pPr>
        <w:widowControl/>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费用按1个年度结算一次，至每年12月31日结算完本年费用。</w:t>
      </w:r>
    </w:p>
    <w:p w14:paraId="52D4EA2C">
      <w:pPr>
        <w:widowControl/>
        <w:spacing w:line="336"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Arial"/>
          <w:bCs/>
          <w:color w:val="auto"/>
          <w:kern w:val="0"/>
          <w:sz w:val="24"/>
          <w:highlight w:val="none"/>
        </w:rPr>
        <w:t>合同签订生效及具备实施条件</w:t>
      </w:r>
      <w:r>
        <w:rPr>
          <w:rFonts w:hint="eastAsia" w:ascii="宋体" w:hAnsi="宋体" w:cs="宋体"/>
          <w:b/>
          <w:color w:val="auto"/>
          <w:sz w:val="24"/>
          <w:highlight w:val="none"/>
        </w:rPr>
        <w:t>后</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日内，甲方支付合同总价的</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0%预付款（按年暂定人数计算）；</w:t>
      </w:r>
    </w:p>
    <w:p w14:paraId="4D287ED6">
      <w:pPr>
        <w:widowControl/>
        <w:spacing w:line="336" w:lineRule="auto"/>
        <w:ind w:firstLine="480" w:firstLineChars="200"/>
        <w:rPr>
          <w:color w:val="auto"/>
          <w:sz w:val="24"/>
          <w:highlight w:val="none"/>
        </w:rPr>
      </w:pPr>
      <w:r>
        <w:rPr>
          <w:rFonts w:hint="eastAsia"/>
          <w:color w:val="auto"/>
          <w:sz w:val="24"/>
          <w:highlight w:val="none"/>
        </w:rPr>
        <w:t>2）</w:t>
      </w:r>
      <w:r>
        <w:rPr>
          <w:rFonts w:hint="eastAsia"/>
          <w:color w:val="auto"/>
          <w:sz w:val="24"/>
          <w:highlight w:val="none"/>
          <w:lang w:val="en-US" w:eastAsia="zh-CN"/>
        </w:rPr>
        <w:t>组织活动时间结束后，</w:t>
      </w:r>
      <w:r>
        <w:rPr>
          <w:rFonts w:hint="eastAsia"/>
          <w:color w:val="auto"/>
          <w:sz w:val="24"/>
          <w:highlight w:val="none"/>
        </w:rPr>
        <w:t>乙方向甲方提供本年度参与活动的实际人数统计</w:t>
      </w:r>
      <w:r>
        <w:rPr>
          <w:rFonts w:hint="eastAsia"/>
          <w:color w:val="auto"/>
          <w:sz w:val="24"/>
          <w:highlight w:val="none"/>
          <w:lang w:eastAsia="zh-CN"/>
        </w:rPr>
        <w:t>，</w:t>
      </w:r>
      <w:r>
        <w:rPr>
          <w:rFonts w:hint="eastAsia"/>
          <w:color w:val="auto"/>
          <w:sz w:val="24"/>
          <w:highlight w:val="none"/>
        </w:rPr>
        <w:t>按照杭州市企业退休人员专项经费规定，向甲方开具正规发票，甲方审核无异议后向乙方</w:t>
      </w:r>
      <w:r>
        <w:rPr>
          <w:rFonts w:hint="eastAsia"/>
          <w:color w:val="auto"/>
          <w:sz w:val="24"/>
          <w:highlight w:val="none"/>
          <w:lang w:val="en-US" w:eastAsia="zh-CN"/>
        </w:rPr>
        <w:t>按实结算支付剩余费用。</w:t>
      </w:r>
    </w:p>
    <w:p w14:paraId="480187CA">
      <w:pPr>
        <w:keepNext w:val="0"/>
        <w:keepLines w:val="0"/>
        <w:pageBreakBefore w:val="0"/>
        <w:kinsoku/>
        <w:wordWrap/>
        <w:overflowPunct/>
        <w:topLinePunct w:val="0"/>
        <w:bidi w:val="0"/>
        <w:spacing w:line="360" w:lineRule="exact"/>
        <w:ind w:firstLine="480" w:firstLineChars="200"/>
        <w:textAlignment w:val="auto"/>
        <w:rPr>
          <w:rFonts w:hint="eastAsia"/>
          <w:color w:val="auto"/>
          <w:sz w:val="24"/>
          <w:highlight w:val="none"/>
        </w:rPr>
      </w:pPr>
      <w:r>
        <w:rPr>
          <w:rFonts w:hint="eastAsia"/>
          <w:color w:val="auto"/>
          <w:sz w:val="24"/>
          <w:highlight w:val="none"/>
        </w:rPr>
        <w:t>3）对无故不参加活动的企业退休人员，原则上视作自动放弃，不提供任何形式补偿。</w:t>
      </w:r>
    </w:p>
    <w:p w14:paraId="41D6DE5E">
      <w:pPr>
        <w:keepNext w:val="0"/>
        <w:keepLines w:val="0"/>
        <w:pageBreakBefore w:val="0"/>
        <w:kinsoku/>
        <w:wordWrap/>
        <w:overflowPunct/>
        <w:topLinePunct w:val="0"/>
        <w:bidi w:val="0"/>
        <w:spacing w:line="360" w:lineRule="exact"/>
        <w:ind w:firstLine="482" w:firstLineChars="200"/>
        <w:textAlignment w:val="auto"/>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签订合同时，</w:t>
      </w:r>
      <w:r>
        <w:rPr>
          <w:rFonts w:hint="eastAsia" w:ascii="Times New Roman" w:hAnsi="Times New Roman" w:eastAsia="宋体" w:cs="Times New Roman"/>
          <w:b/>
          <w:bCs/>
          <w:color w:val="auto"/>
          <w:sz w:val="24"/>
          <w:highlight w:val="none"/>
          <w:lang w:val="en-US" w:eastAsia="zh-CN"/>
        </w:rPr>
        <w:t>乙方</w:t>
      </w:r>
      <w:r>
        <w:rPr>
          <w:rFonts w:hint="eastAsia" w:ascii="Times New Roman" w:hAnsi="Times New Roman" w:eastAsia="宋体" w:cs="Times New Roman"/>
          <w:b/>
          <w:bCs/>
          <w:color w:val="auto"/>
          <w:sz w:val="24"/>
          <w:highlight w:val="none"/>
        </w:rPr>
        <w:t>明确表示无需预付款或者主动要求降低预付款比例的，采购人可不适用前述规定。</w:t>
      </w:r>
    </w:p>
    <w:p w14:paraId="3A709681">
      <w:pPr>
        <w:keepNext w:val="0"/>
        <w:keepLines w:val="0"/>
        <w:pageBreakBefore w:val="0"/>
        <w:kinsoku/>
        <w:wordWrap/>
        <w:overflowPunct/>
        <w:topLinePunct w:val="0"/>
        <w:bidi w:val="0"/>
        <w:spacing w:line="360" w:lineRule="exact"/>
        <w:ind w:firstLine="482" w:firstLineChars="200"/>
        <w:textAlignment w:val="auto"/>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若成交供应商无需预付款的，按下述规定执行：</w:t>
      </w:r>
    </w:p>
    <w:p w14:paraId="3837582C">
      <w:pPr>
        <w:keepNext w:val="0"/>
        <w:keepLines w:val="0"/>
        <w:pageBreakBefore w:val="0"/>
        <w:kinsoku/>
        <w:wordWrap/>
        <w:overflowPunct/>
        <w:topLinePunct w:val="0"/>
        <w:bidi w:val="0"/>
        <w:spacing w:line="36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甲方</w:t>
      </w:r>
      <w:r>
        <w:rPr>
          <w:rFonts w:hint="eastAsia" w:ascii="Times New Roman" w:hAnsi="Times New Roman" w:eastAsia="宋体" w:cs="Times New Roman"/>
          <w:color w:val="auto"/>
          <w:sz w:val="24"/>
          <w:highlight w:val="none"/>
        </w:rPr>
        <w:t>向</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提供参与活动的人员名单，</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与采购人核准人数后落实活动开展。</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根据实际参与活动人数，按照杭州市企业退休人员专项经费规定，向采购人开具正规发票，</w:t>
      </w:r>
      <w:r>
        <w:rPr>
          <w:rFonts w:hint="eastAsia" w:ascii="Times New Roman" w:hAnsi="Times New Roman" w:eastAsia="宋体" w:cs="Times New Roman"/>
          <w:color w:val="auto"/>
          <w:sz w:val="24"/>
          <w:highlight w:val="none"/>
          <w:lang w:val="en-US" w:eastAsia="zh-CN"/>
        </w:rPr>
        <w:t>甲方</w:t>
      </w:r>
      <w:r>
        <w:rPr>
          <w:rFonts w:hint="eastAsia" w:ascii="Times New Roman" w:hAnsi="Times New Roman" w:eastAsia="宋体" w:cs="Times New Roman"/>
          <w:color w:val="auto"/>
          <w:sz w:val="24"/>
          <w:highlight w:val="none"/>
        </w:rPr>
        <w:t>审核无异议后于活动组织次月按实向</w:t>
      </w:r>
      <w:r>
        <w:rPr>
          <w:rFonts w:hint="eastAsia" w:ascii="Times New Roman" w:hAnsi="Times New Roman" w:eastAsia="宋体" w:cs="Times New Roman"/>
          <w:color w:val="auto"/>
          <w:sz w:val="24"/>
          <w:highlight w:val="none"/>
          <w:lang w:val="en-US" w:eastAsia="zh-CN"/>
        </w:rPr>
        <w:t>乙方</w:t>
      </w:r>
      <w:r>
        <w:rPr>
          <w:rFonts w:hint="eastAsia" w:ascii="Times New Roman" w:hAnsi="Times New Roman" w:eastAsia="宋体" w:cs="Times New Roman"/>
          <w:color w:val="auto"/>
          <w:sz w:val="24"/>
          <w:highlight w:val="none"/>
        </w:rPr>
        <w:t>支付活动费用。（对无故不参加活动的企业退休人员，原则上视作自动放弃，不提供任何形式补偿）。</w:t>
      </w:r>
    </w:p>
    <w:p w14:paraId="23F61279">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lang w:val="en-US" w:eastAsia="zh-CN"/>
        </w:rPr>
        <w:t>六</w:t>
      </w:r>
      <w:r>
        <w:rPr>
          <w:rFonts w:ascii="宋体" w:hAnsi="宋体" w:cs="仿宋"/>
          <w:b/>
          <w:color w:val="auto"/>
          <w:sz w:val="24"/>
          <w:highlight w:val="none"/>
        </w:rPr>
        <w:t>、其它约定</w:t>
      </w:r>
    </w:p>
    <w:p w14:paraId="322F6487">
      <w:pPr>
        <w:widowControl/>
        <w:spacing w:line="336" w:lineRule="auto"/>
        <w:ind w:firstLine="480" w:firstLineChars="200"/>
        <w:rPr>
          <w:rFonts w:hint="eastAsia" w:ascii="宋体" w:hAnsi="宋体"/>
          <w:color w:val="auto"/>
          <w:sz w:val="24"/>
          <w:highlight w:val="none"/>
        </w:rPr>
      </w:pPr>
      <w:r>
        <w:rPr>
          <w:rFonts w:ascii="宋体" w:hAnsi="宋体"/>
          <w:color w:val="auto"/>
          <w:sz w:val="24"/>
          <w:highlight w:val="none"/>
        </w:rPr>
        <w:t>不可抗力：如果双方中任何一方由于不可抗力的事故，致使合同履行受阻时，履行合同的期限应予延长，延长的期限应相当于事故所影响的时间。</w:t>
      </w:r>
    </w:p>
    <w:p w14:paraId="5F306E33">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lang w:val="en-US" w:eastAsia="zh-CN"/>
        </w:rPr>
        <w:t>七</w:t>
      </w:r>
      <w:r>
        <w:rPr>
          <w:rFonts w:hint="eastAsia" w:ascii="宋体" w:hAnsi="宋体" w:cs="仿宋"/>
          <w:b/>
          <w:color w:val="auto"/>
          <w:sz w:val="24"/>
          <w:highlight w:val="none"/>
        </w:rPr>
        <w:t>、</w:t>
      </w:r>
      <w:r>
        <w:rPr>
          <w:rFonts w:ascii="宋体" w:hAnsi="宋体" w:cs="仿宋"/>
          <w:b/>
          <w:color w:val="auto"/>
          <w:sz w:val="24"/>
          <w:highlight w:val="none"/>
        </w:rPr>
        <w:t>责任与义务</w:t>
      </w:r>
    </w:p>
    <w:p w14:paraId="60008E97">
      <w:pPr>
        <w:widowControl/>
        <w:numPr>
          <w:ilvl w:val="0"/>
          <w:numId w:val="1"/>
        </w:numPr>
        <w:adjustRightInd/>
        <w:spacing w:line="336" w:lineRule="auto"/>
        <w:rPr>
          <w:rFonts w:hint="eastAsia" w:ascii="宋体" w:hAnsi="宋体"/>
          <w:color w:val="auto"/>
          <w:sz w:val="24"/>
          <w:highlight w:val="none"/>
        </w:rPr>
      </w:pPr>
      <w:r>
        <w:rPr>
          <w:rFonts w:ascii="宋体" w:hAnsi="宋体"/>
          <w:color w:val="auto"/>
          <w:sz w:val="24"/>
          <w:highlight w:val="none"/>
        </w:rPr>
        <w:t>甲方</w:t>
      </w:r>
    </w:p>
    <w:p w14:paraId="106B1E8F">
      <w:pPr>
        <w:widowControl/>
        <w:spacing w:line="336"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活动人员名单由甲方提供。</w:t>
      </w:r>
    </w:p>
    <w:p w14:paraId="78801668">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协议期间，甲方在事先未征得乙方同意的情况下，不得另行委托其他公司进行活动策划合作事宜。</w:t>
      </w:r>
    </w:p>
    <w:p w14:paraId="64E89867">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签订协议后，甲方不得将协议内容泄露给第三方，甲方组织开展的</w:t>
      </w:r>
      <w:r>
        <w:rPr>
          <w:rFonts w:hint="eastAsia" w:ascii="宋体" w:hAnsi="宋体"/>
          <w:color w:val="auto"/>
          <w:sz w:val="24"/>
          <w:highlight w:val="none"/>
        </w:rPr>
        <w:t>本协议所涉</w:t>
      </w:r>
      <w:r>
        <w:rPr>
          <w:rFonts w:ascii="宋体" w:hAnsi="宋体"/>
          <w:color w:val="auto"/>
          <w:sz w:val="24"/>
          <w:highlight w:val="none"/>
        </w:rPr>
        <w:t>小型多样活动须由乙方全权负责。</w:t>
      </w:r>
    </w:p>
    <w:p w14:paraId="4A2B94BD">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甲方应积极配合乙方工作人员对</w:t>
      </w:r>
      <w:r>
        <w:rPr>
          <w:rFonts w:hint="eastAsia" w:ascii="宋体" w:hAnsi="宋体"/>
          <w:color w:val="auto"/>
          <w:sz w:val="24"/>
          <w:highlight w:val="none"/>
        </w:rPr>
        <w:t>企退人员</w:t>
      </w:r>
      <w:r>
        <w:rPr>
          <w:rFonts w:ascii="宋体" w:hAnsi="宋体"/>
          <w:color w:val="auto"/>
          <w:sz w:val="24"/>
          <w:highlight w:val="none"/>
        </w:rPr>
        <w:t>进行小型活动的宣传以及推广。</w:t>
      </w:r>
    </w:p>
    <w:p w14:paraId="04F5F107">
      <w:pPr>
        <w:widowControl/>
        <w:numPr>
          <w:ilvl w:val="0"/>
          <w:numId w:val="2"/>
        </w:numPr>
        <w:adjustRightInd/>
        <w:spacing w:line="336" w:lineRule="auto"/>
        <w:rPr>
          <w:rFonts w:hint="eastAsia" w:ascii="宋体" w:hAnsi="宋体"/>
          <w:color w:val="auto"/>
          <w:sz w:val="24"/>
          <w:highlight w:val="none"/>
        </w:rPr>
      </w:pPr>
      <w:r>
        <w:rPr>
          <w:rFonts w:ascii="宋体" w:hAnsi="宋体"/>
          <w:color w:val="auto"/>
          <w:sz w:val="24"/>
          <w:highlight w:val="none"/>
        </w:rPr>
        <w:t>乙方</w:t>
      </w:r>
    </w:p>
    <w:p w14:paraId="6A2C4F44">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乙方在组织开展企退人员各项活动中，不得违反杭州市企业退休人员社会化管理服务有关文件规定。</w:t>
      </w:r>
    </w:p>
    <w:p w14:paraId="40E9C69C">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乙方应以“小型、多样、就近、安全”为原则，提供多样活动</w:t>
      </w:r>
      <w:r>
        <w:rPr>
          <w:rFonts w:hint="eastAsia" w:ascii="宋体" w:hAnsi="宋体"/>
          <w:color w:val="auto"/>
          <w:sz w:val="24"/>
          <w:highlight w:val="none"/>
        </w:rPr>
        <w:t>方案</w:t>
      </w:r>
      <w:r>
        <w:rPr>
          <w:rFonts w:ascii="宋体" w:hAnsi="宋体"/>
          <w:color w:val="auto"/>
          <w:sz w:val="24"/>
          <w:highlight w:val="none"/>
        </w:rPr>
        <w:t>供甲方自愿选择，并在组织活动当天为参加活动的人员购买老年短期意外险</w:t>
      </w:r>
      <w:r>
        <w:rPr>
          <w:rFonts w:hint="eastAsia" w:ascii="宋体" w:hAnsi="宋体"/>
          <w:color w:val="auto"/>
          <w:sz w:val="24"/>
          <w:highlight w:val="none"/>
        </w:rPr>
        <w:t>，保险费用由乙方承担</w:t>
      </w:r>
      <w:r>
        <w:rPr>
          <w:rFonts w:ascii="宋体" w:hAnsi="宋体"/>
          <w:color w:val="auto"/>
          <w:sz w:val="24"/>
          <w:highlight w:val="none"/>
        </w:rPr>
        <w:t>。</w:t>
      </w:r>
    </w:p>
    <w:p w14:paraId="63751F85">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乙方在活动过程中应确保参加活动人员的安全、便利，且提供热情、细致、认真、周到的服务以及良好的软件硬件服务。</w:t>
      </w:r>
      <w:r>
        <w:rPr>
          <w:rFonts w:hint="eastAsia" w:ascii="宋体" w:hAnsi="宋体"/>
          <w:color w:val="auto"/>
          <w:sz w:val="24"/>
          <w:highlight w:val="none"/>
        </w:rPr>
        <w:t>若因乙方原因，造成参与活动人员人身伤害及财产损失的，乙方应当承担赔偿责任。</w:t>
      </w:r>
    </w:p>
    <w:p w14:paraId="1F470AC8">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乙方在组织活动结束后，应采取问卷调查、电话回访等形式，听取参加活动的企退人员的意见及建议。</w:t>
      </w:r>
    </w:p>
    <w:p w14:paraId="03756FDB">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lang w:val="en-US" w:eastAsia="zh-CN"/>
        </w:rPr>
        <w:t>八</w:t>
      </w:r>
      <w:r>
        <w:rPr>
          <w:rFonts w:ascii="宋体" w:hAnsi="宋体" w:cs="仿宋"/>
          <w:b/>
          <w:color w:val="auto"/>
          <w:sz w:val="24"/>
          <w:highlight w:val="none"/>
        </w:rPr>
        <w:t>、</w:t>
      </w:r>
      <w:r>
        <w:rPr>
          <w:rFonts w:hint="eastAsia" w:ascii="宋体" w:hAnsi="宋体" w:cs="仿宋"/>
          <w:b/>
          <w:color w:val="auto"/>
          <w:sz w:val="24"/>
          <w:highlight w:val="none"/>
        </w:rPr>
        <w:t>终止合同及</w:t>
      </w:r>
      <w:r>
        <w:rPr>
          <w:rFonts w:ascii="宋体" w:hAnsi="宋体" w:cs="仿宋"/>
          <w:b/>
          <w:color w:val="auto"/>
          <w:sz w:val="24"/>
          <w:highlight w:val="none"/>
        </w:rPr>
        <w:t>违约责任</w:t>
      </w:r>
    </w:p>
    <w:p w14:paraId="4B50C5D4">
      <w:pPr>
        <w:widowControl/>
        <w:spacing w:line="336" w:lineRule="auto"/>
        <w:ind w:firstLine="480" w:firstLineChars="200"/>
        <w:rPr>
          <w:rFonts w:hint="eastAsia" w:ascii="宋体" w:hAnsi="宋体"/>
          <w:color w:val="auto"/>
          <w:sz w:val="24"/>
          <w:highlight w:val="none"/>
        </w:rPr>
      </w:pPr>
      <w:r>
        <w:rPr>
          <w:rFonts w:ascii="宋体" w:hAnsi="宋体"/>
          <w:color w:val="auto"/>
          <w:sz w:val="24"/>
          <w:highlight w:val="none"/>
        </w:rPr>
        <w:t>1.甲乙双方合作期间，如遇自然力、政府等不可抗之因素，以及任何一方破产或产权发生变化的，本协议自动终止。</w:t>
      </w:r>
    </w:p>
    <w:p w14:paraId="74C2225D">
      <w:pPr>
        <w:widowControl/>
        <w:spacing w:line="336"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经甲方自行进行满意度调查，首次满意度调查低于85%，甲方及时通知乙方单位整改，乙方第二次或多次低于85%，甲方有权单方面终止合同。</w:t>
      </w:r>
    </w:p>
    <w:p w14:paraId="56AD4D82">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3. 如乙方单位拒绝接受任务的，</w:t>
      </w:r>
      <w:r>
        <w:rPr>
          <w:rFonts w:hint="eastAsia"/>
          <w:color w:val="auto"/>
          <w:sz w:val="24"/>
          <w:highlight w:val="none"/>
        </w:rPr>
        <w:t>甲方可单方面终止合同。</w:t>
      </w:r>
    </w:p>
    <w:p w14:paraId="51835AA7">
      <w:pPr>
        <w:widowControl/>
        <w:spacing w:line="336" w:lineRule="auto"/>
        <w:ind w:firstLine="480" w:firstLineChars="200"/>
        <w:rPr>
          <w:color w:val="auto"/>
          <w:sz w:val="24"/>
          <w:highlight w:val="none"/>
        </w:rPr>
      </w:pPr>
      <w:r>
        <w:rPr>
          <w:rFonts w:hint="eastAsia" w:ascii="宋体" w:hAnsi="宋体"/>
          <w:color w:val="auto"/>
          <w:sz w:val="24"/>
          <w:highlight w:val="none"/>
        </w:rPr>
        <w:t>4.若乙方未按约开展文娱健身活动，甲方有权解除本协议，并要求乙方按服务费的30%支付违约金。</w:t>
      </w:r>
    </w:p>
    <w:p w14:paraId="37399E1F">
      <w:pPr>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lang w:val="en-US" w:eastAsia="zh-CN"/>
        </w:rPr>
        <w:t>九</w:t>
      </w:r>
      <w:r>
        <w:rPr>
          <w:rFonts w:ascii="宋体" w:hAnsi="宋体" w:cs="仿宋"/>
          <w:b/>
          <w:color w:val="auto"/>
          <w:sz w:val="24"/>
          <w:highlight w:val="none"/>
        </w:rPr>
        <w:t>、争议的解决</w:t>
      </w:r>
    </w:p>
    <w:p w14:paraId="3873E2DB">
      <w:pPr>
        <w:widowControl/>
        <w:spacing w:line="336" w:lineRule="auto"/>
        <w:ind w:firstLine="480" w:firstLineChars="200"/>
        <w:rPr>
          <w:rFonts w:hint="eastAsia" w:ascii="宋体" w:hAnsi="宋体"/>
          <w:color w:val="auto"/>
          <w:sz w:val="24"/>
          <w:highlight w:val="none"/>
        </w:rPr>
      </w:pPr>
      <w:r>
        <w:rPr>
          <w:rFonts w:ascii="宋体" w:hAnsi="宋体"/>
          <w:color w:val="auto"/>
          <w:sz w:val="24"/>
          <w:highlight w:val="none"/>
        </w:rPr>
        <w:t>1.本协议由甲乙双方共同协商拟定，未尽事宜需补充和修改，须经双方共同协商并签署相关补充协议，补充协议与本协议具有同等法律效力。</w:t>
      </w:r>
    </w:p>
    <w:p w14:paraId="50D2ABFF">
      <w:pPr>
        <w:widowControl/>
        <w:spacing w:line="336" w:lineRule="auto"/>
        <w:ind w:firstLine="480" w:firstLineChars="200"/>
        <w:rPr>
          <w:rFonts w:hint="eastAsia" w:ascii="宋体" w:hAnsi="宋体"/>
          <w:color w:val="auto"/>
          <w:sz w:val="24"/>
          <w:highlight w:val="none"/>
        </w:rPr>
      </w:pPr>
      <w:r>
        <w:rPr>
          <w:rFonts w:ascii="宋体" w:hAnsi="宋体"/>
          <w:color w:val="auto"/>
          <w:sz w:val="24"/>
          <w:highlight w:val="none"/>
        </w:rPr>
        <w:t>2.如果甲乙双方在执行此协议时发生争议，甲乙双方应本着友好协商的原则共同协商解决。如协商不成，可向</w:t>
      </w:r>
      <w:r>
        <w:rPr>
          <w:rFonts w:hint="eastAsia" w:ascii="宋体" w:hAnsi="宋体"/>
          <w:color w:val="auto"/>
          <w:sz w:val="24"/>
          <w:highlight w:val="none"/>
        </w:rPr>
        <w:t>甲方所在地</w:t>
      </w:r>
      <w:r>
        <w:rPr>
          <w:rFonts w:ascii="宋体" w:hAnsi="宋体"/>
          <w:color w:val="auto"/>
          <w:sz w:val="24"/>
          <w:highlight w:val="none"/>
        </w:rPr>
        <w:t>的法院提起诉讼解决。</w:t>
      </w:r>
    </w:p>
    <w:p w14:paraId="3D1D379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九</w:t>
      </w:r>
      <w:r>
        <w:rPr>
          <w:rFonts w:ascii="宋体" w:hAnsi="宋体"/>
          <w:color w:val="auto"/>
          <w:sz w:val="24"/>
          <w:highlight w:val="none"/>
        </w:rPr>
        <w:t>、合同的生效</w:t>
      </w:r>
    </w:p>
    <w:p w14:paraId="24E99F07">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本合同经甲方、乙方法定代表人或其委托人签字并加盖双方公章后生效。</w:t>
      </w:r>
    </w:p>
    <w:p w14:paraId="318691DB">
      <w:pPr>
        <w:widowControl/>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本合同一式</w:t>
      </w:r>
      <w:r>
        <w:rPr>
          <w:rFonts w:hint="eastAsia" w:ascii="宋体" w:hAnsi="宋体"/>
          <w:color w:val="auto"/>
          <w:sz w:val="24"/>
          <w:highlight w:val="none"/>
        </w:rPr>
        <w:t>四</w:t>
      </w:r>
      <w:r>
        <w:rPr>
          <w:rFonts w:ascii="宋体" w:hAnsi="宋体"/>
          <w:color w:val="auto"/>
          <w:sz w:val="24"/>
          <w:highlight w:val="none"/>
        </w:rPr>
        <w:t>份，甲方执</w:t>
      </w:r>
      <w:r>
        <w:rPr>
          <w:rFonts w:hint="eastAsia" w:ascii="宋体" w:hAnsi="宋体"/>
          <w:color w:val="auto"/>
          <w:sz w:val="24"/>
          <w:highlight w:val="none"/>
        </w:rPr>
        <w:t>二</w:t>
      </w:r>
      <w:r>
        <w:rPr>
          <w:rFonts w:ascii="宋体" w:hAnsi="宋体"/>
          <w:color w:val="auto"/>
          <w:sz w:val="24"/>
          <w:highlight w:val="none"/>
        </w:rPr>
        <w:t>份，乙方执</w:t>
      </w:r>
      <w:r>
        <w:rPr>
          <w:rFonts w:hint="eastAsia" w:ascii="宋体" w:hAnsi="宋体"/>
          <w:color w:val="auto"/>
          <w:sz w:val="24"/>
          <w:highlight w:val="none"/>
        </w:rPr>
        <w:t>二</w:t>
      </w:r>
      <w:r>
        <w:rPr>
          <w:rFonts w:ascii="宋体" w:hAnsi="宋体"/>
          <w:color w:val="auto"/>
          <w:sz w:val="24"/>
          <w:highlight w:val="none"/>
        </w:rPr>
        <w:t>份。</w:t>
      </w:r>
    </w:p>
    <w:p w14:paraId="12964EE3">
      <w:pPr>
        <w:widowControl/>
        <w:spacing w:line="336"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相关采购文件、响应文件与本合同具有同等法律效力。</w:t>
      </w:r>
    </w:p>
    <w:p w14:paraId="2B5D0327">
      <w:pPr>
        <w:spacing w:line="360" w:lineRule="auto"/>
        <w:ind w:firstLine="480"/>
        <w:rPr>
          <w:rFonts w:hint="eastAsia" w:ascii="宋体" w:hAnsi="宋体" w:cs="宋体"/>
          <w:color w:val="auto"/>
          <w:sz w:val="24"/>
          <w:highlight w:val="none"/>
        </w:rPr>
      </w:pPr>
    </w:p>
    <w:p w14:paraId="2A4EBAD9">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甲方（需方）：</w:t>
      </w:r>
      <w:r>
        <w:rPr>
          <w:rFonts w:hint="eastAsia" w:ascii="宋体" w:hAnsi="宋体"/>
          <w:color w:val="auto"/>
          <w:sz w:val="24"/>
          <w:highlight w:val="none"/>
        </w:rPr>
        <w:t>杭州市上城区人民政府闸弄口街道办事处</w:t>
      </w:r>
      <w:r>
        <w:rPr>
          <w:rFonts w:hint="eastAsia" w:ascii="宋体" w:hAnsi="宋体" w:cs="宋体"/>
          <w:color w:val="auto"/>
          <w:spacing w:val="-6"/>
          <w:sz w:val="24"/>
          <w:highlight w:val="none"/>
        </w:rPr>
        <w:t>（公章）</w:t>
      </w:r>
    </w:p>
    <w:p w14:paraId="2962DBD8">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甲方代表：（签名）</w:t>
      </w:r>
    </w:p>
    <w:p w14:paraId="5098AC1C">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地址：</w:t>
      </w:r>
    </w:p>
    <w:p w14:paraId="0C0F8252">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电话：</w:t>
      </w:r>
    </w:p>
    <w:p w14:paraId="4A073697">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开户银行：</w:t>
      </w:r>
    </w:p>
    <w:p w14:paraId="11C61E8B">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帐号：</w:t>
      </w:r>
    </w:p>
    <w:p w14:paraId="788E6C3F">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签名日期：      年    月    日</w:t>
      </w:r>
    </w:p>
    <w:p w14:paraId="0ADB9E1B">
      <w:pPr>
        <w:rPr>
          <w:rFonts w:hint="eastAsia" w:ascii="宋体" w:hAnsi="宋体" w:cs="宋体"/>
          <w:color w:val="auto"/>
          <w:spacing w:val="-6"/>
          <w:sz w:val="24"/>
          <w:highlight w:val="none"/>
        </w:rPr>
      </w:pPr>
    </w:p>
    <w:p w14:paraId="264D36F8">
      <w:pPr>
        <w:pStyle w:val="23"/>
        <w:rPr>
          <w:color w:val="auto"/>
          <w:highlight w:val="none"/>
        </w:rPr>
      </w:pPr>
    </w:p>
    <w:p w14:paraId="7B4294AB">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乙方（供方）：（公章）</w:t>
      </w:r>
    </w:p>
    <w:p w14:paraId="444E5663">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乙方代表：（签名）</w:t>
      </w:r>
    </w:p>
    <w:p w14:paraId="0C54EDF5">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地址：</w:t>
      </w:r>
    </w:p>
    <w:p w14:paraId="31398940">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电话：</w:t>
      </w:r>
    </w:p>
    <w:p w14:paraId="07532D67">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开户银行：</w:t>
      </w:r>
    </w:p>
    <w:p w14:paraId="1D017108">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帐号：</w:t>
      </w:r>
    </w:p>
    <w:p w14:paraId="5B5A049D">
      <w:pPr>
        <w:snapToGrid w:val="0"/>
        <w:spacing w:line="360" w:lineRule="auto"/>
        <w:rPr>
          <w:color w:val="auto"/>
          <w:highlight w:val="none"/>
        </w:rPr>
      </w:pPr>
      <w:r>
        <w:rPr>
          <w:rFonts w:hint="eastAsia" w:ascii="宋体" w:hAnsi="宋体" w:cs="宋体"/>
          <w:color w:val="auto"/>
          <w:spacing w:val="-6"/>
          <w:sz w:val="24"/>
          <w:highlight w:val="none"/>
        </w:rPr>
        <w:t>签名日期：      年    月    日</w:t>
      </w:r>
    </w:p>
    <w:p w14:paraId="6CED6F93">
      <w:pPr>
        <w:spacing w:line="360" w:lineRule="auto"/>
        <w:ind w:right="-420" w:right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126E5FF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5458760F">
      <w:pPr>
        <w:spacing w:line="360" w:lineRule="auto"/>
        <w:jc w:val="center"/>
        <w:outlineLvl w:val="9"/>
        <w:rPr>
          <w:rFonts w:ascii="宋体" w:hAnsi="宋体" w:cs="宋体"/>
          <w:b/>
          <w:color w:val="auto"/>
          <w:kern w:val="0"/>
          <w:sz w:val="36"/>
          <w:szCs w:val="36"/>
          <w:highlight w:val="none"/>
        </w:rPr>
      </w:pPr>
    </w:p>
    <w:p w14:paraId="72EBEEFA">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9"/>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9"/>
        <w:rPr>
          <w:rFonts w:ascii="宋体" w:hAnsi="宋体" w:cs="宋体"/>
          <w:b/>
          <w:color w:val="auto"/>
          <w:kern w:val="0"/>
          <w:sz w:val="24"/>
          <w:highlight w:val="none"/>
        </w:rPr>
      </w:pPr>
    </w:p>
    <w:p w14:paraId="64FC89D4">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8" w:name="_Hlk101257010"/>
      <w:r>
        <w:rPr>
          <w:rFonts w:hint="eastAsia" w:ascii="宋体" w:hAnsi="宋体" w:cs="宋体"/>
          <w:color w:val="auto"/>
          <w:sz w:val="24"/>
          <w:highlight w:val="none"/>
        </w:rPr>
        <w:t>（如果有)</w:t>
      </w:r>
      <w:bookmarkEnd w:id="408"/>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442F502F">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1950001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color w:val="auto"/>
                <w:highlight w:val="none"/>
              </w:rPr>
              <w:t>（一）活动总体策划方案</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color w:val="auto"/>
                <w:highlight w:val="none"/>
              </w:rPr>
              <w:t>（二）活动过程中的管理和协调方法</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3</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r>
              <w:rPr>
                <w:rFonts w:hint="eastAsia"/>
                <w:color w:val="auto"/>
                <w:highlight w:val="none"/>
              </w:rPr>
              <w:t>（三）安全保障措施</w:t>
            </w: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4F0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DDC5BD">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5465" w:type="dxa"/>
          </w:tcPr>
          <w:p w14:paraId="077E0C48">
            <w:pPr>
              <w:snapToGrid w:val="0"/>
              <w:spacing w:line="360" w:lineRule="auto"/>
              <w:jc w:val="center"/>
              <w:rPr>
                <w:rFonts w:hint="eastAsia" w:ascii="宋体" w:hAnsi="宋体" w:cs="宋体"/>
                <w:b w:val="0"/>
                <w:bCs/>
                <w:color w:val="auto"/>
                <w:sz w:val="24"/>
                <w:highlight w:val="none"/>
                <w:vertAlign w:val="baseline"/>
              </w:rPr>
            </w:pPr>
            <w:r>
              <w:rPr>
                <w:rFonts w:hint="eastAsia"/>
                <w:color w:val="auto"/>
                <w:highlight w:val="none"/>
              </w:rPr>
              <w:t>（四）保密措施</w:t>
            </w:r>
          </w:p>
        </w:tc>
        <w:tc>
          <w:tcPr>
            <w:tcW w:w="3046" w:type="dxa"/>
            <w:vAlign w:val="top"/>
          </w:tcPr>
          <w:p w14:paraId="378F380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AA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E2E980">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5465" w:type="dxa"/>
          </w:tcPr>
          <w:p w14:paraId="5204EF7A">
            <w:pPr>
              <w:snapToGrid w:val="0"/>
              <w:spacing w:line="360" w:lineRule="auto"/>
              <w:jc w:val="center"/>
              <w:rPr>
                <w:rFonts w:hint="eastAsia" w:ascii="宋体" w:hAnsi="宋体" w:cs="宋体"/>
                <w:b w:val="0"/>
                <w:bCs/>
                <w:color w:val="auto"/>
                <w:sz w:val="24"/>
                <w:highlight w:val="none"/>
                <w:vertAlign w:val="baseline"/>
              </w:rPr>
            </w:pPr>
            <w:r>
              <w:rPr>
                <w:rFonts w:hint="eastAsia"/>
                <w:color w:val="auto"/>
                <w:highlight w:val="none"/>
              </w:rPr>
              <w:t>（五）团队人员配置情况</w:t>
            </w:r>
          </w:p>
        </w:tc>
        <w:tc>
          <w:tcPr>
            <w:tcW w:w="3046" w:type="dxa"/>
            <w:vAlign w:val="top"/>
          </w:tcPr>
          <w:p w14:paraId="2636BFD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A9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52BC40">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5465" w:type="dxa"/>
          </w:tcPr>
          <w:p w14:paraId="1BC1E00E">
            <w:pPr>
              <w:snapToGrid w:val="0"/>
              <w:spacing w:line="360" w:lineRule="auto"/>
              <w:jc w:val="center"/>
              <w:rPr>
                <w:rFonts w:hint="eastAsia" w:ascii="宋体" w:hAnsi="宋体" w:cs="宋体"/>
                <w:b w:val="0"/>
                <w:bCs/>
                <w:color w:val="auto"/>
                <w:sz w:val="24"/>
                <w:highlight w:val="none"/>
                <w:vertAlign w:val="baseline"/>
              </w:rPr>
            </w:pPr>
            <w:r>
              <w:rPr>
                <w:rFonts w:hint="eastAsia"/>
                <w:color w:val="auto"/>
                <w:highlight w:val="none"/>
              </w:rPr>
              <w:t>（六）投诉处理方案</w:t>
            </w:r>
          </w:p>
        </w:tc>
        <w:tc>
          <w:tcPr>
            <w:tcW w:w="3046" w:type="dxa"/>
            <w:vAlign w:val="top"/>
          </w:tcPr>
          <w:p w14:paraId="537E691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850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283F12">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465" w:type="dxa"/>
          </w:tcPr>
          <w:p w14:paraId="44B7276B">
            <w:pPr>
              <w:snapToGrid w:val="0"/>
              <w:spacing w:line="360" w:lineRule="auto"/>
              <w:jc w:val="center"/>
              <w:rPr>
                <w:rFonts w:hint="eastAsia" w:ascii="宋体" w:hAnsi="宋体" w:cs="宋体"/>
                <w:b w:val="0"/>
                <w:bCs/>
                <w:color w:val="auto"/>
                <w:sz w:val="24"/>
                <w:highlight w:val="none"/>
                <w:vertAlign w:val="baseline"/>
              </w:rPr>
            </w:pPr>
            <w:r>
              <w:rPr>
                <w:rFonts w:hint="eastAsia"/>
                <w:color w:val="auto"/>
                <w:highlight w:val="none"/>
              </w:rPr>
              <w:t>（七）管理规章制度情况</w:t>
            </w:r>
          </w:p>
        </w:tc>
        <w:tc>
          <w:tcPr>
            <w:tcW w:w="3046" w:type="dxa"/>
            <w:vAlign w:val="top"/>
          </w:tcPr>
          <w:p w14:paraId="71540AB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8D5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C4FC7C">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465" w:type="dxa"/>
          </w:tcPr>
          <w:p w14:paraId="2CF9799B">
            <w:pPr>
              <w:snapToGrid w:val="0"/>
              <w:spacing w:line="360" w:lineRule="auto"/>
              <w:jc w:val="center"/>
              <w:rPr>
                <w:rFonts w:hint="eastAsia" w:ascii="宋体" w:hAnsi="宋体" w:cs="宋体"/>
                <w:b w:val="0"/>
                <w:bCs/>
                <w:color w:val="auto"/>
                <w:sz w:val="24"/>
                <w:highlight w:val="none"/>
                <w:vertAlign w:val="baseline"/>
              </w:rPr>
            </w:pPr>
            <w:r>
              <w:rPr>
                <w:rFonts w:hint="eastAsia"/>
                <w:color w:val="auto"/>
                <w:highlight w:val="none"/>
              </w:rPr>
              <w:t>（八）文娱活动方案</w:t>
            </w:r>
          </w:p>
        </w:tc>
        <w:tc>
          <w:tcPr>
            <w:tcW w:w="3046" w:type="dxa"/>
            <w:vAlign w:val="top"/>
          </w:tcPr>
          <w:p w14:paraId="544A80D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2D0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D3A92F">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465" w:type="dxa"/>
          </w:tcPr>
          <w:p w14:paraId="7A0EF8A7">
            <w:pPr>
              <w:snapToGrid w:val="0"/>
              <w:spacing w:line="360" w:lineRule="auto"/>
              <w:jc w:val="center"/>
              <w:rPr>
                <w:rFonts w:hint="eastAsia" w:ascii="宋体" w:hAnsi="宋体" w:cs="宋体"/>
                <w:b w:val="0"/>
                <w:bCs/>
                <w:color w:val="auto"/>
                <w:sz w:val="24"/>
                <w:highlight w:val="none"/>
                <w:vertAlign w:val="baseline"/>
              </w:rPr>
            </w:pPr>
            <w:r>
              <w:rPr>
                <w:rFonts w:hint="eastAsia"/>
                <w:color w:val="auto"/>
                <w:highlight w:val="none"/>
              </w:rPr>
              <w:t>（九）外出旅游活动方案</w:t>
            </w:r>
          </w:p>
        </w:tc>
        <w:tc>
          <w:tcPr>
            <w:tcW w:w="3046" w:type="dxa"/>
            <w:vAlign w:val="top"/>
          </w:tcPr>
          <w:p w14:paraId="4904C0A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696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DD4CE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465" w:type="dxa"/>
          </w:tcPr>
          <w:p w14:paraId="6C187CF2">
            <w:pPr>
              <w:snapToGrid w:val="0"/>
              <w:spacing w:line="360" w:lineRule="auto"/>
              <w:jc w:val="center"/>
              <w:rPr>
                <w:rFonts w:hint="eastAsia"/>
                <w:color w:val="auto"/>
                <w:highlight w:val="none"/>
              </w:rPr>
            </w:pPr>
            <w:r>
              <w:rPr>
                <w:rFonts w:hint="eastAsia"/>
                <w:color w:val="auto"/>
                <w:highlight w:val="none"/>
              </w:rPr>
              <w:t>（十）保险情况</w:t>
            </w:r>
          </w:p>
        </w:tc>
        <w:tc>
          <w:tcPr>
            <w:tcW w:w="3046" w:type="dxa"/>
            <w:vAlign w:val="top"/>
          </w:tcPr>
          <w:p w14:paraId="0C13498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999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BE839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465" w:type="dxa"/>
          </w:tcPr>
          <w:p w14:paraId="5F92943F">
            <w:pPr>
              <w:snapToGrid w:val="0"/>
              <w:spacing w:line="360" w:lineRule="auto"/>
              <w:jc w:val="center"/>
              <w:rPr>
                <w:rFonts w:hint="eastAsia"/>
                <w:color w:val="auto"/>
                <w:highlight w:val="none"/>
              </w:rPr>
            </w:pPr>
            <w:r>
              <w:rPr>
                <w:rFonts w:hint="eastAsia"/>
                <w:color w:val="auto"/>
                <w:highlight w:val="none"/>
              </w:rPr>
              <w:t>（十一）重难点分析及合理化建议</w:t>
            </w:r>
          </w:p>
        </w:tc>
        <w:tc>
          <w:tcPr>
            <w:tcW w:w="3046" w:type="dxa"/>
            <w:vAlign w:val="top"/>
          </w:tcPr>
          <w:p w14:paraId="5BDE98B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C71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983F88">
            <w:pPr>
              <w:snapToGrid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w:t>
            </w:r>
          </w:p>
        </w:tc>
        <w:tc>
          <w:tcPr>
            <w:tcW w:w="5465" w:type="dxa"/>
          </w:tcPr>
          <w:p w14:paraId="18D53AC7">
            <w:pPr>
              <w:snapToGrid w:val="0"/>
              <w:spacing w:line="360" w:lineRule="auto"/>
              <w:jc w:val="center"/>
              <w:rPr>
                <w:rFonts w:hint="eastAsia"/>
                <w:color w:val="auto"/>
                <w:highlight w:val="none"/>
              </w:rPr>
            </w:pPr>
          </w:p>
        </w:tc>
        <w:tc>
          <w:tcPr>
            <w:tcW w:w="3046" w:type="dxa"/>
            <w:vAlign w:val="top"/>
          </w:tcPr>
          <w:p w14:paraId="205DF6F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EC82ACB">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9"/>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8"/>
        <w:gridCol w:w="3136"/>
        <w:gridCol w:w="2875"/>
        <w:gridCol w:w="3189"/>
      </w:tblGrid>
      <w:tr w14:paraId="6701F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33" w:type="pct"/>
            <w:tcBorders>
              <w:tl2br w:val="nil"/>
              <w:tr2bl w:val="nil"/>
            </w:tcBorders>
            <w:noWrap w:val="0"/>
            <w:vAlign w:val="center"/>
          </w:tcPr>
          <w:p w14:paraId="22B97D3F">
            <w:pPr>
              <w:spacing w:line="360" w:lineRule="auto"/>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项目名称</w:t>
            </w:r>
          </w:p>
        </w:tc>
        <w:tc>
          <w:tcPr>
            <w:tcW w:w="1079" w:type="pct"/>
            <w:tcBorders>
              <w:tl2br w:val="nil"/>
              <w:tr2bl w:val="nil"/>
            </w:tcBorders>
            <w:noWrap w:val="0"/>
            <w:vAlign w:val="center"/>
          </w:tcPr>
          <w:p w14:paraId="69901C3F">
            <w:pPr>
              <w:spacing w:line="360" w:lineRule="auto"/>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投标单价（元</w:t>
            </w:r>
            <w:r>
              <w:rPr>
                <w:rFonts w:hint="eastAsia" w:ascii="仿宋" w:hAnsi="仿宋" w:eastAsia="仿宋" w:cs="仿宋"/>
                <w:b/>
                <w:color w:val="auto"/>
                <w:kern w:val="0"/>
                <w:sz w:val="24"/>
                <w:highlight w:val="none"/>
                <w:lang w:val="en-US" w:eastAsia="zh-CN"/>
              </w:rPr>
              <w:t>/人</w:t>
            </w:r>
            <w:r>
              <w:rPr>
                <w:rFonts w:hint="eastAsia" w:ascii="仿宋" w:hAnsi="仿宋" w:eastAsia="仿宋" w:cs="仿宋"/>
                <w:b/>
                <w:color w:val="auto"/>
                <w:kern w:val="0"/>
                <w:sz w:val="24"/>
                <w:highlight w:val="none"/>
                <w:lang w:val="zh-CN" w:eastAsia="zh-CN"/>
              </w:rPr>
              <w:t>）</w:t>
            </w:r>
          </w:p>
        </w:tc>
        <w:tc>
          <w:tcPr>
            <w:tcW w:w="989" w:type="pct"/>
            <w:tcBorders>
              <w:tl2br w:val="nil"/>
              <w:tr2bl w:val="nil"/>
            </w:tcBorders>
            <w:noWrap w:val="0"/>
            <w:vAlign w:val="center"/>
          </w:tcPr>
          <w:p w14:paraId="4112EC6C">
            <w:pPr>
              <w:spacing w:line="360" w:lineRule="auto"/>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数量（人）</w:t>
            </w:r>
          </w:p>
        </w:tc>
        <w:tc>
          <w:tcPr>
            <w:tcW w:w="1097" w:type="pct"/>
            <w:tcBorders>
              <w:tl2br w:val="nil"/>
              <w:tr2bl w:val="nil"/>
            </w:tcBorders>
            <w:noWrap w:val="0"/>
            <w:vAlign w:val="center"/>
          </w:tcPr>
          <w:p w14:paraId="1BFBE536">
            <w:pPr>
              <w:spacing w:line="360" w:lineRule="auto"/>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投标总价（元）</w:t>
            </w:r>
          </w:p>
        </w:tc>
      </w:tr>
      <w:tr w14:paraId="6E7B70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833" w:type="pct"/>
            <w:tcBorders>
              <w:tl2br w:val="nil"/>
              <w:tr2bl w:val="nil"/>
            </w:tcBorders>
            <w:noWrap w:val="0"/>
            <w:vAlign w:val="center"/>
          </w:tcPr>
          <w:p w14:paraId="48B69290">
            <w:pPr>
              <w:pStyle w:val="23"/>
              <w:jc w:val="center"/>
              <w:rPr>
                <w:rFonts w:hint="eastAsia" w:eastAsia="宋体"/>
                <w:color w:val="auto"/>
                <w:highlight w:val="none"/>
                <w:vertAlign w:val="baseline"/>
                <w:lang w:eastAsia="zh-CN"/>
              </w:rPr>
            </w:pPr>
            <w:r>
              <w:rPr>
                <w:rFonts w:hint="eastAsia" w:ascii="宋体" w:hAnsi="宋体" w:cs="宋体"/>
                <w:color w:val="auto"/>
                <w:sz w:val="24"/>
                <w:highlight w:val="none"/>
                <w:lang w:eastAsia="zh-CN"/>
              </w:rPr>
              <w:t>2025年闸弄口街道企业退休人员自管小组文体活动项目</w:t>
            </w:r>
          </w:p>
        </w:tc>
        <w:tc>
          <w:tcPr>
            <w:tcW w:w="1079" w:type="pct"/>
            <w:tcBorders>
              <w:tl2br w:val="nil"/>
              <w:tr2bl w:val="nil"/>
            </w:tcBorders>
            <w:noWrap w:val="0"/>
            <w:vAlign w:val="center"/>
          </w:tcPr>
          <w:p w14:paraId="3272F61F">
            <w:pPr>
              <w:pStyle w:val="23"/>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cs="Times New Roman"/>
                <w:b/>
                <w:bCs/>
                <w:color w:val="auto"/>
                <w:highlight w:val="none"/>
                <w:vertAlign w:val="baseline"/>
                <w:lang w:val="en-US" w:eastAsia="zh-CN"/>
              </w:rPr>
              <w:t xml:space="preserve"> </w:t>
            </w:r>
          </w:p>
        </w:tc>
        <w:tc>
          <w:tcPr>
            <w:tcW w:w="989" w:type="pct"/>
            <w:tcBorders>
              <w:tl2br w:val="nil"/>
              <w:tr2bl w:val="nil"/>
            </w:tcBorders>
            <w:noWrap w:val="0"/>
            <w:vAlign w:val="center"/>
          </w:tcPr>
          <w:p w14:paraId="6051DE8A">
            <w:pPr>
              <w:pStyle w:val="23"/>
              <w:jc w:val="center"/>
              <w:rPr>
                <w:rFonts w:hint="default" w:ascii="Times New Roman" w:hAnsi="Times New Roman" w:eastAsia="宋体" w:cs="Times New Roman"/>
                <w:b/>
                <w:bCs/>
                <w:color w:val="auto"/>
                <w:highlight w:val="none"/>
                <w:vertAlign w:val="baseline"/>
                <w:lang w:val="en-US" w:eastAsia="zh-CN"/>
              </w:rPr>
            </w:pPr>
            <w:r>
              <w:rPr>
                <w:rFonts w:hint="eastAsia" w:ascii="仿宋" w:hAnsi="仿宋" w:eastAsia="仿宋" w:cs="仿宋"/>
                <w:color w:val="auto"/>
                <w:kern w:val="0"/>
                <w:sz w:val="24"/>
                <w:highlight w:val="none"/>
                <w:lang w:val="en-US" w:eastAsia="zh-CN"/>
              </w:rPr>
              <w:t>21250</w:t>
            </w:r>
          </w:p>
        </w:tc>
        <w:tc>
          <w:tcPr>
            <w:tcW w:w="1097" w:type="pct"/>
            <w:tcBorders>
              <w:tl2br w:val="nil"/>
              <w:tr2bl w:val="nil"/>
            </w:tcBorders>
            <w:noWrap w:val="0"/>
            <w:vAlign w:val="center"/>
          </w:tcPr>
          <w:p w14:paraId="7F7CF424">
            <w:pPr>
              <w:pStyle w:val="23"/>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cs="Times New Roman"/>
                <w:b/>
                <w:bCs/>
                <w:color w:val="auto"/>
                <w:highlight w:val="none"/>
                <w:vertAlign w:val="baseline"/>
                <w:lang w:val="en-US" w:eastAsia="zh-CN"/>
              </w:rPr>
              <w:t xml:space="preserve"> </w:t>
            </w: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keepNext w:val="0"/>
        <w:keepLines w:val="0"/>
        <w:pageBreakBefore/>
        <w:widowControl/>
        <w:tabs>
          <w:tab w:val="left" w:pos="432"/>
        </w:tabs>
        <w:spacing w:before="100" w:beforeAutospacing="1" w:after="100" w:afterAutospacing="1" w:line="360" w:lineRule="auto"/>
        <w:ind w:left="1290" w:firstLine="1470" w:firstLineChars="700"/>
        <w:outlineLvl w:val="9"/>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09" w:name="OLE_LINK13"/>
      <w:bookmarkStart w:id="410" w:name="OLE_LINK14"/>
      <w:r>
        <w:rPr>
          <w:rFonts w:hint="eastAsia" w:ascii="宋体" w:hAnsi="宋体" w:cs="宋体"/>
          <w:b/>
          <w:color w:val="auto"/>
          <w:spacing w:val="6"/>
          <w:sz w:val="32"/>
          <w:szCs w:val="32"/>
          <w:highlight w:val="none"/>
        </w:rPr>
        <w:t>残疾人福利性单位声明函</w:t>
      </w:r>
    </w:p>
    <w:bookmarkEnd w:id="409"/>
    <w:bookmarkEnd w:id="410"/>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060EEE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6CCA6CA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2D47CD8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5F54518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057F505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tabs>
          <w:tab w:val="left" w:pos="432"/>
        </w:tabs>
        <w:ind w:left="664" w:leftChars="316" w:firstLine="228" w:firstLineChars="95"/>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16ADC634">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E01E32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4" w:name="_Toc36110187"/>
    <w:bookmarkStart w:id="415" w:name="_Toc91899912"/>
    <w:bookmarkStart w:id="416" w:name="_Toc131845147"/>
    <w:bookmarkStart w:id="417" w:name="_Toc164085800"/>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91A6BBD"/>
    <w:multiLevelType w:val="singleLevel"/>
    <w:tmpl w:val="591A6BBD"/>
    <w:lvl w:ilvl="0" w:tentative="0">
      <w:start w:val="1"/>
      <w:numFmt w:val="chineseCounting"/>
      <w:suff w:val="nothing"/>
      <w:lvlText w:val="（%1）"/>
      <w:lvlJc w:val="left"/>
    </w:lvl>
  </w:abstractNum>
  <w:abstractNum w:abstractNumId="2">
    <w:nsid w:val="591A6CF4"/>
    <w:multiLevelType w:val="singleLevel"/>
    <w:tmpl w:val="591A6CF4"/>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AC0"/>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F15AD"/>
    <w:rsid w:val="019F7441"/>
    <w:rsid w:val="01B37585"/>
    <w:rsid w:val="01C506B1"/>
    <w:rsid w:val="01D55165"/>
    <w:rsid w:val="01DF6BF8"/>
    <w:rsid w:val="01EC2C57"/>
    <w:rsid w:val="025A704C"/>
    <w:rsid w:val="025F0711"/>
    <w:rsid w:val="026B2E25"/>
    <w:rsid w:val="02824D4D"/>
    <w:rsid w:val="02DC4B10"/>
    <w:rsid w:val="02DD76CE"/>
    <w:rsid w:val="02F36323"/>
    <w:rsid w:val="02F5619C"/>
    <w:rsid w:val="031C2553"/>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7F5A5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C4E8C"/>
    <w:rsid w:val="0A1C0718"/>
    <w:rsid w:val="0A3E7710"/>
    <w:rsid w:val="0A4E70E3"/>
    <w:rsid w:val="0A5B7E63"/>
    <w:rsid w:val="0A8C14CB"/>
    <w:rsid w:val="0AA374A5"/>
    <w:rsid w:val="0AAB7649"/>
    <w:rsid w:val="0ABC5606"/>
    <w:rsid w:val="0B30404E"/>
    <w:rsid w:val="0B4C6C14"/>
    <w:rsid w:val="0B547599"/>
    <w:rsid w:val="0B631A88"/>
    <w:rsid w:val="0B683D45"/>
    <w:rsid w:val="0B7F3F11"/>
    <w:rsid w:val="0B884417"/>
    <w:rsid w:val="0BE65DF4"/>
    <w:rsid w:val="0BF6188C"/>
    <w:rsid w:val="0BF73C91"/>
    <w:rsid w:val="0C170175"/>
    <w:rsid w:val="0C3E79DE"/>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C355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C45D0"/>
    <w:rsid w:val="12255233"/>
    <w:rsid w:val="12530213"/>
    <w:rsid w:val="127723A9"/>
    <w:rsid w:val="12862074"/>
    <w:rsid w:val="12883966"/>
    <w:rsid w:val="129E45B4"/>
    <w:rsid w:val="12D81596"/>
    <w:rsid w:val="13072A44"/>
    <w:rsid w:val="130D010A"/>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591F94"/>
    <w:rsid w:val="15762120"/>
    <w:rsid w:val="16A8729C"/>
    <w:rsid w:val="16B33777"/>
    <w:rsid w:val="16BC70A7"/>
    <w:rsid w:val="16C6339E"/>
    <w:rsid w:val="172F2D79"/>
    <w:rsid w:val="17557BEF"/>
    <w:rsid w:val="1785742D"/>
    <w:rsid w:val="17D349C1"/>
    <w:rsid w:val="1830729E"/>
    <w:rsid w:val="1870062C"/>
    <w:rsid w:val="18817102"/>
    <w:rsid w:val="18830A15"/>
    <w:rsid w:val="18852B28"/>
    <w:rsid w:val="188B5321"/>
    <w:rsid w:val="18910E95"/>
    <w:rsid w:val="18E92A80"/>
    <w:rsid w:val="18FF22A3"/>
    <w:rsid w:val="19932372"/>
    <w:rsid w:val="19A20DD5"/>
    <w:rsid w:val="19AE03F1"/>
    <w:rsid w:val="1A071A03"/>
    <w:rsid w:val="1A1F16AE"/>
    <w:rsid w:val="1A3B5C77"/>
    <w:rsid w:val="1A984BAD"/>
    <w:rsid w:val="1AB8220E"/>
    <w:rsid w:val="1AE4166C"/>
    <w:rsid w:val="1AF06CFB"/>
    <w:rsid w:val="1AF11B8D"/>
    <w:rsid w:val="1B11359C"/>
    <w:rsid w:val="1B2A271F"/>
    <w:rsid w:val="1B4D5548"/>
    <w:rsid w:val="1B530544"/>
    <w:rsid w:val="1B713184"/>
    <w:rsid w:val="1BA209CF"/>
    <w:rsid w:val="1BB4777D"/>
    <w:rsid w:val="1BC703EC"/>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10B2"/>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CF4F1D"/>
    <w:rsid w:val="233500BF"/>
    <w:rsid w:val="23377FF7"/>
    <w:rsid w:val="236B425F"/>
    <w:rsid w:val="236B6EB3"/>
    <w:rsid w:val="23836192"/>
    <w:rsid w:val="23901F29"/>
    <w:rsid w:val="239C0061"/>
    <w:rsid w:val="23B908A4"/>
    <w:rsid w:val="23E95BEF"/>
    <w:rsid w:val="23FD0064"/>
    <w:rsid w:val="245375B0"/>
    <w:rsid w:val="24642C0A"/>
    <w:rsid w:val="249F12F5"/>
    <w:rsid w:val="24B22173"/>
    <w:rsid w:val="24B50CEC"/>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9E1E5C"/>
    <w:rsid w:val="2DD15014"/>
    <w:rsid w:val="2DF72DE4"/>
    <w:rsid w:val="2E0220AF"/>
    <w:rsid w:val="2E4B082A"/>
    <w:rsid w:val="2E5D4E86"/>
    <w:rsid w:val="2E5D790B"/>
    <w:rsid w:val="2E9A3C18"/>
    <w:rsid w:val="2EBB0FEE"/>
    <w:rsid w:val="2EC63002"/>
    <w:rsid w:val="2EFF0FAA"/>
    <w:rsid w:val="2F0A6B38"/>
    <w:rsid w:val="2F946CCB"/>
    <w:rsid w:val="2FD25781"/>
    <w:rsid w:val="2FDC745C"/>
    <w:rsid w:val="2FF520A4"/>
    <w:rsid w:val="2FFD7934"/>
    <w:rsid w:val="30733ACD"/>
    <w:rsid w:val="308C3862"/>
    <w:rsid w:val="309379D8"/>
    <w:rsid w:val="30A270F7"/>
    <w:rsid w:val="30DF1478"/>
    <w:rsid w:val="30EC586F"/>
    <w:rsid w:val="310402C4"/>
    <w:rsid w:val="314550B7"/>
    <w:rsid w:val="319C6071"/>
    <w:rsid w:val="31A11C26"/>
    <w:rsid w:val="31AC537E"/>
    <w:rsid w:val="31E3679B"/>
    <w:rsid w:val="31E732FD"/>
    <w:rsid w:val="32517576"/>
    <w:rsid w:val="32BE5C2C"/>
    <w:rsid w:val="32FB6478"/>
    <w:rsid w:val="33263B3F"/>
    <w:rsid w:val="333F17C2"/>
    <w:rsid w:val="336963EB"/>
    <w:rsid w:val="33816EEB"/>
    <w:rsid w:val="33EB55CD"/>
    <w:rsid w:val="33EC4C02"/>
    <w:rsid w:val="340D2360"/>
    <w:rsid w:val="3410665D"/>
    <w:rsid w:val="34211214"/>
    <w:rsid w:val="342E63AB"/>
    <w:rsid w:val="344D020F"/>
    <w:rsid w:val="34950E68"/>
    <w:rsid w:val="34986E94"/>
    <w:rsid w:val="34AF62C9"/>
    <w:rsid w:val="34B44294"/>
    <w:rsid w:val="34CB4388"/>
    <w:rsid w:val="34FA6E12"/>
    <w:rsid w:val="354D7158"/>
    <w:rsid w:val="358D5588"/>
    <w:rsid w:val="36116B96"/>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A5930"/>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A6346"/>
    <w:rsid w:val="3B976654"/>
    <w:rsid w:val="3BC01EFC"/>
    <w:rsid w:val="3BCA786A"/>
    <w:rsid w:val="3BD31E2F"/>
    <w:rsid w:val="3BF15831"/>
    <w:rsid w:val="3C105946"/>
    <w:rsid w:val="3C471448"/>
    <w:rsid w:val="3C5F759A"/>
    <w:rsid w:val="3C6C525A"/>
    <w:rsid w:val="3CCE23CB"/>
    <w:rsid w:val="3CD17D17"/>
    <w:rsid w:val="3CDB255C"/>
    <w:rsid w:val="3D3C7F39"/>
    <w:rsid w:val="3D440F09"/>
    <w:rsid w:val="3D4504A0"/>
    <w:rsid w:val="3D8734BB"/>
    <w:rsid w:val="3D9A11D4"/>
    <w:rsid w:val="3DA16D89"/>
    <w:rsid w:val="3DA364BE"/>
    <w:rsid w:val="3DE041CB"/>
    <w:rsid w:val="3DE86B5A"/>
    <w:rsid w:val="3E0D48F6"/>
    <w:rsid w:val="3E1868B4"/>
    <w:rsid w:val="3E377251"/>
    <w:rsid w:val="3E42664B"/>
    <w:rsid w:val="3E5A7334"/>
    <w:rsid w:val="3E7B5D6B"/>
    <w:rsid w:val="3E843E66"/>
    <w:rsid w:val="3E8F51FE"/>
    <w:rsid w:val="3E926F87"/>
    <w:rsid w:val="3E9A59DE"/>
    <w:rsid w:val="3EA5765F"/>
    <w:rsid w:val="3EAF4836"/>
    <w:rsid w:val="3EBF7C5B"/>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6E6FC8"/>
    <w:rsid w:val="46893F2B"/>
    <w:rsid w:val="46C4686E"/>
    <w:rsid w:val="471A012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D7890"/>
    <w:rsid w:val="495F5B3E"/>
    <w:rsid w:val="496F77D7"/>
    <w:rsid w:val="497654FD"/>
    <w:rsid w:val="49B64211"/>
    <w:rsid w:val="49E56AF9"/>
    <w:rsid w:val="49F6167F"/>
    <w:rsid w:val="4A064FA0"/>
    <w:rsid w:val="4A16615C"/>
    <w:rsid w:val="4A2A2D74"/>
    <w:rsid w:val="4A4424D7"/>
    <w:rsid w:val="4AB82D0F"/>
    <w:rsid w:val="4AEB7664"/>
    <w:rsid w:val="4AFD7C19"/>
    <w:rsid w:val="4B0567D1"/>
    <w:rsid w:val="4B236AAE"/>
    <w:rsid w:val="4B65492A"/>
    <w:rsid w:val="4B707271"/>
    <w:rsid w:val="4B9739F7"/>
    <w:rsid w:val="4BEE2503"/>
    <w:rsid w:val="4C245A30"/>
    <w:rsid w:val="4C63256E"/>
    <w:rsid w:val="4CB6685F"/>
    <w:rsid w:val="4CC367FE"/>
    <w:rsid w:val="4D077F3C"/>
    <w:rsid w:val="4D123355"/>
    <w:rsid w:val="4D2A3B31"/>
    <w:rsid w:val="4D2B3A0A"/>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C696C"/>
    <w:rsid w:val="5244713B"/>
    <w:rsid w:val="52615633"/>
    <w:rsid w:val="526F4DE4"/>
    <w:rsid w:val="52977FD4"/>
    <w:rsid w:val="52A25790"/>
    <w:rsid w:val="52A96B6F"/>
    <w:rsid w:val="52B45975"/>
    <w:rsid w:val="52D94AA4"/>
    <w:rsid w:val="52EA3A62"/>
    <w:rsid w:val="52F42171"/>
    <w:rsid w:val="52F50BB8"/>
    <w:rsid w:val="53097272"/>
    <w:rsid w:val="53544462"/>
    <w:rsid w:val="5397158E"/>
    <w:rsid w:val="53A771E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440F1"/>
    <w:rsid w:val="57032A2C"/>
    <w:rsid w:val="570F5219"/>
    <w:rsid w:val="575D12B5"/>
    <w:rsid w:val="57610A87"/>
    <w:rsid w:val="5765464E"/>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478EF"/>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C7742"/>
    <w:rsid w:val="635600A5"/>
    <w:rsid w:val="635B1DB5"/>
    <w:rsid w:val="63711FED"/>
    <w:rsid w:val="63880DDC"/>
    <w:rsid w:val="638D750D"/>
    <w:rsid w:val="63AC6CC0"/>
    <w:rsid w:val="63D731CD"/>
    <w:rsid w:val="64055776"/>
    <w:rsid w:val="64240056"/>
    <w:rsid w:val="643E143A"/>
    <w:rsid w:val="644119FC"/>
    <w:rsid w:val="64491666"/>
    <w:rsid w:val="648B6EEF"/>
    <w:rsid w:val="64C158BF"/>
    <w:rsid w:val="64CE2EAA"/>
    <w:rsid w:val="653C3090"/>
    <w:rsid w:val="65854376"/>
    <w:rsid w:val="658767BE"/>
    <w:rsid w:val="65892531"/>
    <w:rsid w:val="6617798C"/>
    <w:rsid w:val="66195831"/>
    <w:rsid w:val="662E75B1"/>
    <w:rsid w:val="66342C2E"/>
    <w:rsid w:val="663E784C"/>
    <w:rsid w:val="668B6A45"/>
    <w:rsid w:val="67011F07"/>
    <w:rsid w:val="672F3F24"/>
    <w:rsid w:val="673E055F"/>
    <w:rsid w:val="67551CE3"/>
    <w:rsid w:val="67A104AD"/>
    <w:rsid w:val="67A22552"/>
    <w:rsid w:val="67B22DCC"/>
    <w:rsid w:val="67BE71AA"/>
    <w:rsid w:val="67D90273"/>
    <w:rsid w:val="67DE5875"/>
    <w:rsid w:val="67E55852"/>
    <w:rsid w:val="67EB1AB4"/>
    <w:rsid w:val="67FA1285"/>
    <w:rsid w:val="68043DD2"/>
    <w:rsid w:val="68551F4F"/>
    <w:rsid w:val="687C10C9"/>
    <w:rsid w:val="68840C16"/>
    <w:rsid w:val="68872541"/>
    <w:rsid w:val="68876EFB"/>
    <w:rsid w:val="68884654"/>
    <w:rsid w:val="689F444F"/>
    <w:rsid w:val="68B96DBB"/>
    <w:rsid w:val="68CA2805"/>
    <w:rsid w:val="68E937A3"/>
    <w:rsid w:val="691664E5"/>
    <w:rsid w:val="693E15D3"/>
    <w:rsid w:val="69627681"/>
    <w:rsid w:val="69653029"/>
    <w:rsid w:val="6977531D"/>
    <w:rsid w:val="69CC2BFF"/>
    <w:rsid w:val="69FD55B8"/>
    <w:rsid w:val="6A0B1C62"/>
    <w:rsid w:val="6A2406C8"/>
    <w:rsid w:val="6AB12117"/>
    <w:rsid w:val="6ADE0BD1"/>
    <w:rsid w:val="6AE96859"/>
    <w:rsid w:val="6B147746"/>
    <w:rsid w:val="6B24787C"/>
    <w:rsid w:val="6B573233"/>
    <w:rsid w:val="6B5B6274"/>
    <w:rsid w:val="6B935D53"/>
    <w:rsid w:val="6BBB33D4"/>
    <w:rsid w:val="6C196F71"/>
    <w:rsid w:val="6C226FCB"/>
    <w:rsid w:val="6C31226F"/>
    <w:rsid w:val="6C552F0B"/>
    <w:rsid w:val="6C8C67B7"/>
    <w:rsid w:val="6C9D744C"/>
    <w:rsid w:val="6CB26586"/>
    <w:rsid w:val="6D167928"/>
    <w:rsid w:val="6D26299B"/>
    <w:rsid w:val="6D4772EC"/>
    <w:rsid w:val="6D9078AF"/>
    <w:rsid w:val="6DAA3FEF"/>
    <w:rsid w:val="6DC0172B"/>
    <w:rsid w:val="6DCB690C"/>
    <w:rsid w:val="6DD41A5B"/>
    <w:rsid w:val="6DF43C2E"/>
    <w:rsid w:val="6DF51CA3"/>
    <w:rsid w:val="6E8335BD"/>
    <w:rsid w:val="6E8E12EF"/>
    <w:rsid w:val="6E972936"/>
    <w:rsid w:val="6EC46A44"/>
    <w:rsid w:val="6ED446C5"/>
    <w:rsid w:val="6F2A7D94"/>
    <w:rsid w:val="6F8331F1"/>
    <w:rsid w:val="6F993A2D"/>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6076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DC5110"/>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2E1EAB"/>
    <w:rsid w:val="7D491C6C"/>
    <w:rsid w:val="7D5429C0"/>
    <w:rsid w:val="7D6E6D43"/>
    <w:rsid w:val="7D733B0F"/>
    <w:rsid w:val="7DB57A34"/>
    <w:rsid w:val="7DBB7264"/>
    <w:rsid w:val="7DE60973"/>
    <w:rsid w:val="7DEF0916"/>
    <w:rsid w:val="7E1E5218"/>
    <w:rsid w:val="7E3D1B83"/>
    <w:rsid w:val="7E521976"/>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3020</Words>
  <Characters>3453</Characters>
  <Lines>281</Lines>
  <Paragraphs>79</Paragraphs>
  <TotalTime>23</TotalTime>
  <ScaleCrop>false</ScaleCrop>
  <LinksUpToDate>false</LinksUpToDate>
  <CharactersWithSpaces>3730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p:lastModifiedBy>
  <cp:lastPrinted>2021-12-28T03:06:00Z</cp:lastPrinted>
  <dcterms:modified xsi:type="dcterms:W3CDTF">2025-06-26T03:41:23Z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E2218F547099460DA3B847B1F2923474_13</vt:lpwstr>
  </property>
  <property fmtid="{D5CDD505-2E9C-101B-9397-08002B2CF9AE}" pid="5" name="KSOTemplateDocerSaveRecord">
    <vt:lpwstr>eyJoZGlkIjoiYTc0ZjgwNzkxY2ZhYTg3OGU4YTAzNmZlZjQ3ZTM3OGUiLCJ1c2VySWQiOiIyNDg3NjA3MjEifQ==</vt:lpwstr>
  </property>
</Properties>
</file>