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63"/>
        <w:tblW w:w="844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4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19" w:hRule="atLeast"/>
          <w:jc w:val="center"/>
        </w:trPr>
        <w:tc>
          <w:tcPr>
            <w:tcW w:w="8440" w:type="dxa"/>
          </w:tcPr>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宋体" w:hAnsi="宋体" w:cs="宋体"/>
                <w:color w:val="auto"/>
                <w:sz w:val="48"/>
                <w:szCs w:val="48"/>
                <w:highlight w:val="none"/>
                <w:vertAlign w:val="baseli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19" w:hRule="atLeast"/>
          <w:jc w:val="center"/>
        </w:trPr>
        <w:tc>
          <w:tcPr>
            <w:tcW w:w="8440" w:type="dxa"/>
          </w:tcPr>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宋体" w:hAnsi="宋体" w:cs="宋体"/>
                <w:color w:val="auto"/>
                <w:sz w:val="48"/>
                <w:szCs w:val="48"/>
                <w:highlight w:val="none"/>
                <w:vertAlign w:val="baseline"/>
              </w:rPr>
            </w:pPr>
            <w:r>
              <w:rPr>
                <w:rFonts w:hint="eastAsia" w:ascii="宋体" w:hAnsi="宋体" w:cs="宋体"/>
                <w:color w:val="auto"/>
                <w:sz w:val="48"/>
                <w:szCs w:val="48"/>
                <w:highlight w:val="none"/>
              </w:rPr>
              <w:t>金一金二党群服务中心办公家具</w:t>
            </w:r>
            <w:r>
              <w:rPr>
                <w:rFonts w:hint="eastAsia" w:ascii="宋体" w:hAnsi="宋体" w:cs="宋体"/>
                <w:color w:val="auto"/>
                <w:sz w:val="48"/>
                <w:szCs w:val="48"/>
                <w:highlight w:val="none"/>
                <w:lang w:val="en-US" w:eastAsia="zh-CN"/>
              </w:rPr>
              <w:t>政府</w:t>
            </w:r>
            <w:r>
              <w:rPr>
                <w:rFonts w:hint="eastAsia" w:ascii="宋体" w:hAnsi="宋体" w:cs="宋体"/>
                <w:color w:val="auto"/>
                <w:sz w:val="48"/>
                <w:szCs w:val="48"/>
                <w:highlight w:val="none"/>
              </w:rPr>
              <w:t>采购项目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19" w:hRule="atLeast"/>
          <w:jc w:val="center"/>
        </w:trPr>
        <w:tc>
          <w:tcPr>
            <w:tcW w:w="8440" w:type="dxa"/>
          </w:tcPr>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宋体" w:hAnsi="宋体" w:cs="宋体"/>
                <w:color w:val="auto"/>
                <w:sz w:val="48"/>
                <w:szCs w:val="48"/>
                <w:highlight w:val="none"/>
              </w:rPr>
            </w:pPr>
            <w:r>
              <w:rPr>
                <w:rFonts w:hint="eastAsia" w:ascii="宋体" w:hAnsi="宋体" w:cs="宋体"/>
                <w:color w:val="auto"/>
                <w:sz w:val="48"/>
                <w:szCs w:val="48"/>
                <w:highlight w:val="none"/>
              </w:rPr>
              <w:t>招标文件</w:t>
            </w:r>
          </w:p>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color w:val="auto"/>
                <w:highlight w:val="none"/>
              </w:rPr>
            </w:pPr>
            <w:r>
              <w:rPr>
                <w:rFonts w:hint="eastAsia" w:ascii="宋体" w:hAnsi="宋体" w:cs="宋体"/>
                <w:b/>
                <w:color w:val="auto"/>
                <w:sz w:val="44"/>
                <w:szCs w:val="44"/>
                <w:highlight w:val="none"/>
              </w:rPr>
              <w:t>（电子招投标）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19" w:hRule="atLeast"/>
          <w:jc w:val="center"/>
        </w:trPr>
        <w:tc>
          <w:tcPr>
            <w:tcW w:w="8440" w:type="dxa"/>
          </w:tcPr>
          <w:p>
            <w:pPr>
              <w:pStyle w:val="4"/>
              <w:jc w:val="center"/>
              <w:rPr>
                <w:rFonts w:hint="default"/>
                <w:color w:val="auto"/>
                <w:highlight w:val="none"/>
                <w:lang w:val="en-US"/>
              </w:rPr>
            </w:pPr>
            <w:r>
              <w:rPr>
                <w:rFonts w:hint="eastAsia" w:asciiTheme="minorEastAsia" w:hAnsiTheme="minorEastAsia" w:eastAsiaTheme="minorEastAsia" w:cstheme="minorEastAsia"/>
                <w:color w:val="auto"/>
                <w:sz w:val="30"/>
                <w:szCs w:val="30"/>
                <w:highlight w:val="none"/>
              </w:rPr>
              <w:t>编号:</w:t>
            </w:r>
            <w:r>
              <w:rPr>
                <w:rFonts w:hint="eastAsia" w:asciiTheme="minorEastAsia" w:hAnsiTheme="minorEastAsia" w:eastAsiaTheme="minorEastAsia" w:cstheme="minorEastAsia"/>
                <w:color w:val="auto"/>
                <w:sz w:val="30"/>
                <w:szCs w:val="30"/>
                <w:highlight w:val="none"/>
                <w:lang w:val="en-US" w:eastAsia="zh-CN"/>
              </w:rPr>
              <w:t>XZCG2024-GK-ZCY035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19" w:hRule="atLeast"/>
          <w:jc w:val="center"/>
        </w:trPr>
        <w:tc>
          <w:tcPr>
            <w:tcW w:w="8440" w:type="dxa"/>
          </w:tcPr>
          <w:p>
            <w:pPr>
              <w:keepNext w:val="0"/>
              <w:keepLines w:val="0"/>
              <w:pageBreakBefore w:val="0"/>
              <w:widowControl w:val="0"/>
              <w:kinsoku/>
              <w:wordWrap/>
              <w:overflowPunct/>
              <w:topLinePunct w:val="0"/>
              <w:autoSpaceDE/>
              <w:autoSpaceDN/>
              <w:bidi w:val="0"/>
              <w:snapToGrid w:val="0"/>
              <w:spacing w:line="360" w:lineRule="auto"/>
              <w:jc w:val="center"/>
              <w:textAlignment w:val="auto"/>
              <w:rPr>
                <w:rFonts w:hint="eastAsia" w:ascii="宋体" w:hAnsi="宋体" w:cs="宋体"/>
                <w:color w:val="auto"/>
                <w:sz w:val="48"/>
                <w:szCs w:val="48"/>
                <w:highlight w:val="none"/>
                <w:vertAlign w:val="baseli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9" w:hRule="atLeast"/>
          <w:jc w:val="center"/>
        </w:trPr>
        <w:tc>
          <w:tcPr>
            <w:tcW w:w="8440" w:type="dxa"/>
          </w:tcPr>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宋体" w:hAnsi="宋体" w:cs="宋体"/>
                <w:color w:val="auto"/>
                <w:sz w:val="48"/>
                <w:szCs w:val="48"/>
                <w:highlight w:val="none"/>
                <w:vertAlign w:val="baseli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jc w:val="center"/>
        </w:trPr>
        <w:tc>
          <w:tcPr>
            <w:tcW w:w="8440" w:type="dxa"/>
          </w:tcPr>
          <w:p>
            <w:pPr>
              <w:snapToGrid w:val="0"/>
              <w:spacing w:line="360" w:lineRule="auto"/>
              <w:jc w:val="center"/>
              <w:rPr>
                <w:rFonts w:ascii="宋体" w:hAnsi="宋体" w:cs="宋体"/>
                <w:color w:val="auto"/>
                <w:sz w:val="32"/>
                <w:szCs w:val="32"/>
                <w:highlight w:val="none"/>
              </w:rPr>
            </w:pPr>
            <w:r>
              <w:rPr>
                <w:rFonts w:hint="eastAsia" w:ascii="宋体" w:hAnsi="宋体" w:cs="宋体"/>
                <w:color w:val="auto"/>
                <w:sz w:val="32"/>
                <w:szCs w:val="32"/>
                <w:highlight w:val="none"/>
              </w:rPr>
              <w:t>杭州市萧山区人民政府宁围街道办事处</w:t>
            </w:r>
          </w:p>
          <w:p>
            <w:pPr>
              <w:snapToGrid w:val="0"/>
              <w:spacing w:line="360" w:lineRule="auto"/>
              <w:jc w:val="center"/>
              <w:rPr>
                <w:rFonts w:ascii="宋体" w:hAnsi="宋体" w:cs="宋体"/>
                <w:bCs/>
                <w:color w:val="auto"/>
                <w:sz w:val="32"/>
                <w:szCs w:val="32"/>
                <w:highlight w:val="none"/>
              </w:rPr>
            </w:pPr>
            <w:r>
              <w:rPr>
                <w:rFonts w:hint="eastAsia" w:ascii="宋体" w:hAnsi="宋体" w:cs="宋体"/>
                <w:bCs/>
                <w:color w:val="auto"/>
                <w:sz w:val="32"/>
                <w:szCs w:val="32"/>
                <w:highlight w:val="none"/>
              </w:rPr>
              <w:t>杭州市公共资源交易中心萧山分中心</w:t>
            </w:r>
          </w:p>
          <w:p>
            <w:pPr>
              <w:snapToGrid w:val="0"/>
              <w:spacing w:line="360" w:lineRule="auto"/>
              <w:jc w:val="center"/>
              <w:rPr>
                <w:rFonts w:hint="eastAsia" w:ascii="宋体" w:hAnsi="宋体" w:cs="宋体"/>
                <w:color w:val="auto"/>
                <w:sz w:val="48"/>
                <w:szCs w:val="48"/>
                <w:highlight w:val="none"/>
                <w:vertAlign w:val="baseline"/>
              </w:rPr>
            </w:pPr>
            <w:r>
              <w:rPr>
                <w:rFonts w:hint="eastAsia" w:ascii="宋体" w:hAnsi="宋体" w:cs="宋体"/>
                <w:bCs/>
                <w:color w:val="auto"/>
                <w:sz w:val="32"/>
                <w:szCs w:val="32"/>
                <w:highlight w:val="none"/>
                <w:lang w:val="en-US" w:eastAsia="zh-CN"/>
              </w:rPr>
              <w:t>2024</w:t>
            </w:r>
            <w:r>
              <w:rPr>
                <w:rFonts w:hint="eastAsia" w:ascii="宋体" w:hAnsi="宋体" w:cs="宋体"/>
                <w:bCs/>
                <w:color w:val="auto"/>
                <w:sz w:val="32"/>
                <w:szCs w:val="32"/>
                <w:highlight w:val="none"/>
              </w:rPr>
              <w:t>年</w:t>
            </w:r>
            <w:r>
              <w:rPr>
                <w:rFonts w:hint="eastAsia" w:ascii="宋体" w:hAnsi="宋体" w:cs="宋体"/>
                <w:bCs/>
                <w:color w:val="auto"/>
                <w:sz w:val="32"/>
                <w:szCs w:val="32"/>
                <w:highlight w:val="none"/>
                <w:lang w:val="en-US" w:eastAsia="zh-CN"/>
              </w:rPr>
              <w:t>4</w:t>
            </w:r>
            <w:r>
              <w:rPr>
                <w:rFonts w:hint="eastAsia" w:ascii="宋体" w:hAnsi="宋体" w:cs="宋体"/>
                <w:bCs/>
                <w:color w:val="auto"/>
                <w:sz w:val="32"/>
                <w:szCs w:val="32"/>
                <w:highlight w:val="none"/>
              </w:rPr>
              <w:t>月</w:t>
            </w:r>
            <w:r>
              <w:rPr>
                <w:rFonts w:hint="eastAsia" w:ascii="宋体" w:hAnsi="宋体" w:cs="宋体"/>
                <w:bCs/>
                <w:color w:val="auto"/>
                <w:sz w:val="32"/>
                <w:szCs w:val="32"/>
                <w:highlight w:val="none"/>
                <w:lang w:val="en-US" w:eastAsia="zh-CN"/>
              </w:rPr>
              <w:t>26</w:t>
            </w:r>
            <w:r>
              <w:rPr>
                <w:rFonts w:hint="eastAsia" w:ascii="宋体" w:hAnsi="宋体" w:cs="宋体"/>
                <w:bCs/>
                <w:color w:val="auto"/>
                <w:sz w:val="32"/>
                <w:szCs w:val="32"/>
                <w:highlight w:val="none"/>
              </w:rPr>
              <w:t>日</w:t>
            </w:r>
          </w:p>
        </w:tc>
      </w:tr>
    </w:tbl>
    <w:p>
      <w:pPr>
        <w:jc w:val="center"/>
        <w:rPr>
          <w:color w:val="auto"/>
          <w:highlight w:val="none"/>
        </w:rPr>
      </w:pPr>
      <w:r>
        <w:rPr>
          <w:rFonts w:hint="eastAsia"/>
          <w:color w:val="auto"/>
          <w:highlight w:val="none"/>
        </w:rPr>
        <w:t>本招标文件为2024年4月1日稿，请各位投标人详细阅读各项条款</w:t>
      </w:r>
    </w:p>
    <w:p>
      <w:pPr>
        <w:rPr>
          <w:rFonts w:hint="eastAsia" w:ascii="宋体" w:hAnsi="宋体" w:cs="宋体"/>
          <w:b/>
          <w:color w:val="auto"/>
          <w:sz w:val="48"/>
          <w:szCs w:val="48"/>
          <w:highlight w:val="none"/>
        </w:rPr>
      </w:pPr>
      <w:r>
        <w:rPr>
          <w:rFonts w:hint="eastAsia" w:ascii="宋体" w:hAnsi="宋体" w:cs="宋体"/>
          <w:b/>
          <w:color w:val="auto"/>
          <w:sz w:val="48"/>
          <w:szCs w:val="48"/>
          <w:highlight w:val="none"/>
        </w:rPr>
        <w:br w:type="page"/>
      </w:r>
    </w:p>
    <w:p>
      <w:pPr>
        <w:spacing w:line="360" w:lineRule="auto"/>
        <w:jc w:val="center"/>
        <w:rPr>
          <w:rFonts w:ascii="宋体" w:hAnsi="宋体" w:cs="宋体"/>
          <w:b/>
          <w:color w:val="auto"/>
          <w:sz w:val="48"/>
          <w:szCs w:val="48"/>
          <w:highlight w:val="none"/>
        </w:rPr>
      </w:pPr>
      <w:r>
        <w:rPr>
          <w:rFonts w:hint="eastAsia" w:ascii="宋体" w:hAnsi="宋体" w:cs="宋体"/>
          <w:b/>
          <w:color w:val="auto"/>
          <w:sz w:val="48"/>
          <w:szCs w:val="48"/>
          <w:highlight w:val="none"/>
        </w:rPr>
        <w:t>目  录</w:t>
      </w:r>
    </w:p>
    <w:p>
      <w:pPr>
        <w:spacing w:line="360" w:lineRule="auto"/>
        <w:rPr>
          <w:rFonts w:ascii="宋体" w:hAnsi="宋体" w:cs="宋体"/>
          <w:color w:val="auto"/>
          <w:sz w:val="32"/>
          <w:szCs w:val="32"/>
          <w:highlight w:val="none"/>
        </w:rPr>
      </w:pPr>
    </w:p>
    <w:p>
      <w:pPr>
        <w:spacing w:line="360" w:lineRule="auto"/>
        <w:rPr>
          <w:rFonts w:ascii="宋体" w:hAnsi="宋体" w:cs="宋体"/>
          <w:color w:val="auto"/>
          <w:sz w:val="32"/>
          <w:szCs w:val="32"/>
          <w:highlight w:val="none"/>
        </w:rPr>
      </w:pP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第一部分      招标公告</w:t>
      </w: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第二部分      投标人须知</w:t>
      </w: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第三部分      采购需求</w:t>
      </w: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第四部分      评标办法</w:t>
      </w: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第五部分      拟签订的合同文本</w:t>
      </w: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第六部分      应提交的有关格式范例</w:t>
      </w:r>
      <w:r>
        <w:rPr>
          <w:rFonts w:hint="eastAsia" w:ascii="宋体" w:hAnsi="宋体" w:cs="宋体"/>
          <w:color w:val="auto"/>
          <w:sz w:val="32"/>
          <w:szCs w:val="32"/>
          <w:highlight w:val="none"/>
        </w:rPr>
        <w:br w:type="page"/>
      </w:r>
    </w:p>
    <w:p>
      <w:pPr>
        <w:keepNext w:val="0"/>
        <w:keepLines w:val="0"/>
        <w:pageBreakBefore w:val="0"/>
        <w:kinsoku/>
        <w:wordWrap/>
        <w:overflowPunct/>
        <w:topLinePunct w:val="0"/>
        <w:autoSpaceDE/>
        <w:autoSpaceDN/>
        <w:bidi w:val="0"/>
        <w:adjustRightInd/>
        <w:snapToGrid w:val="0"/>
        <w:spacing w:line="360" w:lineRule="auto"/>
        <w:jc w:val="center"/>
        <w:textAlignment w:val="auto"/>
        <w:outlineLvl w:val="0"/>
        <w:rPr>
          <w:rFonts w:ascii="宋体" w:hAnsi="宋体" w:cs="宋体"/>
          <w:b/>
          <w:color w:val="auto"/>
          <w:sz w:val="36"/>
          <w:szCs w:val="20"/>
          <w:highlight w:val="none"/>
        </w:rPr>
      </w:pPr>
      <w:bookmarkStart w:id="0" w:name="_Hlt74649545"/>
      <w:bookmarkEnd w:id="0"/>
      <w:bookmarkStart w:id="1" w:name="_Hlt74707423"/>
      <w:bookmarkEnd w:id="1"/>
      <w:bookmarkStart w:id="2" w:name="_Hlt74729822"/>
      <w:bookmarkEnd w:id="2"/>
      <w:bookmarkStart w:id="3" w:name="_Hlt74728647"/>
      <w:bookmarkEnd w:id="3"/>
      <w:bookmarkStart w:id="4" w:name="第二部分"/>
      <w:bookmarkStart w:id="5" w:name="_Toc91899870"/>
      <w:bookmarkStart w:id="6" w:name="_Toc91899871"/>
      <w:r>
        <w:rPr>
          <w:rFonts w:hint="eastAsia" w:ascii="宋体" w:hAnsi="宋体" w:cs="宋体"/>
          <w:b/>
          <w:color w:val="auto"/>
          <w:sz w:val="36"/>
          <w:szCs w:val="20"/>
          <w:highlight w:val="none"/>
        </w:rPr>
        <w:t>第一部分 招标公告</w:t>
      </w:r>
    </w:p>
    <w:p>
      <w:pPr>
        <w:keepNext w:val="0"/>
        <w:keepLines w:val="0"/>
        <w:pageBreakBefore w:val="0"/>
        <w:pBdr>
          <w:top w:val="single" w:color="auto" w:sz="4" w:space="1"/>
          <w:left w:val="single" w:color="auto" w:sz="4" w:space="4"/>
          <w:bottom w:val="single" w:color="auto" w:sz="4" w:space="2"/>
          <w:right w:val="single" w:color="auto" w:sz="4" w:space="4"/>
        </w:pBdr>
        <w:kinsoku/>
        <w:wordWrap/>
        <w:overflowPunct/>
        <w:topLinePunct w:val="0"/>
        <w:autoSpaceDE/>
        <w:autoSpaceDN/>
        <w:bidi w:val="0"/>
        <w:snapToGrid w:val="0"/>
        <w:spacing w:line="360" w:lineRule="auto"/>
        <w:ind w:firstLine="480" w:firstLineChars="200"/>
        <w:textAlignment w:val="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项目概况</w:t>
      </w:r>
    </w:p>
    <w:p>
      <w:pPr>
        <w:keepNext w:val="0"/>
        <w:keepLines w:val="0"/>
        <w:pageBreakBefore w:val="0"/>
        <w:pBdr>
          <w:top w:val="single" w:color="auto" w:sz="4" w:space="1"/>
          <w:left w:val="single" w:color="auto" w:sz="4" w:space="4"/>
          <w:bottom w:val="single" w:color="auto" w:sz="4" w:space="2"/>
          <w:right w:val="single" w:color="auto" w:sz="4" w:space="4"/>
        </w:pBdr>
        <w:kinsoku/>
        <w:wordWrap/>
        <w:overflowPunct/>
        <w:topLinePunct w:val="0"/>
        <w:autoSpaceDE/>
        <w:autoSpaceDN/>
        <w:bidi w:val="0"/>
        <w:snapToGrid w:val="0"/>
        <w:spacing w:line="360" w:lineRule="auto"/>
        <w:ind w:firstLine="480" w:firstLineChars="200"/>
        <w:textAlignment w:val="auto"/>
        <w:rPr>
          <w:rFonts w:asciiTheme="minorEastAsia" w:hAnsiTheme="minorEastAsia" w:eastAsiaTheme="minorEastAsia"/>
          <w:color w:val="auto"/>
          <w:sz w:val="24"/>
          <w:highlight w:val="none"/>
          <w:u w:val="single"/>
        </w:rPr>
      </w:pPr>
      <w:r>
        <w:rPr>
          <w:rFonts w:hint="eastAsia" w:cs="仿宋_GB2312" w:asciiTheme="minorEastAsia" w:hAnsiTheme="minorEastAsia" w:eastAsiaTheme="minorEastAsia"/>
          <w:color w:val="auto"/>
          <w:sz w:val="24"/>
          <w:highlight w:val="none"/>
          <w:u w:val="single"/>
        </w:rPr>
        <w:t>金一金二党群服务中心办公家具</w:t>
      </w:r>
      <w:r>
        <w:rPr>
          <w:rFonts w:hint="eastAsia" w:cs="仿宋_GB2312" w:asciiTheme="minorEastAsia" w:hAnsiTheme="minorEastAsia" w:eastAsiaTheme="minorEastAsia"/>
          <w:color w:val="auto"/>
          <w:sz w:val="24"/>
          <w:highlight w:val="none"/>
          <w:u w:val="single"/>
          <w:lang w:val="en-US" w:eastAsia="zh-CN"/>
        </w:rPr>
        <w:t>政府</w:t>
      </w:r>
      <w:r>
        <w:rPr>
          <w:rFonts w:hint="eastAsia" w:cs="仿宋_GB2312" w:asciiTheme="minorEastAsia" w:hAnsiTheme="minorEastAsia" w:eastAsiaTheme="minorEastAsia"/>
          <w:color w:val="auto"/>
          <w:sz w:val="24"/>
          <w:highlight w:val="none"/>
          <w:u w:val="single"/>
        </w:rPr>
        <w:t>采购项目</w:t>
      </w:r>
      <w:r>
        <w:rPr>
          <w:rFonts w:hint="eastAsia" w:asciiTheme="minorEastAsia" w:hAnsiTheme="minorEastAsia" w:eastAsiaTheme="minorEastAsia"/>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6"/>
          <w:rFonts w:cs="Times New Roman" w:asciiTheme="minorEastAsia" w:hAnsiTheme="minorEastAsia" w:eastAsiaTheme="minorEastAsia"/>
          <w:snapToGrid/>
          <w:color w:val="auto"/>
          <w:kern w:val="2"/>
          <w:sz w:val="24"/>
          <w:szCs w:val="24"/>
          <w:highlight w:val="none"/>
        </w:rPr>
        <w:t>https://www.zcygov.cn/）获取（下载）招标文件，并于</w:t>
      </w:r>
      <w:r>
        <w:rPr>
          <w:rStyle w:val="76"/>
          <w:rFonts w:hint="eastAsia" w:cs="Times New Roman" w:asciiTheme="minorEastAsia" w:hAnsiTheme="minorEastAsia" w:eastAsiaTheme="minorEastAsia"/>
          <w:snapToGrid/>
          <w:color w:val="auto"/>
          <w:kern w:val="2"/>
          <w:sz w:val="24"/>
          <w:szCs w:val="24"/>
          <w:highlight w:val="none"/>
        </w:rPr>
        <w:t>202</w:t>
      </w:r>
      <w:r>
        <w:rPr>
          <w:rStyle w:val="76"/>
          <w:rFonts w:hint="eastAsia" w:cs="Times New Roman" w:asciiTheme="minorEastAsia" w:hAnsiTheme="minorEastAsia" w:eastAsiaTheme="minorEastAsia"/>
          <w:snapToGrid/>
          <w:color w:val="auto"/>
          <w:kern w:val="2"/>
          <w:sz w:val="24"/>
          <w:szCs w:val="24"/>
          <w:highlight w:val="none"/>
          <w:lang w:val="en-US" w:eastAsia="zh-CN"/>
        </w:rPr>
        <w:t>4</w:t>
      </w:r>
      <w:r>
        <w:rPr>
          <w:rStyle w:val="76"/>
          <w:rFonts w:cs="Times New Roman" w:asciiTheme="minorEastAsia" w:hAnsiTheme="minorEastAsia" w:eastAsiaTheme="minorEastAsia"/>
          <w:snapToGrid/>
          <w:color w:val="auto"/>
          <w:kern w:val="2"/>
          <w:sz w:val="24"/>
          <w:szCs w:val="24"/>
          <w:highlight w:val="none"/>
        </w:rPr>
        <w:t>年</w:t>
      </w:r>
      <w:r>
        <w:rPr>
          <w:rStyle w:val="76"/>
          <w:rFonts w:hint="eastAsia" w:cs="Times New Roman" w:asciiTheme="minorEastAsia" w:hAnsiTheme="minorEastAsia" w:eastAsiaTheme="minorEastAsia"/>
          <w:snapToGrid/>
          <w:color w:val="auto"/>
          <w:kern w:val="2"/>
          <w:sz w:val="24"/>
          <w:szCs w:val="24"/>
          <w:highlight w:val="none"/>
          <w:lang w:val="en-US" w:eastAsia="zh-CN"/>
        </w:rPr>
        <w:t>5</w:t>
      </w:r>
      <w:r>
        <w:rPr>
          <w:rStyle w:val="76"/>
          <w:rFonts w:hint="eastAsia" w:cs="Times New Roman" w:asciiTheme="minorEastAsia" w:hAnsiTheme="minorEastAsia" w:eastAsiaTheme="minorEastAsia"/>
          <w:snapToGrid/>
          <w:color w:val="auto"/>
          <w:kern w:val="2"/>
          <w:sz w:val="24"/>
          <w:szCs w:val="24"/>
          <w:highlight w:val="none"/>
        </w:rPr>
        <w:t>月</w:t>
      </w:r>
      <w:r>
        <w:rPr>
          <w:rStyle w:val="76"/>
          <w:rFonts w:hint="eastAsia" w:cs="Times New Roman" w:asciiTheme="minorEastAsia" w:hAnsiTheme="minorEastAsia" w:eastAsiaTheme="minorEastAsia"/>
          <w:snapToGrid/>
          <w:color w:val="auto"/>
          <w:kern w:val="2"/>
          <w:sz w:val="24"/>
          <w:szCs w:val="24"/>
          <w:highlight w:val="none"/>
          <w:lang w:val="en-US" w:eastAsia="zh-CN"/>
        </w:rPr>
        <w:t>20</w:t>
      </w:r>
      <w:r>
        <w:rPr>
          <w:rStyle w:val="76"/>
          <w:rFonts w:hint="eastAsia" w:cs="Times New Roman" w:asciiTheme="minorEastAsia" w:hAnsiTheme="minorEastAsia" w:eastAsiaTheme="minorEastAsia"/>
          <w:snapToGrid/>
          <w:color w:val="auto"/>
          <w:kern w:val="2"/>
          <w:sz w:val="24"/>
          <w:szCs w:val="24"/>
          <w:highlight w:val="none"/>
        </w:rPr>
        <w:t>日</w:t>
      </w:r>
      <w:r>
        <w:rPr>
          <w:rStyle w:val="76"/>
          <w:rFonts w:hint="eastAsia" w:cs="Times New Roman" w:asciiTheme="minorEastAsia" w:hAnsiTheme="minorEastAsia" w:eastAsiaTheme="minorEastAsia"/>
          <w:snapToGrid/>
          <w:color w:val="auto"/>
          <w:kern w:val="2"/>
          <w:sz w:val="24"/>
          <w:szCs w:val="24"/>
          <w:highlight w:val="none"/>
          <w:lang w:val="en-US" w:eastAsia="zh-CN"/>
        </w:rPr>
        <w:t>9</w:t>
      </w:r>
      <w:r>
        <w:rPr>
          <w:rStyle w:val="76"/>
          <w:rFonts w:hint="eastAsia" w:cs="Times New Roman" w:asciiTheme="minorEastAsia" w:hAnsiTheme="minorEastAsia" w:eastAsiaTheme="minorEastAsia"/>
          <w:snapToGrid/>
          <w:color w:val="auto"/>
          <w:kern w:val="2"/>
          <w:sz w:val="24"/>
          <w:szCs w:val="24"/>
          <w:highlight w:val="none"/>
        </w:rPr>
        <w:t>点</w:t>
      </w:r>
      <w:r>
        <w:rPr>
          <w:rStyle w:val="76"/>
          <w:rFonts w:hint="eastAsia" w:cs="Times New Roman" w:asciiTheme="minorEastAsia" w:hAnsiTheme="minorEastAsia" w:eastAsiaTheme="minorEastAsia"/>
          <w:snapToGrid/>
          <w:color w:val="auto"/>
          <w:kern w:val="2"/>
          <w:sz w:val="24"/>
          <w:szCs w:val="24"/>
          <w:highlight w:val="none"/>
          <w:lang w:val="en-US" w:eastAsia="zh-CN"/>
        </w:rPr>
        <w:t>00</w:t>
      </w:r>
      <w:r>
        <w:rPr>
          <w:rStyle w:val="76"/>
          <w:rFonts w:hint="eastAsia" w:cs="Times New Roman" w:asciiTheme="minorEastAsia" w:hAnsiTheme="minorEastAsia" w:eastAsiaTheme="minorEastAsia"/>
          <w:snapToGrid/>
          <w:color w:val="auto"/>
          <w:kern w:val="2"/>
          <w:sz w:val="24"/>
          <w:szCs w:val="24"/>
          <w:highlight w:val="none"/>
        </w:rPr>
        <w:t>分</w:t>
      </w:r>
      <w:r>
        <w:rPr>
          <w:rStyle w:val="76"/>
          <w:rFonts w:hint="eastAsia" w:cs="Times New Roman" w:asciiTheme="minorEastAsia" w:hAnsiTheme="minorEastAsia" w:eastAsiaTheme="minorEastAsia"/>
          <w:bCs/>
          <w:snapToGrid/>
          <w:color w:val="auto"/>
          <w:kern w:val="2"/>
          <w:sz w:val="24"/>
          <w:szCs w:val="24"/>
          <w:highlight w:val="none"/>
        </w:rPr>
        <w:t>00秒</w:t>
      </w:r>
      <w:r>
        <w:rPr>
          <w:rStyle w:val="76"/>
          <w:rFonts w:hint="eastAsia" w:cs="Times New Roman" w:asciiTheme="minorEastAsia" w:hAnsiTheme="minorEastAsia" w:eastAsiaTheme="minorEastAsia"/>
          <w:bCs/>
          <w:snapToGrid/>
          <w:color w:val="auto"/>
          <w:kern w:val="2"/>
          <w:sz w:val="24"/>
          <w:szCs w:val="24"/>
          <w:highlight w:val="none"/>
        </w:rPr>
        <w:fldChar w:fldCharType="end"/>
      </w:r>
      <w:r>
        <w:rPr>
          <w:rFonts w:hint="eastAsia" w:asciiTheme="minorEastAsia" w:hAnsiTheme="minorEastAsia" w:eastAsiaTheme="minorEastAsia"/>
          <w:bCs/>
          <w:color w:val="auto"/>
          <w:sz w:val="24"/>
          <w:highlight w:val="none"/>
        </w:rPr>
        <w:t>（北京时间）前</w:t>
      </w:r>
      <w:r>
        <w:rPr>
          <w:rFonts w:hint="eastAsia" w:asciiTheme="minorEastAsia" w:hAnsiTheme="minorEastAsia" w:eastAsiaTheme="minorEastAsia"/>
          <w:color w:val="auto"/>
          <w:sz w:val="24"/>
          <w:highlight w:val="none"/>
        </w:rPr>
        <w:t>递交（上传）投标文件。</w:t>
      </w:r>
    </w:p>
    <w:p>
      <w:pPr>
        <w:keepNext w:val="0"/>
        <w:keepLines w:val="0"/>
        <w:pageBreakBefore w:val="0"/>
        <w:kinsoku/>
        <w:wordWrap/>
        <w:overflowPunct/>
        <w:topLinePunct w:val="0"/>
        <w:autoSpaceDE/>
        <w:autoSpaceDN/>
        <w:bidi w:val="0"/>
        <w:snapToGrid w:val="0"/>
        <w:spacing w:line="360" w:lineRule="auto"/>
        <w:textAlignment w:val="auto"/>
        <w:rPr>
          <w:rFonts w:ascii="宋体" w:hAnsi="宋体" w:cs="宋体"/>
          <w:b/>
          <w:color w:val="auto"/>
          <w:sz w:val="24"/>
          <w:highlight w:val="none"/>
        </w:rPr>
      </w:pPr>
      <w:r>
        <w:rPr>
          <w:rFonts w:hint="eastAsia" w:ascii="宋体" w:hAnsi="宋体" w:cs="宋体"/>
          <w:b/>
          <w:color w:val="auto"/>
          <w:sz w:val="24"/>
          <w:highlight w:val="none"/>
        </w:rPr>
        <w:t xml:space="preserve">一、项目基本情况                                            </w:t>
      </w:r>
    </w:p>
    <w:p>
      <w:pPr>
        <w:keepNext w:val="0"/>
        <w:keepLines w:val="0"/>
        <w:pageBreakBefore w:val="0"/>
        <w:kinsoku/>
        <w:wordWrap/>
        <w:overflowPunct/>
        <w:topLinePunct w:val="0"/>
        <w:autoSpaceDE/>
        <w:autoSpaceDN/>
        <w:bidi w:val="0"/>
        <w:snapToGrid w:val="0"/>
        <w:spacing w:line="360" w:lineRule="auto"/>
        <w:textAlignment w:val="auto"/>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b/>
          <w:color w:val="auto"/>
          <w:sz w:val="24"/>
          <w:highlight w:val="none"/>
        </w:rPr>
        <w:t>项目编号：</w:t>
      </w:r>
      <w:r>
        <w:rPr>
          <w:rFonts w:hint="eastAsia" w:ascii="宋体" w:hAnsi="宋体" w:cs="宋体"/>
          <w:color w:val="auto"/>
          <w:sz w:val="24"/>
          <w:highlight w:val="none"/>
        </w:rPr>
        <w:t>XZCG2024-GK-ZCY033</w:t>
      </w:r>
    </w:p>
    <w:p>
      <w:pPr>
        <w:keepNext w:val="0"/>
        <w:keepLines w:val="0"/>
        <w:pageBreakBefore w:val="0"/>
        <w:kinsoku/>
        <w:wordWrap/>
        <w:overflowPunct/>
        <w:topLinePunct w:val="0"/>
        <w:autoSpaceDE/>
        <w:autoSpaceDN/>
        <w:bidi w:val="0"/>
        <w:snapToGrid w:val="0"/>
        <w:spacing w:line="360" w:lineRule="auto"/>
        <w:textAlignment w:val="auto"/>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b/>
          <w:color w:val="auto"/>
          <w:sz w:val="24"/>
          <w:highlight w:val="none"/>
        </w:rPr>
        <w:t xml:space="preserve"> 项目名称：</w:t>
      </w:r>
      <w:r>
        <w:rPr>
          <w:rFonts w:hint="eastAsia" w:ascii="宋体" w:hAnsi="宋体" w:cs="宋体"/>
          <w:color w:val="auto"/>
          <w:sz w:val="24"/>
          <w:highlight w:val="none"/>
        </w:rPr>
        <w:t>金一金二党群服务中心办公家具</w:t>
      </w:r>
      <w:r>
        <w:rPr>
          <w:rFonts w:hint="eastAsia" w:ascii="宋体" w:hAnsi="宋体" w:cs="宋体"/>
          <w:color w:val="auto"/>
          <w:sz w:val="24"/>
          <w:highlight w:val="none"/>
          <w:lang w:val="en-US" w:eastAsia="zh-CN"/>
        </w:rPr>
        <w:t>政府</w:t>
      </w:r>
      <w:r>
        <w:rPr>
          <w:rFonts w:hint="eastAsia" w:ascii="宋体" w:hAnsi="宋体" w:cs="宋体"/>
          <w:color w:val="auto"/>
          <w:sz w:val="24"/>
          <w:highlight w:val="none"/>
        </w:rPr>
        <w:t>采购项目</w:t>
      </w:r>
    </w:p>
    <w:p>
      <w:pPr>
        <w:keepNext w:val="0"/>
        <w:keepLines w:val="0"/>
        <w:pageBreakBefore w:val="0"/>
        <w:kinsoku/>
        <w:wordWrap/>
        <w:overflowPunct/>
        <w:topLinePunct w:val="0"/>
        <w:autoSpaceDE/>
        <w:autoSpaceDN/>
        <w:bidi w:val="0"/>
        <w:snapToGrid w:val="0"/>
        <w:spacing w:line="360" w:lineRule="auto"/>
        <w:textAlignment w:val="auto"/>
        <w:rPr>
          <w:rFonts w:ascii="宋体" w:hAnsi="宋体" w:cs="宋体"/>
          <w:b w:val="0"/>
          <w:bCs/>
          <w:color w:val="auto"/>
          <w:sz w:val="24"/>
          <w:highlight w:val="none"/>
        </w:rPr>
      </w:pPr>
      <w:r>
        <w:rPr>
          <w:rFonts w:hint="eastAsia" w:ascii="宋体" w:hAnsi="宋体" w:cs="宋体"/>
          <w:color w:val="auto"/>
          <w:sz w:val="24"/>
          <w:highlight w:val="none"/>
        </w:rPr>
        <w:t xml:space="preserve">   </w:t>
      </w:r>
      <w:r>
        <w:rPr>
          <w:rFonts w:hint="eastAsia" w:ascii="宋体" w:hAnsi="宋体" w:cs="宋体"/>
          <w:b/>
          <w:color w:val="auto"/>
          <w:sz w:val="24"/>
          <w:highlight w:val="none"/>
        </w:rPr>
        <w:t xml:space="preserve"> 预算金额（元）：</w:t>
      </w:r>
      <w:r>
        <w:rPr>
          <w:rFonts w:hint="eastAsia" w:ascii="宋体" w:hAnsi="宋体" w:cs="宋体"/>
          <w:color w:val="auto"/>
          <w:sz w:val="24"/>
          <w:highlight w:val="none"/>
        </w:rPr>
        <w:t>667000</w:t>
      </w:r>
    </w:p>
    <w:p>
      <w:pPr>
        <w:keepNext w:val="0"/>
        <w:keepLines w:val="0"/>
        <w:pageBreakBefore w:val="0"/>
        <w:kinsoku/>
        <w:wordWrap/>
        <w:overflowPunct/>
        <w:topLinePunct w:val="0"/>
        <w:autoSpaceDE/>
        <w:autoSpaceDN/>
        <w:bidi w:val="0"/>
        <w:snapToGrid w:val="0"/>
        <w:spacing w:line="360" w:lineRule="auto"/>
        <w:ind w:firstLine="480"/>
        <w:textAlignment w:val="auto"/>
        <w:rPr>
          <w:rFonts w:ascii="宋体" w:hAnsi="宋体" w:cs="宋体"/>
          <w:b w:val="0"/>
          <w:bCs/>
          <w:color w:val="auto"/>
          <w:sz w:val="24"/>
          <w:highlight w:val="none"/>
        </w:rPr>
      </w:pPr>
      <w:r>
        <w:rPr>
          <w:rFonts w:hint="eastAsia" w:ascii="宋体" w:hAnsi="宋体" w:cs="宋体"/>
          <w:b/>
          <w:color w:val="auto"/>
          <w:sz w:val="24"/>
          <w:highlight w:val="none"/>
        </w:rPr>
        <w:t>最高限价（元）：</w:t>
      </w:r>
      <w:r>
        <w:rPr>
          <w:rFonts w:hint="eastAsia" w:ascii="宋体" w:hAnsi="宋体" w:cs="宋体"/>
          <w:color w:val="auto"/>
          <w:sz w:val="24"/>
          <w:highlight w:val="none"/>
        </w:rPr>
        <w:t>667000</w:t>
      </w:r>
    </w:p>
    <w:p>
      <w:pPr>
        <w:pStyle w:val="15"/>
        <w:keepNext w:val="0"/>
        <w:keepLines w:val="0"/>
        <w:pageBreakBefore w:val="0"/>
        <w:kinsoku/>
        <w:wordWrap/>
        <w:overflowPunct/>
        <w:topLinePunct w:val="0"/>
        <w:autoSpaceDE/>
        <w:autoSpaceDN/>
        <w:bidi w:val="0"/>
        <w:snapToGrid w:val="0"/>
        <w:spacing w:line="360" w:lineRule="auto"/>
        <w:ind w:firstLine="480"/>
        <w:textAlignment w:val="auto"/>
        <w:rPr>
          <w:rFonts w:hAnsi="宋体" w:cs="宋体"/>
          <w:bCs/>
          <w:snapToGrid/>
          <w:color w:val="auto"/>
          <w:kern w:val="2"/>
          <w:sz w:val="24"/>
          <w:szCs w:val="24"/>
          <w:highlight w:val="none"/>
        </w:rPr>
      </w:pPr>
      <w:r>
        <w:rPr>
          <w:rFonts w:hint="eastAsia" w:hAnsi="宋体" w:cs="宋体"/>
          <w:b/>
          <w:color w:val="auto"/>
          <w:sz w:val="24"/>
          <w:highlight w:val="none"/>
        </w:rPr>
        <w:t>采购需求：</w:t>
      </w:r>
      <w:r>
        <w:rPr>
          <w:rFonts w:hint="eastAsia" w:hAnsi="宋体" w:cs="宋体"/>
          <w:bCs/>
          <w:snapToGrid/>
          <w:color w:val="auto"/>
          <w:kern w:val="2"/>
          <w:sz w:val="24"/>
          <w:szCs w:val="24"/>
          <w:highlight w:val="none"/>
        </w:rPr>
        <w:t>金一金二党群服务中心办公家具</w:t>
      </w:r>
      <w:r>
        <w:rPr>
          <w:rFonts w:hint="eastAsia" w:hAnsi="宋体" w:cs="宋体"/>
          <w:bCs/>
          <w:snapToGrid/>
          <w:color w:val="auto"/>
          <w:kern w:val="2"/>
          <w:sz w:val="24"/>
          <w:szCs w:val="24"/>
          <w:highlight w:val="none"/>
          <w:lang w:val="en-US" w:eastAsia="zh-CN"/>
        </w:rPr>
        <w:t>政府</w:t>
      </w:r>
      <w:r>
        <w:rPr>
          <w:rFonts w:hint="eastAsia" w:hAnsi="宋体" w:cs="宋体"/>
          <w:bCs/>
          <w:snapToGrid/>
          <w:color w:val="auto"/>
          <w:kern w:val="2"/>
          <w:sz w:val="24"/>
          <w:szCs w:val="24"/>
          <w:highlight w:val="none"/>
        </w:rPr>
        <w:t>采购项目</w:t>
      </w:r>
      <w:r>
        <w:rPr>
          <w:rFonts w:hint="eastAsia" w:hAnsi="宋体" w:cs="宋体"/>
          <w:bCs/>
          <w:snapToGrid/>
          <w:color w:val="auto"/>
          <w:kern w:val="2"/>
          <w:sz w:val="24"/>
          <w:szCs w:val="24"/>
          <w:highlight w:val="none"/>
          <w:lang w:val="en-US" w:eastAsia="zh-CN"/>
        </w:rPr>
        <w:t xml:space="preserve"> </w:t>
      </w:r>
      <w:r>
        <w:rPr>
          <w:rFonts w:hint="eastAsia" w:hAnsi="宋体" w:cs="宋体"/>
          <w:bCs/>
          <w:snapToGrid/>
          <w:color w:val="auto"/>
          <w:kern w:val="2"/>
          <w:sz w:val="24"/>
          <w:szCs w:val="24"/>
          <w:highlight w:val="none"/>
        </w:rPr>
        <w:t>主要内容：金一金二党群服务中心办公家具采购。</w:t>
      </w:r>
      <w:r>
        <w:rPr>
          <w:rFonts w:hint="eastAsia" w:asciiTheme="minorEastAsia" w:hAnsiTheme="minorEastAsia" w:eastAsiaTheme="minorEastAsia"/>
          <w:snapToGrid/>
          <w:color w:val="auto"/>
          <w:kern w:val="2"/>
          <w:sz w:val="24"/>
          <w:szCs w:val="24"/>
          <w:highlight w:val="none"/>
        </w:rPr>
        <w:t>具体以招标文件第三部分采购需求为准，供应商可点击本公告下方“浏览采购文件”查看采购需求。</w:t>
      </w:r>
    </w:p>
    <w:p>
      <w:pPr>
        <w:pStyle w:val="128"/>
        <w:keepNext w:val="0"/>
        <w:keepLines w:val="0"/>
        <w:pageBreakBefore w:val="0"/>
        <w:kinsoku/>
        <w:wordWrap/>
        <w:overflowPunct/>
        <w:topLinePunct w:val="0"/>
        <w:autoSpaceDE/>
        <w:autoSpaceDN/>
        <w:bidi w:val="0"/>
        <w:snapToGrid w:val="0"/>
        <w:spacing w:before="0" w:line="360" w:lineRule="auto"/>
        <w:ind w:firstLine="482"/>
        <w:textAlignment w:val="auto"/>
        <w:outlineLvl w:val="2"/>
        <w:rPr>
          <w:rFonts w:ascii="宋体" w:hAnsi="宋体" w:cs="宋体"/>
          <w:color w:val="auto"/>
          <w:highlight w:val="none"/>
        </w:rPr>
      </w:pPr>
      <w:r>
        <w:rPr>
          <w:rFonts w:hint="eastAsia" w:ascii="宋体" w:hAnsi="宋体" w:cs="宋体"/>
          <w:b/>
          <w:color w:val="auto"/>
          <w:highlight w:val="none"/>
        </w:rPr>
        <w:t>合同履约期限：详见招标文件</w:t>
      </w:r>
    </w:p>
    <w:p>
      <w:pPr>
        <w:pStyle w:val="15"/>
        <w:keepNext w:val="0"/>
        <w:keepLines w:val="0"/>
        <w:pageBreakBefore w:val="0"/>
        <w:kinsoku/>
        <w:wordWrap/>
        <w:overflowPunct/>
        <w:topLinePunct w:val="0"/>
        <w:autoSpaceDE/>
        <w:autoSpaceDN/>
        <w:bidi w:val="0"/>
        <w:snapToGrid w:val="0"/>
        <w:spacing w:line="360" w:lineRule="auto"/>
        <w:ind w:firstLine="480"/>
        <w:textAlignment w:val="auto"/>
        <w:rPr>
          <w:rFonts w:hAnsi="宋体" w:cs="宋体"/>
          <w:color w:val="auto"/>
          <w:kern w:val="0"/>
          <w:sz w:val="24"/>
          <w:highlight w:val="none"/>
        </w:rPr>
      </w:pPr>
      <w:r>
        <w:rPr>
          <w:rFonts w:hint="eastAsia" w:hAnsi="宋体" w:cs="宋体"/>
          <w:b/>
          <w:color w:val="auto"/>
          <w:sz w:val="24"/>
          <w:highlight w:val="none"/>
        </w:rPr>
        <w:t>本项目接受联合体投标：</w:t>
      </w:r>
      <w:sdt>
        <w:sdtPr>
          <w:rPr>
            <w:rFonts w:hint="eastAsia" w:hAnsi="宋体" w:cs="宋体"/>
            <w:color w:val="auto"/>
            <w:kern w:val="0"/>
            <w:sz w:val="24"/>
            <w:highlight w:val="none"/>
          </w:rPr>
          <w:id w:val="4648"/>
          <w14:checkbox>
            <w14:checked w14:val="1"/>
            <w14:checkedState w14:val="00FE" w14:font="Wingdings"/>
            <w14:uncheckedState w14:val="2610" w14:font="MS Gothic"/>
          </w14:checkbox>
        </w:sdtPr>
        <w:sdtEndPr>
          <w:rPr>
            <w:rFonts w:hint="eastAsia" w:hAnsi="宋体" w:cs="宋体"/>
            <w:snapToGrid/>
            <w:color w:val="auto"/>
            <w:kern w:val="2"/>
            <w:sz w:val="24"/>
            <w:szCs w:val="24"/>
            <w:highlight w:val="none"/>
          </w:rPr>
        </w:sdtEndPr>
        <w:sdtContent>
          <w:r>
            <w:rPr>
              <w:rFonts w:ascii="Wingdings" w:hAnsi="Wingdings" w:cs="宋体"/>
              <w:snapToGrid/>
              <w:color w:val="auto"/>
              <w:kern w:val="2"/>
              <w:sz w:val="24"/>
              <w:szCs w:val="24"/>
              <w:highlight w:val="none"/>
            </w:rPr>
            <w:t></w:t>
          </w:r>
        </w:sdtContent>
      </w:sdt>
      <w:r>
        <w:rPr>
          <w:rFonts w:hint="eastAsia" w:hAnsi="宋体" w:cs="宋体"/>
          <w:snapToGrid/>
          <w:color w:val="auto"/>
          <w:kern w:val="2"/>
          <w:sz w:val="24"/>
          <w:szCs w:val="24"/>
          <w:highlight w:val="none"/>
        </w:rPr>
        <w:t xml:space="preserve"> 是；</w:t>
      </w:r>
      <w:sdt>
        <w:sdtPr>
          <w:rPr>
            <w:rFonts w:hint="eastAsia" w:hAnsi="宋体" w:cs="宋体"/>
            <w:snapToGrid/>
            <w:color w:val="auto"/>
            <w:kern w:val="2"/>
            <w:sz w:val="24"/>
            <w:szCs w:val="24"/>
            <w:highlight w:val="none"/>
          </w:rPr>
          <w:id w:val="4649"/>
          <w14:checkbox>
            <w14:checked w14:val="0"/>
            <w14:checkedState w14:val="00FE" w14:font="Wingdings"/>
            <w14:uncheckedState w14:val="2610" w14:font="MS Gothic"/>
          </w14:checkbox>
        </w:sdtPr>
        <w:sdtEndPr>
          <w:rPr>
            <w:rFonts w:hint="eastAsia" w:hAnsi="宋体" w:cs="宋体"/>
            <w:snapToGrid/>
            <w:color w:val="auto"/>
            <w:kern w:val="2"/>
            <w:sz w:val="24"/>
            <w:szCs w:val="24"/>
            <w:highlight w:val="none"/>
          </w:rPr>
        </w:sdtEndPr>
        <w:sdtContent>
          <w:r>
            <w:rPr>
              <w:rFonts w:hint="eastAsia" w:hAnsi="宋体" w:cs="宋体"/>
              <w:snapToGrid/>
              <w:color w:val="auto"/>
              <w:kern w:val="2"/>
              <w:sz w:val="24"/>
              <w:szCs w:val="24"/>
              <w:highlight w:val="none"/>
            </w:rPr>
            <w:t>☐</w:t>
          </w:r>
        </w:sdtContent>
      </w:sdt>
      <w:r>
        <w:rPr>
          <w:rFonts w:hint="eastAsia" w:hAnsi="宋体" w:cs="宋体"/>
          <w:snapToGrid/>
          <w:color w:val="auto"/>
          <w:kern w:val="2"/>
          <w:sz w:val="24"/>
          <w:szCs w:val="24"/>
          <w:highlight w:val="none"/>
        </w:rPr>
        <w:t xml:space="preserve"> 否</w:t>
      </w:r>
    </w:p>
    <w:p>
      <w:pPr>
        <w:keepNext w:val="0"/>
        <w:keepLines w:val="0"/>
        <w:pageBreakBefore w:val="0"/>
        <w:kinsoku/>
        <w:wordWrap/>
        <w:overflowPunct/>
        <w:topLinePunct w:val="0"/>
        <w:autoSpaceDE/>
        <w:autoSpaceDN/>
        <w:bidi w:val="0"/>
        <w:snapToGrid w:val="0"/>
        <w:spacing w:line="360" w:lineRule="auto"/>
        <w:textAlignment w:val="auto"/>
        <w:rPr>
          <w:rFonts w:ascii="宋体" w:hAnsi="宋体" w:cs="宋体"/>
          <w:b/>
          <w:color w:val="auto"/>
          <w:sz w:val="24"/>
          <w:highlight w:val="none"/>
        </w:rPr>
      </w:pPr>
      <w:r>
        <w:rPr>
          <w:rFonts w:hint="eastAsia" w:ascii="宋体" w:hAnsi="宋体" w:cs="宋体"/>
          <w:b/>
          <w:color w:val="auto"/>
          <w:sz w:val="24"/>
          <w:highlight w:val="none"/>
        </w:rPr>
        <w:t>二、</w:t>
      </w:r>
      <w:bookmarkStart w:id="7" w:name="_Hlk101132948"/>
      <w:r>
        <w:rPr>
          <w:rFonts w:hint="eastAsia" w:ascii="宋体" w:hAnsi="宋体" w:cs="宋体"/>
          <w:b/>
          <w:color w:val="auto"/>
          <w:sz w:val="24"/>
          <w:highlight w:val="none"/>
        </w:rPr>
        <w:t>申请人的资格要求</w:t>
      </w:r>
      <w:bookmarkEnd w:id="7"/>
      <w:r>
        <w:rPr>
          <w:rFonts w:hint="eastAsia" w:ascii="宋体" w:hAnsi="宋体" w:cs="宋体"/>
          <w:b/>
          <w:color w:val="auto"/>
          <w:sz w:val="24"/>
          <w:highlight w:val="none"/>
        </w:rPr>
        <w:t>：</w:t>
      </w:r>
    </w:p>
    <w:p>
      <w:pPr>
        <w:keepNext w:val="0"/>
        <w:keepLines w:val="0"/>
        <w:pageBreakBefore w:val="0"/>
        <w:kinsoku/>
        <w:wordWrap/>
        <w:overflowPunct/>
        <w:topLinePunct w:val="0"/>
        <w:autoSpaceDE/>
        <w:autoSpaceDN/>
        <w:bidi w:val="0"/>
        <w:snapToGrid w:val="0"/>
        <w:spacing w:line="360" w:lineRule="auto"/>
        <w:ind w:firstLine="480"/>
        <w:textAlignment w:val="auto"/>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keepNext w:val="0"/>
        <w:keepLines w:val="0"/>
        <w:pageBreakBefore w:val="0"/>
        <w:kinsoku/>
        <w:wordWrap/>
        <w:overflowPunct/>
        <w:topLinePunct w:val="0"/>
        <w:autoSpaceDE/>
        <w:autoSpaceDN/>
        <w:bidi w:val="0"/>
        <w:snapToGrid w:val="0"/>
        <w:spacing w:line="360" w:lineRule="auto"/>
        <w:textAlignment w:val="auto"/>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 xml:space="preserve">    </w:t>
      </w:r>
      <w:r>
        <w:rPr>
          <w:rFonts w:ascii="宋体" w:hAnsi="宋体" w:cs="宋体"/>
          <w:snapToGrid w:val="0"/>
          <w:color w:val="auto"/>
          <w:kern w:val="28"/>
          <w:sz w:val="24"/>
          <w:szCs w:val="20"/>
          <w:highlight w:val="none"/>
        </w:rPr>
        <w:t>2</w:t>
      </w:r>
      <w:r>
        <w:rPr>
          <w:rFonts w:hint="eastAsia" w:ascii="宋体" w:hAnsi="宋体" w:cs="宋体"/>
          <w:snapToGrid w:val="0"/>
          <w:color w:val="auto"/>
          <w:kern w:val="28"/>
          <w:sz w:val="24"/>
          <w:szCs w:val="20"/>
          <w:highlight w:val="none"/>
        </w:rPr>
        <w:t>.</w:t>
      </w:r>
      <w:r>
        <w:rPr>
          <w:rFonts w:hint="eastAsia"/>
          <w:color w:val="auto"/>
          <w:highlight w:val="none"/>
        </w:rPr>
        <w:t xml:space="preserve"> </w:t>
      </w:r>
      <w:r>
        <w:rPr>
          <w:rFonts w:hint="eastAsia" w:ascii="宋体" w:hAnsi="宋体" w:cs="宋体"/>
          <w:snapToGrid w:val="0"/>
          <w:color w:val="auto"/>
          <w:kern w:val="28"/>
          <w:sz w:val="24"/>
          <w:szCs w:val="20"/>
          <w:highlight w:val="none"/>
        </w:rPr>
        <w:t>以联合体形式投标的，提供联合协议(本项目不接受联合体投标或者投标人不以联合体形式投标的，则不需要提供) ；</w:t>
      </w:r>
    </w:p>
    <w:p>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ascii="宋体" w:hAnsi="宋体" w:cs="宋体"/>
          <w:snapToGrid w:val="0"/>
          <w:color w:val="auto"/>
          <w:kern w:val="28"/>
          <w:sz w:val="24"/>
          <w:szCs w:val="20"/>
          <w:highlight w:val="none"/>
        </w:rPr>
      </w:pPr>
      <w:r>
        <w:rPr>
          <w:rFonts w:ascii="宋体" w:hAnsi="宋体" w:cs="宋体"/>
          <w:snapToGrid w:val="0"/>
          <w:color w:val="auto"/>
          <w:kern w:val="28"/>
          <w:sz w:val="24"/>
          <w:szCs w:val="20"/>
          <w:highlight w:val="none"/>
        </w:rPr>
        <w:t>3</w:t>
      </w:r>
      <w:r>
        <w:rPr>
          <w:rFonts w:hint="eastAsia" w:ascii="宋体" w:hAnsi="宋体" w:cs="宋体"/>
          <w:snapToGrid w:val="0"/>
          <w:color w:val="auto"/>
          <w:kern w:val="28"/>
          <w:sz w:val="24"/>
          <w:szCs w:val="20"/>
          <w:highlight w:val="none"/>
        </w:rPr>
        <w:t>.落实政府采购政策需满足的资格要求：</w:t>
      </w:r>
    </w:p>
    <w:p>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ascii="宋体" w:hAnsi="宋体" w:cs="宋体"/>
          <w:color w:val="auto"/>
          <w:sz w:val="24"/>
          <w:highlight w:val="none"/>
        </w:rPr>
      </w:pPr>
      <w:sdt>
        <w:sdtPr>
          <w:rPr>
            <w:rFonts w:hint="eastAsia" w:ascii="宋体" w:hAnsi="宋体" w:cs="宋体"/>
            <w:color w:val="auto"/>
            <w:kern w:val="0"/>
            <w:sz w:val="24"/>
            <w:highlight w:val="none"/>
          </w:rPr>
          <w:id w:val="4650"/>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cs="宋体"/>
              <w:color w:val="auto"/>
              <w:kern w:val="0"/>
              <w:sz w:val="24"/>
              <w:highlight w:val="none"/>
            </w:rPr>
            <w:t>☐</w:t>
          </w:r>
        </w:sdtContent>
      </w:sdt>
      <w:r>
        <w:rPr>
          <w:rFonts w:hint="eastAsia" w:ascii="宋体" w:hAnsi="宋体" w:cs="宋体"/>
          <w:color w:val="auto"/>
          <w:kern w:val="0"/>
          <w:sz w:val="24"/>
          <w:highlight w:val="none"/>
        </w:rPr>
        <w:t xml:space="preserve"> </w:t>
      </w:r>
      <w:r>
        <w:rPr>
          <w:rFonts w:hint="eastAsia" w:ascii="宋体" w:hAnsi="宋体" w:cs="宋体"/>
          <w:color w:val="auto"/>
          <w:sz w:val="24"/>
          <w:highlight w:val="none"/>
        </w:rPr>
        <w:t>无</w:t>
      </w:r>
      <w:r>
        <w:rPr>
          <w:rFonts w:hint="eastAsia" w:ascii="宋体" w:hAnsi="宋体" w:cs="宋体"/>
          <w:snapToGrid w:val="0"/>
          <w:color w:val="auto"/>
          <w:kern w:val="28"/>
          <w:sz w:val="24"/>
          <w:szCs w:val="20"/>
          <w:highlight w:val="none"/>
        </w:rPr>
        <w:t>（注：不得限制大中型企业与小微企业组成联合体参与投标）</w:t>
      </w:r>
      <w:r>
        <w:rPr>
          <w:rFonts w:hint="eastAsia" w:ascii="宋体" w:hAnsi="宋体" w:cs="宋体"/>
          <w:color w:val="auto"/>
          <w:sz w:val="24"/>
          <w:highlight w:val="none"/>
        </w:rPr>
        <w:t>；</w:t>
      </w:r>
    </w:p>
    <w:p>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ascii="宋体" w:hAnsi="宋体" w:cs="宋体"/>
          <w:color w:val="auto"/>
          <w:sz w:val="24"/>
          <w:highlight w:val="none"/>
        </w:rPr>
      </w:pPr>
      <w:sdt>
        <w:sdtPr>
          <w:rPr>
            <w:rFonts w:hint="eastAsia" w:ascii="宋体" w:hAnsi="宋体" w:cs="宋体"/>
            <w:color w:val="auto"/>
            <w:kern w:val="0"/>
            <w:sz w:val="24"/>
            <w:highlight w:val="none"/>
          </w:rPr>
          <w:id w:val="4651"/>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 xml:space="preserve"> 专</w:t>
      </w:r>
      <w:r>
        <w:rPr>
          <w:rFonts w:hint="eastAsia" w:ascii="宋体" w:hAnsi="宋体" w:cs="宋体"/>
          <w:color w:val="auto"/>
          <w:sz w:val="24"/>
          <w:highlight w:val="none"/>
        </w:rPr>
        <w:t>门面向中小企业</w:t>
      </w:r>
    </w:p>
    <w:p>
      <w:pPr>
        <w:keepNext w:val="0"/>
        <w:keepLines w:val="0"/>
        <w:pageBreakBefore w:val="0"/>
        <w:kinsoku/>
        <w:wordWrap/>
        <w:overflowPunct/>
        <w:topLinePunct w:val="0"/>
        <w:autoSpaceDE/>
        <w:autoSpaceDN/>
        <w:bidi w:val="0"/>
        <w:snapToGrid w:val="0"/>
        <w:spacing w:line="360" w:lineRule="auto"/>
        <w:ind w:firstLine="897" w:firstLineChars="374"/>
        <w:textAlignment w:val="auto"/>
        <w:rPr>
          <w:rFonts w:ascii="宋体" w:hAnsi="宋体" w:cs="宋体"/>
          <w:color w:val="auto"/>
          <w:sz w:val="24"/>
          <w:highlight w:val="none"/>
          <w:u w:val="single"/>
        </w:rPr>
      </w:pPr>
      <w:sdt>
        <w:sdtPr>
          <w:rPr>
            <w:rFonts w:hint="eastAsia" w:ascii="宋体" w:hAnsi="宋体" w:cs="宋体"/>
            <w:color w:val="auto"/>
            <w:kern w:val="0"/>
            <w:sz w:val="24"/>
            <w:highlight w:val="none"/>
          </w:rPr>
          <w:id w:val="4652"/>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 xml:space="preserve"> </w:t>
      </w:r>
      <w:r>
        <w:rPr>
          <w:rFonts w:hint="eastAsia" w:ascii="宋体" w:hAnsi="宋体" w:cs="宋体"/>
          <w:color w:val="auto"/>
          <w:sz w:val="24"/>
          <w:highlight w:val="none"/>
        </w:rPr>
        <w:t>货物全部由符合政策要求的中小企业制造，提供中小企业声明函；</w:t>
      </w:r>
    </w:p>
    <w:p>
      <w:pPr>
        <w:keepNext w:val="0"/>
        <w:keepLines w:val="0"/>
        <w:pageBreakBefore w:val="0"/>
        <w:kinsoku/>
        <w:wordWrap/>
        <w:overflowPunct/>
        <w:topLinePunct w:val="0"/>
        <w:autoSpaceDE/>
        <w:autoSpaceDN/>
        <w:bidi w:val="0"/>
        <w:snapToGrid w:val="0"/>
        <w:spacing w:line="360" w:lineRule="auto"/>
        <w:ind w:firstLine="897" w:firstLineChars="374"/>
        <w:textAlignment w:val="auto"/>
        <w:rPr>
          <w:rFonts w:ascii="宋体" w:hAnsi="宋体" w:cs="宋体"/>
          <w:color w:val="auto"/>
          <w:sz w:val="24"/>
          <w:highlight w:val="none"/>
        </w:rPr>
      </w:pPr>
      <w:sdt>
        <w:sdtPr>
          <w:rPr>
            <w:rFonts w:hint="eastAsia" w:ascii="宋体" w:hAnsi="宋体" w:cs="宋体"/>
            <w:color w:val="auto"/>
            <w:kern w:val="0"/>
            <w:sz w:val="24"/>
            <w:highlight w:val="none"/>
          </w:rPr>
          <w:id w:val="4653"/>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cs="宋体"/>
              <w:color w:val="auto"/>
              <w:kern w:val="0"/>
              <w:sz w:val="24"/>
              <w:highlight w:val="none"/>
            </w:rPr>
            <w:t>☐</w:t>
          </w:r>
        </w:sdtContent>
      </w:sdt>
      <w:r>
        <w:rPr>
          <w:rFonts w:hint="eastAsia" w:ascii="宋体" w:hAnsi="宋体" w:cs="宋体"/>
          <w:color w:val="auto"/>
          <w:kern w:val="0"/>
          <w:sz w:val="24"/>
          <w:highlight w:val="none"/>
        </w:rPr>
        <w:t xml:space="preserve"> </w:t>
      </w:r>
      <w:r>
        <w:rPr>
          <w:rFonts w:hint="eastAsia" w:ascii="宋体" w:hAnsi="宋体" w:cs="宋体"/>
          <w:color w:val="auto"/>
          <w:sz w:val="24"/>
          <w:highlight w:val="none"/>
        </w:rPr>
        <w:t>货物全部由符合政策要求的小微企业制造，提供中小企业声明函；</w:t>
      </w:r>
    </w:p>
    <w:p>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ascii="宋体" w:hAnsi="宋体" w:cs="宋体"/>
          <w:color w:val="auto"/>
          <w:sz w:val="24"/>
          <w:highlight w:val="none"/>
        </w:rPr>
      </w:pPr>
      <w:bookmarkStart w:id="8" w:name="_Hlk101132524"/>
      <w:sdt>
        <w:sdtPr>
          <w:rPr>
            <w:rFonts w:hint="eastAsia" w:ascii="宋体" w:hAnsi="宋体" w:cs="宋体"/>
            <w:color w:val="auto"/>
            <w:kern w:val="0"/>
            <w:sz w:val="24"/>
            <w:highlight w:val="none"/>
          </w:rPr>
          <w:id w:val="465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cs="宋体"/>
              <w:color w:val="auto"/>
              <w:kern w:val="0"/>
              <w:sz w:val="24"/>
              <w:highlight w:val="none"/>
            </w:rPr>
            <w:t>☐</w:t>
          </w:r>
        </w:sdtContent>
      </w:sdt>
      <w:r>
        <w:rPr>
          <w:rFonts w:hint="eastAsia" w:ascii="宋体" w:hAnsi="宋体" w:cs="宋体"/>
          <w:color w:val="auto"/>
          <w:kern w:val="0"/>
          <w:sz w:val="24"/>
          <w:highlight w:val="none"/>
        </w:rPr>
        <w:t xml:space="preserve"> </w:t>
      </w:r>
      <w:r>
        <w:rPr>
          <w:rFonts w:hint="eastAsia" w:ascii="宋体" w:hAnsi="宋体" w:cs="宋体"/>
          <w:color w:val="auto"/>
          <w:sz w:val="24"/>
          <w:highlight w:val="none"/>
        </w:rPr>
        <w:t>要求以联合体形式参加，提供联合协议和中小企业声明函，联合协议中中小企业合同金额应当达到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color w:val="auto"/>
          <w:sz w:val="24"/>
          <w:highlight w:val="none"/>
        </w:rPr>
        <w:t>；</w:t>
      </w:r>
    </w:p>
    <w:bookmarkEnd w:id="8"/>
    <w:p>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ascii="宋体" w:hAnsi="宋体" w:cs="宋体"/>
          <w:color w:val="auto"/>
          <w:sz w:val="24"/>
          <w:highlight w:val="none"/>
        </w:rPr>
      </w:pPr>
      <w:sdt>
        <w:sdtPr>
          <w:rPr>
            <w:rFonts w:hint="eastAsia" w:ascii="宋体" w:hAnsi="宋体" w:cs="宋体"/>
            <w:color w:val="auto"/>
            <w:kern w:val="0"/>
            <w:sz w:val="24"/>
            <w:highlight w:val="none"/>
          </w:rPr>
          <w:id w:val="465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cs="宋体"/>
              <w:color w:val="auto"/>
              <w:kern w:val="0"/>
              <w:sz w:val="24"/>
              <w:highlight w:val="none"/>
            </w:rPr>
            <w:t>☐</w:t>
          </w:r>
        </w:sdtContent>
      </w:sdt>
      <w:r>
        <w:rPr>
          <w:rFonts w:hint="eastAsia" w:ascii="宋体" w:hAnsi="宋体" w:cs="宋体"/>
          <w:color w:val="auto"/>
          <w:kern w:val="0"/>
          <w:sz w:val="24"/>
          <w:highlight w:val="none"/>
        </w:rPr>
        <w:t xml:space="preserve"> </w:t>
      </w:r>
      <w:r>
        <w:rPr>
          <w:rFonts w:hint="eastAsia" w:ascii="宋体" w:hAnsi="宋体" w:cs="宋体"/>
          <w:color w:val="auto"/>
          <w:sz w:val="24"/>
          <w:highlight w:val="none"/>
        </w:rPr>
        <w:t>要求合同分包，提供分包意向协议和中小企业声明函，分包意向协议中中小企业合同金额应当达到达到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，其中小微企业合同金额应当达到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w:t>
      </w:r>
      <w:r>
        <w:rPr>
          <w:rFonts w:hint="eastAsia" w:ascii="宋体" w:hAnsi="宋体" w:cs="宋体"/>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color w:val="auto"/>
          <w:sz w:val="24"/>
          <w:highlight w:val="none"/>
        </w:rPr>
        <w:t>；</w:t>
      </w:r>
    </w:p>
    <w:p>
      <w:pPr>
        <w:keepNext w:val="0"/>
        <w:keepLines w:val="0"/>
        <w:pageBreakBefore w:val="0"/>
        <w:numPr>
          <w:ilvl w:val="0"/>
          <w:numId w:val="1"/>
        </w:numPr>
        <w:kinsoku/>
        <w:wordWrap/>
        <w:overflowPunct/>
        <w:topLinePunct w:val="0"/>
        <w:autoSpaceDE/>
        <w:autoSpaceDN/>
        <w:bidi w:val="0"/>
        <w:snapToGrid w:val="0"/>
        <w:spacing w:line="36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本项目的特定资格要求：</w:t>
      </w:r>
      <w:sdt>
        <w:sdtPr>
          <w:rPr>
            <w:rFonts w:hint="eastAsia" w:ascii="宋体" w:hAnsi="宋体" w:cs="宋体"/>
            <w:color w:val="auto"/>
            <w:kern w:val="0"/>
            <w:sz w:val="24"/>
            <w:highlight w:val="none"/>
          </w:rPr>
          <w:id w:val="4656"/>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Wingdings" w:hAnsi="Wingdings" w:eastAsia="MS Gothic" w:cs="宋体"/>
              <w:color w:val="auto"/>
              <w:kern w:val="0"/>
              <w:sz w:val="24"/>
              <w:highlight w:val="none"/>
            </w:rPr>
            <w:t></w:t>
          </w:r>
        </w:sdtContent>
      </w:sdt>
      <w:r>
        <w:rPr>
          <w:rFonts w:hint="eastAsia" w:ascii="宋体" w:hAnsi="宋体" w:cs="宋体"/>
          <w:color w:val="auto"/>
          <w:kern w:val="0"/>
          <w:sz w:val="24"/>
          <w:highlight w:val="none"/>
        </w:rPr>
        <w:t>无</w:t>
      </w:r>
      <w:r>
        <w:rPr>
          <w:rFonts w:hint="eastAsia" w:ascii="宋体" w:hAnsi="宋体" w:cs="宋体"/>
          <w:color w:val="auto"/>
          <w:sz w:val="24"/>
          <w:highlight w:val="none"/>
        </w:rPr>
        <w:br w:type="textWrapping"/>
      </w:r>
      <w:sdt>
        <w:sdtPr>
          <w:rPr>
            <w:rFonts w:hint="eastAsia" w:ascii="宋体" w:hAnsi="宋体" w:cs="宋体"/>
            <w:color w:val="auto"/>
            <w:kern w:val="0"/>
            <w:sz w:val="24"/>
            <w:highlight w:val="none"/>
          </w:rPr>
          <w:id w:val="4657"/>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宋体" w:hAnsi="宋体" w:cs="宋体"/>
          <w:color w:val="auto"/>
          <w:sz w:val="24"/>
          <w:highlight w:val="none"/>
        </w:rPr>
        <w:t>有特定资格要求：</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，该特定条件的法律法规据：</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keepNext w:val="0"/>
        <w:keepLines w:val="0"/>
        <w:pageBreakBefore w:val="0"/>
        <w:numPr>
          <w:ilvl w:val="0"/>
          <w:numId w:val="1"/>
        </w:numPr>
        <w:kinsoku/>
        <w:wordWrap/>
        <w:overflowPunct/>
        <w:topLinePunct w:val="0"/>
        <w:autoSpaceDE/>
        <w:autoSpaceDN/>
        <w:bidi w:val="0"/>
        <w:snapToGrid w:val="0"/>
        <w:spacing w:line="360" w:lineRule="auto"/>
        <w:ind w:left="0" w:leftChars="0"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keepNext w:val="0"/>
        <w:keepLines w:val="0"/>
        <w:pageBreakBefore w:val="0"/>
        <w:kinsoku/>
        <w:wordWrap/>
        <w:overflowPunct/>
        <w:topLinePunct w:val="0"/>
        <w:autoSpaceDE/>
        <w:autoSpaceDN/>
        <w:bidi w:val="0"/>
        <w:snapToGrid w:val="0"/>
        <w:spacing w:line="360" w:lineRule="auto"/>
        <w:textAlignment w:val="auto"/>
        <w:rPr>
          <w:rFonts w:ascii="宋体" w:hAnsi="宋体" w:cs="宋体"/>
          <w:b/>
          <w:color w:val="auto"/>
          <w:sz w:val="24"/>
          <w:highlight w:val="none"/>
        </w:rPr>
      </w:pPr>
      <w:r>
        <w:rPr>
          <w:rFonts w:hint="eastAsia" w:ascii="宋体" w:hAnsi="宋体" w:cs="宋体"/>
          <w:b/>
          <w:color w:val="auto"/>
          <w:sz w:val="24"/>
          <w:highlight w:val="none"/>
        </w:rPr>
        <w:t xml:space="preserve">三、获取招标文件 </w:t>
      </w:r>
    </w:p>
    <w:p>
      <w:pPr>
        <w:keepNext w:val="0"/>
        <w:keepLines w:val="0"/>
        <w:pageBreakBefore w:val="0"/>
        <w:kinsoku/>
        <w:wordWrap/>
        <w:overflowPunct/>
        <w:topLinePunct w:val="0"/>
        <w:autoSpaceDE/>
        <w:autoSpaceDN/>
        <w:bidi w:val="0"/>
        <w:snapToGrid w:val="0"/>
        <w:spacing w:line="360" w:lineRule="auto"/>
        <w:ind w:firstLine="482" w:firstLineChars="200"/>
        <w:textAlignment w:val="auto"/>
        <w:rPr>
          <w:rFonts w:ascii="宋体" w:hAnsi="宋体" w:cs="宋体"/>
          <w:color w:val="auto"/>
          <w:sz w:val="24"/>
          <w:highlight w:val="none"/>
        </w:rPr>
      </w:pPr>
      <w:r>
        <w:rPr>
          <w:rFonts w:hint="eastAsia" w:ascii="宋体" w:hAnsi="宋体" w:cs="宋体"/>
          <w:b/>
          <w:color w:val="auto"/>
          <w:sz w:val="24"/>
          <w:highlight w:val="none"/>
        </w:rPr>
        <w:t>时间：</w:t>
      </w:r>
      <w:r>
        <w:rPr>
          <w:rFonts w:hint="eastAsia" w:ascii="宋体" w:hAnsi="宋体" w:cs="宋体"/>
          <w:color w:val="auto"/>
          <w:sz w:val="24"/>
          <w:highlight w:val="none"/>
        </w:rPr>
        <w:t>/至</w:t>
      </w:r>
      <w:r>
        <w:rPr>
          <w:rFonts w:hint="eastAsia" w:ascii="宋体" w:hAnsi="宋体" w:eastAsia="宋体" w:cs="宋体"/>
          <w:color w:val="auto"/>
          <w:sz w:val="24"/>
          <w:szCs w:val="32"/>
          <w:highlight w:val="none"/>
          <w:u w:val="single"/>
        </w:rPr>
        <w:t>202</w:t>
      </w:r>
      <w:r>
        <w:rPr>
          <w:rFonts w:hint="eastAsia" w:ascii="宋体" w:hAnsi="宋体" w:cs="宋体"/>
          <w:color w:val="auto"/>
          <w:sz w:val="24"/>
          <w:szCs w:val="32"/>
          <w:highlight w:val="none"/>
          <w:u w:val="single"/>
          <w:lang w:val="en-US" w:eastAsia="zh-CN"/>
        </w:rPr>
        <w:t>4</w:t>
      </w:r>
      <w:r>
        <w:rPr>
          <w:rFonts w:hint="eastAsia" w:ascii="宋体" w:hAnsi="宋体" w:eastAsia="宋体" w:cs="宋体"/>
          <w:color w:val="auto"/>
          <w:sz w:val="24"/>
          <w:szCs w:val="32"/>
          <w:highlight w:val="none"/>
          <w:u w:val="single"/>
        </w:rPr>
        <w:t>年</w:t>
      </w:r>
      <w:r>
        <w:rPr>
          <w:rFonts w:hint="eastAsia" w:ascii="宋体" w:hAnsi="宋体" w:cs="宋体"/>
          <w:color w:val="auto"/>
          <w:sz w:val="24"/>
          <w:szCs w:val="32"/>
          <w:highlight w:val="none"/>
          <w:u w:val="single"/>
          <w:lang w:val="en-US" w:eastAsia="zh-CN"/>
        </w:rPr>
        <w:t>5</w:t>
      </w:r>
      <w:r>
        <w:rPr>
          <w:rFonts w:hint="eastAsia" w:ascii="宋体" w:hAnsi="宋体" w:eastAsia="宋体" w:cs="宋体"/>
          <w:color w:val="auto"/>
          <w:sz w:val="24"/>
          <w:szCs w:val="32"/>
          <w:highlight w:val="none"/>
          <w:u w:val="single"/>
        </w:rPr>
        <w:t>月</w:t>
      </w:r>
      <w:r>
        <w:rPr>
          <w:rFonts w:hint="eastAsia" w:ascii="宋体" w:hAnsi="宋体" w:cs="宋体"/>
          <w:color w:val="auto"/>
          <w:sz w:val="24"/>
          <w:szCs w:val="32"/>
          <w:highlight w:val="none"/>
          <w:u w:val="single"/>
          <w:lang w:val="en-US" w:eastAsia="zh-CN"/>
        </w:rPr>
        <w:t>20</w:t>
      </w:r>
      <w:r>
        <w:rPr>
          <w:rFonts w:hint="eastAsia" w:ascii="宋体" w:hAnsi="宋体" w:eastAsia="宋体" w:cs="宋体"/>
          <w:color w:val="auto"/>
          <w:sz w:val="24"/>
          <w:szCs w:val="32"/>
          <w:highlight w:val="none"/>
          <w:u w:val="single"/>
        </w:rPr>
        <w:t>日</w:t>
      </w:r>
      <w:r>
        <w:rPr>
          <w:rFonts w:hint="eastAsia" w:ascii="宋体" w:hAnsi="宋体" w:cs="宋体"/>
          <w:color w:val="auto"/>
          <w:sz w:val="24"/>
          <w:highlight w:val="none"/>
        </w:rPr>
        <w:t>，每天上午00:00至12:00，下午12:00至23:59（北京时间，线上获取法定节假日均可，线下获取文件法定节假日除外）</w:t>
      </w:r>
    </w:p>
    <w:p>
      <w:pPr>
        <w:keepNext w:val="0"/>
        <w:keepLines w:val="0"/>
        <w:pageBreakBefore w:val="0"/>
        <w:kinsoku/>
        <w:wordWrap/>
        <w:overflowPunct/>
        <w:topLinePunct w:val="0"/>
        <w:autoSpaceDE/>
        <w:autoSpaceDN/>
        <w:bidi w:val="0"/>
        <w:snapToGrid w:val="0"/>
        <w:spacing w:line="360" w:lineRule="auto"/>
        <w:ind w:firstLine="482" w:firstLineChars="200"/>
        <w:textAlignment w:val="auto"/>
        <w:rPr>
          <w:rFonts w:ascii="宋体" w:hAnsi="宋体" w:cs="宋体"/>
          <w:color w:val="auto"/>
          <w:sz w:val="24"/>
          <w:highlight w:val="none"/>
        </w:rPr>
      </w:pPr>
      <w:r>
        <w:rPr>
          <w:rFonts w:hint="eastAsia" w:ascii="宋体" w:hAnsi="宋体" w:cs="宋体"/>
          <w:b/>
          <w:color w:val="auto"/>
          <w:sz w:val="24"/>
          <w:highlight w:val="none"/>
        </w:rPr>
        <w:t>地点（网址）：</w:t>
      </w:r>
      <w:r>
        <w:rPr>
          <w:rFonts w:hint="eastAsia" w:ascii="宋体" w:hAnsi="宋体" w:cs="宋体"/>
          <w:color w:val="auto"/>
          <w:sz w:val="24"/>
          <w:highlight w:val="none"/>
        </w:rPr>
        <w:t xml:space="preserve">政采云平台（https://www.zcygov.cn/） </w:t>
      </w:r>
    </w:p>
    <w:p>
      <w:pPr>
        <w:keepNext w:val="0"/>
        <w:keepLines w:val="0"/>
        <w:pageBreakBefore w:val="0"/>
        <w:kinsoku/>
        <w:wordWrap/>
        <w:overflowPunct/>
        <w:topLinePunct w:val="0"/>
        <w:autoSpaceDE/>
        <w:autoSpaceDN/>
        <w:bidi w:val="0"/>
        <w:snapToGrid w:val="0"/>
        <w:spacing w:line="360" w:lineRule="auto"/>
        <w:ind w:firstLine="482" w:firstLineChars="200"/>
        <w:textAlignment w:val="auto"/>
        <w:rPr>
          <w:rFonts w:ascii="宋体" w:hAnsi="宋体" w:cs="宋体"/>
          <w:color w:val="auto"/>
          <w:sz w:val="24"/>
          <w:highlight w:val="none"/>
        </w:rPr>
      </w:pPr>
      <w:r>
        <w:rPr>
          <w:rFonts w:hint="eastAsia" w:ascii="宋体" w:hAnsi="宋体" w:cs="宋体"/>
          <w:b/>
          <w:color w:val="auto"/>
          <w:sz w:val="24"/>
          <w:highlight w:val="none"/>
        </w:rPr>
        <w:t>方式：</w:t>
      </w:r>
      <w:r>
        <w:rPr>
          <w:rFonts w:hint="eastAsia" w:ascii="宋体" w:hAnsi="宋体" w:cs="宋体"/>
          <w:color w:val="auto"/>
          <w:sz w:val="24"/>
          <w:highlight w:val="none"/>
        </w:rPr>
        <w:t xml:space="preserve">供应商登录政采云平台https://www.zcygov.cn/在线申请获取采购文件（进入“项目采购”应用，在获取采购文件菜单中选择项目，申请获取采购文件）。 </w:t>
      </w:r>
    </w:p>
    <w:p>
      <w:pPr>
        <w:keepNext w:val="0"/>
        <w:keepLines w:val="0"/>
        <w:pageBreakBefore w:val="0"/>
        <w:kinsoku/>
        <w:wordWrap/>
        <w:overflowPunct/>
        <w:topLinePunct w:val="0"/>
        <w:autoSpaceDE/>
        <w:autoSpaceDN/>
        <w:bidi w:val="0"/>
        <w:snapToGrid w:val="0"/>
        <w:spacing w:line="360" w:lineRule="auto"/>
        <w:ind w:firstLine="482" w:firstLineChars="200"/>
        <w:textAlignment w:val="auto"/>
        <w:rPr>
          <w:rFonts w:ascii="宋体" w:hAnsi="宋体" w:cs="宋体"/>
          <w:color w:val="auto"/>
          <w:sz w:val="24"/>
          <w:highlight w:val="none"/>
        </w:rPr>
      </w:pPr>
      <w:r>
        <w:rPr>
          <w:rFonts w:hint="eastAsia" w:ascii="宋体" w:hAnsi="宋体" w:cs="宋体"/>
          <w:b/>
          <w:color w:val="auto"/>
          <w:sz w:val="24"/>
          <w:highlight w:val="none"/>
        </w:rPr>
        <w:t>售价（元）：</w:t>
      </w:r>
      <w:r>
        <w:rPr>
          <w:rFonts w:hint="eastAsia" w:ascii="宋体" w:hAnsi="宋体" w:cs="宋体"/>
          <w:color w:val="auto"/>
          <w:sz w:val="24"/>
          <w:highlight w:val="none"/>
        </w:rPr>
        <w:t>0</w:t>
      </w:r>
    </w:p>
    <w:p>
      <w:pPr>
        <w:keepNext w:val="0"/>
        <w:keepLines w:val="0"/>
        <w:pageBreakBefore w:val="0"/>
        <w:kinsoku/>
        <w:wordWrap/>
        <w:overflowPunct/>
        <w:topLinePunct w:val="0"/>
        <w:autoSpaceDE/>
        <w:autoSpaceDN/>
        <w:bidi w:val="0"/>
        <w:snapToGrid w:val="0"/>
        <w:spacing w:line="360" w:lineRule="auto"/>
        <w:textAlignment w:val="auto"/>
        <w:rPr>
          <w:rFonts w:ascii="宋体" w:hAnsi="宋体" w:cs="宋体"/>
          <w:b/>
          <w:color w:val="auto"/>
          <w:sz w:val="24"/>
          <w:highlight w:val="none"/>
        </w:rPr>
      </w:pPr>
      <w:r>
        <w:rPr>
          <w:rFonts w:hint="eastAsia" w:ascii="宋体" w:hAnsi="宋体" w:cs="宋体"/>
          <w:b/>
          <w:color w:val="auto"/>
          <w:sz w:val="24"/>
          <w:highlight w:val="none"/>
        </w:rPr>
        <w:t>四、提交投标文件截止时间、开标时间和地点</w:t>
      </w:r>
    </w:p>
    <w:p>
      <w:pPr>
        <w:keepNext w:val="0"/>
        <w:keepLines w:val="0"/>
        <w:pageBreakBefore w:val="0"/>
        <w:kinsoku/>
        <w:wordWrap/>
        <w:overflowPunct/>
        <w:topLinePunct w:val="0"/>
        <w:autoSpaceDE/>
        <w:autoSpaceDN/>
        <w:bidi w:val="0"/>
        <w:snapToGrid w:val="0"/>
        <w:spacing w:line="360" w:lineRule="auto"/>
        <w:ind w:firstLine="482" w:firstLineChars="200"/>
        <w:textAlignment w:val="auto"/>
        <w:rPr>
          <w:rFonts w:ascii="宋体" w:hAnsi="宋体" w:cs="宋体"/>
          <w:color w:val="auto"/>
          <w:sz w:val="24"/>
          <w:highlight w:val="none"/>
        </w:rPr>
      </w:pPr>
      <w:r>
        <w:rPr>
          <w:rFonts w:hint="eastAsia" w:ascii="宋体" w:hAnsi="宋体" w:cs="宋体"/>
          <w:b/>
          <w:color w:val="auto"/>
          <w:sz w:val="24"/>
          <w:highlight w:val="none"/>
        </w:rPr>
        <w:t>提交投标文件截止时间：</w:t>
      </w:r>
      <w:r>
        <w:rPr>
          <w:rFonts w:hint="eastAsia" w:ascii="宋体" w:hAnsi="宋体" w:cs="宋体"/>
          <w:color w:val="auto"/>
          <w:sz w:val="24"/>
          <w:highlight w:val="none"/>
          <w:u w:val="single"/>
        </w:rPr>
        <w:t>202</w:t>
      </w:r>
      <w:r>
        <w:rPr>
          <w:rFonts w:hint="eastAsia" w:ascii="宋体" w:hAnsi="宋体" w:cs="宋体"/>
          <w:color w:val="auto"/>
          <w:sz w:val="24"/>
          <w:highlight w:val="none"/>
          <w:u w:val="single"/>
          <w:lang w:val="en-US" w:eastAsia="zh-CN"/>
        </w:rPr>
        <w:t>4</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20</w:t>
      </w:r>
      <w:r>
        <w:rPr>
          <w:rFonts w:hint="eastAsia" w:ascii="宋体" w:hAnsi="宋体" w:cs="宋体"/>
          <w:color w:val="auto"/>
          <w:sz w:val="24"/>
          <w:highlight w:val="none"/>
          <w:u w:val="single"/>
        </w:rPr>
        <w:t>日</w:t>
      </w:r>
      <w:r>
        <w:rPr>
          <w:rFonts w:hint="eastAsia" w:ascii="宋体" w:hAnsi="宋体" w:cs="宋体"/>
          <w:color w:val="auto"/>
          <w:sz w:val="24"/>
          <w:highlight w:val="none"/>
          <w:u w:val="single"/>
          <w:lang w:val="en-US" w:eastAsia="zh-CN"/>
        </w:rPr>
        <w:t>9</w:t>
      </w:r>
      <w:r>
        <w:rPr>
          <w:rFonts w:hint="eastAsia" w:ascii="宋体" w:hAnsi="宋体" w:cs="宋体"/>
          <w:color w:val="auto"/>
          <w:sz w:val="24"/>
          <w:highlight w:val="none"/>
          <w:u w:val="single"/>
        </w:rPr>
        <w:t>点</w:t>
      </w:r>
      <w:r>
        <w:rPr>
          <w:rFonts w:hint="eastAsia" w:ascii="宋体" w:hAnsi="宋体" w:cs="宋体"/>
          <w:color w:val="auto"/>
          <w:sz w:val="24"/>
          <w:highlight w:val="none"/>
          <w:u w:val="single"/>
          <w:lang w:val="en-US" w:eastAsia="zh-CN"/>
        </w:rPr>
        <w:t>00</w:t>
      </w:r>
      <w:r>
        <w:rPr>
          <w:rFonts w:hint="eastAsia" w:ascii="宋体" w:hAnsi="宋体" w:cs="宋体"/>
          <w:color w:val="auto"/>
          <w:sz w:val="24"/>
          <w:highlight w:val="none"/>
          <w:u w:val="single"/>
        </w:rPr>
        <w:t>分00秒</w:t>
      </w:r>
      <w:r>
        <w:rPr>
          <w:rFonts w:hint="eastAsia" w:ascii="宋体" w:hAnsi="宋体" w:cs="宋体"/>
          <w:color w:val="auto"/>
          <w:sz w:val="24"/>
          <w:highlight w:val="none"/>
        </w:rPr>
        <w:t>（北京时间）</w:t>
      </w:r>
    </w:p>
    <w:p>
      <w:pPr>
        <w:keepNext w:val="0"/>
        <w:keepLines w:val="0"/>
        <w:pageBreakBefore w:val="0"/>
        <w:kinsoku/>
        <w:wordWrap/>
        <w:overflowPunct/>
        <w:topLinePunct w:val="0"/>
        <w:autoSpaceDE/>
        <w:autoSpaceDN/>
        <w:bidi w:val="0"/>
        <w:snapToGrid w:val="0"/>
        <w:spacing w:line="360" w:lineRule="auto"/>
        <w:ind w:firstLine="482" w:firstLineChars="200"/>
        <w:textAlignment w:val="auto"/>
        <w:rPr>
          <w:rFonts w:ascii="宋体" w:hAnsi="宋体" w:cs="宋体"/>
          <w:b/>
          <w:color w:val="auto"/>
          <w:sz w:val="24"/>
          <w:highlight w:val="none"/>
        </w:rPr>
      </w:pPr>
      <w:r>
        <w:rPr>
          <w:rFonts w:hint="eastAsia" w:ascii="宋体" w:hAnsi="宋体" w:cs="宋体"/>
          <w:b/>
          <w:color w:val="auto"/>
          <w:sz w:val="24"/>
          <w:highlight w:val="none"/>
        </w:rPr>
        <w:t>投标地点（网址）：</w:t>
      </w:r>
      <w:r>
        <w:rPr>
          <w:rFonts w:hint="eastAsia" w:ascii="宋体" w:hAnsi="宋体" w:cs="宋体"/>
          <w:color w:val="auto"/>
          <w:sz w:val="24"/>
          <w:highlight w:val="none"/>
        </w:rPr>
        <w:t>政采云平台（https://www.zcy（gov.cn/）</w:t>
      </w:r>
    </w:p>
    <w:p>
      <w:pPr>
        <w:keepNext w:val="0"/>
        <w:keepLines w:val="0"/>
        <w:pageBreakBefore w:val="0"/>
        <w:kinsoku/>
        <w:wordWrap/>
        <w:overflowPunct/>
        <w:topLinePunct w:val="0"/>
        <w:autoSpaceDE/>
        <w:autoSpaceDN/>
        <w:bidi w:val="0"/>
        <w:snapToGrid w:val="0"/>
        <w:spacing w:line="360" w:lineRule="auto"/>
        <w:ind w:firstLine="482" w:firstLineChars="200"/>
        <w:textAlignment w:val="auto"/>
        <w:rPr>
          <w:rFonts w:ascii="宋体" w:hAnsi="宋体" w:cs="宋体"/>
          <w:bCs/>
          <w:color w:val="auto"/>
          <w:sz w:val="24"/>
          <w:highlight w:val="none"/>
          <w:u w:val="single"/>
        </w:rPr>
      </w:pPr>
      <w:r>
        <w:rPr>
          <w:rFonts w:hint="eastAsia" w:ascii="宋体" w:hAnsi="宋体" w:cs="宋体"/>
          <w:b/>
          <w:color w:val="auto"/>
          <w:sz w:val="24"/>
          <w:highlight w:val="none"/>
        </w:rPr>
        <w:t>开标时间：</w:t>
      </w:r>
      <w:r>
        <w:rPr>
          <w:rFonts w:hint="eastAsia" w:ascii="宋体" w:hAnsi="宋体" w:cs="宋体"/>
          <w:color w:val="auto"/>
          <w:sz w:val="24"/>
          <w:highlight w:val="none"/>
          <w:u w:val="single"/>
        </w:rPr>
        <w:t>202</w:t>
      </w:r>
      <w:r>
        <w:rPr>
          <w:rFonts w:hint="eastAsia" w:ascii="宋体" w:hAnsi="宋体" w:cs="宋体"/>
          <w:color w:val="auto"/>
          <w:sz w:val="24"/>
          <w:highlight w:val="none"/>
          <w:u w:val="single"/>
          <w:lang w:val="en-US" w:eastAsia="zh-CN"/>
        </w:rPr>
        <w:t>4</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20</w:t>
      </w:r>
      <w:r>
        <w:rPr>
          <w:rFonts w:hint="eastAsia" w:ascii="宋体" w:hAnsi="宋体" w:cs="宋体"/>
          <w:color w:val="auto"/>
          <w:sz w:val="24"/>
          <w:highlight w:val="none"/>
          <w:u w:val="single"/>
        </w:rPr>
        <w:t>日</w:t>
      </w:r>
      <w:r>
        <w:rPr>
          <w:rFonts w:hint="eastAsia" w:ascii="宋体" w:hAnsi="宋体" w:cs="宋体"/>
          <w:color w:val="auto"/>
          <w:sz w:val="24"/>
          <w:highlight w:val="none"/>
          <w:u w:val="single"/>
          <w:lang w:val="en-US" w:eastAsia="zh-CN"/>
        </w:rPr>
        <w:t>9</w:t>
      </w:r>
      <w:r>
        <w:rPr>
          <w:rFonts w:hint="eastAsia" w:ascii="宋体" w:hAnsi="宋体" w:cs="宋体"/>
          <w:color w:val="auto"/>
          <w:sz w:val="24"/>
          <w:highlight w:val="none"/>
          <w:u w:val="single"/>
        </w:rPr>
        <w:t>点</w:t>
      </w:r>
      <w:r>
        <w:rPr>
          <w:rFonts w:hint="eastAsia" w:ascii="宋体" w:hAnsi="宋体" w:cs="宋体"/>
          <w:color w:val="auto"/>
          <w:sz w:val="24"/>
          <w:highlight w:val="none"/>
          <w:u w:val="single"/>
          <w:lang w:val="en-US" w:eastAsia="zh-CN"/>
        </w:rPr>
        <w:t>00</w:t>
      </w:r>
      <w:r>
        <w:rPr>
          <w:rFonts w:hint="eastAsia" w:ascii="宋体" w:hAnsi="宋体" w:cs="宋体"/>
          <w:color w:val="auto"/>
          <w:sz w:val="24"/>
          <w:highlight w:val="none"/>
          <w:u w:val="single"/>
        </w:rPr>
        <w:t>分00秒</w:t>
      </w:r>
      <w:r>
        <w:rPr>
          <w:rFonts w:hint="eastAsia" w:ascii="宋体" w:hAnsi="宋体" w:cs="宋体"/>
          <w:color w:val="auto"/>
          <w:sz w:val="24"/>
          <w:highlight w:val="none"/>
        </w:rPr>
        <w:t>（北京时间）</w:t>
      </w:r>
      <w:bookmarkStart w:id="551" w:name="_GoBack"/>
      <w:bookmarkEnd w:id="551"/>
    </w:p>
    <w:p>
      <w:pPr>
        <w:keepNext w:val="0"/>
        <w:keepLines w:val="0"/>
        <w:pageBreakBefore w:val="0"/>
        <w:kinsoku/>
        <w:wordWrap/>
        <w:overflowPunct/>
        <w:topLinePunct w:val="0"/>
        <w:autoSpaceDE/>
        <w:autoSpaceDN/>
        <w:bidi w:val="0"/>
        <w:snapToGrid w:val="0"/>
        <w:spacing w:line="360" w:lineRule="auto"/>
        <w:ind w:firstLine="482" w:firstLineChars="200"/>
        <w:textAlignment w:val="auto"/>
        <w:rPr>
          <w:rFonts w:ascii="宋体" w:hAnsi="宋体" w:cs="宋体"/>
          <w:color w:val="auto"/>
          <w:sz w:val="24"/>
          <w:highlight w:val="none"/>
        </w:rPr>
      </w:pPr>
      <w:r>
        <w:rPr>
          <w:rFonts w:hint="eastAsia" w:ascii="宋体" w:hAnsi="宋体" w:cs="宋体"/>
          <w:b/>
          <w:color w:val="auto"/>
          <w:sz w:val="24"/>
          <w:highlight w:val="none"/>
        </w:rPr>
        <w:t>开标地点（网址）：</w:t>
      </w:r>
      <w:r>
        <w:rPr>
          <w:rFonts w:hint="eastAsia" w:ascii="宋体" w:hAnsi="宋体" w:cs="宋体"/>
          <w:color w:val="auto"/>
          <w:sz w:val="24"/>
          <w:highlight w:val="none"/>
        </w:rPr>
        <w:t>政采云平台（https://www.zcygov.cn/）</w:t>
      </w:r>
    </w:p>
    <w:p>
      <w:pPr>
        <w:keepNext w:val="0"/>
        <w:keepLines w:val="0"/>
        <w:pageBreakBefore w:val="0"/>
        <w:kinsoku/>
        <w:wordWrap/>
        <w:overflowPunct/>
        <w:topLinePunct w:val="0"/>
        <w:autoSpaceDE/>
        <w:autoSpaceDN/>
        <w:bidi w:val="0"/>
        <w:snapToGrid w:val="0"/>
        <w:spacing w:line="360" w:lineRule="auto"/>
        <w:textAlignment w:val="auto"/>
        <w:rPr>
          <w:rFonts w:ascii="宋体" w:hAnsi="宋体" w:cs="宋体"/>
          <w:color w:val="auto"/>
          <w:sz w:val="24"/>
          <w:highlight w:val="none"/>
        </w:rPr>
      </w:pPr>
      <w:r>
        <w:rPr>
          <w:rFonts w:hint="eastAsia" w:ascii="宋体" w:hAnsi="宋体" w:cs="宋体"/>
          <w:b/>
          <w:color w:val="auto"/>
          <w:sz w:val="24"/>
          <w:highlight w:val="none"/>
        </w:rPr>
        <w:t>五、公告期限</w:t>
      </w:r>
    </w:p>
    <w:p>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自本公告发布之日起5个工作日。</w:t>
      </w:r>
    </w:p>
    <w:p>
      <w:pPr>
        <w:keepNext w:val="0"/>
        <w:keepLines w:val="0"/>
        <w:pageBreakBefore w:val="0"/>
        <w:kinsoku/>
        <w:wordWrap/>
        <w:overflowPunct/>
        <w:topLinePunct w:val="0"/>
        <w:autoSpaceDE/>
        <w:autoSpaceDN/>
        <w:bidi w:val="0"/>
        <w:snapToGrid w:val="0"/>
        <w:spacing w:line="360" w:lineRule="auto"/>
        <w:textAlignment w:val="auto"/>
        <w:rPr>
          <w:rFonts w:ascii="宋体" w:hAnsi="宋体" w:cs="宋体"/>
          <w:b/>
          <w:color w:val="auto"/>
          <w:sz w:val="24"/>
          <w:highlight w:val="none"/>
        </w:rPr>
      </w:pPr>
      <w:r>
        <w:rPr>
          <w:rFonts w:hint="eastAsia" w:ascii="宋体" w:hAnsi="宋体" w:cs="宋体"/>
          <w:b/>
          <w:color w:val="auto"/>
          <w:sz w:val="24"/>
          <w:highlight w:val="none"/>
        </w:rPr>
        <w:t>六、其他补充事宜</w:t>
      </w:r>
    </w:p>
    <w:p>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 xml:space="preserve"> 1. </w:t>
      </w:r>
      <w:r>
        <w:rPr>
          <w:rFonts w:ascii="宋体" w:hAnsi="宋体" w:cs="宋体"/>
          <w:color w:val="auto"/>
          <w:sz w:val="24"/>
          <w:highlight w:val="none"/>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宋体" w:hAnsi="宋体" w:cs="宋体"/>
          <w:color w:val="auto"/>
          <w:sz w:val="24"/>
          <w:highlight w:val="none"/>
        </w:rPr>
        <w:t>。</w:t>
      </w:r>
    </w:p>
    <w:p>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 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keepNext w:val="0"/>
        <w:keepLines w:val="0"/>
        <w:pageBreakBefore w:val="0"/>
        <w:kinsoku/>
        <w:wordWrap/>
        <w:overflowPunct/>
        <w:topLinePunct w:val="0"/>
        <w:autoSpaceDE/>
        <w:autoSpaceDN/>
        <w:bidi w:val="0"/>
        <w:snapToGrid w:val="0"/>
        <w:spacing w:line="360" w:lineRule="auto"/>
        <w:ind w:firstLine="420" w:firstLineChars="0"/>
        <w:textAlignment w:val="auto"/>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 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keepNext w:val="0"/>
        <w:keepLines w:val="0"/>
        <w:pageBreakBefore w:val="0"/>
        <w:kinsoku/>
        <w:wordWrap/>
        <w:overflowPunct/>
        <w:topLinePunct w:val="0"/>
        <w:autoSpaceDE/>
        <w:autoSpaceDN/>
        <w:bidi w:val="0"/>
        <w:snapToGrid w:val="0"/>
        <w:spacing w:line="360" w:lineRule="auto"/>
        <w:ind w:firstLine="420" w:firstLineChars="0"/>
        <w:textAlignment w:val="auto"/>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 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项目是否接收备份文件，以前附表说明为准。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keepNext w:val="0"/>
        <w:keepLines w:val="0"/>
        <w:pageBreakBefore w:val="0"/>
        <w:kinsoku/>
        <w:wordWrap/>
        <w:overflowPunct/>
        <w:topLinePunct w:val="0"/>
        <w:autoSpaceDE/>
        <w:autoSpaceDN/>
        <w:bidi w:val="0"/>
        <w:snapToGrid w:val="0"/>
        <w:spacing w:line="360" w:lineRule="auto"/>
        <w:textAlignment w:val="auto"/>
        <w:rPr>
          <w:rFonts w:ascii="宋体" w:hAnsi="宋体" w:cs="宋体"/>
          <w:b/>
          <w:color w:val="auto"/>
          <w:sz w:val="24"/>
          <w:highlight w:val="none"/>
        </w:rPr>
      </w:pPr>
      <w:r>
        <w:rPr>
          <w:rFonts w:hint="eastAsia" w:ascii="宋体" w:hAnsi="宋体" w:cs="宋体"/>
          <w:b/>
          <w:color w:val="auto"/>
          <w:sz w:val="24"/>
          <w:highlight w:val="none"/>
        </w:rPr>
        <w:t>七、对本次采购提出询问、质疑、投诉，请按以下方式联系</w:t>
      </w:r>
    </w:p>
    <w:p>
      <w:pPr>
        <w:keepNext w:val="0"/>
        <w:keepLines w:val="0"/>
        <w:pageBreakBefore w:val="0"/>
        <w:kinsoku/>
        <w:wordWrap/>
        <w:overflowPunct/>
        <w:topLinePunct w:val="0"/>
        <w:autoSpaceDE/>
        <w:autoSpaceDN/>
        <w:bidi w:val="0"/>
        <w:snapToGrid w:val="0"/>
        <w:spacing w:line="360" w:lineRule="auto"/>
        <w:ind w:firstLine="420" w:firstLineChars="0"/>
        <w:textAlignment w:val="auto"/>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采购人信息</w:t>
      </w:r>
    </w:p>
    <w:p>
      <w:pPr>
        <w:keepNext w:val="0"/>
        <w:keepLines w:val="0"/>
        <w:pageBreakBefore w:val="0"/>
        <w:kinsoku/>
        <w:wordWrap/>
        <w:overflowPunct/>
        <w:topLinePunct w:val="0"/>
        <w:autoSpaceDE/>
        <w:autoSpaceDN/>
        <w:bidi w:val="0"/>
        <w:snapToGrid w:val="0"/>
        <w:spacing w:line="360" w:lineRule="auto"/>
        <w:ind w:firstLine="420" w:firstLineChars="0"/>
        <w:textAlignment w:val="auto"/>
        <w:rPr>
          <w:rFonts w:ascii="宋体" w:hAnsi="宋体" w:cs="宋体"/>
          <w:color w:val="auto"/>
          <w:sz w:val="24"/>
          <w:highlight w:val="none"/>
        </w:rPr>
      </w:pPr>
      <w:r>
        <w:rPr>
          <w:rFonts w:hint="eastAsia" w:ascii="宋体" w:hAnsi="宋体" w:cs="宋体"/>
          <w:color w:val="auto"/>
          <w:sz w:val="24"/>
          <w:highlight w:val="none"/>
        </w:rPr>
        <w:t>名    称：杭州市萧山区人民政府宁围街道办事处</w:t>
      </w:r>
    </w:p>
    <w:p>
      <w:pPr>
        <w:keepNext w:val="0"/>
        <w:keepLines w:val="0"/>
        <w:pageBreakBefore w:val="0"/>
        <w:kinsoku/>
        <w:wordWrap/>
        <w:overflowPunct/>
        <w:topLinePunct w:val="0"/>
        <w:autoSpaceDE/>
        <w:autoSpaceDN/>
        <w:bidi w:val="0"/>
        <w:snapToGrid w:val="0"/>
        <w:spacing w:line="360" w:lineRule="auto"/>
        <w:ind w:firstLine="420" w:firstLineChars="0"/>
        <w:textAlignment w:val="auto"/>
        <w:rPr>
          <w:rFonts w:ascii="宋体" w:hAnsi="宋体" w:cs="宋体"/>
          <w:color w:val="auto"/>
          <w:sz w:val="24"/>
          <w:highlight w:val="none"/>
        </w:rPr>
      </w:pPr>
      <w:r>
        <w:rPr>
          <w:rFonts w:hint="eastAsia" w:ascii="宋体" w:hAnsi="宋体" w:cs="宋体"/>
          <w:color w:val="auto"/>
          <w:sz w:val="24"/>
          <w:highlight w:val="none"/>
        </w:rPr>
        <w:t>地    址：杭州市萧山区振宁路228号</w:t>
      </w:r>
    </w:p>
    <w:p>
      <w:pPr>
        <w:keepNext w:val="0"/>
        <w:keepLines w:val="0"/>
        <w:pageBreakBefore w:val="0"/>
        <w:kinsoku/>
        <w:wordWrap/>
        <w:overflowPunct/>
        <w:topLinePunct w:val="0"/>
        <w:autoSpaceDE/>
        <w:autoSpaceDN/>
        <w:bidi w:val="0"/>
        <w:snapToGrid w:val="0"/>
        <w:spacing w:line="360" w:lineRule="auto"/>
        <w:ind w:firstLine="420" w:firstLineChars="0"/>
        <w:textAlignment w:val="auto"/>
        <w:rPr>
          <w:rFonts w:ascii="宋体" w:hAnsi="宋体" w:cs="宋体"/>
          <w:color w:val="auto"/>
          <w:sz w:val="24"/>
          <w:highlight w:val="none"/>
        </w:rPr>
      </w:pPr>
      <w:r>
        <w:rPr>
          <w:rFonts w:hint="eastAsia" w:ascii="宋体" w:hAnsi="宋体" w:cs="宋体"/>
          <w:color w:val="auto"/>
          <w:sz w:val="24"/>
          <w:highlight w:val="none"/>
        </w:rPr>
        <w:t>传    真：/</w:t>
      </w:r>
    </w:p>
    <w:p>
      <w:pPr>
        <w:keepNext w:val="0"/>
        <w:keepLines w:val="0"/>
        <w:pageBreakBefore w:val="0"/>
        <w:kinsoku/>
        <w:wordWrap/>
        <w:overflowPunct/>
        <w:topLinePunct w:val="0"/>
        <w:autoSpaceDE/>
        <w:autoSpaceDN/>
        <w:bidi w:val="0"/>
        <w:snapToGrid w:val="0"/>
        <w:spacing w:line="360" w:lineRule="auto"/>
        <w:ind w:firstLine="420" w:firstLineChars="0"/>
        <w:textAlignment w:val="auto"/>
        <w:rPr>
          <w:rFonts w:ascii="宋体" w:hAnsi="宋体" w:cs="宋体"/>
          <w:color w:val="auto"/>
          <w:sz w:val="24"/>
          <w:highlight w:val="none"/>
        </w:rPr>
      </w:pPr>
      <w:r>
        <w:rPr>
          <w:rFonts w:hint="eastAsia" w:ascii="宋体" w:hAnsi="宋体" w:cs="宋体"/>
          <w:color w:val="auto"/>
          <w:sz w:val="24"/>
          <w:highlight w:val="none"/>
        </w:rPr>
        <w:t>项目联系人（询问）：陈滢滢</w:t>
      </w:r>
    </w:p>
    <w:p>
      <w:pPr>
        <w:keepNext w:val="0"/>
        <w:keepLines w:val="0"/>
        <w:pageBreakBefore w:val="0"/>
        <w:kinsoku/>
        <w:wordWrap/>
        <w:overflowPunct/>
        <w:topLinePunct w:val="0"/>
        <w:autoSpaceDE/>
        <w:autoSpaceDN/>
        <w:bidi w:val="0"/>
        <w:snapToGrid w:val="0"/>
        <w:spacing w:line="360" w:lineRule="auto"/>
        <w:ind w:firstLine="420" w:firstLineChars="0"/>
        <w:textAlignment w:val="auto"/>
        <w:rPr>
          <w:rFonts w:ascii="宋体" w:hAnsi="宋体" w:cs="宋体"/>
          <w:color w:val="auto"/>
          <w:sz w:val="24"/>
          <w:highlight w:val="none"/>
        </w:rPr>
      </w:pPr>
      <w:r>
        <w:rPr>
          <w:rFonts w:hint="eastAsia" w:ascii="宋体" w:hAnsi="宋体" w:cs="宋体"/>
          <w:color w:val="auto"/>
          <w:sz w:val="24"/>
          <w:highlight w:val="none"/>
        </w:rPr>
        <w:t>项目联系方式（询问）：15268421024</w:t>
      </w:r>
    </w:p>
    <w:p>
      <w:pPr>
        <w:keepNext w:val="0"/>
        <w:keepLines w:val="0"/>
        <w:pageBreakBefore w:val="0"/>
        <w:kinsoku/>
        <w:wordWrap/>
        <w:overflowPunct/>
        <w:topLinePunct w:val="0"/>
        <w:autoSpaceDE/>
        <w:autoSpaceDN/>
        <w:bidi w:val="0"/>
        <w:snapToGrid w:val="0"/>
        <w:spacing w:line="360" w:lineRule="auto"/>
        <w:ind w:firstLine="420" w:firstLineChars="0"/>
        <w:textAlignment w:val="auto"/>
        <w:rPr>
          <w:rFonts w:ascii="宋体" w:hAnsi="宋体" w:cs="宋体"/>
          <w:color w:val="auto"/>
          <w:sz w:val="24"/>
          <w:highlight w:val="none"/>
        </w:rPr>
      </w:pPr>
      <w:r>
        <w:rPr>
          <w:rFonts w:hint="eastAsia" w:ascii="宋体" w:hAnsi="宋体" w:cs="宋体"/>
          <w:color w:val="auto"/>
          <w:sz w:val="24"/>
          <w:highlight w:val="none"/>
        </w:rPr>
        <w:t>质疑联系人：倪陆扬</w:t>
      </w:r>
    </w:p>
    <w:p>
      <w:pPr>
        <w:keepNext w:val="0"/>
        <w:keepLines w:val="0"/>
        <w:pageBreakBefore w:val="0"/>
        <w:kinsoku/>
        <w:wordWrap/>
        <w:overflowPunct/>
        <w:topLinePunct w:val="0"/>
        <w:autoSpaceDE/>
        <w:autoSpaceDN/>
        <w:bidi w:val="0"/>
        <w:snapToGrid w:val="0"/>
        <w:spacing w:line="360" w:lineRule="auto"/>
        <w:ind w:firstLine="420" w:firstLineChars="0"/>
        <w:textAlignment w:val="auto"/>
        <w:rPr>
          <w:rFonts w:ascii="宋体" w:hAnsi="宋体" w:cs="宋体"/>
          <w:color w:val="auto"/>
          <w:sz w:val="24"/>
          <w:highlight w:val="none"/>
        </w:rPr>
      </w:pPr>
      <w:r>
        <w:rPr>
          <w:rFonts w:hint="eastAsia" w:ascii="宋体" w:hAnsi="宋体" w:cs="宋体"/>
          <w:color w:val="auto"/>
          <w:sz w:val="24"/>
          <w:highlight w:val="none"/>
        </w:rPr>
        <w:t>质疑联系方式：0571-82863812</w:t>
      </w:r>
    </w:p>
    <w:p>
      <w:pPr>
        <w:keepNext w:val="0"/>
        <w:keepLines w:val="0"/>
        <w:pageBreakBefore w:val="0"/>
        <w:numPr>
          <w:ilvl w:val="0"/>
          <w:numId w:val="0"/>
        </w:numPr>
        <w:kinsoku/>
        <w:wordWrap/>
        <w:overflowPunct/>
        <w:topLinePunct w:val="0"/>
        <w:autoSpaceDE/>
        <w:autoSpaceDN/>
        <w:bidi w:val="0"/>
        <w:snapToGrid w:val="0"/>
        <w:spacing w:line="360" w:lineRule="auto"/>
        <w:ind w:firstLine="421" w:firstLineChars="0"/>
        <w:textAlignment w:val="auto"/>
        <w:rPr>
          <w:rFonts w:ascii="宋体" w:hAnsi="宋体" w:cs="宋体"/>
          <w:color w:val="auto"/>
          <w:sz w:val="24"/>
          <w:highlight w:val="none"/>
        </w:rPr>
      </w:pPr>
      <w:r>
        <w:rPr>
          <w:rFonts w:hint="eastAsia" w:ascii="宋体" w:hAnsi="宋体" w:cs="宋体"/>
          <w:color w:val="auto"/>
          <w:sz w:val="24"/>
          <w:highlight w:val="none"/>
          <w:lang w:val="en-US" w:eastAsia="zh-CN"/>
        </w:rPr>
        <w:t xml:space="preserve">2. </w:t>
      </w:r>
      <w:r>
        <w:rPr>
          <w:rFonts w:hint="eastAsia" w:ascii="宋体" w:hAnsi="宋体" w:cs="宋体"/>
          <w:color w:val="auto"/>
          <w:sz w:val="24"/>
          <w:highlight w:val="none"/>
        </w:rPr>
        <w:t>采购代理机构信息</w:t>
      </w:r>
    </w:p>
    <w:p>
      <w:pPr>
        <w:keepNext w:val="0"/>
        <w:keepLines w:val="0"/>
        <w:pageBreakBefore w:val="0"/>
        <w:kinsoku/>
        <w:wordWrap/>
        <w:overflowPunct/>
        <w:topLinePunct w:val="0"/>
        <w:autoSpaceDE/>
        <w:autoSpaceDN/>
        <w:bidi w:val="0"/>
        <w:snapToGrid w:val="0"/>
        <w:spacing w:line="360" w:lineRule="auto"/>
        <w:ind w:firstLine="420" w:firstLineChars="0"/>
        <w:textAlignment w:val="auto"/>
        <w:rPr>
          <w:rFonts w:ascii="宋体" w:hAnsi="宋体" w:cs="宋体"/>
          <w:color w:val="auto"/>
          <w:sz w:val="24"/>
          <w:highlight w:val="none"/>
        </w:rPr>
      </w:pPr>
      <w:r>
        <w:rPr>
          <w:rFonts w:hint="eastAsia" w:ascii="宋体" w:hAnsi="宋体" w:cs="宋体"/>
          <w:color w:val="auto"/>
          <w:sz w:val="24"/>
          <w:highlight w:val="none"/>
        </w:rPr>
        <w:t>名    称：杭州市公共资源交易中心萧山分中心</w:t>
      </w:r>
    </w:p>
    <w:p>
      <w:pPr>
        <w:keepNext w:val="0"/>
        <w:keepLines w:val="0"/>
        <w:pageBreakBefore w:val="0"/>
        <w:kinsoku/>
        <w:wordWrap/>
        <w:overflowPunct/>
        <w:topLinePunct w:val="0"/>
        <w:autoSpaceDE/>
        <w:autoSpaceDN/>
        <w:bidi w:val="0"/>
        <w:snapToGrid w:val="0"/>
        <w:spacing w:line="360" w:lineRule="auto"/>
        <w:ind w:firstLine="420" w:firstLineChars="0"/>
        <w:textAlignment w:val="auto"/>
        <w:rPr>
          <w:rFonts w:ascii="宋体" w:hAnsi="宋体" w:cs="宋体"/>
          <w:color w:val="auto"/>
          <w:sz w:val="24"/>
          <w:highlight w:val="none"/>
        </w:rPr>
      </w:pPr>
      <w:r>
        <w:rPr>
          <w:rFonts w:hint="eastAsia" w:ascii="宋体" w:hAnsi="宋体" w:cs="宋体"/>
          <w:color w:val="auto"/>
          <w:sz w:val="24"/>
          <w:highlight w:val="none"/>
        </w:rPr>
        <w:t>地    址：杭州市萧山区博学路618号政务服务中心4楼</w:t>
      </w:r>
    </w:p>
    <w:p>
      <w:pPr>
        <w:keepNext w:val="0"/>
        <w:keepLines w:val="0"/>
        <w:pageBreakBefore w:val="0"/>
        <w:kinsoku/>
        <w:wordWrap/>
        <w:overflowPunct/>
        <w:topLinePunct w:val="0"/>
        <w:autoSpaceDE/>
        <w:autoSpaceDN/>
        <w:bidi w:val="0"/>
        <w:snapToGrid w:val="0"/>
        <w:spacing w:line="360" w:lineRule="auto"/>
        <w:ind w:firstLine="420" w:firstLineChars="0"/>
        <w:textAlignment w:val="auto"/>
        <w:rPr>
          <w:rFonts w:ascii="宋体" w:hAnsi="宋体" w:cs="宋体"/>
          <w:color w:val="auto"/>
          <w:sz w:val="24"/>
          <w:highlight w:val="none"/>
        </w:rPr>
      </w:pPr>
      <w:r>
        <w:rPr>
          <w:rFonts w:hint="eastAsia" w:ascii="宋体" w:hAnsi="宋体" w:cs="宋体"/>
          <w:color w:val="auto"/>
          <w:sz w:val="24"/>
          <w:highlight w:val="none"/>
        </w:rPr>
        <w:t>传    真：/</w:t>
      </w:r>
    </w:p>
    <w:p>
      <w:pPr>
        <w:keepNext w:val="0"/>
        <w:keepLines w:val="0"/>
        <w:pageBreakBefore w:val="0"/>
        <w:kinsoku/>
        <w:wordWrap/>
        <w:overflowPunct/>
        <w:topLinePunct w:val="0"/>
        <w:autoSpaceDE/>
        <w:autoSpaceDN/>
        <w:bidi w:val="0"/>
        <w:snapToGrid w:val="0"/>
        <w:spacing w:line="360" w:lineRule="auto"/>
        <w:ind w:firstLine="420" w:firstLineChars="0"/>
        <w:textAlignment w:val="auto"/>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rPr>
        <w:t>项目联系人（询问）：</w:t>
      </w:r>
      <w:r>
        <w:rPr>
          <w:rFonts w:hint="eastAsia" w:ascii="宋体" w:hAnsi="宋体" w:cs="宋体"/>
          <w:color w:val="auto"/>
          <w:sz w:val="24"/>
          <w:highlight w:val="none"/>
          <w:lang w:val="en-US" w:eastAsia="zh-CN"/>
        </w:rPr>
        <w:t>吴工</w:t>
      </w:r>
    </w:p>
    <w:p>
      <w:pPr>
        <w:keepNext w:val="0"/>
        <w:keepLines w:val="0"/>
        <w:pageBreakBefore w:val="0"/>
        <w:kinsoku/>
        <w:wordWrap/>
        <w:overflowPunct/>
        <w:topLinePunct w:val="0"/>
        <w:autoSpaceDE/>
        <w:autoSpaceDN/>
        <w:bidi w:val="0"/>
        <w:snapToGrid w:val="0"/>
        <w:spacing w:line="360" w:lineRule="auto"/>
        <w:ind w:firstLine="420" w:firstLineChars="0"/>
        <w:textAlignment w:val="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项目联系方式（询问）：</w:t>
      </w:r>
      <w:r>
        <w:rPr>
          <w:rFonts w:hint="eastAsia" w:ascii="宋体" w:hAnsi="宋体" w:cs="宋体"/>
          <w:color w:val="auto"/>
          <w:sz w:val="24"/>
          <w:highlight w:val="none"/>
          <w:lang w:val="en-US" w:eastAsia="zh-CN"/>
        </w:rPr>
        <w:t>0571-82899335</w:t>
      </w:r>
    </w:p>
    <w:p>
      <w:pPr>
        <w:keepNext w:val="0"/>
        <w:keepLines w:val="0"/>
        <w:pageBreakBefore w:val="0"/>
        <w:kinsoku/>
        <w:wordWrap/>
        <w:overflowPunct/>
        <w:topLinePunct w:val="0"/>
        <w:autoSpaceDE/>
        <w:autoSpaceDN/>
        <w:bidi w:val="0"/>
        <w:snapToGrid w:val="0"/>
        <w:spacing w:line="360" w:lineRule="auto"/>
        <w:ind w:firstLine="420" w:firstLineChars="0"/>
        <w:textAlignment w:val="auto"/>
        <w:rPr>
          <w:rFonts w:ascii="宋体" w:hAnsi="宋体" w:cs="宋体"/>
          <w:color w:val="auto"/>
          <w:sz w:val="24"/>
          <w:highlight w:val="none"/>
        </w:rPr>
      </w:pPr>
      <w:r>
        <w:rPr>
          <w:rFonts w:hint="eastAsia" w:ascii="宋体" w:hAnsi="宋体" w:cs="宋体"/>
          <w:color w:val="auto"/>
          <w:sz w:val="24"/>
          <w:highlight w:val="none"/>
        </w:rPr>
        <w:t>质疑联系人：熊先生</w:t>
      </w:r>
    </w:p>
    <w:p>
      <w:pPr>
        <w:keepNext w:val="0"/>
        <w:keepLines w:val="0"/>
        <w:pageBreakBefore w:val="0"/>
        <w:kinsoku/>
        <w:wordWrap/>
        <w:overflowPunct/>
        <w:topLinePunct w:val="0"/>
        <w:autoSpaceDE/>
        <w:autoSpaceDN/>
        <w:bidi w:val="0"/>
        <w:snapToGrid w:val="0"/>
        <w:spacing w:line="360" w:lineRule="auto"/>
        <w:ind w:firstLine="420" w:firstLineChars="0"/>
        <w:textAlignment w:val="auto"/>
        <w:rPr>
          <w:rFonts w:ascii="宋体" w:hAnsi="宋体" w:cs="宋体"/>
          <w:color w:val="auto"/>
          <w:sz w:val="24"/>
          <w:highlight w:val="none"/>
        </w:rPr>
      </w:pPr>
      <w:r>
        <w:rPr>
          <w:rFonts w:hint="eastAsia" w:ascii="宋体" w:hAnsi="宋体" w:cs="宋体"/>
          <w:color w:val="auto"/>
          <w:sz w:val="24"/>
          <w:highlight w:val="none"/>
        </w:rPr>
        <w:t>质疑联系方式：0571-82899366</w:t>
      </w:r>
    </w:p>
    <w:p>
      <w:pPr>
        <w:keepNext w:val="0"/>
        <w:keepLines w:val="0"/>
        <w:pageBreakBefore w:val="0"/>
        <w:kinsoku/>
        <w:wordWrap/>
        <w:overflowPunct/>
        <w:topLinePunct w:val="0"/>
        <w:autoSpaceDE/>
        <w:autoSpaceDN/>
        <w:bidi w:val="0"/>
        <w:snapToGrid w:val="0"/>
        <w:spacing w:line="360" w:lineRule="auto"/>
        <w:ind w:firstLine="420" w:firstLineChars="0"/>
        <w:textAlignment w:val="auto"/>
        <w:rPr>
          <w:rFonts w:ascii="宋体" w:hAnsi="宋体" w:cs="宋体"/>
          <w:color w:val="auto"/>
          <w:sz w:val="24"/>
          <w:highlight w:val="none"/>
        </w:rPr>
      </w:pPr>
      <w:r>
        <w:rPr>
          <w:rFonts w:hint="eastAsia" w:ascii="宋体" w:hAnsi="宋体" w:cs="宋体"/>
          <w:color w:val="auto"/>
          <w:sz w:val="24"/>
          <w:highlight w:val="none"/>
        </w:rPr>
        <w:t>3.</w:t>
      </w:r>
      <w:r>
        <w:rPr>
          <w:rFonts w:hint="eastAsia"/>
          <w:color w:val="auto"/>
          <w:highlight w:val="none"/>
        </w:rPr>
        <w:t xml:space="preserve"> </w:t>
      </w:r>
      <w:r>
        <w:rPr>
          <w:rFonts w:hint="eastAsia" w:ascii="宋体" w:hAnsi="宋体" w:cs="宋体"/>
          <w:color w:val="auto"/>
          <w:sz w:val="24"/>
          <w:highlight w:val="none"/>
        </w:rPr>
        <w:t>同级政府采购监督管理部门</w:t>
      </w:r>
    </w:p>
    <w:p>
      <w:pPr>
        <w:keepNext w:val="0"/>
        <w:keepLines w:val="0"/>
        <w:pageBreakBefore w:val="0"/>
        <w:kinsoku/>
        <w:wordWrap/>
        <w:overflowPunct/>
        <w:topLinePunct w:val="0"/>
        <w:autoSpaceDE/>
        <w:autoSpaceDN/>
        <w:bidi w:val="0"/>
        <w:snapToGrid w:val="0"/>
        <w:spacing w:line="360" w:lineRule="auto"/>
        <w:ind w:firstLine="420" w:firstLineChars="0"/>
        <w:textAlignment w:val="auto"/>
        <w:rPr>
          <w:rFonts w:ascii="宋体" w:hAnsi="宋体" w:cs="宋体"/>
          <w:color w:val="auto"/>
          <w:sz w:val="24"/>
          <w:highlight w:val="none"/>
        </w:rPr>
      </w:pPr>
      <w:r>
        <w:rPr>
          <w:rFonts w:hint="eastAsia" w:ascii="宋体" w:hAnsi="宋体" w:cs="宋体"/>
          <w:color w:val="auto"/>
          <w:sz w:val="24"/>
          <w:highlight w:val="none"/>
        </w:rPr>
        <w:t>名    称：萧山区财政局、浙江省政府采购行政裁决服务中心（杭州）</w:t>
      </w:r>
    </w:p>
    <w:p>
      <w:pPr>
        <w:keepNext w:val="0"/>
        <w:keepLines w:val="0"/>
        <w:pageBreakBefore w:val="0"/>
        <w:kinsoku/>
        <w:wordWrap/>
        <w:overflowPunct/>
        <w:topLinePunct w:val="0"/>
        <w:autoSpaceDE/>
        <w:autoSpaceDN/>
        <w:bidi w:val="0"/>
        <w:snapToGrid w:val="0"/>
        <w:spacing w:line="360" w:lineRule="auto"/>
        <w:ind w:firstLine="420" w:firstLineChars="0"/>
        <w:textAlignment w:val="auto"/>
        <w:rPr>
          <w:rFonts w:hint="eastAsia" w:ascii="宋体" w:hAnsi="宋体" w:cs="宋体"/>
          <w:color w:val="auto"/>
          <w:sz w:val="24"/>
          <w:highlight w:val="none"/>
        </w:rPr>
      </w:pPr>
      <w:r>
        <w:rPr>
          <w:rFonts w:hint="eastAsia" w:ascii="宋体" w:hAnsi="宋体" w:cs="宋体"/>
          <w:color w:val="auto"/>
          <w:sz w:val="24"/>
          <w:highlight w:val="none"/>
        </w:rPr>
        <w:t>地    址：杭州市上城区四季青街道新业路市民之家G03办公室（快递仅限ems或顺丰）</w:t>
      </w:r>
    </w:p>
    <w:p>
      <w:pPr>
        <w:keepNext w:val="0"/>
        <w:keepLines w:val="0"/>
        <w:pageBreakBefore w:val="0"/>
        <w:kinsoku/>
        <w:wordWrap/>
        <w:overflowPunct/>
        <w:topLinePunct w:val="0"/>
        <w:autoSpaceDE/>
        <w:autoSpaceDN/>
        <w:bidi w:val="0"/>
        <w:snapToGrid w:val="0"/>
        <w:spacing w:line="360" w:lineRule="auto"/>
        <w:ind w:firstLine="420" w:firstLineChars="0"/>
        <w:textAlignment w:val="auto"/>
        <w:rPr>
          <w:rFonts w:ascii="宋体" w:hAnsi="宋体" w:cs="宋体"/>
          <w:color w:val="auto"/>
          <w:sz w:val="24"/>
          <w:highlight w:val="none"/>
        </w:rPr>
      </w:pPr>
      <w:r>
        <w:rPr>
          <w:rFonts w:hint="eastAsia" w:ascii="宋体" w:hAnsi="宋体" w:cs="宋体"/>
          <w:color w:val="auto"/>
          <w:sz w:val="24"/>
          <w:highlight w:val="none"/>
        </w:rPr>
        <w:t>传    真：/</w:t>
      </w:r>
    </w:p>
    <w:p>
      <w:pPr>
        <w:keepNext w:val="0"/>
        <w:keepLines w:val="0"/>
        <w:pageBreakBefore w:val="0"/>
        <w:kinsoku/>
        <w:wordWrap/>
        <w:overflowPunct/>
        <w:topLinePunct w:val="0"/>
        <w:autoSpaceDE/>
        <w:autoSpaceDN/>
        <w:bidi w:val="0"/>
        <w:snapToGrid w:val="0"/>
        <w:spacing w:line="360" w:lineRule="auto"/>
        <w:ind w:firstLine="420" w:firstLineChars="0"/>
        <w:textAlignment w:val="auto"/>
        <w:rPr>
          <w:rFonts w:ascii="宋体" w:hAnsi="宋体" w:cs="宋体"/>
          <w:color w:val="auto"/>
          <w:sz w:val="24"/>
          <w:highlight w:val="none"/>
        </w:rPr>
      </w:pPr>
      <w:r>
        <w:rPr>
          <w:rFonts w:hint="eastAsia" w:ascii="宋体" w:hAnsi="宋体" w:cs="宋体"/>
          <w:color w:val="auto"/>
          <w:sz w:val="24"/>
          <w:highlight w:val="none"/>
        </w:rPr>
        <w:t>联系人：朱女士/王女士</w:t>
      </w:r>
    </w:p>
    <w:p>
      <w:pPr>
        <w:keepNext w:val="0"/>
        <w:keepLines w:val="0"/>
        <w:pageBreakBefore w:val="0"/>
        <w:kinsoku/>
        <w:wordWrap/>
        <w:overflowPunct/>
        <w:topLinePunct w:val="0"/>
        <w:autoSpaceDE/>
        <w:autoSpaceDN/>
        <w:bidi w:val="0"/>
        <w:snapToGrid w:val="0"/>
        <w:spacing w:line="360" w:lineRule="auto"/>
        <w:ind w:firstLine="420" w:firstLineChars="0"/>
        <w:textAlignment w:val="auto"/>
        <w:rPr>
          <w:rFonts w:ascii="宋体" w:hAnsi="宋体" w:cs="宋体"/>
          <w:color w:val="auto"/>
          <w:sz w:val="24"/>
          <w:highlight w:val="none"/>
        </w:rPr>
      </w:pPr>
      <w:r>
        <w:rPr>
          <w:rFonts w:hint="eastAsia" w:ascii="宋体" w:hAnsi="宋体" w:cs="宋体"/>
          <w:color w:val="auto"/>
          <w:sz w:val="24"/>
          <w:highlight w:val="none"/>
        </w:rPr>
        <w:t>监督投诉电话：0571-85252453</w:t>
      </w:r>
    </w:p>
    <w:p>
      <w:pPr>
        <w:keepNext w:val="0"/>
        <w:keepLines w:val="0"/>
        <w:pageBreakBefore w:val="0"/>
        <w:kinsoku/>
        <w:wordWrap/>
        <w:overflowPunct/>
        <w:topLinePunct w:val="0"/>
        <w:autoSpaceDE/>
        <w:autoSpaceDN/>
        <w:bidi w:val="0"/>
        <w:snapToGrid w:val="0"/>
        <w:spacing w:line="360" w:lineRule="auto"/>
        <w:ind w:firstLine="420" w:firstLineChars="0"/>
        <w:textAlignment w:val="auto"/>
        <w:rPr>
          <w:rFonts w:ascii="宋体" w:hAnsi="宋体" w:cs="宋体"/>
          <w:color w:val="auto"/>
          <w:sz w:val="24"/>
          <w:highlight w:val="none"/>
        </w:rPr>
      </w:pPr>
      <w:r>
        <w:rPr>
          <w:rFonts w:hint="eastAsia" w:ascii="宋体" w:hAnsi="宋体" w:cs="宋体"/>
          <w:color w:val="auto"/>
          <w:sz w:val="24"/>
          <w:highlight w:val="none"/>
        </w:rPr>
        <w:t>政策咨询电话：0571-82756122（汤先生）</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4"/>
          <w:highlight w:val="none"/>
        </w:rPr>
      </w:pPr>
      <w:r>
        <w:rPr>
          <w:rFonts w:hint="eastAsia" w:ascii="宋体" w:hAnsi="宋体" w:cs="宋体"/>
          <w:color w:val="auto"/>
          <w:sz w:val="24"/>
          <w:highlight w:val="none"/>
        </w:rPr>
        <w:t>若对项目采购电子交易系统操作有疑问，可登录政采云（https://www.zcygov.cn/），点击右侧咨询小采，获取采小蜜智能服务管家帮助，或拨打政采云服务热线95763获取热线服务帮助。</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CA问题联系电话（人工）：汇信CA 400-888-4636；天谷CA 400-087-8198。</w:t>
      </w:r>
    </w:p>
    <w:p>
      <w:pPr>
        <w:keepNext w:val="0"/>
        <w:keepLines w:val="0"/>
        <w:pageBreakBefore w:val="0"/>
        <w:kinsoku/>
        <w:wordWrap/>
        <w:overflowPunct/>
        <w:topLinePunct w:val="0"/>
        <w:autoSpaceDE/>
        <w:autoSpaceDN/>
        <w:bidi w:val="0"/>
        <w:snapToGrid w:val="0"/>
        <w:spacing w:line="360" w:lineRule="auto"/>
        <w:textAlignment w:val="auto"/>
        <w:rPr>
          <w:rFonts w:ascii="宋体" w:hAnsi="宋体" w:cs="宋体"/>
          <w:color w:val="auto"/>
          <w:highlight w:val="none"/>
        </w:rPr>
      </w:pPr>
      <w:r>
        <w:rPr>
          <w:rFonts w:hint="eastAsia" w:ascii="宋体" w:hAnsi="宋体" w:cs="宋体"/>
          <w:color w:val="auto"/>
          <w:szCs w:val="20"/>
          <w:highlight w:val="none"/>
        </w:rPr>
        <w:br w:type="page"/>
      </w:r>
    </w:p>
    <w:p>
      <w:pPr>
        <w:jc w:val="center"/>
        <w:rPr>
          <w:rFonts w:ascii="宋体" w:hAnsi="宋体" w:cs="宋体"/>
          <w:b/>
          <w:color w:val="auto"/>
          <w:sz w:val="36"/>
          <w:szCs w:val="20"/>
          <w:highlight w:val="none"/>
        </w:rPr>
      </w:pPr>
      <w:r>
        <w:rPr>
          <w:rFonts w:hint="eastAsia" w:ascii="宋体" w:hAnsi="宋体" w:cs="宋体"/>
          <w:b/>
          <w:color w:val="auto"/>
          <w:sz w:val="36"/>
          <w:szCs w:val="20"/>
          <w:highlight w:val="none"/>
        </w:rPr>
        <w:t>第二部分</w:t>
      </w:r>
      <w:bookmarkEnd w:id="4"/>
      <w:r>
        <w:rPr>
          <w:rFonts w:hint="eastAsia" w:ascii="宋体" w:hAnsi="宋体" w:cs="宋体"/>
          <w:b/>
          <w:color w:val="auto"/>
          <w:sz w:val="36"/>
          <w:szCs w:val="20"/>
          <w:highlight w:val="none"/>
        </w:rPr>
        <w:t xml:space="preserve"> 投标人须知</w:t>
      </w:r>
      <w:bookmarkEnd w:id="5"/>
    </w:p>
    <w:p>
      <w:pPr>
        <w:adjustRightInd/>
        <w:spacing w:line="360" w:lineRule="auto"/>
        <w:jc w:val="center"/>
        <w:outlineLvl w:val="0"/>
        <w:rPr>
          <w:rFonts w:ascii="宋体" w:hAnsi="宋体" w:cs="宋体"/>
          <w:b/>
          <w:color w:val="auto"/>
          <w:sz w:val="32"/>
          <w:szCs w:val="20"/>
          <w:highlight w:val="none"/>
        </w:rPr>
      </w:pPr>
      <w:r>
        <w:rPr>
          <w:rFonts w:hint="eastAsia" w:ascii="宋体" w:hAnsi="宋体" w:cs="宋体"/>
          <w:b/>
          <w:color w:val="auto"/>
          <w:sz w:val="32"/>
          <w:szCs w:val="20"/>
          <w:highlight w:val="none"/>
        </w:rPr>
        <w:t>前附表</w:t>
      </w:r>
    </w:p>
    <w:tbl>
      <w:tblPr>
        <w:tblStyle w:val="62"/>
        <w:tblW w:w="8567"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pPr>
              <w:pageBreakBefore w:val="0"/>
              <w:widowControl w:val="0"/>
              <w:kinsoku/>
              <w:wordWrap/>
              <w:overflowPunct/>
              <w:topLinePunct w:val="0"/>
              <w:autoSpaceDE/>
              <w:autoSpaceDN/>
              <w:bidi w:val="0"/>
              <w:snapToGrid w:val="0"/>
              <w:spacing w:line="240" w:lineRule="auto"/>
              <w:jc w:val="center"/>
              <w:textAlignment w:val="auto"/>
              <w:rPr>
                <w:rFonts w:ascii="宋体" w:hAnsi="宋体" w:cs="宋体"/>
                <w:b/>
                <w:color w:val="auto"/>
                <w:sz w:val="24"/>
                <w:highlight w:val="none"/>
              </w:rPr>
            </w:pPr>
            <w:r>
              <w:rPr>
                <w:rFonts w:hint="eastAsia" w:ascii="宋体" w:hAnsi="宋体" w:cs="宋体"/>
                <w:b/>
                <w:color w:val="auto"/>
                <w:sz w:val="24"/>
                <w:highlight w:val="none"/>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62"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货物类，</w:t>
            </w:r>
            <w:r>
              <w:rPr>
                <w:rFonts w:hint="eastAsia" w:ascii="宋体" w:hAnsi="宋体" w:eastAsia="宋体" w:cs="宋体"/>
                <w:color w:val="auto"/>
                <w:kern w:val="0"/>
                <w:sz w:val="24"/>
                <w:szCs w:val="24"/>
                <w:highlight w:val="none"/>
              </w:rPr>
              <w:t>核心产品为：</w:t>
            </w:r>
            <w:r>
              <w:rPr>
                <w:rFonts w:hint="eastAsia" w:ascii="宋体" w:hAnsi="宋体" w:eastAsia="宋体" w:cs="宋体"/>
                <w:color w:val="auto"/>
                <w:sz w:val="24"/>
                <w:szCs w:val="24"/>
                <w:highlight w:val="none"/>
                <w:u w:val="single"/>
              </w:rPr>
              <w:t>序号3办公桌、序号21办公椅、序号29文件柜</w:t>
            </w:r>
            <w:r>
              <w:rPr>
                <w:rFonts w:hint="eastAsia" w:ascii="宋体" w:hAnsi="宋体" w:eastAsia="宋体" w:cs="宋体"/>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7"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（1）标的：</w:t>
            </w:r>
            <w:r>
              <w:rPr>
                <w:rFonts w:hint="eastAsia" w:ascii="宋体" w:hAnsi="宋体" w:eastAsia="宋体" w:cs="宋体"/>
                <w:color w:val="auto"/>
                <w:sz w:val="24"/>
                <w:szCs w:val="24"/>
                <w:highlight w:val="none"/>
                <w:u w:val="single"/>
              </w:rPr>
              <w:t>招标文件第三部分采购需求招标需求-技术需求 序号1-46</w:t>
            </w:r>
            <w:r>
              <w:rPr>
                <w:rFonts w:hint="eastAsia" w:ascii="宋体" w:hAnsi="宋体" w:eastAsia="宋体" w:cs="宋体"/>
                <w:color w:val="auto"/>
                <w:sz w:val="24"/>
                <w:szCs w:val="24"/>
                <w:highlight w:val="none"/>
                <w:u w:val="none"/>
              </w:rPr>
              <w:t>，</w:t>
            </w:r>
            <w:r>
              <w:rPr>
                <w:rFonts w:hint="eastAsia" w:ascii="宋体" w:hAnsi="宋体" w:eastAsia="宋体" w:cs="宋体"/>
                <w:color w:val="auto"/>
                <w:sz w:val="24"/>
                <w:szCs w:val="24"/>
                <w:highlight w:val="none"/>
              </w:rPr>
              <w:t>属于</w:t>
            </w:r>
            <w:r>
              <w:rPr>
                <w:rFonts w:hint="eastAsia" w:ascii="宋体" w:hAnsi="宋体" w:cs="宋体"/>
                <w:color w:val="auto"/>
                <w:sz w:val="24"/>
                <w:szCs w:val="24"/>
                <w:highlight w:val="none"/>
                <w:u w:val="single"/>
                <w:lang w:val="en-US" w:eastAsia="zh-CN"/>
              </w:rPr>
              <w:t>工业</w:t>
            </w:r>
            <w:r>
              <w:rPr>
                <w:rFonts w:hint="eastAsia" w:ascii="宋体" w:hAnsi="宋体" w:eastAsia="宋体" w:cs="宋体"/>
                <w:color w:val="auto"/>
                <w:sz w:val="24"/>
                <w:szCs w:val="24"/>
                <w:highlight w:val="none"/>
              </w:rPr>
              <w:t>行业；</w:t>
            </w: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2"/>
                <w:szCs w:val="22"/>
                <w:highlight w:val="none"/>
              </w:rPr>
              <w:t>《关于印发中小企业划型标准规定的通知》工信部联企业〔2011〕300号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1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4"/>
                <w:szCs w:val="24"/>
                <w:highlight w:val="none"/>
              </w:rPr>
            </w:pPr>
            <w:sdt>
              <w:sdtPr>
                <w:rPr>
                  <w:rFonts w:hint="eastAsia" w:ascii="宋体" w:hAnsi="宋体" w:eastAsia="宋体" w:cs="宋体"/>
                  <w:color w:val="auto"/>
                  <w:sz w:val="24"/>
                  <w:szCs w:val="24"/>
                  <w:highlight w:val="none"/>
                </w:rPr>
                <w:id w:val="4658"/>
                <w14:checkbox>
                  <w14:checked w14:val="1"/>
                  <w14:checkedState w14:val="00FE" w14:font="Wingdings"/>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rPr>
                  <w:sym w:font="Wingdings" w:char="F0FE"/>
                </w:r>
              </w:sdtContent>
            </w:sdt>
            <w:r>
              <w:rPr>
                <w:rFonts w:hint="eastAsia" w:ascii="宋体" w:hAnsi="宋体" w:eastAsia="宋体" w:cs="宋体"/>
                <w:color w:val="auto"/>
                <w:sz w:val="24"/>
                <w:szCs w:val="24"/>
                <w:highlight w:val="none"/>
              </w:rPr>
              <w:t>本项目不允许采购进口产品。</w:t>
            </w:r>
          </w:p>
          <w:p>
            <w:pPr>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4"/>
                <w:szCs w:val="24"/>
                <w:highlight w:val="none"/>
              </w:rPr>
            </w:pPr>
            <w:sdt>
              <w:sdtPr>
                <w:rPr>
                  <w:rFonts w:hint="eastAsia" w:ascii="宋体" w:hAnsi="宋体" w:eastAsia="宋体" w:cs="宋体"/>
                  <w:color w:val="auto"/>
                  <w:sz w:val="24"/>
                  <w:szCs w:val="24"/>
                  <w:highlight w:val="none"/>
                </w:rPr>
                <w:id w:val="4659"/>
                <w14:checkbox>
                  <w14:checked w14:val="0"/>
                  <w14:checkedState w14:val="00FE" w14:font="Wingdings"/>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rPr>
                  <w:t>☐</w:t>
                </w:r>
              </w:sdtContent>
            </w:sdt>
            <w:r>
              <w:rPr>
                <w:rFonts w:hint="eastAsia" w:ascii="宋体" w:hAnsi="宋体" w:eastAsia="宋体" w:cs="宋体"/>
                <w:color w:val="auto"/>
                <w:sz w:val="24"/>
                <w:szCs w:val="24"/>
                <w:highlight w:val="none"/>
              </w:rPr>
              <w:t>可以就</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采购进口产品。</w:t>
            </w:r>
            <w:r>
              <w:rPr>
                <w:rFonts w:hint="eastAsia" w:ascii="宋体" w:hAnsi="宋体" w:eastAsia="宋体" w:cs="宋体"/>
                <w:color w:val="auto"/>
                <w:kern w:val="0"/>
                <w:sz w:val="24"/>
                <w:szCs w:val="24"/>
                <w:highlight w:val="none"/>
              </w:rPr>
              <w:t>优先采购向我国企业转让技术、与我国企业签订消化吸收再创新方案的供应商的进口产品，详见</w:t>
            </w:r>
            <w:r>
              <w:rPr>
                <w:rFonts w:hint="eastAsia" w:ascii="宋体" w:hAnsi="宋体" w:eastAsia="宋体" w:cs="宋体"/>
                <w:color w:val="auto"/>
                <w:kern w:val="0"/>
                <w:sz w:val="24"/>
                <w:szCs w:val="24"/>
                <w:highlight w:val="none"/>
                <w:u w:val="single"/>
              </w:rPr>
              <w:t>评分标准</w:t>
            </w:r>
            <w:r>
              <w:rPr>
                <w:rFonts w:hint="eastAsia" w:ascii="宋体" w:hAnsi="宋体" w:eastAsia="宋体" w:cs="宋体"/>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28"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4"/>
                <w:szCs w:val="24"/>
                <w:highlight w:val="none"/>
              </w:rPr>
            </w:pPr>
            <w:sdt>
              <w:sdtPr>
                <w:rPr>
                  <w:rFonts w:hint="eastAsia" w:ascii="宋体" w:hAnsi="宋体" w:eastAsia="宋体" w:cs="宋体"/>
                  <w:color w:val="auto"/>
                  <w:kern w:val="0"/>
                  <w:sz w:val="24"/>
                  <w:szCs w:val="24"/>
                  <w:highlight w:val="none"/>
                </w:rPr>
                <w:id w:val="4660"/>
                <w14:checkbox>
                  <w14:checked w14:val="1"/>
                  <w14:checkedState w14:val="00FE" w14:font="Wingdings"/>
                  <w14:uncheckedState w14:val="2610" w14:font="MS Gothic"/>
                </w14:checkbox>
              </w:sdtPr>
              <w:sdtEndPr>
                <w:rPr>
                  <w:rFonts w:hint="eastAsia" w:ascii="宋体" w:hAnsi="宋体" w:eastAsia="宋体" w:cs="宋体"/>
                  <w:color w:val="auto"/>
                  <w:kern w:val="0"/>
                  <w:sz w:val="24"/>
                  <w:szCs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kern w:val="0"/>
                <w:sz w:val="24"/>
                <w:szCs w:val="24"/>
                <w:highlight w:val="none"/>
              </w:rPr>
              <w:t>A</w:t>
            </w:r>
            <w:r>
              <w:rPr>
                <w:rFonts w:hint="eastAsia" w:ascii="宋体" w:hAnsi="宋体" w:eastAsia="宋体" w:cs="宋体"/>
                <w:color w:val="auto"/>
                <w:sz w:val="24"/>
                <w:szCs w:val="24"/>
                <w:highlight w:val="none"/>
              </w:rPr>
              <w:t>同意将非主体、非关键性的</w:t>
            </w:r>
            <w:r>
              <w:rPr>
                <w:rFonts w:hint="eastAsia" w:ascii="宋体" w:hAnsi="宋体" w:eastAsia="宋体" w:cs="宋体"/>
                <w:color w:val="auto"/>
                <w:sz w:val="24"/>
                <w:szCs w:val="24"/>
                <w:highlight w:val="none"/>
                <w:u w:val="single"/>
              </w:rPr>
              <w:t>运输</w:t>
            </w:r>
            <w:r>
              <w:rPr>
                <w:rFonts w:hint="eastAsia" w:ascii="宋体" w:hAnsi="宋体" w:eastAsia="宋体" w:cs="宋体"/>
                <w:color w:val="auto"/>
                <w:sz w:val="24"/>
                <w:szCs w:val="24"/>
                <w:highlight w:val="none"/>
              </w:rPr>
              <w:t>工作分包。</w:t>
            </w:r>
          </w:p>
          <w:p>
            <w:pPr>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4"/>
                <w:szCs w:val="24"/>
                <w:highlight w:val="none"/>
              </w:rPr>
            </w:pPr>
            <w:sdt>
              <w:sdtPr>
                <w:rPr>
                  <w:rFonts w:hint="eastAsia" w:ascii="宋体" w:hAnsi="宋体" w:eastAsia="宋体" w:cs="宋体"/>
                  <w:color w:val="auto"/>
                  <w:kern w:val="0"/>
                  <w:sz w:val="24"/>
                  <w:szCs w:val="24"/>
                  <w:highlight w:val="none"/>
                </w:rPr>
                <w:id w:val="4661"/>
                <w14:checkbox>
                  <w14:checked w14:val="0"/>
                  <w14:checkedState w14:val="00FE" w14:font="Wingdings"/>
                  <w14:uncheckedState w14:val="2610" w14:font="MS Gothic"/>
                </w14:checkbox>
              </w:sdtPr>
              <w:sdtEndPr>
                <w:rPr>
                  <w:rFonts w:hint="eastAsia" w:ascii="宋体" w:hAnsi="宋体" w:eastAsia="宋体" w:cs="宋体"/>
                  <w:color w:val="auto"/>
                  <w:kern w:val="0"/>
                  <w:sz w:val="24"/>
                  <w:szCs w:val="24"/>
                  <w:highlight w:val="none"/>
                </w:rPr>
              </w:sdtEndPr>
              <w:sdtContent>
                <w:r>
                  <w:rPr>
                    <w:rFonts w:hint="eastAsia" w:ascii="宋体" w:hAnsi="宋体" w:eastAsia="宋体" w:cs="宋体"/>
                    <w:color w:val="auto"/>
                    <w:kern w:val="0"/>
                    <w:sz w:val="24"/>
                    <w:szCs w:val="24"/>
                    <w:highlight w:val="none"/>
                  </w:rPr>
                  <w:t>☐</w:t>
                </w:r>
              </w:sdtContent>
            </w:sdt>
            <w:r>
              <w:rPr>
                <w:rFonts w:hint="eastAsia" w:ascii="宋体" w:hAnsi="宋体" w:eastAsia="宋体" w:cs="宋体"/>
                <w:color w:val="auto"/>
                <w:kern w:val="0"/>
                <w:sz w:val="24"/>
                <w:szCs w:val="24"/>
                <w:highlight w:val="none"/>
              </w:rPr>
              <w:t>B</w:t>
            </w:r>
            <w:r>
              <w:rPr>
                <w:rFonts w:hint="eastAsia" w:ascii="宋体" w:hAnsi="宋体" w:eastAsia="宋体" w:cs="宋体"/>
                <w:color w:val="auto"/>
                <w:sz w:val="24"/>
                <w:szCs w:val="24"/>
                <w:highlight w:val="none"/>
              </w:rPr>
              <w:t>不同意分包。</w:t>
            </w:r>
          </w:p>
          <w:p>
            <w:pPr>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注：不得限制大中型企业向小微企业合理分包。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86"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4"/>
                <w:szCs w:val="24"/>
                <w:highlight w:val="none"/>
                <w:lang w:val="en-US" w:eastAsia="zh-CN"/>
              </w:rPr>
            </w:pPr>
            <w:sdt>
              <w:sdtPr>
                <w:rPr>
                  <w:rFonts w:hint="eastAsia" w:ascii="宋体" w:hAnsi="宋体" w:eastAsia="宋体" w:cs="宋体"/>
                  <w:color w:val="auto"/>
                  <w:kern w:val="0"/>
                  <w:sz w:val="24"/>
                  <w:szCs w:val="24"/>
                  <w:highlight w:val="none"/>
                </w:rPr>
                <w:id w:val="4662"/>
                <w14:checkbox>
                  <w14:checked w14:val="1"/>
                  <w14:checkedState w14:val="00FE" w14:font="Wingdings"/>
                  <w14:uncheckedState w14:val="2610" w14:font="MS Gothic"/>
                </w14:checkbox>
              </w:sdtPr>
              <w:sdtEndPr>
                <w:rPr>
                  <w:rFonts w:hint="eastAsia" w:ascii="宋体" w:hAnsi="宋体" w:eastAsia="宋体" w:cs="宋体"/>
                  <w:color w:val="auto"/>
                  <w:kern w:val="0"/>
                  <w:sz w:val="24"/>
                  <w:szCs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kern w:val="0"/>
                <w:sz w:val="24"/>
                <w:szCs w:val="24"/>
                <w:highlight w:val="none"/>
                <w:lang w:eastAsia="zh-CN"/>
              </w:rPr>
              <w:t>不组织。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74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4"/>
                <w:szCs w:val="24"/>
                <w:highlight w:val="none"/>
              </w:rPr>
            </w:pPr>
            <w:sdt>
              <w:sdtPr>
                <w:rPr>
                  <w:rFonts w:hint="eastAsia" w:ascii="宋体" w:hAnsi="宋体" w:eastAsia="宋体" w:cs="宋体"/>
                  <w:color w:val="auto"/>
                  <w:sz w:val="24"/>
                  <w:szCs w:val="24"/>
                  <w:highlight w:val="none"/>
                </w:rPr>
                <w:id w:val="4664"/>
                <w14:checkbox>
                  <w14:checked w14:val="0"/>
                  <w14:checkedState w14:val="00FE" w14:font="Wingdings"/>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rPr>
                  <w:t>☐</w:t>
                </w:r>
              </w:sdtContent>
            </w:sdt>
            <w:r>
              <w:rPr>
                <w:rFonts w:hint="eastAsia" w:ascii="宋体" w:hAnsi="宋体" w:eastAsia="宋体" w:cs="宋体"/>
                <w:color w:val="auto"/>
                <w:sz w:val="24"/>
                <w:szCs w:val="24"/>
                <w:highlight w:val="none"/>
              </w:rPr>
              <w:t>A不要求提供。</w:t>
            </w:r>
          </w:p>
          <w:p>
            <w:pPr>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4"/>
                <w:szCs w:val="24"/>
                <w:highlight w:val="none"/>
              </w:rPr>
            </w:pPr>
            <w:sdt>
              <w:sdtPr>
                <w:rPr>
                  <w:rFonts w:hint="eastAsia" w:ascii="宋体" w:hAnsi="宋体" w:eastAsia="宋体" w:cs="宋体"/>
                  <w:color w:val="auto"/>
                  <w:sz w:val="24"/>
                  <w:szCs w:val="24"/>
                  <w:highlight w:val="none"/>
                </w:rPr>
                <w:id w:val="1026831988"/>
                <w14:checkbox>
                  <w14:checked w14:val="1"/>
                  <w14:checkedState w14:val="00FE" w14:font="Wingdings"/>
                  <w14:uncheckedState w14:val="2610" w14:font="MS Gothic"/>
                </w14:checkbox>
              </w:sdtPr>
              <w:sdtEndPr>
                <w:rPr>
                  <w:rFonts w:hint="eastAsia" w:ascii="宋体" w:hAnsi="宋体" w:eastAsia="宋体" w:cs="宋体"/>
                  <w:color w:val="auto"/>
                  <w:sz w:val="24"/>
                  <w:szCs w:val="24"/>
                  <w:highlight w:val="none"/>
                </w:rPr>
              </w:sdtEndPr>
              <w:sdtContent>
                <w:r>
                  <w:rPr>
                    <w:rFonts w:hint="eastAsia" w:ascii="Wingdings" w:hAnsi="Wingdings" w:eastAsia="宋体" w:cs="宋体"/>
                    <w:color w:val="auto"/>
                    <w:kern w:val="2"/>
                    <w:sz w:val="24"/>
                    <w:szCs w:val="24"/>
                    <w:highlight w:val="none"/>
                    <w:lang w:val="en-US" w:eastAsia="zh-CN" w:bidi="ar-SA"/>
                  </w:rPr>
                  <w:t>þ</w:t>
                </w:r>
              </w:sdtContent>
            </w:sdt>
            <w:r>
              <w:rPr>
                <w:rFonts w:hint="eastAsia" w:ascii="宋体" w:hAnsi="宋体" w:eastAsia="宋体" w:cs="宋体"/>
                <w:color w:val="auto"/>
                <w:sz w:val="24"/>
                <w:szCs w:val="24"/>
                <w:highlight w:val="none"/>
              </w:rPr>
              <w:t>B要求提供</w:t>
            </w:r>
            <w:r>
              <w:rPr>
                <w:rFonts w:hint="eastAsia" w:ascii="宋体" w:hAnsi="宋体" w:eastAsia="宋体" w:cs="宋体"/>
                <w:color w:val="auto"/>
                <w:kern w:val="0"/>
                <w:sz w:val="24"/>
                <w:szCs w:val="24"/>
                <w:highlight w:val="none"/>
              </w:rPr>
              <w:t>（未提供样品或提供样品不满足采购需求实质性条件的供应商，投标无效）</w:t>
            </w:r>
          </w:p>
          <w:p>
            <w:pPr>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（1）样品：</w:t>
            </w:r>
            <w:r>
              <w:rPr>
                <w:rFonts w:hint="eastAsia" w:ascii="宋体" w:hAnsi="宋体" w:eastAsia="宋体" w:cs="宋体"/>
                <w:color w:val="auto"/>
                <w:sz w:val="24"/>
                <w:szCs w:val="24"/>
                <w:highlight w:val="none"/>
                <w:u w:val="single"/>
              </w:rPr>
              <w:t>序号21-办公椅</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（2）样品制作的标准和要求：</w:t>
            </w:r>
            <w:r>
              <w:rPr>
                <w:rFonts w:hint="eastAsia" w:ascii="宋体" w:hAnsi="宋体" w:eastAsia="宋体" w:cs="宋体"/>
                <w:color w:val="auto"/>
                <w:sz w:val="24"/>
                <w:szCs w:val="24"/>
                <w:highlight w:val="none"/>
                <w:u w:val="single"/>
              </w:rPr>
              <w:t>详见招标需求</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（3）样品的评审方法以及评审标准：详见评标办法；</w:t>
            </w:r>
            <w:r>
              <w:rPr>
                <w:rFonts w:hint="eastAsia" w:ascii="宋体" w:hAnsi="宋体" w:eastAsia="宋体" w:cs="宋体"/>
                <w:color w:val="auto"/>
                <w:sz w:val="24"/>
                <w:szCs w:val="24"/>
                <w:highlight w:val="none"/>
              </w:rPr>
              <w:br w:type="textWrapping"/>
            </w:r>
            <w:sdt>
              <w:sdtPr>
                <w:rPr>
                  <w:rFonts w:hint="eastAsia" w:ascii="宋体" w:hAnsi="宋体" w:eastAsia="宋体" w:cs="宋体"/>
                  <w:color w:val="auto"/>
                  <w:kern w:val="0"/>
                  <w:sz w:val="24"/>
                  <w:szCs w:val="24"/>
                  <w:highlight w:val="none"/>
                </w:rPr>
                <w:id w:val="4666"/>
                <w14:checkbox>
                  <w14:checked w14:val="1"/>
                  <w14:checkedState w14:val="00FE" w14:font="Wingdings"/>
                  <w14:uncheckedState w14:val="2610" w14:font="MS Gothic"/>
                </w14:checkbox>
              </w:sdtPr>
              <w:sdtEndPr>
                <w:rPr>
                  <w:rFonts w:hint="eastAsia" w:ascii="宋体" w:hAnsi="宋体" w:eastAsia="宋体" w:cs="宋体"/>
                  <w:color w:val="auto"/>
                  <w:kern w:val="0"/>
                  <w:sz w:val="24"/>
                  <w:szCs w:val="24"/>
                  <w:highlight w:val="none"/>
                </w:rPr>
              </w:sdtEndPr>
              <w:sdtContent>
                <w:r>
                  <w:rPr>
                    <w:rFonts w:hint="eastAsia" w:ascii="Wingdings" w:hAnsi="Wingdings" w:eastAsia="宋体" w:cs="宋体"/>
                    <w:color w:val="auto"/>
                    <w:kern w:val="2"/>
                    <w:sz w:val="24"/>
                    <w:szCs w:val="24"/>
                    <w:highlight w:val="none"/>
                    <w:lang w:val="en-US" w:eastAsia="zh-CN" w:bidi="ar-SA"/>
                  </w:rPr>
                  <w:t>þ</w:t>
                </w:r>
              </w:sdtContent>
            </w:sdt>
            <w:r>
              <w:rPr>
                <w:rFonts w:hint="eastAsia" w:ascii="宋体" w:hAnsi="宋体" w:eastAsia="宋体" w:cs="宋体"/>
                <w:color w:val="auto"/>
                <w:sz w:val="24"/>
                <w:szCs w:val="24"/>
                <w:highlight w:val="none"/>
              </w:rPr>
              <w:t>样品分未超过价格分的50%；</w:t>
            </w:r>
          </w:p>
          <w:p>
            <w:pPr>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4"/>
                <w:szCs w:val="24"/>
                <w:highlight w:val="none"/>
              </w:rPr>
            </w:pPr>
            <w:sdt>
              <w:sdtPr>
                <w:rPr>
                  <w:rFonts w:hint="eastAsia" w:ascii="宋体" w:hAnsi="宋体" w:eastAsia="宋体" w:cs="宋体"/>
                  <w:color w:val="auto"/>
                  <w:sz w:val="24"/>
                  <w:szCs w:val="24"/>
                  <w:highlight w:val="none"/>
                </w:rPr>
                <w:id w:val="4667"/>
                <w14:checkbox>
                  <w14:checked w14:val="0"/>
                  <w14:checkedState w14:val="00FE" w14:font="Wingdings"/>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rPr>
                  <w:t>☐</w:t>
                </w:r>
              </w:sdtContent>
            </w:sdt>
            <w:r>
              <w:rPr>
                <w:rFonts w:hint="eastAsia" w:ascii="宋体" w:hAnsi="宋体" w:eastAsia="宋体" w:cs="宋体"/>
                <w:color w:val="auto"/>
                <w:sz w:val="24"/>
                <w:szCs w:val="24"/>
                <w:highlight w:val="none"/>
              </w:rPr>
              <w:t>样品分超过价格分的50%，理由</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详见招标文件第四部分评标办分法。</w:t>
            </w:r>
          </w:p>
          <w:p>
            <w:pPr>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（4）是否需要随样品提交检测报告：</w:t>
            </w:r>
            <w:sdt>
              <w:sdtPr>
                <w:rPr>
                  <w:rFonts w:hint="eastAsia" w:ascii="宋体" w:hAnsi="宋体" w:eastAsia="宋体" w:cs="宋体"/>
                  <w:color w:val="auto"/>
                  <w:sz w:val="24"/>
                  <w:szCs w:val="24"/>
                  <w:highlight w:val="none"/>
                </w:rPr>
                <w:id w:val="1303421454"/>
                <w14:checkbox>
                  <w14:checked w14:val="1"/>
                  <w14:checkedState w14:val="00FE" w14:font="Wingdings"/>
                  <w14:uncheckedState w14:val="2610" w14:font="MS Gothic"/>
                </w14:checkbox>
              </w:sdtPr>
              <w:sdtEndPr>
                <w:rPr>
                  <w:rFonts w:hint="eastAsia" w:ascii="宋体" w:hAnsi="宋体" w:eastAsia="宋体" w:cs="宋体"/>
                  <w:color w:val="auto"/>
                  <w:sz w:val="24"/>
                  <w:szCs w:val="24"/>
                  <w:highlight w:val="none"/>
                </w:rPr>
              </w:sdtEndPr>
              <w:sdtContent>
                <w:r>
                  <w:rPr>
                    <w:rFonts w:hint="eastAsia" w:ascii="Wingdings" w:hAnsi="Wingdings" w:eastAsia="宋体" w:cs="宋体"/>
                    <w:color w:val="auto"/>
                    <w:kern w:val="2"/>
                    <w:sz w:val="24"/>
                    <w:szCs w:val="24"/>
                    <w:highlight w:val="none"/>
                    <w:lang w:val="en-US" w:eastAsia="zh-CN" w:bidi="ar-SA"/>
                  </w:rPr>
                  <w:t>þ</w:t>
                </w:r>
              </w:sdtContent>
            </w:sdt>
            <w:r>
              <w:rPr>
                <w:rFonts w:hint="eastAsia" w:ascii="宋体" w:hAnsi="宋体" w:eastAsia="宋体" w:cs="宋体"/>
                <w:color w:val="auto"/>
                <w:sz w:val="24"/>
                <w:szCs w:val="24"/>
                <w:highlight w:val="none"/>
              </w:rPr>
              <w:t>否；</w:t>
            </w:r>
          </w:p>
          <w:p>
            <w:pPr>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（5）提供样品的时间：</w:t>
            </w:r>
            <w:r>
              <w:rPr>
                <w:rFonts w:hint="eastAsia" w:ascii="宋体" w:hAnsi="宋体" w:eastAsia="宋体" w:cs="宋体"/>
                <w:color w:val="auto"/>
                <w:sz w:val="24"/>
                <w:szCs w:val="24"/>
                <w:highlight w:val="none"/>
                <w:u w:val="single"/>
              </w:rPr>
              <w:t>开标当天8:30-9:00</w:t>
            </w:r>
            <w:r>
              <w:rPr>
                <w:rFonts w:hint="eastAsia" w:ascii="宋体" w:hAnsi="宋体" w:eastAsia="宋体" w:cs="宋体"/>
                <w:color w:val="auto"/>
                <w:kern w:val="0"/>
                <w:sz w:val="24"/>
                <w:szCs w:val="24"/>
                <w:highlight w:val="none"/>
              </w:rPr>
              <w:t>；地点：萧山区政务服务中心4楼样品间（3#电梯进入4楼），由工作人员引导放至样品间。样品递交人须提供投标人的授权书（见附件格式，法人代表请携带身份证复印件及营业执照复印件）、身份证。</w:t>
            </w:r>
            <w:r>
              <w:rPr>
                <w:rFonts w:hint="eastAsia" w:ascii="宋体" w:hAnsi="宋体" w:eastAsia="宋体" w:cs="宋体"/>
                <w:color w:val="auto"/>
                <w:sz w:val="24"/>
                <w:szCs w:val="24"/>
                <w:highlight w:val="none"/>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pPr>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1843" w:type="dxa"/>
            <w:tcBorders>
              <w:top w:val="single" w:color="000000" w:sz="8" w:space="0"/>
              <w:left w:val="single" w:color="auto" w:sz="4" w:space="0"/>
              <w:bottom w:val="single" w:color="000000" w:sz="8" w:space="0"/>
              <w:right w:val="single" w:color="000000" w:sz="8" w:space="0"/>
            </w:tcBorders>
            <w:vAlign w:val="center"/>
          </w:tcPr>
          <w:p>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bCs/>
                <w:color w:val="auto"/>
                <w:sz w:val="24"/>
                <w:szCs w:val="24"/>
                <w:highlight w:val="none"/>
              </w:rPr>
            </w:pPr>
            <w:r>
              <w:rPr>
                <w:rFonts w:hint="eastAsia" w:ascii="宋体" w:hAnsi="宋体" w:eastAsia="宋体" w:cs="宋体"/>
                <w:b/>
                <w:color w:val="auto"/>
                <w:sz w:val="24"/>
                <w:szCs w:val="24"/>
                <w:highlight w:val="none"/>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4"/>
                <w:szCs w:val="24"/>
                <w:highlight w:val="none"/>
              </w:rPr>
            </w:pPr>
            <w:sdt>
              <w:sdtPr>
                <w:rPr>
                  <w:rFonts w:hint="eastAsia" w:ascii="宋体" w:hAnsi="宋体" w:eastAsia="宋体" w:cs="宋体"/>
                  <w:color w:val="auto"/>
                  <w:kern w:val="0"/>
                  <w:sz w:val="24"/>
                  <w:szCs w:val="24"/>
                  <w:highlight w:val="none"/>
                </w:rPr>
                <w:id w:val="4670"/>
                <w14:checkbox>
                  <w14:checked w14:val="1"/>
                  <w14:checkedState w14:val="00FE" w14:font="Wingdings"/>
                  <w14:uncheckedState w14:val="2610" w14:font="MS Gothic"/>
                </w14:checkbox>
              </w:sdtPr>
              <w:sdtEndPr>
                <w:rPr>
                  <w:rFonts w:hint="eastAsia" w:ascii="宋体" w:hAnsi="宋体" w:eastAsia="宋体" w:cs="宋体"/>
                  <w:color w:val="auto"/>
                  <w:kern w:val="0"/>
                  <w:sz w:val="24"/>
                  <w:szCs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kern w:val="0"/>
                <w:sz w:val="24"/>
                <w:szCs w:val="24"/>
                <w:highlight w:val="none"/>
              </w:rPr>
              <w:t>A</w:t>
            </w:r>
            <w:r>
              <w:rPr>
                <w:rFonts w:hint="eastAsia" w:ascii="宋体" w:hAnsi="宋体" w:eastAsia="宋体" w:cs="宋体"/>
                <w:color w:val="auto"/>
                <w:sz w:val="24"/>
                <w:szCs w:val="24"/>
                <w:highlight w:val="none"/>
              </w:rPr>
              <w:t>不组织。</w:t>
            </w:r>
          </w:p>
          <w:p>
            <w:pPr>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b/>
                <w:color w:val="auto"/>
                <w:kern w:val="0"/>
                <w:sz w:val="24"/>
                <w:szCs w:val="24"/>
                <w:highlight w:val="none"/>
                <w:lang w:val="zh-CN"/>
              </w:rPr>
            </w:pPr>
            <w:sdt>
              <w:sdtPr>
                <w:rPr>
                  <w:rFonts w:hint="eastAsia" w:ascii="宋体" w:hAnsi="宋体" w:eastAsia="宋体" w:cs="宋体"/>
                  <w:color w:val="auto"/>
                  <w:kern w:val="0"/>
                  <w:sz w:val="24"/>
                  <w:szCs w:val="24"/>
                  <w:highlight w:val="none"/>
                </w:rPr>
                <w:id w:val="1174071719"/>
                <w14:checkbox>
                  <w14:checked w14:val="0"/>
                  <w14:checkedState w14:val="00FE" w14:font="Wingdings"/>
                  <w14:uncheckedState w14:val="2610" w14:font="MS Gothic"/>
                </w14:checkbox>
              </w:sdtPr>
              <w:sdtEndPr>
                <w:rPr>
                  <w:rFonts w:hint="eastAsia" w:ascii="宋体" w:hAnsi="宋体" w:eastAsia="宋体" w:cs="宋体"/>
                  <w:color w:val="auto"/>
                  <w:kern w:val="0"/>
                  <w:sz w:val="24"/>
                  <w:szCs w:val="24"/>
                  <w:highlight w:val="none"/>
                </w:rPr>
              </w:sdtEndPr>
              <w:sdtContent>
                <w:r>
                  <w:rPr>
                    <w:rFonts w:hint="eastAsia" w:ascii="宋体" w:hAnsi="宋体" w:eastAsia="宋体" w:cs="宋体"/>
                    <w:color w:val="auto"/>
                    <w:kern w:val="0"/>
                    <w:sz w:val="24"/>
                    <w:szCs w:val="24"/>
                    <w:highlight w:val="none"/>
                  </w:rPr>
                  <w:t>☐</w:t>
                </w:r>
              </w:sdtContent>
            </w:sdt>
            <w:r>
              <w:rPr>
                <w:rFonts w:hint="eastAsia" w:ascii="宋体" w:hAnsi="宋体" w:eastAsia="宋体" w:cs="宋体"/>
                <w:color w:val="auto"/>
                <w:kern w:val="0"/>
                <w:sz w:val="24"/>
                <w:szCs w:val="24"/>
                <w:highlight w:val="none"/>
              </w:rPr>
              <w:t>B组织。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30" w:hRule="atLeast"/>
          <w:tblHeader/>
        </w:trPr>
        <w:tc>
          <w:tcPr>
            <w:tcW w:w="629" w:type="dxa"/>
            <w:vMerge w:val="restart"/>
            <w:tcBorders>
              <w:top w:val="single" w:color="auto" w:sz="4" w:space="0"/>
              <w:left w:val="single" w:color="auto" w:sz="4" w:space="0"/>
              <w:right w:val="single" w:color="auto" w:sz="4" w:space="0"/>
            </w:tcBorders>
            <w:vAlign w:val="center"/>
          </w:tcPr>
          <w:p>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1843" w:type="dxa"/>
            <w:vMerge w:val="restart"/>
            <w:tcBorders>
              <w:top w:val="single" w:color="000000" w:sz="8" w:space="0"/>
              <w:left w:val="single" w:color="auto" w:sz="4" w:space="0"/>
              <w:right w:val="single" w:color="000000" w:sz="8" w:space="0"/>
            </w:tcBorders>
            <w:vAlign w:val="center"/>
          </w:tcPr>
          <w:p>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pPr>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（1）资格证明文件：见招标文件第二部分11.1。</w:t>
            </w:r>
          </w:p>
          <w:p>
            <w:pPr>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vMerge w:val="continue"/>
            <w:tcBorders>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color w:val="auto"/>
                <w:sz w:val="24"/>
                <w:szCs w:val="24"/>
                <w:highlight w:val="none"/>
              </w:rPr>
            </w:pPr>
          </w:p>
        </w:tc>
        <w:tc>
          <w:tcPr>
            <w:tcW w:w="1843" w:type="dxa"/>
            <w:vMerge w:val="continue"/>
            <w:tcBorders>
              <w:left w:val="single" w:color="auto" w:sz="4" w:space="0"/>
              <w:bottom w:val="single" w:color="000000" w:sz="8" w:space="0"/>
              <w:right w:val="single" w:color="000000" w:sz="8" w:space="0"/>
            </w:tcBorders>
            <w:vAlign w:val="center"/>
          </w:tcPr>
          <w:p>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b/>
                <w:color w:val="auto"/>
                <w:sz w:val="24"/>
                <w:szCs w:val="24"/>
                <w:highlight w:val="none"/>
              </w:rPr>
            </w:pPr>
          </w:p>
        </w:tc>
        <w:tc>
          <w:tcPr>
            <w:tcW w:w="6095" w:type="dxa"/>
            <w:tcBorders>
              <w:top w:val="single" w:color="auto" w:sz="4"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7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4"/>
                <w:szCs w:val="24"/>
                <w:highlight w:val="none"/>
              </w:rPr>
            </w:pPr>
            <w:sdt>
              <w:sdtPr>
                <w:rPr>
                  <w:rFonts w:hint="eastAsia" w:ascii="宋体" w:hAnsi="宋体" w:eastAsia="宋体" w:cs="宋体"/>
                  <w:color w:val="auto"/>
                  <w:kern w:val="0"/>
                  <w:sz w:val="24"/>
                  <w:szCs w:val="24"/>
                  <w:highlight w:val="none"/>
                  <w:lang w:val="zh-CN"/>
                </w:rPr>
                <w:id w:val="93515011"/>
                <w14:checkbox>
                  <w14:checked w14:val="1"/>
                  <w14:checkedState w14:val="00FE" w14:font="Wingdings"/>
                  <w14:uncheckedState w14:val="2610" w14:font="MS Gothic"/>
                </w14:checkbox>
              </w:sdtPr>
              <w:sdtEndPr>
                <w:rPr>
                  <w:rFonts w:hint="eastAsia" w:ascii="宋体" w:hAnsi="宋体" w:eastAsia="宋体" w:cs="宋体"/>
                  <w:color w:val="auto"/>
                  <w:kern w:val="0"/>
                  <w:sz w:val="24"/>
                  <w:szCs w:val="24"/>
                  <w:highlight w:val="none"/>
                  <w:lang w:val="zh-CN"/>
                </w:rPr>
              </w:sdtEndPr>
              <w:sdtContent>
                <w:r>
                  <w:rPr>
                    <w:rFonts w:hint="eastAsia" w:ascii="Wingdings" w:hAnsi="Wingdings" w:eastAsia="宋体" w:cs="宋体"/>
                    <w:color w:val="auto"/>
                    <w:kern w:val="0"/>
                    <w:sz w:val="24"/>
                    <w:szCs w:val="24"/>
                    <w:highlight w:val="none"/>
                    <w:lang w:val="zh-CN" w:eastAsia="zh-CN" w:bidi="ar-SA"/>
                  </w:rPr>
                  <w:t>þ</w:t>
                </w:r>
              </w:sdtContent>
            </w:sdt>
            <w:r>
              <w:rPr>
                <w:rFonts w:hint="eastAsia" w:ascii="宋体" w:hAnsi="宋体" w:eastAsia="宋体" w:cs="宋体"/>
                <w:color w:val="auto"/>
                <w:kern w:val="0"/>
                <w:sz w:val="24"/>
                <w:szCs w:val="24"/>
                <w:highlight w:val="none"/>
                <w:lang w:val="zh-CN"/>
              </w:rPr>
              <w:t>依据国家确定的认证机构出具的、处于有效期之内的环境标志产品认证证书，对获得证书的</w:t>
            </w:r>
            <w:r>
              <w:rPr>
                <w:rFonts w:hint="eastAsia" w:ascii="宋体" w:hAnsi="宋体" w:cs="宋体"/>
                <w:b/>
                <w:bCs/>
                <w:color w:val="auto"/>
                <w:kern w:val="0"/>
                <w:sz w:val="24"/>
                <w:szCs w:val="24"/>
                <w:highlight w:val="none"/>
                <w:u w:val="single"/>
                <w:lang w:val="en-US" w:eastAsia="zh-CN"/>
              </w:rPr>
              <w:t>序号9-</w:t>
            </w:r>
            <w:r>
              <w:rPr>
                <w:rFonts w:hint="eastAsia" w:ascii="宋体" w:hAnsi="宋体" w:eastAsia="宋体" w:cs="宋体"/>
                <w:b/>
                <w:bCs/>
                <w:color w:val="auto"/>
                <w:kern w:val="0"/>
                <w:sz w:val="24"/>
                <w:szCs w:val="24"/>
                <w:highlight w:val="none"/>
                <w:u w:val="single"/>
                <w:shd w:val="pct10" w:color="auto" w:fill="FFFFFF"/>
                <w:lang w:val="zh-CN"/>
              </w:rPr>
              <w:t>调解桌</w:t>
            </w:r>
            <w:r>
              <w:rPr>
                <w:rFonts w:hint="eastAsia" w:ascii="宋体" w:hAnsi="宋体" w:cs="宋体"/>
                <w:b/>
                <w:bCs/>
                <w:color w:val="auto"/>
                <w:kern w:val="0"/>
                <w:sz w:val="24"/>
                <w:szCs w:val="24"/>
                <w:highlight w:val="none"/>
                <w:u w:val="single"/>
                <w:shd w:val="pct10" w:color="auto" w:fill="FFFFFF"/>
                <w:lang w:val="zh-CN"/>
              </w:rPr>
              <w:t>、</w:t>
            </w:r>
            <w:r>
              <w:rPr>
                <w:rFonts w:hint="eastAsia" w:ascii="宋体" w:hAnsi="宋体" w:cs="宋体"/>
                <w:b/>
                <w:bCs/>
                <w:color w:val="auto"/>
                <w:kern w:val="0"/>
                <w:sz w:val="24"/>
                <w:szCs w:val="24"/>
                <w:highlight w:val="none"/>
                <w:u w:val="single"/>
                <w:shd w:val="pct10" w:color="auto" w:fill="FFFFFF"/>
                <w:lang w:val="en-US" w:eastAsia="zh-CN"/>
              </w:rPr>
              <w:t>序号10-条桌、序号18-洽谈桌、序号22-接待吧椅、序号23-等候椅、序号28-调解椅、序号31-开门柜、序号33-定制背景柜、序号35-开门柜、序号36-开门柜、序号45-组合沙发、序号46-休闲沙发</w:t>
            </w:r>
            <w:r>
              <w:rPr>
                <w:rFonts w:hint="eastAsia" w:ascii="宋体" w:hAnsi="宋体" w:eastAsia="宋体" w:cs="宋体"/>
                <w:color w:val="auto"/>
                <w:kern w:val="0"/>
                <w:sz w:val="24"/>
                <w:szCs w:val="24"/>
                <w:highlight w:val="none"/>
                <w:lang w:val="zh-CN"/>
              </w:rPr>
              <w:t>实施政府优先采购，</w:t>
            </w:r>
            <w:r>
              <w:rPr>
                <w:rFonts w:hint="eastAsia" w:ascii="宋体" w:hAnsi="宋体" w:eastAsia="宋体" w:cs="宋体"/>
                <w:color w:val="auto"/>
                <w:kern w:val="0"/>
                <w:sz w:val="24"/>
                <w:szCs w:val="24"/>
                <w:highlight w:val="none"/>
              </w:rPr>
              <w:t>详</w:t>
            </w:r>
            <w:r>
              <w:rPr>
                <w:rFonts w:hint="eastAsia" w:ascii="宋体" w:hAnsi="宋体" w:eastAsia="宋体" w:cs="宋体"/>
                <w:color w:val="auto"/>
                <w:kern w:val="0"/>
                <w:sz w:val="24"/>
                <w:szCs w:val="24"/>
                <w:highlight w:val="none"/>
                <w:lang w:val="zh-CN"/>
              </w:rPr>
              <w:t>见</w:t>
            </w:r>
            <w:r>
              <w:rPr>
                <w:rFonts w:hint="eastAsia" w:ascii="宋体" w:hAnsi="宋体" w:eastAsia="宋体" w:cs="宋体"/>
                <w:color w:val="auto"/>
                <w:kern w:val="0"/>
                <w:sz w:val="24"/>
                <w:szCs w:val="24"/>
                <w:highlight w:val="none"/>
                <w:u w:val="single"/>
                <w:lang w:val="zh-CN"/>
              </w:rPr>
              <w:t>评分标准</w:t>
            </w:r>
            <w:r>
              <w:rPr>
                <w:rFonts w:hint="eastAsia" w:ascii="宋体" w:hAnsi="宋体" w:eastAsia="宋体" w:cs="宋体"/>
                <w:color w:val="auto"/>
                <w:kern w:val="0"/>
                <w:sz w:val="24"/>
                <w:szCs w:val="24"/>
                <w:highlight w:val="none"/>
                <w:lang w:val="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898"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b/>
                <w:color w:val="auto"/>
                <w:kern w:val="0"/>
                <w:sz w:val="24"/>
                <w:szCs w:val="24"/>
                <w:highlight w:val="none"/>
                <w:lang w:val="zh-CN"/>
              </w:rPr>
            </w:pPr>
            <w:r>
              <w:rPr>
                <w:rFonts w:hint="eastAsia" w:ascii="宋体" w:hAnsi="宋体" w:eastAsia="宋体" w:cs="宋体"/>
                <w:color w:val="auto"/>
                <w:kern w:val="0"/>
                <w:sz w:val="24"/>
                <w:szCs w:val="24"/>
                <w:highlight w:val="none"/>
                <w:lang w:val="zh-CN"/>
              </w:rPr>
              <w:t>有关本项目实施所需的所有费用（含税费）均计入报价。</w:t>
            </w:r>
            <w:r>
              <w:rPr>
                <w:rFonts w:hint="eastAsia" w:ascii="宋体" w:hAnsi="宋体" w:eastAsia="宋体" w:cs="宋体"/>
                <w:b/>
                <w:bCs/>
                <w:color w:val="auto"/>
                <w:kern w:val="0"/>
                <w:sz w:val="24"/>
                <w:szCs w:val="24"/>
                <w:highlight w:val="none"/>
                <w:lang w:val="zh-CN"/>
              </w:rPr>
              <w:t>投标文件</w:t>
            </w:r>
            <w:r>
              <w:rPr>
                <w:rFonts w:hint="eastAsia" w:ascii="宋体" w:hAnsi="宋体" w:eastAsia="宋体" w:cs="宋体"/>
                <w:b/>
                <w:bCs/>
                <w:color w:val="auto"/>
                <w:sz w:val="24"/>
                <w:szCs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eastAsia="宋体" w:cs="宋体"/>
                <w:color w:val="auto"/>
                <w:kern w:val="0"/>
                <w:sz w:val="24"/>
                <w:szCs w:val="24"/>
                <w:highlight w:val="none"/>
                <w:lang w:val="zh-CN"/>
              </w:rPr>
              <w:t>投标文件中价格全部采用人民币报价。招标文件未列明，而投标人认为必需的费用也需列入报价。</w:t>
            </w:r>
            <w:r>
              <w:rPr>
                <w:rFonts w:hint="eastAsia" w:ascii="宋体" w:hAnsi="宋体" w:eastAsia="宋体" w:cs="宋体"/>
                <w:b/>
                <w:color w:val="auto"/>
                <w:kern w:val="0"/>
                <w:sz w:val="24"/>
                <w:szCs w:val="24"/>
                <w:highlight w:val="none"/>
                <w:lang w:val="zh-CN"/>
              </w:rPr>
              <w:t>提醒：验收时检测费用由采购人承担，不包含在投标总价中。</w:t>
            </w:r>
          </w:p>
          <w:p>
            <w:pPr>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b/>
                <w:color w:val="auto"/>
                <w:kern w:val="0"/>
                <w:sz w:val="24"/>
                <w:szCs w:val="24"/>
                <w:highlight w:val="none"/>
                <w:lang w:val="zh-CN"/>
              </w:rPr>
            </w:pPr>
            <w:r>
              <w:rPr>
                <w:rFonts w:hint="eastAsia" w:ascii="宋体" w:hAnsi="宋体" w:eastAsia="宋体" w:cs="宋体"/>
                <w:b/>
                <w:color w:val="auto"/>
                <w:kern w:val="0"/>
                <w:sz w:val="24"/>
                <w:szCs w:val="24"/>
                <w:highlight w:val="none"/>
                <w:lang w:val="zh-CN"/>
              </w:rPr>
              <w:t>投标报价出现下列情形的，投标无效：</w:t>
            </w:r>
          </w:p>
          <w:p>
            <w:pPr>
              <w:keepNext w:val="0"/>
              <w:keepLines w:val="0"/>
              <w:pageBreakBefore w:val="0"/>
              <w:widowControl w:val="0"/>
              <w:kinsoku/>
              <w:wordWrap/>
              <w:overflowPunct/>
              <w:topLinePunct w:val="0"/>
              <w:autoSpaceDE/>
              <w:autoSpaceDN/>
              <w:bidi w:val="0"/>
              <w:snapToGrid w:val="0"/>
              <w:spacing w:line="360" w:lineRule="auto"/>
              <w:ind w:firstLine="241" w:firstLineChars="100"/>
              <w:jc w:val="both"/>
              <w:textAlignment w:val="auto"/>
              <w:rPr>
                <w:rFonts w:hint="eastAsia" w:ascii="宋体" w:hAnsi="宋体" w:eastAsia="宋体" w:cs="宋体"/>
                <w:b/>
                <w:color w:val="auto"/>
                <w:kern w:val="0"/>
                <w:sz w:val="24"/>
                <w:szCs w:val="24"/>
                <w:highlight w:val="none"/>
                <w:lang w:val="zh-CN"/>
              </w:rPr>
            </w:pPr>
            <w:r>
              <w:rPr>
                <w:rFonts w:hint="eastAsia" w:ascii="宋体" w:hAnsi="宋体" w:eastAsia="宋体" w:cs="宋体"/>
                <w:b/>
                <w:color w:val="auto"/>
                <w:kern w:val="0"/>
                <w:sz w:val="24"/>
                <w:szCs w:val="24"/>
                <w:highlight w:val="none"/>
                <w:lang w:val="zh-CN"/>
              </w:rPr>
              <w:t>投标文件出现不是唯一的、有选择性投标报价的；</w:t>
            </w:r>
          </w:p>
          <w:p>
            <w:pPr>
              <w:keepNext w:val="0"/>
              <w:keepLines w:val="0"/>
              <w:pageBreakBefore w:val="0"/>
              <w:widowControl w:val="0"/>
              <w:kinsoku/>
              <w:wordWrap/>
              <w:overflowPunct/>
              <w:topLinePunct w:val="0"/>
              <w:autoSpaceDE/>
              <w:autoSpaceDN/>
              <w:bidi w:val="0"/>
              <w:snapToGrid w:val="0"/>
              <w:spacing w:line="360" w:lineRule="auto"/>
              <w:ind w:firstLine="241" w:firstLineChars="100"/>
              <w:jc w:val="both"/>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b/>
                <w:color w:val="auto"/>
                <w:kern w:val="0"/>
                <w:sz w:val="24"/>
                <w:szCs w:val="24"/>
                <w:highlight w:val="none"/>
                <w:lang w:val="zh-CN"/>
              </w:rPr>
              <w:t>投标报价超过招标文件中规定的预算金额或者最高限价的;</w:t>
            </w:r>
          </w:p>
          <w:p>
            <w:pPr>
              <w:keepNext w:val="0"/>
              <w:keepLines w:val="0"/>
              <w:pageBreakBefore w:val="0"/>
              <w:widowControl w:val="0"/>
              <w:kinsoku/>
              <w:wordWrap/>
              <w:overflowPunct/>
              <w:topLinePunct w:val="0"/>
              <w:autoSpaceDE/>
              <w:autoSpaceDN/>
              <w:bidi w:val="0"/>
              <w:snapToGrid w:val="0"/>
              <w:spacing w:line="360" w:lineRule="auto"/>
              <w:ind w:firstLine="241" w:firstLineChars="100"/>
              <w:jc w:val="both"/>
              <w:textAlignment w:val="auto"/>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宋体" w:hAnsi="宋体" w:eastAsia="宋体" w:cs="宋体"/>
                <w:b/>
                <w:color w:val="auto"/>
                <w:sz w:val="24"/>
                <w:szCs w:val="24"/>
                <w:highlight w:val="none"/>
              </w:rPr>
              <w:t>;</w:t>
            </w:r>
          </w:p>
          <w:p>
            <w:pPr>
              <w:keepNext w:val="0"/>
              <w:keepLines w:val="0"/>
              <w:pageBreakBefore w:val="0"/>
              <w:widowControl w:val="0"/>
              <w:kinsoku/>
              <w:wordWrap/>
              <w:overflowPunct/>
              <w:topLinePunct w:val="0"/>
              <w:autoSpaceDE/>
              <w:autoSpaceDN/>
              <w:bidi w:val="0"/>
              <w:snapToGrid w:val="0"/>
              <w:spacing w:line="360" w:lineRule="auto"/>
              <w:ind w:firstLine="241" w:firstLineChars="100"/>
              <w:jc w:val="both"/>
              <w:textAlignment w:val="auto"/>
              <w:rPr>
                <w:rFonts w:hint="eastAsia" w:ascii="宋体" w:hAnsi="宋体" w:eastAsia="宋体" w:cs="宋体"/>
                <w:color w:val="auto"/>
                <w:sz w:val="24"/>
                <w:szCs w:val="24"/>
                <w:highlight w:val="none"/>
              </w:rPr>
            </w:pPr>
            <w:r>
              <w:rPr>
                <w:rFonts w:hint="eastAsia" w:ascii="宋体" w:hAnsi="宋体" w:eastAsia="宋体" w:cs="宋体"/>
                <w:b/>
                <w:color w:val="auto"/>
                <w:kern w:val="0"/>
                <w:sz w:val="24"/>
                <w:szCs w:val="24"/>
                <w:highlight w:val="none"/>
              </w:rPr>
              <w:t>投标人对根据修正原则修正后的报价不确认的</w:t>
            </w:r>
            <w:r>
              <w:rPr>
                <w:rFonts w:hint="eastAsia" w:ascii="宋体" w:hAnsi="宋体" w:eastAsia="宋体" w:cs="宋体"/>
                <w:b/>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392" w:hRule="atLeast"/>
          <w:tblHeader/>
        </w:trPr>
        <w:tc>
          <w:tcPr>
            <w:tcW w:w="629" w:type="dxa"/>
            <w:tcBorders>
              <w:top w:val="single" w:color="auto" w:sz="4" w:space="0"/>
              <w:left w:val="single" w:color="000000" w:sz="8" w:space="0"/>
              <w:right w:val="single" w:color="000000" w:sz="2" w:space="0"/>
            </w:tcBorders>
            <w:vAlign w:val="center"/>
          </w:tcPr>
          <w:p>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p>
        </w:tc>
        <w:tc>
          <w:tcPr>
            <w:tcW w:w="1843" w:type="dxa"/>
            <w:tcBorders>
              <w:top w:val="single" w:color="000000" w:sz="8" w:space="0"/>
              <w:left w:val="single" w:color="000000" w:sz="2" w:space="0"/>
              <w:right w:val="single" w:color="000000" w:sz="8" w:space="0"/>
            </w:tcBorders>
            <w:vAlign w:val="center"/>
          </w:tcPr>
          <w:p>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中小企业信用融资</w:t>
            </w:r>
          </w:p>
        </w:tc>
        <w:tc>
          <w:tcPr>
            <w:tcW w:w="6095" w:type="dxa"/>
            <w:tcBorders>
              <w:top w:val="single" w:color="000000" w:sz="8" w:space="0"/>
              <w:left w:val="single" w:color="000000" w:sz="2" w:space="0"/>
              <w:right w:val="single" w:color="000000" w:sz="8" w:space="0"/>
            </w:tcBorders>
            <w:vAlign w:val="center"/>
          </w:tcPr>
          <w:p>
            <w:pPr>
              <w:keepNext w:val="0"/>
              <w:keepLines w:val="0"/>
              <w:pageBreakBefore w:val="0"/>
              <w:widowControl w:val="0"/>
              <w:kinsoku/>
              <w:wordWrap/>
              <w:overflowPunct/>
              <w:topLinePunct w:val="0"/>
              <w:autoSpaceDE/>
              <w:autoSpaceDN/>
              <w:bidi w:val="0"/>
              <w:snapToGrid w:val="0"/>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p>
            <w:pPr>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本项目支持《杭州市萧山区政府采购支持中小企业信用融资暂行办法》。</w:t>
            </w:r>
          </w:p>
          <w:p>
            <w:pPr>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有融资需求的中标供应商可参照相关规定及银行方案凭政府采购合同向相关合作银行提出信用融资（贷款）申请。详见</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"http://www.xiaoshan.gov.cn/art/2018/12/20/art_1229293109_1559514.html" </w:instrText>
            </w:r>
            <w:r>
              <w:rPr>
                <w:rFonts w:hint="eastAsia" w:ascii="宋体" w:hAnsi="宋体" w:eastAsia="宋体" w:cs="宋体"/>
                <w:color w:val="auto"/>
                <w:sz w:val="24"/>
                <w:szCs w:val="24"/>
                <w:highlight w:val="none"/>
              </w:rPr>
              <w:fldChar w:fldCharType="separate"/>
            </w:r>
            <w:r>
              <w:rPr>
                <w:rStyle w:val="76"/>
                <w:rFonts w:hint="eastAsia" w:ascii="宋体" w:hAnsi="宋体" w:eastAsia="宋体" w:cs="宋体"/>
                <w:snapToGrid/>
                <w:color w:val="auto"/>
                <w:sz w:val="24"/>
                <w:szCs w:val="24"/>
                <w:highlight w:val="none"/>
              </w:rPr>
              <w:t>http://www.xiaoshan.gov.cn/art/2018/12/20/art_1229293109_1559514.html</w:t>
            </w:r>
            <w:r>
              <w:rPr>
                <w:rStyle w:val="76"/>
                <w:rFonts w:hint="eastAsia" w:ascii="宋体" w:hAnsi="宋体" w:eastAsia="宋体" w:cs="宋体"/>
                <w:snapToGrid/>
                <w:color w:val="auto"/>
                <w:sz w:val="24"/>
                <w:szCs w:val="24"/>
                <w:highlight w:val="none"/>
              </w:rPr>
              <w:fldChar w:fldCharType="end"/>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41"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w:t>
            </w:r>
          </w:p>
        </w:tc>
        <w:tc>
          <w:tcPr>
            <w:tcW w:w="1843" w:type="dxa"/>
            <w:tcBorders>
              <w:top w:val="single" w:color="000000" w:sz="8" w:space="0"/>
              <w:left w:val="single" w:color="000000" w:sz="2" w:space="0"/>
              <w:bottom w:val="single" w:color="000000" w:sz="8" w:space="0"/>
              <w:right w:val="single" w:color="000000" w:sz="8" w:space="0"/>
            </w:tcBorders>
            <w:vAlign w:val="center"/>
          </w:tcPr>
          <w:p>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备份投标文件送达地点和签收人员</w:t>
            </w:r>
          </w:p>
        </w:tc>
        <w:tc>
          <w:tcPr>
            <w:tcW w:w="6095" w:type="dxa"/>
            <w:tcBorders>
              <w:top w:val="single" w:color="000000" w:sz="8" w:space="0"/>
              <w:left w:val="single" w:color="000000" w:sz="2" w:space="0"/>
              <w:bottom w:val="single" w:color="000000" w:sz="8" w:space="0"/>
              <w:right w:val="single" w:color="000000" w:sz="8" w:space="0"/>
            </w:tcBorders>
            <w:vAlign w:val="center"/>
          </w:tcPr>
          <w:p>
            <w:pPr>
              <w:pStyle w:val="32"/>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28"/>
                <w:sz w:val="24"/>
                <w:szCs w:val="24"/>
                <w:highlight w:val="none"/>
              </w:rPr>
              <w:t>本项目备份文件是否收取：不收取</w:t>
            </w:r>
          </w:p>
          <w:p>
            <w:pPr>
              <w:pStyle w:val="32"/>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kern w:val="28"/>
                <w:sz w:val="24"/>
                <w:szCs w:val="24"/>
                <w:highlight w:val="none"/>
              </w:rPr>
            </w:pPr>
            <w:r>
              <w:rPr>
                <w:rFonts w:hint="eastAsia" w:ascii="宋体" w:hAnsi="宋体" w:eastAsia="宋体" w:cs="宋体"/>
                <w:b/>
                <w:color w:val="auto"/>
                <w:sz w:val="24"/>
                <w:szCs w:val="24"/>
                <w:highlight w:val="none"/>
              </w:rPr>
              <w:t>采购人、采购代理机构不强制或变相强制投标人提交备份投标文件。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42"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w:t>
            </w:r>
          </w:p>
        </w:tc>
        <w:tc>
          <w:tcPr>
            <w:tcW w:w="1843" w:type="dxa"/>
            <w:tcBorders>
              <w:top w:val="single" w:color="000000" w:sz="8" w:space="0"/>
              <w:left w:val="single" w:color="000000" w:sz="2" w:space="0"/>
              <w:bottom w:val="single" w:color="000000" w:sz="8" w:space="0"/>
              <w:right w:val="single" w:color="000000" w:sz="8" w:space="0"/>
            </w:tcBorders>
            <w:vAlign w:val="center"/>
          </w:tcPr>
          <w:p>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采购机构代理费用</w:t>
            </w:r>
          </w:p>
        </w:tc>
        <w:tc>
          <w:tcPr>
            <w:tcW w:w="6095"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w:t>
            </w:r>
          </w:p>
        </w:tc>
        <w:tc>
          <w:tcPr>
            <w:tcW w:w="1843" w:type="dxa"/>
            <w:tcBorders>
              <w:top w:val="single" w:color="000000" w:sz="8" w:space="0"/>
              <w:left w:val="single" w:color="000000" w:sz="2" w:space="0"/>
              <w:bottom w:val="single" w:color="000000" w:sz="8" w:space="0"/>
              <w:right w:val="single" w:color="000000" w:sz="8" w:space="0"/>
            </w:tcBorders>
            <w:vAlign w:val="center"/>
          </w:tcPr>
          <w:p>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资格审查和信用信息审查</w:t>
            </w:r>
          </w:p>
        </w:tc>
        <w:tc>
          <w:tcPr>
            <w:tcW w:w="6095"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本项目由采购人进行资格文件及信用信息查询。</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71"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w:t>
            </w:r>
          </w:p>
        </w:tc>
        <w:tc>
          <w:tcPr>
            <w:tcW w:w="1843" w:type="dxa"/>
            <w:tcBorders>
              <w:top w:val="single" w:color="000000" w:sz="8" w:space="0"/>
              <w:left w:val="single" w:color="000000" w:sz="2" w:space="0"/>
              <w:bottom w:val="single" w:color="000000" w:sz="8" w:space="0"/>
              <w:right w:val="single" w:color="000000" w:sz="8" w:space="0"/>
            </w:tcBorders>
            <w:vAlign w:val="center"/>
          </w:tcPr>
          <w:p>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质疑接收人及答复</w:t>
            </w:r>
          </w:p>
        </w:tc>
        <w:tc>
          <w:tcPr>
            <w:tcW w:w="6095"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采购人、采购机构质疑接收人、联系方式：详见公告</w:t>
            </w:r>
          </w:p>
          <w:p>
            <w:pPr>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线上提交质疑方式：政采云线上质疑路径：项目采购-询问质疑投诉-质疑列表。请使用ca签章在每一页质疑文件中加盖电子公章，上传完整附件。</w:t>
            </w:r>
          </w:p>
          <w:p>
            <w:pPr>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本项目涉及资格条件、采购需求、评分办法及采购过程中有关现场考察或开标前答疑会等事项由</w:t>
            </w:r>
            <w:r>
              <w:rPr>
                <w:rFonts w:hint="eastAsia" w:ascii="宋体" w:hAnsi="宋体" w:eastAsia="宋体" w:cs="宋体"/>
                <w:b/>
                <w:bCs/>
                <w:color w:val="auto"/>
                <w:sz w:val="24"/>
                <w:szCs w:val="24"/>
                <w:highlight w:val="none"/>
              </w:rPr>
              <w:t>采购人</w:t>
            </w:r>
            <w:r>
              <w:rPr>
                <w:rFonts w:hint="eastAsia" w:ascii="宋体" w:hAnsi="宋体" w:eastAsia="宋体" w:cs="宋体"/>
                <w:color w:val="auto"/>
                <w:sz w:val="24"/>
                <w:szCs w:val="24"/>
                <w:highlight w:val="none"/>
              </w:rPr>
              <w:t>进行答复。</w:t>
            </w:r>
          </w:p>
          <w:p>
            <w:pPr>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涉及流程规范性、组织程序等相关事项，由</w:t>
            </w:r>
            <w:r>
              <w:rPr>
                <w:rFonts w:hint="eastAsia" w:ascii="宋体" w:hAnsi="宋体" w:eastAsia="宋体" w:cs="宋体"/>
                <w:b/>
                <w:bCs/>
                <w:color w:val="auto"/>
                <w:sz w:val="24"/>
                <w:szCs w:val="24"/>
                <w:highlight w:val="none"/>
              </w:rPr>
              <w:t>采购代理机构</w:t>
            </w:r>
            <w:r>
              <w:rPr>
                <w:rFonts w:hint="eastAsia" w:ascii="宋体" w:hAnsi="宋体" w:eastAsia="宋体" w:cs="宋体"/>
                <w:color w:val="auto"/>
                <w:sz w:val="24"/>
                <w:szCs w:val="24"/>
                <w:highlight w:val="none"/>
              </w:rPr>
              <w:t>进行答复。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80"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w:t>
            </w:r>
          </w:p>
        </w:tc>
        <w:tc>
          <w:tcPr>
            <w:tcW w:w="1843" w:type="dxa"/>
            <w:tcBorders>
              <w:top w:val="single" w:color="000000" w:sz="8" w:space="0"/>
              <w:left w:val="single" w:color="000000" w:sz="2" w:space="0"/>
              <w:bottom w:val="single" w:color="000000" w:sz="8" w:space="0"/>
              <w:right w:val="single" w:color="000000" w:sz="8" w:space="0"/>
            </w:tcBorders>
            <w:vAlign w:val="center"/>
          </w:tcPr>
          <w:p>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履约验收</w:t>
            </w:r>
          </w:p>
        </w:tc>
        <w:tc>
          <w:tcPr>
            <w:tcW w:w="6095"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验收采用采购人自行组织验收和专门机构验收两种形式，具体按照萧政办发[2014]217号文件执行。验收方成员应当在验收书上签字，并承担相应的法律责任。使用区级财政性资金采购的货物类政府采购项目的验收，按萧市监【2015】127号、萧市监【2019】16号等相关文件执行（如项目发布后已有新文件规定，按照最新文件执行）。存在隐蔽工程的项目，采购单位及供应商应在货物到货并将实施安装前，申请进行初验收。</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联系电话: 0571-83587785/0571-82816012 联系地址: 萧山区通惠北路2-1号304室</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713" w:hRule="atLeast"/>
          <w:tblHeader/>
        </w:trPr>
        <w:tc>
          <w:tcPr>
            <w:tcW w:w="629" w:type="dxa"/>
            <w:vMerge w:val="restart"/>
            <w:tcBorders>
              <w:top w:val="single" w:color="auto" w:sz="4" w:space="0"/>
              <w:left w:val="single" w:color="000000" w:sz="8" w:space="0"/>
              <w:right w:val="single" w:color="000000" w:sz="2" w:space="0"/>
            </w:tcBorders>
            <w:vAlign w:val="center"/>
          </w:tcPr>
          <w:p>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w:t>
            </w:r>
          </w:p>
        </w:tc>
        <w:tc>
          <w:tcPr>
            <w:tcW w:w="1843" w:type="dxa"/>
            <w:vMerge w:val="restart"/>
            <w:tcBorders>
              <w:top w:val="single" w:color="000000" w:sz="8" w:space="0"/>
              <w:left w:val="single" w:color="000000" w:sz="2" w:space="0"/>
              <w:right w:val="single" w:color="000000" w:sz="8" w:space="0"/>
            </w:tcBorders>
            <w:vAlign w:val="center"/>
          </w:tcPr>
          <w:p>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snapToGrid w:val="0"/>
                <w:color w:val="auto"/>
                <w:kern w:val="28"/>
                <w:sz w:val="24"/>
                <w:szCs w:val="24"/>
                <w:highlight w:val="none"/>
              </w:rPr>
            </w:pPr>
            <w:r>
              <w:rPr>
                <w:rFonts w:hint="eastAsia" w:ascii="宋体" w:hAnsi="宋体" w:eastAsia="宋体" w:cs="宋体"/>
                <w:snapToGrid w:val="0"/>
                <w:color w:val="auto"/>
                <w:kern w:val="28"/>
                <w:sz w:val="24"/>
                <w:szCs w:val="24"/>
                <w:highlight w:val="none"/>
              </w:rPr>
              <w:t>联合体投标的，联合体各方分别提供与联合体协议中规定的分工内容相应的业绩证明材料，业绩数量以提供材料较少的一方为准。</w:t>
            </w:r>
          </w:p>
          <w:p>
            <w:pPr>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4"/>
                <w:szCs w:val="24"/>
                <w:highlight w:val="none"/>
              </w:rPr>
            </w:pPr>
            <w:sdt>
              <w:sdtPr>
                <w:rPr>
                  <w:rFonts w:hint="eastAsia" w:ascii="宋体" w:hAnsi="宋体" w:eastAsia="宋体" w:cs="宋体"/>
                  <w:color w:val="auto"/>
                  <w:sz w:val="24"/>
                  <w:szCs w:val="24"/>
                  <w:highlight w:val="none"/>
                </w:rPr>
                <w:id w:val="4672"/>
                <w14:checkbox>
                  <w14:checked w14:val="0"/>
                  <w14:checkedState w14:val="00FE" w14:font="Wingdings"/>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rPr>
                  <w:t>☐</w:t>
                </w:r>
              </w:sdtContent>
            </w:sdt>
            <w:r>
              <w:rPr>
                <w:rFonts w:hint="eastAsia" w:ascii="宋体" w:hAnsi="宋体" w:eastAsia="宋体" w:cs="宋体"/>
                <w:color w:val="auto"/>
                <w:sz w:val="24"/>
                <w:szCs w:val="24"/>
                <w:highlight w:val="none"/>
              </w:rPr>
              <w:t>联合体投标的，联合体各方均需按招标文件第四部分评标标准要求提供资信证明文件，否则视为不符合相关要求。</w:t>
            </w:r>
          </w:p>
          <w:p>
            <w:pPr>
              <w:pStyle w:val="4"/>
              <w:keepNext w:val="0"/>
              <w:keepLines w:val="0"/>
              <w:pageBreakBefore w:val="0"/>
              <w:widowControl w:val="0"/>
              <w:kinsoku/>
              <w:wordWrap/>
              <w:overflowPunct/>
              <w:topLinePunct w:val="0"/>
              <w:autoSpaceDE/>
              <w:autoSpaceDN/>
              <w:bidi w:val="0"/>
              <w:snapToGrid w:val="0"/>
              <w:spacing w:line="360" w:lineRule="auto"/>
              <w:ind w:left="0" w:firstLine="0"/>
              <w:jc w:val="both"/>
              <w:textAlignment w:val="auto"/>
              <w:rPr>
                <w:rFonts w:hint="eastAsia" w:ascii="宋体" w:hAnsi="宋体" w:eastAsia="宋体" w:cs="宋体"/>
                <w:color w:val="auto"/>
                <w:sz w:val="24"/>
                <w:szCs w:val="24"/>
                <w:highlight w:val="none"/>
              </w:rPr>
            </w:pPr>
            <w:sdt>
              <w:sdtPr>
                <w:rPr>
                  <w:rFonts w:hint="eastAsia" w:ascii="宋体" w:hAnsi="宋体" w:eastAsia="宋体" w:cs="宋体"/>
                  <w:color w:val="auto"/>
                  <w:sz w:val="24"/>
                  <w:szCs w:val="24"/>
                  <w:highlight w:val="none"/>
                </w:rPr>
                <w:id w:val="1052570136"/>
                <w14:checkbox>
                  <w14:checked w14:val="1"/>
                  <w14:checkedState w14:val="00FE" w14:font="Wingdings"/>
                  <w14:uncheckedState w14:val="2610" w14:font="MS Gothic"/>
                </w14:checkbox>
              </w:sdtPr>
              <w:sdtEndPr>
                <w:rPr>
                  <w:rFonts w:hint="eastAsia" w:ascii="宋体" w:hAnsi="宋体" w:eastAsia="宋体" w:cs="宋体"/>
                  <w:b w:val="0"/>
                  <w:bCs w:val="0"/>
                  <w:snapToGrid w:val="0"/>
                  <w:color w:val="auto"/>
                  <w:kern w:val="28"/>
                  <w:sz w:val="24"/>
                  <w:szCs w:val="24"/>
                  <w:highlight w:val="none"/>
                  <w:lang w:val="en-US"/>
                </w:rPr>
              </w:sdtEndPr>
              <w:sdtContent>
                <w:r>
                  <w:rPr>
                    <w:rFonts w:hint="eastAsia" w:ascii="宋体" w:hAnsi="宋体" w:eastAsia="宋体" w:cs="宋体"/>
                    <w:color w:val="auto"/>
                    <w:sz w:val="24"/>
                    <w:szCs w:val="24"/>
                    <w:highlight w:val="none"/>
                  </w:rPr>
                  <w:sym w:font="Wingdings" w:char="F0FE"/>
                </w:r>
              </w:sdtContent>
            </w:sdt>
            <w:r>
              <w:rPr>
                <w:rFonts w:hint="eastAsia" w:ascii="宋体" w:hAnsi="宋体" w:eastAsia="宋体" w:cs="宋体"/>
                <w:b w:val="0"/>
                <w:bCs w:val="0"/>
                <w:snapToGrid w:val="0"/>
                <w:color w:val="auto"/>
                <w:kern w:val="28"/>
                <w:sz w:val="24"/>
                <w:szCs w:val="24"/>
                <w:highlight w:val="none"/>
                <w:lang w:val="en-US"/>
              </w:rPr>
              <w:t>联合体投标的，联合体中有一方或者联合体成员根据分工按招标文件第四部分评标标准要求提供资信证明文件的，视为符合了相关要求。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08" w:hRule="atLeast"/>
          <w:tblHeader/>
        </w:trPr>
        <w:tc>
          <w:tcPr>
            <w:tcW w:w="629" w:type="dxa"/>
            <w:vMerge w:val="continue"/>
            <w:tcBorders>
              <w:left w:val="single" w:color="000000" w:sz="8" w:space="0"/>
              <w:right w:val="single" w:color="000000" w:sz="2" w:space="0"/>
            </w:tcBorders>
            <w:vAlign w:val="center"/>
          </w:tcPr>
          <w:p>
            <w:pPr>
              <w:pageBreakBefore w:val="0"/>
              <w:widowControl w:val="0"/>
              <w:kinsoku/>
              <w:wordWrap/>
              <w:overflowPunct/>
              <w:topLinePunct w:val="0"/>
              <w:autoSpaceDE/>
              <w:autoSpaceDN/>
              <w:bidi w:val="0"/>
              <w:snapToGrid w:val="0"/>
              <w:spacing w:line="240" w:lineRule="auto"/>
              <w:jc w:val="center"/>
              <w:textAlignment w:val="auto"/>
              <w:rPr>
                <w:rFonts w:ascii="宋体" w:hAnsi="宋体" w:cs="宋体"/>
                <w:color w:val="auto"/>
                <w:sz w:val="24"/>
                <w:highlight w:val="none"/>
              </w:rPr>
            </w:pPr>
          </w:p>
        </w:tc>
        <w:tc>
          <w:tcPr>
            <w:tcW w:w="1843" w:type="dxa"/>
            <w:vMerge w:val="continue"/>
            <w:tcBorders>
              <w:left w:val="single" w:color="000000" w:sz="2" w:space="0"/>
              <w:right w:val="single" w:color="000000" w:sz="8" w:space="0"/>
            </w:tcBorders>
            <w:vAlign w:val="center"/>
          </w:tcPr>
          <w:p>
            <w:pPr>
              <w:pageBreakBefore w:val="0"/>
              <w:widowControl w:val="0"/>
              <w:kinsoku/>
              <w:wordWrap/>
              <w:overflowPunct/>
              <w:topLinePunct w:val="0"/>
              <w:autoSpaceDE/>
              <w:autoSpaceDN/>
              <w:bidi w:val="0"/>
              <w:snapToGrid w:val="0"/>
              <w:spacing w:line="240" w:lineRule="auto"/>
              <w:jc w:val="center"/>
              <w:textAlignment w:val="auto"/>
              <w:rPr>
                <w:rFonts w:ascii="宋体" w:hAnsi="宋体" w:cs="宋体"/>
                <w:b/>
                <w:color w:val="auto"/>
                <w:sz w:val="24"/>
                <w:highlight w:val="none"/>
              </w:rPr>
            </w:pPr>
          </w:p>
        </w:tc>
        <w:tc>
          <w:tcPr>
            <w:tcW w:w="6095"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评审因素对应的要求视为采购需求的一部分。</w:t>
            </w:r>
          </w:p>
          <w:p>
            <w:pPr>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本项目通用总则条款与前附表等专用特别规定有冲突之处，以专用条款（特别规定）为准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vMerge w:val="continue"/>
            <w:tcBorders>
              <w:left w:val="single" w:color="000000" w:sz="8" w:space="0"/>
              <w:bottom w:val="single" w:color="auto" w:sz="4" w:space="0"/>
              <w:right w:val="single" w:color="000000" w:sz="2" w:space="0"/>
            </w:tcBorders>
            <w:vAlign w:val="center"/>
          </w:tcPr>
          <w:p>
            <w:pPr>
              <w:pageBreakBefore w:val="0"/>
              <w:widowControl w:val="0"/>
              <w:kinsoku/>
              <w:wordWrap/>
              <w:overflowPunct/>
              <w:topLinePunct w:val="0"/>
              <w:autoSpaceDE/>
              <w:autoSpaceDN/>
              <w:bidi w:val="0"/>
              <w:snapToGrid w:val="0"/>
              <w:spacing w:line="240" w:lineRule="auto"/>
              <w:jc w:val="center"/>
              <w:textAlignment w:val="auto"/>
              <w:rPr>
                <w:rFonts w:ascii="宋体" w:hAnsi="宋体" w:cs="宋体"/>
                <w:color w:val="auto"/>
                <w:sz w:val="24"/>
                <w:highlight w:val="none"/>
              </w:rPr>
            </w:pPr>
          </w:p>
        </w:tc>
        <w:tc>
          <w:tcPr>
            <w:tcW w:w="1843" w:type="dxa"/>
            <w:vMerge w:val="continue"/>
            <w:tcBorders>
              <w:left w:val="single" w:color="000000" w:sz="2" w:space="0"/>
              <w:bottom w:val="single" w:color="000000" w:sz="8" w:space="0"/>
              <w:right w:val="single" w:color="000000" w:sz="8" w:space="0"/>
            </w:tcBorders>
            <w:vAlign w:val="center"/>
          </w:tcPr>
          <w:p>
            <w:pPr>
              <w:pageBreakBefore w:val="0"/>
              <w:widowControl w:val="0"/>
              <w:kinsoku/>
              <w:wordWrap/>
              <w:overflowPunct/>
              <w:topLinePunct w:val="0"/>
              <w:autoSpaceDE/>
              <w:autoSpaceDN/>
              <w:bidi w:val="0"/>
              <w:snapToGrid w:val="0"/>
              <w:spacing w:line="240" w:lineRule="auto"/>
              <w:jc w:val="center"/>
              <w:textAlignment w:val="auto"/>
              <w:rPr>
                <w:rFonts w:ascii="宋体" w:hAnsi="宋体" w:cs="宋体"/>
                <w:b/>
                <w:color w:val="auto"/>
                <w:sz w:val="24"/>
                <w:highlight w:val="none"/>
              </w:rPr>
            </w:pPr>
          </w:p>
        </w:tc>
        <w:tc>
          <w:tcPr>
            <w:tcW w:w="6095"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本项目每个标项推荐中标候选人数量：1</w:t>
            </w:r>
          </w:p>
        </w:tc>
      </w:tr>
      <w:bookmarkEnd w:id="6"/>
    </w:tbl>
    <w:p>
      <w:pPr>
        <w:rPr>
          <w:rFonts w:ascii="宋体" w:hAnsi="宋体" w:cs="宋体"/>
          <w:b/>
          <w:color w:val="auto"/>
          <w:sz w:val="32"/>
          <w:szCs w:val="20"/>
          <w:highlight w:val="none"/>
        </w:rPr>
      </w:pPr>
      <w:bookmarkStart w:id="9" w:name="_Toc164416483"/>
      <w:bookmarkStart w:id="10" w:name="第三部分"/>
      <w:r>
        <w:rPr>
          <w:rFonts w:hint="eastAsia" w:ascii="宋体" w:hAnsi="宋体" w:cs="宋体"/>
          <w:b/>
          <w:color w:val="auto"/>
          <w:sz w:val="32"/>
          <w:szCs w:val="20"/>
          <w:highlight w:val="none"/>
        </w:rPr>
        <w:br w:type="page"/>
      </w:r>
    </w:p>
    <w:p>
      <w:pPr>
        <w:keepNext w:val="0"/>
        <w:keepLines w:val="0"/>
        <w:pageBreakBefore w:val="0"/>
        <w:kinsoku/>
        <w:wordWrap/>
        <w:overflowPunct/>
        <w:topLinePunct w:val="0"/>
        <w:bidi w:val="0"/>
        <w:adjustRightInd/>
        <w:snapToGrid w:val="0"/>
        <w:spacing w:line="360" w:lineRule="auto"/>
        <w:ind w:firstLine="3845" w:firstLineChars="1197"/>
        <w:textAlignment w:val="auto"/>
        <w:outlineLvl w:val="0"/>
        <w:rPr>
          <w:rFonts w:ascii="宋体" w:hAnsi="宋体" w:cs="宋体"/>
          <w:b/>
          <w:color w:val="auto"/>
          <w:sz w:val="32"/>
          <w:szCs w:val="20"/>
          <w:highlight w:val="none"/>
        </w:rPr>
      </w:pPr>
      <w:r>
        <w:rPr>
          <w:rFonts w:hint="eastAsia" w:ascii="宋体" w:hAnsi="宋体" w:cs="宋体"/>
          <w:b/>
          <w:color w:val="auto"/>
          <w:sz w:val="32"/>
          <w:szCs w:val="20"/>
          <w:highlight w:val="none"/>
        </w:rPr>
        <w:t>一、总则</w:t>
      </w:r>
    </w:p>
    <w:p>
      <w:pPr>
        <w:keepNext w:val="0"/>
        <w:keepLines w:val="0"/>
        <w:pageBreakBefore w:val="0"/>
        <w:kinsoku/>
        <w:wordWrap/>
        <w:overflowPunct/>
        <w:topLinePunct w:val="0"/>
        <w:bidi w:val="0"/>
        <w:snapToGrid w:val="0"/>
        <w:spacing w:line="360" w:lineRule="auto"/>
        <w:jc w:val="left"/>
        <w:textAlignment w:val="auto"/>
        <w:outlineLvl w:val="1"/>
        <w:rPr>
          <w:rFonts w:ascii="宋体" w:hAnsi="宋体" w:cs="宋体"/>
          <w:b/>
          <w:color w:val="auto"/>
          <w:sz w:val="24"/>
          <w:highlight w:val="none"/>
        </w:rPr>
      </w:pPr>
      <w:r>
        <w:rPr>
          <w:rFonts w:hint="eastAsia" w:ascii="宋体" w:hAnsi="宋体" w:cs="宋体"/>
          <w:b/>
          <w:color w:val="auto"/>
          <w:sz w:val="24"/>
          <w:highlight w:val="none"/>
        </w:rPr>
        <w:t>1. 适用范围</w:t>
      </w:r>
    </w:p>
    <w:p>
      <w:pPr>
        <w:keepNext w:val="0"/>
        <w:keepLines w:val="0"/>
        <w:pageBreakBefore w:val="0"/>
        <w:kinsoku/>
        <w:wordWrap/>
        <w:overflowPunct/>
        <w:topLinePunct w:val="0"/>
        <w:bidi w:val="0"/>
        <w:snapToGrid w:val="0"/>
        <w:spacing w:line="36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本招标文件适用于该项目的招标、投标、开标、资格审查及信用信息查询、评标、定标、合同、验收等行为（法律、法规另有规定的，从其规定）。</w:t>
      </w:r>
    </w:p>
    <w:p>
      <w:pPr>
        <w:keepNext w:val="0"/>
        <w:keepLines w:val="0"/>
        <w:pageBreakBefore w:val="0"/>
        <w:numPr>
          <w:ilvl w:val="0"/>
          <w:numId w:val="0"/>
        </w:numPr>
        <w:kinsoku/>
        <w:wordWrap/>
        <w:overflowPunct/>
        <w:topLinePunct w:val="0"/>
        <w:bidi w:val="0"/>
        <w:adjustRightInd/>
        <w:snapToGrid w:val="0"/>
        <w:spacing w:line="360" w:lineRule="auto"/>
        <w:textAlignment w:val="auto"/>
        <w:outlineLvl w:val="0"/>
        <w:rPr>
          <w:rFonts w:ascii="宋体" w:hAnsi="宋体" w:cs="宋体"/>
          <w:b/>
          <w:color w:val="auto"/>
          <w:sz w:val="24"/>
          <w:highlight w:val="none"/>
        </w:rPr>
      </w:pPr>
      <w:r>
        <w:rPr>
          <w:rFonts w:hint="eastAsia" w:ascii="宋体" w:hAnsi="宋体" w:cs="宋体"/>
          <w:b/>
          <w:color w:val="auto"/>
          <w:sz w:val="24"/>
          <w:highlight w:val="none"/>
          <w:lang w:val="en-US" w:eastAsia="zh-CN"/>
        </w:rPr>
        <w:t xml:space="preserve">2. </w:t>
      </w:r>
      <w:r>
        <w:rPr>
          <w:rFonts w:hint="eastAsia" w:ascii="宋体" w:hAnsi="宋体" w:cs="宋体"/>
          <w:b/>
          <w:color w:val="auto"/>
          <w:sz w:val="24"/>
          <w:highlight w:val="none"/>
        </w:rPr>
        <w:t>定义</w:t>
      </w:r>
    </w:p>
    <w:p>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2.1 “采购人”系指招标公告中载明的本项目的采购人。</w:t>
      </w:r>
    </w:p>
    <w:p>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2.2 “采购代理机构”系指招标公告中载明的本项目的采购代理机构。</w:t>
      </w:r>
    </w:p>
    <w:p>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2.3 “投标人”系指是指响应招标、参加投标竞争的法人、其他组织或者自然人。</w:t>
      </w:r>
    </w:p>
    <w:p>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2.4 “负责人”系指法人企业的法定负责人，或其他组织为法律、行政法规规定代表单位行使职权的主要负责人，或自然人本人。</w:t>
      </w:r>
    </w:p>
    <w:p>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2.6“电子交易平台”系指本项目政府采购活动所依托的政府采购云平台（https://www.zcygov.cn/）。</w:t>
      </w:r>
    </w:p>
    <w:p>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2.7 “▲” 系指实质性要求条款，“</w:t>
      </w:r>
      <w:sdt>
        <w:sdtPr>
          <w:rPr>
            <w:rFonts w:hint="eastAsia" w:ascii="宋体" w:hAnsi="宋体" w:cs="宋体"/>
            <w:color w:val="auto"/>
            <w:kern w:val="0"/>
            <w:sz w:val="24"/>
            <w:highlight w:val="none"/>
          </w:rPr>
          <w:id w:val="512970236"/>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Wingdings" w:hAnsi="Wingdings" w:cs="宋体"/>
              <w:color w:val="auto"/>
              <w:kern w:val="0"/>
              <w:sz w:val="24"/>
              <w:highlight w:val="none"/>
            </w:rPr>
            <w:t></w:t>
          </w:r>
        </w:sdtContent>
      </w:sdt>
      <w:r>
        <w:rPr>
          <w:rFonts w:hint="eastAsia" w:ascii="宋体" w:hAnsi="宋体" w:cs="宋体"/>
          <w:color w:val="auto"/>
          <w:sz w:val="24"/>
          <w:highlight w:val="none"/>
        </w:rPr>
        <w:t>” 系指适用本项目的要求，“</w:t>
      </w:r>
      <w:sdt>
        <w:sdtPr>
          <w:rPr>
            <w:rFonts w:hint="eastAsia" w:ascii="宋体" w:hAnsi="宋体" w:cs="宋体"/>
            <w:color w:val="auto"/>
            <w:kern w:val="0"/>
            <w:sz w:val="24"/>
            <w:highlight w:val="none"/>
          </w:rPr>
          <w:id w:val="40488885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 系指不适用本项目的要求。</w:t>
      </w:r>
    </w:p>
    <w:p>
      <w:pPr>
        <w:keepNext w:val="0"/>
        <w:keepLines w:val="0"/>
        <w:pageBreakBefore w:val="0"/>
        <w:kinsoku/>
        <w:wordWrap/>
        <w:overflowPunct/>
        <w:topLinePunct w:val="0"/>
        <w:bidi w:val="0"/>
        <w:snapToGrid w:val="0"/>
        <w:spacing w:line="360" w:lineRule="auto"/>
        <w:textAlignment w:val="auto"/>
        <w:rPr>
          <w:rFonts w:ascii="宋体" w:hAnsi="宋体" w:cs="宋体"/>
          <w:b/>
          <w:color w:val="auto"/>
          <w:sz w:val="24"/>
          <w:highlight w:val="none"/>
        </w:rPr>
      </w:pPr>
      <w:r>
        <w:rPr>
          <w:rFonts w:hint="eastAsia" w:ascii="宋体" w:hAnsi="宋体" w:cs="宋体"/>
          <w:b/>
          <w:color w:val="auto"/>
          <w:sz w:val="24"/>
          <w:highlight w:val="none"/>
        </w:rPr>
        <w:t>3.</w:t>
      </w:r>
      <w:r>
        <w:rPr>
          <w:rFonts w:hint="eastAsia" w:ascii="宋体" w:hAnsi="宋体" w:cs="宋体"/>
          <w:color w:val="auto"/>
          <w:highlight w:val="none"/>
        </w:rPr>
        <w:t xml:space="preserve"> </w:t>
      </w:r>
      <w:r>
        <w:rPr>
          <w:rFonts w:hint="eastAsia" w:ascii="宋体" w:hAnsi="宋体" w:cs="宋体"/>
          <w:b/>
          <w:color w:val="auto"/>
          <w:sz w:val="24"/>
          <w:highlight w:val="none"/>
        </w:rPr>
        <w:t>采购项目需要落实的政府采购政策</w:t>
      </w:r>
    </w:p>
    <w:p>
      <w:pPr>
        <w:keepNext w:val="0"/>
        <w:keepLines w:val="0"/>
        <w:pageBreakBefore w:val="0"/>
        <w:kinsoku/>
        <w:wordWrap/>
        <w:overflowPunct/>
        <w:topLinePunct w:val="0"/>
        <w:bidi w:val="0"/>
        <w:snapToGrid w:val="0"/>
        <w:spacing w:line="360" w:lineRule="auto"/>
        <w:ind w:firstLine="240" w:firstLineChars="100"/>
        <w:textAlignment w:val="auto"/>
        <w:rPr>
          <w:rFonts w:ascii="宋体" w:hAnsi="宋体" w:cs="宋体"/>
          <w:color w:val="auto"/>
          <w:sz w:val="24"/>
          <w:highlight w:val="none"/>
        </w:rPr>
      </w:pPr>
      <w:r>
        <w:rPr>
          <w:rFonts w:hint="eastAsia" w:ascii="宋体" w:hAnsi="宋体" w:cs="宋体"/>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Pr>
          <w:rFonts w:hint="eastAsia" w:ascii="宋体" w:hAnsi="宋体" w:cs="宋体"/>
          <w:color w:val="auto"/>
          <w:kern w:val="0"/>
          <w:sz w:val="24"/>
          <w:highlight w:val="none"/>
        </w:rPr>
        <w:t>优先采购向我国企业转让技术、与我国企业签订消化吸收再创新方案的供应商的进口产品</w:t>
      </w:r>
      <w:r>
        <w:rPr>
          <w:rFonts w:hint="eastAsia" w:ascii="宋体" w:hAnsi="宋体" w:cs="宋体"/>
          <w:color w:val="auto"/>
          <w:sz w:val="24"/>
          <w:highlight w:val="none"/>
        </w:rPr>
        <w:t>。</w:t>
      </w:r>
    </w:p>
    <w:p>
      <w:pPr>
        <w:keepNext w:val="0"/>
        <w:keepLines w:val="0"/>
        <w:pageBreakBefore w:val="0"/>
        <w:kinsoku/>
        <w:wordWrap/>
        <w:overflowPunct/>
        <w:topLinePunct w:val="0"/>
        <w:bidi w:val="0"/>
        <w:snapToGrid w:val="0"/>
        <w:spacing w:line="360" w:lineRule="auto"/>
        <w:ind w:firstLine="240" w:firstLineChars="100"/>
        <w:textAlignment w:val="auto"/>
        <w:rPr>
          <w:rFonts w:ascii="宋体" w:hAnsi="宋体" w:cs="宋体"/>
          <w:color w:val="auto"/>
          <w:sz w:val="24"/>
          <w:highlight w:val="none"/>
        </w:rPr>
      </w:pPr>
      <w:r>
        <w:rPr>
          <w:rFonts w:hint="eastAsia" w:ascii="宋体" w:hAnsi="宋体" w:cs="宋体"/>
          <w:color w:val="auto"/>
          <w:sz w:val="24"/>
          <w:highlight w:val="none"/>
        </w:rPr>
        <w:t>3.2 支持绿色发展</w:t>
      </w:r>
    </w:p>
    <w:p>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b/>
          <w:color w:val="auto"/>
          <w:sz w:val="24"/>
          <w:highlight w:val="none"/>
        </w:rPr>
      </w:pPr>
      <w:r>
        <w:rPr>
          <w:rFonts w:hint="eastAsia" w:ascii="宋体" w:hAnsi="宋体" w:cs="宋体"/>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color w:val="auto"/>
          <w:sz w:val="24"/>
          <w:highlight w:val="none"/>
        </w:rPr>
        <w:t>▲采购人拟采购的产品属于政府强制采购的节能产品品目清单范围的，投标人相应的投标产品未获得国家确定的认证机构出具的、处于有效期之内的节能产品认证证书的，投标无效。</w:t>
      </w:r>
    </w:p>
    <w:p>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3.2.2 纳入政府采购管理的修缮、装修类项目采购建材的，鼓励采购单位将绿色建材性能、指标等作为实质性条件纳入采购文件和合同，具体性能指标要求参考相关绿色建材政府采购需求标准。</w:t>
      </w:r>
    </w:p>
    <w:p>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1" w:name="_Hlk107568539"/>
      <w:r>
        <w:rPr>
          <w:rFonts w:hint="eastAsia" w:ascii="宋体" w:hAnsi="宋体" w:cs="宋体"/>
          <w:color w:val="auto"/>
          <w:sz w:val="24"/>
          <w:highlight w:val="none"/>
        </w:rPr>
        <w:t>鼓励采购单位优先采购秸秆环保板材等资源综合利用产品。鼓励采购单位优先采购绿色物流配送服务、提供新能源交通工具的租赁服务。</w:t>
      </w:r>
    </w:p>
    <w:p>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3.2.4 鼓励供应商在参加政府采购过程中开展绿色设计、选择绿色材料、打造绿色制造工艺、开展绿色运输、做好废弃产品回收处理，实现产品全周期的绿色环保。鼓励采购单位对其提高预付款比例、免收履约保证金。</w:t>
      </w:r>
      <w:bookmarkEnd w:id="11"/>
    </w:p>
    <w:p>
      <w:pPr>
        <w:keepNext w:val="0"/>
        <w:keepLines w:val="0"/>
        <w:pageBreakBefore w:val="0"/>
        <w:kinsoku/>
        <w:wordWrap/>
        <w:overflowPunct/>
        <w:topLinePunct w:val="0"/>
        <w:bidi w:val="0"/>
        <w:snapToGrid w:val="0"/>
        <w:spacing w:line="360" w:lineRule="auto"/>
        <w:ind w:firstLine="240" w:firstLineChars="100"/>
        <w:textAlignment w:val="auto"/>
        <w:rPr>
          <w:rFonts w:ascii="宋体" w:hAnsi="宋体" w:cs="宋体"/>
          <w:color w:val="auto"/>
          <w:sz w:val="24"/>
          <w:highlight w:val="none"/>
        </w:rPr>
      </w:pPr>
      <w:r>
        <w:rPr>
          <w:rFonts w:hint="eastAsia" w:ascii="宋体" w:hAnsi="宋体" w:cs="宋体"/>
          <w:color w:val="auto"/>
          <w:sz w:val="24"/>
          <w:highlight w:val="none"/>
        </w:rPr>
        <w:t>3.3支持中小企业发展</w:t>
      </w:r>
    </w:p>
    <w:p>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符合中小企业划分标准的个体工商户，在政府采购活动中视同中小企业。</w:t>
      </w:r>
    </w:p>
    <w:p>
      <w:pPr>
        <w:keepNext w:val="0"/>
        <w:keepLines w:val="0"/>
        <w:pageBreakBefore w:val="0"/>
        <w:widowControl/>
        <w:kinsoku/>
        <w:wordWrap/>
        <w:overflowPunct/>
        <w:topLinePunct w:val="0"/>
        <w:bidi w:val="0"/>
        <w:snapToGrid w:val="0"/>
        <w:spacing w:line="360" w:lineRule="auto"/>
        <w:ind w:firstLine="480" w:firstLineChars="200"/>
        <w:jc w:val="left"/>
        <w:textAlignment w:val="auto"/>
        <w:rPr>
          <w:rFonts w:ascii="宋体" w:hAnsi="宋体" w:cs="宋体"/>
          <w:color w:val="auto"/>
          <w:kern w:val="0"/>
          <w:sz w:val="24"/>
          <w:highlight w:val="none"/>
        </w:rPr>
      </w:pPr>
      <w:r>
        <w:rPr>
          <w:rFonts w:ascii="宋体" w:hAnsi="宋体" w:cs="宋体"/>
          <w:bCs/>
          <w:color w:val="auto"/>
          <w:sz w:val="24"/>
          <w:highlight w:val="none"/>
        </w:rPr>
        <w:t>3.3.2</w:t>
      </w:r>
      <w:r>
        <w:rPr>
          <w:rFonts w:hint="eastAsia" w:ascii="宋体" w:hAnsi="宋体" w:cs="宋体"/>
          <w:color w:val="auto"/>
          <w:kern w:val="0"/>
          <w:sz w:val="24"/>
          <w:highlight w:val="none"/>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pPr>
        <w:keepNext w:val="0"/>
        <w:keepLines w:val="0"/>
        <w:pageBreakBefore w:val="0"/>
        <w:widowControl/>
        <w:kinsoku/>
        <w:wordWrap/>
        <w:overflowPunct/>
        <w:topLinePunct w:val="0"/>
        <w:bidi w:val="0"/>
        <w:snapToGrid w:val="0"/>
        <w:spacing w:line="360" w:lineRule="auto"/>
        <w:ind w:firstLine="480" w:firstLineChars="200"/>
        <w:jc w:val="left"/>
        <w:textAlignment w:val="auto"/>
        <w:rPr>
          <w:rFonts w:ascii="宋体" w:hAnsi="宋体" w:cs="宋体"/>
          <w:color w:val="auto"/>
          <w:kern w:val="0"/>
          <w:sz w:val="24"/>
          <w:highlight w:val="none"/>
        </w:rPr>
      </w:pPr>
      <w:r>
        <w:rPr>
          <w:rFonts w:hint="eastAsia" w:ascii="宋体" w:hAnsi="宋体" w:cs="宋体"/>
          <w:color w:val="auto"/>
          <w:kern w:val="0"/>
          <w:sz w:val="24"/>
          <w:highlight w:val="none"/>
        </w:rPr>
        <w:t>以联合体形式参加政府采购活动，联合体各方均为中小企业的，联合体视同中小企业。其中，联合体各方均为小微企业的，联合体视同小微企业。</w:t>
      </w:r>
    </w:p>
    <w:p>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3.3.3对于未预留份额专门面向中小企业的政府采购货物项目，以及预留份额政府采购货物项目中的非预留部分标项，对小型和微型企业的投标报价给予10%-</w:t>
      </w:r>
      <w:r>
        <w:rPr>
          <w:rFonts w:ascii="宋体" w:hAnsi="宋体" w:cs="宋体"/>
          <w:color w:val="auto"/>
          <w:sz w:val="24"/>
          <w:highlight w:val="none"/>
        </w:rPr>
        <w:t>20</w:t>
      </w:r>
      <w:r>
        <w:rPr>
          <w:rFonts w:hint="eastAsia" w:ascii="宋体" w:hAnsi="宋体" w:cs="宋体"/>
          <w:color w:val="auto"/>
          <w:sz w:val="24"/>
          <w:highlight w:val="none"/>
        </w:rPr>
        <w:t>%的扣除（</w:t>
      </w:r>
      <w:r>
        <w:rPr>
          <w:rFonts w:hint="eastAsia" w:ascii="宋体" w:hAnsi="宋体" w:cs="宋体"/>
          <w:snapToGrid w:val="0"/>
          <w:color w:val="auto"/>
          <w:kern w:val="28"/>
          <w:sz w:val="24"/>
          <w:highlight w:val="none"/>
        </w:rPr>
        <w:t>招标文件第四部分</w:t>
      </w:r>
      <w:r>
        <w:rPr>
          <w:rFonts w:hint="eastAsia" w:ascii="宋体" w:hAnsi="宋体" w:cs="宋体"/>
          <w:color w:val="auto"/>
          <w:sz w:val="24"/>
          <w:highlight w:val="none"/>
          <w:u w:val="single"/>
        </w:rPr>
        <w:t>评标办分法明确具体的扣除比例，未明确的，</w:t>
      </w:r>
      <w:r>
        <w:rPr>
          <w:rFonts w:hint="eastAsia" w:ascii="宋体" w:hAnsi="宋体" w:cs="宋体"/>
          <w:color w:val="auto"/>
          <w:sz w:val="24"/>
          <w:highlight w:val="none"/>
        </w:rPr>
        <w:t>给予2</w:t>
      </w:r>
      <w:r>
        <w:rPr>
          <w:rFonts w:ascii="宋体" w:hAnsi="宋体" w:cs="宋体"/>
          <w:color w:val="auto"/>
          <w:sz w:val="24"/>
          <w:highlight w:val="none"/>
        </w:rPr>
        <w:t>0</w:t>
      </w:r>
      <w:r>
        <w:rPr>
          <w:rFonts w:hint="eastAsia" w:ascii="宋体" w:hAnsi="宋体" w:cs="宋体"/>
          <w:color w:val="auto"/>
          <w:sz w:val="24"/>
          <w:highlight w:val="none"/>
        </w:rPr>
        <w:t>%的扣除），用扣除后的价格参与评审。接受大中型企业与小微企业组成联合体或者允许大中型企业向一家或者多家小微企业分包的政府采购货物项目，对于</w:t>
      </w:r>
      <w:bookmarkStart w:id="12" w:name="_Hlk101132181"/>
      <w:r>
        <w:rPr>
          <w:rFonts w:hint="eastAsia" w:ascii="宋体" w:hAnsi="宋体" w:cs="宋体"/>
          <w:color w:val="auto"/>
          <w:sz w:val="24"/>
          <w:highlight w:val="none"/>
        </w:rPr>
        <w:t>联合协议或者分包意向协议约定小微企业的合同份额占到合同总金额30%以上的</w:t>
      </w:r>
      <w:bookmarkEnd w:id="12"/>
      <w:r>
        <w:rPr>
          <w:rFonts w:hint="eastAsia" w:ascii="宋体" w:hAnsi="宋体" w:cs="宋体"/>
          <w:color w:val="auto"/>
          <w:sz w:val="24"/>
          <w:highlight w:val="none"/>
        </w:rPr>
        <w:t>，对联合体或者大中型企业的报价给予4%-</w:t>
      </w:r>
      <w:r>
        <w:rPr>
          <w:rFonts w:ascii="宋体" w:hAnsi="宋体" w:cs="宋体"/>
          <w:color w:val="auto"/>
          <w:sz w:val="24"/>
          <w:highlight w:val="none"/>
        </w:rPr>
        <w:t>6</w:t>
      </w:r>
      <w:r>
        <w:rPr>
          <w:rFonts w:hint="eastAsia" w:ascii="宋体" w:hAnsi="宋体" w:cs="宋体"/>
          <w:color w:val="auto"/>
          <w:sz w:val="24"/>
          <w:highlight w:val="none"/>
        </w:rPr>
        <w:t>%（</w:t>
      </w:r>
      <w:r>
        <w:rPr>
          <w:rFonts w:hint="eastAsia" w:ascii="宋体" w:hAnsi="宋体" w:cs="宋体"/>
          <w:snapToGrid w:val="0"/>
          <w:color w:val="auto"/>
          <w:kern w:val="28"/>
          <w:sz w:val="24"/>
          <w:highlight w:val="none"/>
        </w:rPr>
        <w:t>招标文件第四部分</w:t>
      </w:r>
      <w:r>
        <w:rPr>
          <w:rFonts w:hint="eastAsia" w:ascii="宋体" w:hAnsi="宋体" w:cs="宋体"/>
          <w:color w:val="auto"/>
          <w:sz w:val="24"/>
          <w:highlight w:val="none"/>
          <w:u w:val="single"/>
        </w:rPr>
        <w:t>评标办分法明确具体的扣除比例，未明确的，</w:t>
      </w:r>
      <w:r>
        <w:rPr>
          <w:rFonts w:hint="eastAsia" w:ascii="宋体" w:hAnsi="宋体" w:cs="宋体"/>
          <w:color w:val="auto"/>
          <w:sz w:val="24"/>
          <w:highlight w:val="none"/>
        </w:rPr>
        <w:t>给予6%的扣除）的扣除，用扣除后的价格参加评审。组成联合体或者接受分包的小微企业与联合体内其他企业、分包企业之间存在直接控股、管理关系的，不享受价格扣除优惠政策。</w:t>
      </w:r>
    </w:p>
    <w:p>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3.3.4符合《关于促进残疾人就业政府采购政策的通知》（财库〔2017〕141号）规定的条件并提供《残疾人福利性单位声明函》（附件1）的残疾人福利性单位视同小型、微型企业；</w:t>
      </w:r>
    </w:p>
    <w:p>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3.3.7中小企业享受扶持政策获得政府采购合同的，小微企业不得将合同分包给大中型企业，中型企业不得将合同分包给大型企业。</w:t>
      </w:r>
    </w:p>
    <w:p>
      <w:pPr>
        <w:keepNext w:val="0"/>
        <w:keepLines w:val="0"/>
        <w:pageBreakBefore w:val="0"/>
        <w:kinsoku/>
        <w:wordWrap/>
        <w:overflowPunct/>
        <w:topLinePunct w:val="0"/>
        <w:bidi w:val="0"/>
        <w:snapToGrid w:val="0"/>
        <w:spacing w:line="360" w:lineRule="auto"/>
        <w:ind w:firstLine="240" w:firstLineChars="100"/>
        <w:textAlignment w:val="auto"/>
        <w:rPr>
          <w:rFonts w:ascii="宋体" w:hAnsi="宋体" w:cs="宋体"/>
          <w:color w:val="auto"/>
          <w:sz w:val="24"/>
          <w:highlight w:val="none"/>
        </w:rPr>
      </w:pPr>
      <w:r>
        <w:rPr>
          <w:rFonts w:hint="eastAsia" w:ascii="宋体" w:hAnsi="宋体" w:cs="宋体"/>
          <w:color w:val="auto"/>
          <w:sz w:val="24"/>
          <w:highlight w:val="none"/>
        </w:rPr>
        <w:t xml:space="preserve">3.4 </w:t>
      </w:r>
      <w:r>
        <w:rPr>
          <w:rFonts w:hint="eastAsia" w:ascii="宋体" w:hAnsi="宋体" w:cs="宋体"/>
          <w:bCs/>
          <w:color w:val="auto"/>
          <w:sz w:val="24"/>
          <w:highlight w:val="none"/>
        </w:rPr>
        <w:t>支持创新发展</w:t>
      </w:r>
    </w:p>
    <w:p>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3.4.1 采购人优先采购被认定为首台套产品和“制造精品”的自主创新产品。</w:t>
      </w:r>
    </w:p>
    <w:p>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3.4.2首台套产品被纳入《首台套产品推广应用指导目录》之日起</w:t>
      </w:r>
      <w:r>
        <w:rPr>
          <w:rFonts w:ascii="宋体" w:hAnsi="宋体" w:cs="宋体"/>
          <w:color w:val="auto"/>
          <w:sz w:val="24"/>
          <w:highlight w:val="none"/>
        </w:rPr>
        <w:t>3</w:t>
      </w:r>
      <w:r>
        <w:rPr>
          <w:rFonts w:hint="eastAsia" w:ascii="宋体" w:hAnsi="宋体" w:cs="宋体"/>
          <w:color w:val="auto"/>
          <w:sz w:val="24"/>
          <w:highlight w:val="none"/>
        </w:rPr>
        <w:t>年内，以及产品核心技术高于国内领先水平，并具有明晰自主知识产权的“制造精品”产品，自认定之日起2年内视同已具备相应销售业绩，参加政府采购活动时业绩分值为满分。</w:t>
      </w:r>
    </w:p>
    <w:p>
      <w:pPr>
        <w:keepNext w:val="0"/>
        <w:keepLines w:val="0"/>
        <w:pageBreakBefore w:val="0"/>
        <w:kinsoku/>
        <w:wordWrap/>
        <w:overflowPunct/>
        <w:topLinePunct w:val="0"/>
        <w:bidi w:val="0"/>
        <w:snapToGrid w:val="0"/>
        <w:spacing w:line="360" w:lineRule="auto"/>
        <w:ind w:firstLine="240" w:firstLineChars="100"/>
        <w:textAlignment w:val="auto"/>
        <w:rPr>
          <w:rFonts w:ascii="宋体" w:hAnsi="宋体" w:cs="宋体"/>
          <w:color w:val="auto"/>
          <w:sz w:val="24"/>
          <w:highlight w:val="none"/>
        </w:rPr>
      </w:pPr>
      <w:r>
        <w:rPr>
          <w:rFonts w:hint="eastAsia" w:ascii="宋体" w:hAnsi="宋体" w:cs="宋体"/>
          <w:color w:val="auto"/>
          <w:sz w:val="24"/>
          <w:highlight w:val="none"/>
        </w:rPr>
        <w:t>3.5平等对待内外资企业和符合条件的破产重整企业</w:t>
      </w:r>
    </w:p>
    <w:p>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平等对待内外资企业和符合条件的破产重整企业，切实保障企业公平竞争，平等维护企业的合法利益。</w:t>
      </w:r>
    </w:p>
    <w:p>
      <w:pPr>
        <w:keepNext w:val="0"/>
        <w:keepLines w:val="0"/>
        <w:pageBreakBefore w:val="0"/>
        <w:kinsoku/>
        <w:wordWrap/>
        <w:overflowPunct/>
        <w:topLinePunct w:val="0"/>
        <w:bidi w:val="0"/>
        <w:snapToGrid w:val="0"/>
        <w:spacing w:line="360" w:lineRule="auto"/>
        <w:textAlignment w:val="auto"/>
        <w:rPr>
          <w:b/>
          <w:color w:val="auto"/>
          <w:highlight w:val="none"/>
        </w:rPr>
      </w:pPr>
      <w:r>
        <w:rPr>
          <w:rFonts w:hint="eastAsia" w:ascii="宋体" w:hAnsi="宋体" w:cs="宋体"/>
          <w:b/>
          <w:color w:val="auto"/>
          <w:sz w:val="24"/>
          <w:highlight w:val="none"/>
        </w:rPr>
        <w:t>4. 询问、质疑、投诉</w:t>
      </w:r>
    </w:p>
    <w:p>
      <w:pPr>
        <w:keepNext w:val="0"/>
        <w:keepLines w:val="0"/>
        <w:pageBreakBefore w:val="0"/>
        <w:kinsoku/>
        <w:wordWrap/>
        <w:overflowPunct/>
        <w:topLinePunct w:val="0"/>
        <w:bidi w:val="0"/>
        <w:snapToGrid w:val="0"/>
        <w:spacing w:line="360" w:lineRule="auto"/>
        <w:ind w:firstLine="240" w:firstLineChars="100"/>
        <w:textAlignment w:val="auto"/>
        <w:rPr>
          <w:rFonts w:ascii="宋体" w:hAnsi="宋体" w:cs="宋体"/>
          <w:color w:val="auto"/>
          <w:sz w:val="24"/>
          <w:highlight w:val="none"/>
          <w:lang w:val="zh-CN"/>
        </w:rPr>
      </w:pPr>
      <w:r>
        <w:rPr>
          <w:rFonts w:hint="eastAsia" w:ascii="宋体" w:hAnsi="宋体" w:cs="宋体"/>
          <w:color w:val="auto"/>
          <w:sz w:val="24"/>
          <w:highlight w:val="none"/>
          <w:lang w:val="zh-CN"/>
        </w:rPr>
        <w:t>4.1</w:t>
      </w:r>
      <w:r>
        <w:rPr>
          <w:rFonts w:hint="eastAsia" w:ascii="宋体" w:hAnsi="宋体" w:cs="宋体"/>
          <w:color w:val="auto"/>
          <w:sz w:val="24"/>
          <w:highlight w:val="none"/>
        </w:rPr>
        <w:t xml:space="preserve"> </w:t>
      </w:r>
      <w:r>
        <w:rPr>
          <w:rFonts w:hint="eastAsia" w:ascii="宋体" w:hAnsi="宋体" w:cs="宋体"/>
          <w:color w:val="auto"/>
          <w:sz w:val="24"/>
          <w:highlight w:val="none"/>
          <w:lang w:val="zh-CN"/>
        </w:rPr>
        <w:t>在线询问、质疑、投诉</w:t>
      </w:r>
    </w:p>
    <w:p>
      <w:pPr>
        <w:keepNext w:val="0"/>
        <w:keepLines w:val="0"/>
        <w:pageBreakBefore w:val="0"/>
        <w:kinsoku/>
        <w:wordWrap/>
        <w:overflowPunct/>
        <w:topLinePunct w:val="0"/>
        <w:autoSpaceDE w:val="0"/>
        <w:autoSpaceDN w:val="0"/>
        <w:bidi w:val="0"/>
        <w:snapToGrid w:val="0"/>
        <w:spacing w:line="360" w:lineRule="auto"/>
        <w:ind w:firstLine="480" w:firstLineChars="200"/>
        <w:jc w:val="left"/>
        <w:textAlignment w:val="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keepNext w:val="0"/>
        <w:keepLines w:val="0"/>
        <w:pageBreakBefore w:val="0"/>
        <w:kinsoku/>
        <w:wordWrap/>
        <w:overflowPunct/>
        <w:topLinePunct w:val="0"/>
        <w:autoSpaceDE w:val="0"/>
        <w:autoSpaceDN w:val="0"/>
        <w:bidi w:val="0"/>
        <w:snapToGrid w:val="0"/>
        <w:spacing w:line="360" w:lineRule="auto"/>
        <w:ind w:firstLine="240" w:firstLineChars="100"/>
        <w:jc w:val="left"/>
        <w:textAlignment w:val="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4.2</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供应商询问</w:t>
      </w:r>
    </w:p>
    <w:p>
      <w:pPr>
        <w:keepNext w:val="0"/>
        <w:keepLines w:val="0"/>
        <w:pageBreakBefore w:val="0"/>
        <w:kinsoku/>
        <w:wordWrap/>
        <w:overflowPunct/>
        <w:topLinePunct w:val="0"/>
        <w:autoSpaceDE w:val="0"/>
        <w:autoSpaceDN w:val="0"/>
        <w:bidi w:val="0"/>
        <w:snapToGrid w:val="0"/>
        <w:spacing w:line="360" w:lineRule="auto"/>
        <w:ind w:firstLine="480" w:firstLineChars="200"/>
        <w:jc w:val="left"/>
        <w:textAlignment w:val="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keepNext w:val="0"/>
        <w:keepLines w:val="0"/>
        <w:pageBreakBefore w:val="0"/>
        <w:kinsoku/>
        <w:wordWrap/>
        <w:overflowPunct/>
        <w:topLinePunct w:val="0"/>
        <w:autoSpaceDE w:val="0"/>
        <w:autoSpaceDN w:val="0"/>
        <w:bidi w:val="0"/>
        <w:snapToGrid w:val="0"/>
        <w:spacing w:line="360" w:lineRule="auto"/>
        <w:ind w:firstLine="240" w:firstLineChars="100"/>
        <w:jc w:val="left"/>
        <w:textAlignment w:val="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4.3</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供应商质疑</w:t>
      </w:r>
    </w:p>
    <w:p>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lang w:val="zh-CN"/>
        </w:rPr>
        <w:t>4.3</w:t>
      </w:r>
      <w:r>
        <w:rPr>
          <w:rFonts w:hint="eastAsia" w:ascii="宋体" w:hAnsi="宋体" w:cs="宋体"/>
          <w:color w:val="auto"/>
          <w:sz w:val="24"/>
          <w:highlight w:val="none"/>
        </w:rPr>
        <w:t>.1提出质疑的供应商应当是参与所质疑项目采购活动的供应商。潜在供应商已依法获取其可质疑的招标文件的，可以对该文件提出质疑。</w:t>
      </w:r>
    </w:p>
    <w:p>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lang w:val="zh-CN"/>
        </w:rPr>
        <w:t>4.3</w:t>
      </w:r>
      <w:r>
        <w:rPr>
          <w:rFonts w:hint="eastAsia" w:ascii="宋体" w:hAnsi="宋体" w:cs="宋体"/>
          <w:color w:val="auto"/>
          <w:sz w:val="24"/>
          <w:highlight w:val="none"/>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4.3.2.1对招标文件提出质疑的，质疑期限为供应商获得招标文件之日或者招标文件公告期限届满之日起计算。</w:t>
      </w:r>
    </w:p>
    <w:p>
      <w:pPr>
        <w:keepNext w:val="0"/>
        <w:keepLines w:val="0"/>
        <w:pageBreakBefore w:val="0"/>
        <w:kinsoku/>
        <w:wordWrap/>
        <w:overflowPunct/>
        <w:topLinePunct w:val="0"/>
        <w:bidi w:val="0"/>
        <w:snapToGrid w:val="0"/>
        <w:spacing w:line="360" w:lineRule="auto"/>
        <w:ind w:left="479" w:leftChars="228"/>
        <w:textAlignment w:val="auto"/>
        <w:rPr>
          <w:rFonts w:ascii="宋体" w:hAnsi="宋体" w:cs="宋体"/>
          <w:color w:val="auto"/>
          <w:sz w:val="24"/>
          <w:highlight w:val="none"/>
        </w:rPr>
      </w:pPr>
      <w:r>
        <w:rPr>
          <w:rFonts w:hint="eastAsia" w:ascii="宋体" w:hAnsi="宋体" w:cs="宋体"/>
          <w:color w:val="auto"/>
          <w:sz w:val="24"/>
          <w:highlight w:val="none"/>
        </w:rPr>
        <w:t>4.3.2.2对采购过程提出质疑的，质疑期限为各采购程序环节结束之日起计算。4.3.2.3对采购结果提出质疑的，质疑期限自采购结果公告期限届满之日起计算。</w:t>
      </w:r>
    </w:p>
    <w:p>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sz w:val="24"/>
          <w:highlight w:val="none"/>
          <w:lang w:val="zh-CN"/>
        </w:rPr>
      </w:pPr>
      <w:r>
        <w:rPr>
          <w:rFonts w:hint="eastAsia" w:ascii="宋体" w:hAnsi="宋体" w:cs="宋体"/>
          <w:color w:val="auto"/>
          <w:sz w:val="24"/>
          <w:highlight w:val="none"/>
          <w:lang w:val="zh-CN"/>
        </w:rPr>
        <w:t>4.3.3</w:t>
      </w:r>
      <w:r>
        <w:rPr>
          <w:rFonts w:hint="eastAsia" w:ascii="宋体" w:hAnsi="宋体" w:cs="宋体"/>
          <w:color w:val="auto"/>
          <w:sz w:val="24"/>
          <w:highlight w:val="none"/>
        </w:rPr>
        <w:t>供应商提出质疑应当提交质疑函和必要的证明材料。质疑函应当包括下列内容：</w:t>
      </w:r>
    </w:p>
    <w:p>
      <w:pPr>
        <w:keepNext w:val="0"/>
        <w:keepLines w:val="0"/>
        <w:pageBreakBefore w:val="0"/>
        <w:kinsoku/>
        <w:wordWrap/>
        <w:overflowPunct/>
        <w:topLinePunct w:val="0"/>
        <w:bidi w:val="0"/>
        <w:snapToGrid w:val="0"/>
        <w:spacing w:line="360" w:lineRule="auto"/>
        <w:ind w:left="479" w:leftChars="228"/>
        <w:textAlignment w:val="auto"/>
        <w:rPr>
          <w:rFonts w:ascii="宋体" w:hAnsi="宋体" w:cs="宋体"/>
          <w:color w:val="auto"/>
          <w:sz w:val="24"/>
          <w:highlight w:val="none"/>
          <w:lang w:val="zh-CN"/>
        </w:rPr>
      </w:pPr>
      <w:r>
        <w:rPr>
          <w:rFonts w:hint="eastAsia" w:ascii="宋体" w:hAnsi="宋体" w:cs="宋体"/>
          <w:color w:val="auto"/>
          <w:sz w:val="24"/>
          <w:highlight w:val="none"/>
          <w:lang w:val="zh-CN"/>
        </w:rPr>
        <w:t>4.3.3.1供应商的姓名或者名称、地址、邮编、联系人及联系电话；</w:t>
      </w:r>
    </w:p>
    <w:p>
      <w:pPr>
        <w:keepNext w:val="0"/>
        <w:keepLines w:val="0"/>
        <w:pageBreakBefore w:val="0"/>
        <w:kinsoku/>
        <w:wordWrap/>
        <w:overflowPunct/>
        <w:topLinePunct w:val="0"/>
        <w:bidi w:val="0"/>
        <w:snapToGrid w:val="0"/>
        <w:spacing w:line="360" w:lineRule="auto"/>
        <w:ind w:left="479" w:leftChars="228"/>
        <w:textAlignment w:val="auto"/>
        <w:rPr>
          <w:rFonts w:ascii="宋体" w:hAnsi="宋体" w:cs="宋体"/>
          <w:color w:val="auto"/>
          <w:sz w:val="24"/>
          <w:highlight w:val="none"/>
          <w:lang w:val="zh-CN"/>
        </w:rPr>
      </w:pPr>
      <w:r>
        <w:rPr>
          <w:rFonts w:hint="eastAsia" w:ascii="宋体" w:hAnsi="宋体" w:cs="宋体"/>
          <w:color w:val="auto"/>
          <w:sz w:val="24"/>
          <w:highlight w:val="none"/>
          <w:lang w:val="zh-CN"/>
        </w:rPr>
        <w:t>4.3.3.2质疑项目的名称、编号；</w:t>
      </w:r>
    </w:p>
    <w:p>
      <w:pPr>
        <w:keepNext w:val="0"/>
        <w:keepLines w:val="0"/>
        <w:pageBreakBefore w:val="0"/>
        <w:kinsoku/>
        <w:wordWrap/>
        <w:overflowPunct/>
        <w:topLinePunct w:val="0"/>
        <w:bidi w:val="0"/>
        <w:snapToGrid w:val="0"/>
        <w:spacing w:line="360" w:lineRule="auto"/>
        <w:ind w:left="479" w:leftChars="228"/>
        <w:textAlignment w:val="auto"/>
        <w:rPr>
          <w:rFonts w:ascii="宋体" w:hAnsi="宋体" w:cs="宋体"/>
          <w:color w:val="auto"/>
          <w:sz w:val="24"/>
          <w:highlight w:val="none"/>
          <w:lang w:val="zh-CN"/>
        </w:rPr>
      </w:pPr>
      <w:r>
        <w:rPr>
          <w:rFonts w:hint="eastAsia" w:ascii="宋体" w:hAnsi="宋体" w:cs="宋体"/>
          <w:color w:val="auto"/>
          <w:sz w:val="24"/>
          <w:highlight w:val="none"/>
          <w:lang w:val="zh-CN"/>
        </w:rPr>
        <w:t>4.3.3.3具体、明确的质疑事项和与质疑事项相关的请求；</w:t>
      </w:r>
    </w:p>
    <w:p>
      <w:pPr>
        <w:keepNext w:val="0"/>
        <w:keepLines w:val="0"/>
        <w:pageBreakBefore w:val="0"/>
        <w:kinsoku/>
        <w:wordWrap/>
        <w:overflowPunct/>
        <w:topLinePunct w:val="0"/>
        <w:bidi w:val="0"/>
        <w:snapToGrid w:val="0"/>
        <w:spacing w:line="360" w:lineRule="auto"/>
        <w:ind w:left="479" w:leftChars="228"/>
        <w:textAlignment w:val="auto"/>
        <w:rPr>
          <w:rFonts w:ascii="宋体" w:hAnsi="宋体" w:cs="宋体"/>
          <w:color w:val="auto"/>
          <w:sz w:val="24"/>
          <w:highlight w:val="none"/>
          <w:lang w:val="zh-CN"/>
        </w:rPr>
      </w:pPr>
      <w:r>
        <w:rPr>
          <w:rFonts w:hint="eastAsia" w:ascii="宋体" w:hAnsi="宋体" w:cs="宋体"/>
          <w:color w:val="auto"/>
          <w:sz w:val="24"/>
          <w:highlight w:val="none"/>
          <w:lang w:val="zh-CN"/>
        </w:rPr>
        <w:t>4.3.3.4事实依据；</w:t>
      </w:r>
    </w:p>
    <w:p>
      <w:pPr>
        <w:keepNext w:val="0"/>
        <w:keepLines w:val="0"/>
        <w:pageBreakBefore w:val="0"/>
        <w:kinsoku/>
        <w:wordWrap/>
        <w:overflowPunct/>
        <w:topLinePunct w:val="0"/>
        <w:bidi w:val="0"/>
        <w:snapToGrid w:val="0"/>
        <w:spacing w:line="360" w:lineRule="auto"/>
        <w:ind w:left="479" w:leftChars="228"/>
        <w:textAlignment w:val="auto"/>
        <w:rPr>
          <w:rFonts w:ascii="宋体" w:hAnsi="宋体" w:cs="宋体"/>
          <w:color w:val="auto"/>
          <w:sz w:val="24"/>
          <w:highlight w:val="none"/>
          <w:lang w:val="zh-CN"/>
        </w:rPr>
      </w:pPr>
      <w:r>
        <w:rPr>
          <w:rFonts w:hint="eastAsia" w:ascii="宋体" w:hAnsi="宋体" w:cs="宋体"/>
          <w:color w:val="auto"/>
          <w:sz w:val="24"/>
          <w:highlight w:val="none"/>
          <w:lang w:val="zh-CN"/>
        </w:rPr>
        <w:t>4.3.3.5必要的法律依据；</w:t>
      </w:r>
    </w:p>
    <w:p>
      <w:pPr>
        <w:keepNext w:val="0"/>
        <w:keepLines w:val="0"/>
        <w:pageBreakBefore w:val="0"/>
        <w:kinsoku/>
        <w:wordWrap/>
        <w:overflowPunct/>
        <w:topLinePunct w:val="0"/>
        <w:bidi w:val="0"/>
        <w:snapToGrid w:val="0"/>
        <w:spacing w:line="360" w:lineRule="auto"/>
        <w:ind w:left="479" w:leftChars="228"/>
        <w:textAlignment w:val="auto"/>
        <w:rPr>
          <w:rFonts w:ascii="宋体" w:hAnsi="宋体" w:cs="宋体"/>
          <w:color w:val="auto"/>
          <w:sz w:val="24"/>
          <w:highlight w:val="none"/>
          <w:lang w:val="zh-CN"/>
        </w:rPr>
      </w:pPr>
      <w:r>
        <w:rPr>
          <w:rFonts w:hint="eastAsia" w:ascii="宋体" w:hAnsi="宋体" w:cs="宋体"/>
          <w:color w:val="auto"/>
          <w:sz w:val="24"/>
          <w:highlight w:val="none"/>
          <w:lang w:val="zh-CN"/>
        </w:rPr>
        <w:t>4.3.3.6提出质疑的日期。</w:t>
      </w:r>
    </w:p>
    <w:p>
      <w:pPr>
        <w:keepNext w:val="0"/>
        <w:keepLines w:val="0"/>
        <w:pageBreakBefore w:val="0"/>
        <w:kinsoku/>
        <w:wordWrap/>
        <w:overflowPunct/>
        <w:topLinePunct w:val="0"/>
        <w:bidi w:val="0"/>
        <w:snapToGrid w:val="0"/>
        <w:spacing w:line="360" w:lineRule="auto"/>
        <w:ind w:left="479" w:leftChars="228"/>
        <w:textAlignment w:val="auto"/>
        <w:rPr>
          <w:color w:val="auto"/>
          <w:highlight w:val="none"/>
        </w:rPr>
      </w:pPr>
      <w:r>
        <w:rPr>
          <w:rFonts w:hint="eastAsia"/>
          <w:color w:val="auto"/>
          <w:sz w:val="24"/>
          <w:szCs w:val="32"/>
          <w:highlight w:val="none"/>
        </w:rPr>
        <w:t>供应商提交的质疑函需一式三份。供应商为自然人的，应当由本人签字；供应商为法人或者其他组织的，应当由法定代表人、主要负责人，或者其授权代表签字或者盖章，并加盖公章。质疑函范本及制作说明详见附件2。</w:t>
      </w:r>
    </w:p>
    <w:p>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sz w:val="24"/>
          <w:highlight w:val="none"/>
          <w:lang w:val="zh-CN"/>
        </w:rPr>
      </w:pPr>
      <w:r>
        <w:rPr>
          <w:rFonts w:hint="eastAsia" w:ascii="宋体" w:hAnsi="宋体" w:cs="宋体"/>
          <w:color w:val="auto"/>
          <w:sz w:val="24"/>
          <w:highlight w:val="none"/>
          <w:lang w:val="zh-CN"/>
        </w:rPr>
        <w:t>4.3.4对同一采购程序环节的质疑，供应商须在法定质疑期内一次性提出。</w:t>
      </w:r>
    </w:p>
    <w:p>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sz w:val="24"/>
          <w:highlight w:val="none"/>
          <w:lang w:val="zh-CN"/>
        </w:rPr>
      </w:pPr>
      <w:r>
        <w:rPr>
          <w:rFonts w:hint="eastAsia" w:ascii="宋体" w:hAnsi="宋体" w:cs="宋体"/>
          <w:color w:val="auto"/>
          <w:sz w:val="24"/>
          <w:highlight w:val="none"/>
          <w:lang w:val="zh-CN"/>
        </w:rPr>
        <w:t>4.3.5采购人或者采购代理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代理机构在质疑回复后5个工作日内，在浙江政府采购网的“其他公告”栏目公开质疑答复，答复内容应当完整。质疑函作为附件上传。</w:t>
      </w:r>
    </w:p>
    <w:p>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sz w:val="24"/>
          <w:highlight w:val="none"/>
          <w:lang w:val="zh-CN"/>
        </w:rPr>
      </w:pPr>
      <w:r>
        <w:rPr>
          <w:rFonts w:hint="eastAsia" w:ascii="宋体" w:hAnsi="宋体" w:cs="宋体"/>
          <w:color w:val="auto"/>
          <w:sz w:val="24"/>
          <w:highlight w:val="none"/>
          <w:lang w:val="zh-CN"/>
        </w:rPr>
        <w:t>4.3.6询问或者质疑事项可能影响采购结果的，采购人应当暂停签订合同，已经签订合同的，应当中止履行合同。</w:t>
      </w:r>
    </w:p>
    <w:p>
      <w:pPr>
        <w:keepNext w:val="0"/>
        <w:keepLines w:val="0"/>
        <w:pageBreakBefore w:val="0"/>
        <w:kinsoku/>
        <w:wordWrap/>
        <w:overflowPunct/>
        <w:topLinePunct w:val="0"/>
        <w:autoSpaceDE w:val="0"/>
        <w:autoSpaceDN w:val="0"/>
        <w:bidi w:val="0"/>
        <w:snapToGrid w:val="0"/>
        <w:spacing w:line="360" w:lineRule="auto"/>
        <w:ind w:firstLine="240" w:firstLineChars="100"/>
        <w:jc w:val="left"/>
        <w:textAlignment w:val="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4.4</w:t>
      </w:r>
      <w:r>
        <w:rPr>
          <w:rFonts w:hint="eastAsia" w:ascii="宋体" w:hAnsi="宋体" w:cs="宋体"/>
          <w:color w:val="auto"/>
          <w:kern w:val="0"/>
          <w:sz w:val="24"/>
          <w:highlight w:val="none"/>
          <w:lang w:val="en-US" w:eastAsia="zh-CN"/>
        </w:rPr>
        <w:t xml:space="preserve"> </w:t>
      </w:r>
      <w:r>
        <w:rPr>
          <w:rFonts w:hint="eastAsia" w:ascii="宋体" w:hAnsi="宋体" w:cs="宋体"/>
          <w:color w:val="auto"/>
          <w:kern w:val="0"/>
          <w:sz w:val="24"/>
          <w:highlight w:val="none"/>
          <w:lang w:val="zh-CN"/>
        </w:rPr>
        <w:t>供应商投诉</w:t>
      </w:r>
    </w:p>
    <w:p>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sz w:val="24"/>
          <w:highlight w:val="none"/>
          <w:lang w:val="zh-CN"/>
        </w:rPr>
      </w:pPr>
      <w:r>
        <w:rPr>
          <w:rFonts w:hint="eastAsia" w:ascii="宋体" w:hAnsi="宋体" w:cs="宋体"/>
          <w:color w:val="auto"/>
          <w:sz w:val="24"/>
          <w:highlight w:val="none"/>
          <w:lang w:val="zh-CN"/>
        </w:rPr>
        <w:t>4.4.1质疑供应商对采购人、采购代理机构的答复不满意或者采购人、采购代理机构未在规定的时间内作出答复的，可以在答复期满后十五个工作日内向同级政府采购监督管理部门提出投诉。</w:t>
      </w:r>
    </w:p>
    <w:p>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sz w:val="24"/>
          <w:highlight w:val="none"/>
          <w:lang w:val="zh-CN"/>
        </w:rPr>
      </w:pPr>
      <w:r>
        <w:rPr>
          <w:rFonts w:hint="eastAsia" w:ascii="宋体" w:hAnsi="宋体" w:cs="宋体"/>
          <w:color w:val="auto"/>
          <w:sz w:val="24"/>
          <w:highlight w:val="none"/>
          <w:lang w:val="zh-CN"/>
        </w:rPr>
        <w:t>4.4.2供应商投诉的事项不得超出已质疑事项的范围，基于质疑答复内容提出的投诉事项除外。</w:t>
      </w:r>
    </w:p>
    <w:p>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sz w:val="24"/>
          <w:highlight w:val="none"/>
          <w:lang w:val="zh-CN"/>
        </w:rPr>
      </w:pPr>
      <w:r>
        <w:rPr>
          <w:rFonts w:hint="eastAsia" w:ascii="宋体" w:hAnsi="宋体" w:cs="宋体"/>
          <w:color w:val="auto"/>
          <w:sz w:val="24"/>
          <w:highlight w:val="none"/>
          <w:lang w:val="zh-CN"/>
        </w:rPr>
        <w:t>4.4.3供应商投诉应当有明确的请求和必要的证明材料。</w:t>
      </w:r>
    </w:p>
    <w:p>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sz w:val="24"/>
          <w:highlight w:val="none"/>
          <w:lang w:val="zh-CN"/>
        </w:rPr>
      </w:pPr>
      <w:r>
        <w:rPr>
          <w:rFonts w:hint="eastAsia" w:ascii="宋体" w:hAnsi="宋体" w:cs="宋体"/>
          <w:color w:val="auto"/>
          <w:sz w:val="24"/>
          <w:highlight w:val="none"/>
          <w:lang w:val="zh-CN"/>
        </w:rPr>
        <w:t>4.4.4 以联合体形式参加政府采购活动的，其投诉应当由组成联合体的所有供应商共同提出。</w:t>
      </w:r>
    </w:p>
    <w:p>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sz w:val="24"/>
          <w:highlight w:val="none"/>
          <w:lang w:val="zh-CN"/>
        </w:rPr>
      </w:pPr>
      <w:r>
        <w:rPr>
          <w:rFonts w:hint="eastAsia" w:ascii="宋体" w:hAnsi="宋体" w:cs="宋体"/>
          <w:color w:val="auto"/>
          <w:sz w:val="24"/>
          <w:highlight w:val="none"/>
          <w:lang w:val="zh-CN"/>
        </w:rPr>
        <w:t>投诉书范本及制作说明详见附件3。</w:t>
      </w:r>
    </w:p>
    <w:p>
      <w:pPr>
        <w:keepNext w:val="0"/>
        <w:keepLines w:val="0"/>
        <w:pageBreakBefore w:val="0"/>
        <w:kinsoku/>
        <w:wordWrap/>
        <w:overflowPunct/>
        <w:topLinePunct w:val="0"/>
        <w:bidi w:val="0"/>
        <w:adjustRightInd/>
        <w:snapToGrid w:val="0"/>
        <w:spacing w:line="360" w:lineRule="auto"/>
        <w:jc w:val="center"/>
        <w:textAlignment w:val="auto"/>
        <w:outlineLvl w:val="0"/>
        <w:rPr>
          <w:rFonts w:ascii="宋体" w:hAnsi="宋体" w:cs="宋体"/>
          <w:b/>
          <w:color w:val="auto"/>
          <w:sz w:val="32"/>
          <w:szCs w:val="20"/>
          <w:highlight w:val="none"/>
        </w:rPr>
      </w:pPr>
      <w:r>
        <w:rPr>
          <w:rFonts w:hint="eastAsia" w:ascii="宋体" w:hAnsi="宋体" w:cs="宋体"/>
          <w:b/>
          <w:color w:val="auto"/>
          <w:sz w:val="32"/>
          <w:szCs w:val="20"/>
          <w:highlight w:val="none"/>
        </w:rPr>
        <w:t>二、招标文件的构成、澄清、修改</w:t>
      </w:r>
    </w:p>
    <w:p>
      <w:pPr>
        <w:keepNext w:val="0"/>
        <w:keepLines w:val="0"/>
        <w:pageBreakBefore w:val="0"/>
        <w:kinsoku/>
        <w:wordWrap/>
        <w:overflowPunct/>
        <w:topLinePunct w:val="0"/>
        <w:bidi w:val="0"/>
        <w:snapToGrid w:val="0"/>
        <w:spacing w:line="360" w:lineRule="auto"/>
        <w:textAlignment w:val="auto"/>
        <w:rPr>
          <w:rFonts w:ascii="宋体" w:hAnsi="宋体" w:cs="宋体"/>
          <w:b/>
          <w:color w:val="auto"/>
          <w:sz w:val="24"/>
          <w:highlight w:val="none"/>
        </w:rPr>
      </w:pPr>
      <w:r>
        <w:rPr>
          <w:rFonts w:hint="eastAsia" w:ascii="宋体" w:hAnsi="宋体" w:cs="宋体"/>
          <w:b/>
          <w:color w:val="auto"/>
          <w:sz w:val="24"/>
          <w:highlight w:val="none"/>
        </w:rPr>
        <w:t>5</w:t>
      </w:r>
      <w:r>
        <w:rPr>
          <w:rFonts w:hint="eastAsia" w:ascii="宋体" w:hAnsi="宋体" w:cs="宋体"/>
          <w:b/>
          <w:color w:val="auto"/>
          <w:sz w:val="24"/>
          <w:highlight w:val="none"/>
          <w:lang w:val="en-US" w:eastAsia="zh-CN"/>
        </w:rPr>
        <w:t xml:space="preserve">. </w:t>
      </w:r>
      <w:r>
        <w:rPr>
          <w:rFonts w:hint="eastAsia" w:ascii="宋体" w:hAnsi="宋体" w:cs="宋体"/>
          <w:b/>
          <w:color w:val="auto"/>
          <w:sz w:val="24"/>
          <w:highlight w:val="none"/>
        </w:rPr>
        <w:t>招标文件的构成</w:t>
      </w:r>
    </w:p>
    <w:p>
      <w:pPr>
        <w:keepNext w:val="0"/>
        <w:keepLines w:val="0"/>
        <w:pageBreakBefore w:val="0"/>
        <w:kinsoku/>
        <w:wordWrap/>
        <w:overflowPunct/>
        <w:topLinePunct w:val="0"/>
        <w:autoSpaceDE w:val="0"/>
        <w:autoSpaceDN w:val="0"/>
        <w:bidi w:val="0"/>
        <w:snapToGrid w:val="0"/>
        <w:spacing w:line="360" w:lineRule="auto"/>
        <w:ind w:firstLine="240" w:firstLineChars="100"/>
        <w:jc w:val="left"/>
        <w:textAlignment w:val="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5.1 招标文件包括下列文件及附件：</w:t>
      </w:r>
    </w:p>
    <w:p>
      <w:pPr>
        <w:pStyle w:val="32"/>
        <w:keepNext w:val="0"/>
        <w:keepLines w:val="0"/>
        <w:pageBreakBefore w:val="0"/>
        <w:tabs>
          <w:tab w:val="left" w:pos="840"/>
        </w:tabs>
        <w:kinsoku/>
        <w:wordWrap/>
        <w:overflowPunct/>
        <w:topLinePunct w:val="0"/>
        <w:bidi w:val="0"/>
        <w:snapToGrid w:val="0"/>
        <w:spacing w:line="360" w:lineRule="auto"/>
        <w:ind w:firstLine="960" w:firstLineChars="400"/>
        <w:textAlignment w:val="auto"/>
        <w:rPr>
          <w:rFonts w:hAnsi="宋体" w:cs="宋体"/>
          <w:snapToGrid/>
          <w:color w:val="auto"/>
          <w:sz w:val="24"/>
          <w:szCs w:val="24"/>
          <w:highlight w:val="none"/>
          <w:lang w:val="zh-CN"/>
        </w:rPr>
      </w:pPr>
      <w:r>
        <w:rPr>
          <w:rFonts w:hint="eastAsia" w:hAnsi="宋体" w:cs="宋体"/>
          <w:snapToGrid/>
          <w:color w:val="auto"/>
          <w:sz w:val="24"/>
          <w:szCs w:val="24"/>
          <w:highlight w:val="none"/>
          <w:lang w:val="zh-CN"/>
        </w:rPr>
        <w:t>5.1.1招标公告；</w:t>
      </w:r>
    </w:p>
    <w:p>
      <w:pPr>
        <w:pStyle w:val="32"/>
        <w:keepNext w:val="0"/>
        <w:keepLines w:val="0"/>
        <w:pageBreakBefore w:val="0"/>
        <w:tabs>
          <w:tab w:val="left" w:pos="840"/>
        </w:tabs>
        <w:kinsoku/>
        <w:wordWrap/>
        <w:overflowPunct/>
        <w:topLinePunct w:val="0"/>
        <w:bidi w:val="0"/>
        <w:snapToGrid w:val="0"/>
        <w:spacing w:line="360" w:lineRule="auto"/>
        <w:ind w:firstLine="960" w:firstLineChars="400"/>
        <w:textAlignment w:val="auto"/>
        <w:rPr>
          <w:rFonts w:hAnsi="宋体" w:cs="宋体"/>
          <w:color w:val="auto"/>
          <w:sz w:val="24"/>
          <w:szCs w:val="24"/>
          <w:highlight w:val="none"/>
        </w:rPr>
      </w:pPr>
      <w:r>
        <w:rPr>
          <w:rFonts w:hint="eastAsia" w:hAnsi="宋体" w:cs="宋体"/>
          <w:color w:val="auto"/>
          <w:sz w:val="24"/>
          <w:szCs w:val="24"/>
          <w:highlight w:val="none"/>
        </w:rPr>
        <w:t>5</w:t>
      </w:r>
      <w:r>
        <w:rPr>
          <w:rFonts w:hint="eastAsia" w:hAnsi="宋体" w:cs="宋体"/>
          <w:snapToGrid/>
          <w:color w:val="auto"/>
          <w:sz w:val="24"/>
          <w:szCs w:val="24"/>
          <w:highlight w:val="none"/>
          <w:lang w:val="zh-CN"/>
        </w:rPr>
        <w:t>.1.2投标人须知</w:t>
      </w:r>
      <w:r>
        <w:rPr>
          <w:rFonts w:hint="eastAsia" w:hAnsi="宋体" w:cs="宋体"/>
          <w:color w:val="auto"/>
          <w:sz w:val="24"/>
          <w:szCs w:val="24"/>
          <w:highlight w:val="none"/>
        </w:rPr>
        <w:t>；</w:t>
      </w:r>
    </w:p>
    <w:p>
      <w:pPr>
        <w:pStyle w:val="32"/>
        <w:keepNext w:val="0"/>
        <w:keepLines w:val="0"/>
        <w:pageBreakBefore w:val="0"/>
        <w:tabs>
          <w:tab w:val="left" w:pos="840"/>
        </w:tabs>
        <w:kinsoku/>
        <w:wordWrap/>
        <w:overflowPunct/>
        <w:topLinePunct w:val="0"/>
        <w:bidi w:val="0"/>
        <w:snapToGrid w:val="0"/>
        <w:spacing w:line="360" w:lineRule="auto"/>
        <w:ind w:firstLine="960" w:firstLineChars="400"/>
        <w:textAlignment w:val="auto"/>
        <w:rPr>
          <w:rFonts w:hAnsi="宋体" w:cs="宋体"/>
          <w:color w:val="auto"/>
          <w:sz w:val="24"/>
          <w:szCs w:val="24"/>
          <w:highlight w:val="none"/>
        </w:rPr>
      </w:pPr>
      <w:r>
        <w:rPr>
          <w:rFonts w:hint="eastAsia" w:hAnsi="宋体" w:cs="宋体"/>
          <w:color w:val="auto"/>
          <w:sz w:val="24"/>
          <w:szCs w:val="24"/>
          <w:highlight w:val="none"/>
        </w:rPr>
        <w:t>5.1.3采购需求；</w:t>
      </w:r>
    </w:p>
    <w:p>
      <w:pPr>
        <w:pStyle w:val="32"/>
        <w:keepNext w:val="0"/>
        <w:keepLines w:val="0"/>
        <w:pageBreakBefore w:val="0"/>
        <w:tabs>
          <w:tab w:val="left" w:pos="840"/>
        </w:tabs>
        <w:kinsoku/>
        <w:wordWrap/>
        <w:overflowPunct/>
        <w:topLinePunct w:val="0"/>
        <w:bidi w:val="0"/>
        <w:snapToGrid w:val="0"/>
        <w:spacing w:line="360" w:lineRule="auto"/>
        <w:ind w:firstLine="960" w:firstLineChars="400"/>
        <w:textAlignment w:val="auto"/>
        <w:rPr>
          <w:rFonts w:hAnsi="宋体" w:cs="宋体"/>
          <w:color w:val="auto"/>
          <w:sz w:val="24"/>
          <w:szCs w:val="24"/>
          <w:highlight w:val="none"/>
        </w:rPr>
      </w:pPr>
      <w:r>
        <w:rPr>
          <w:rFonts w:hint="eastAsia" w:hAnsi="宋体" w:cs="宋体"/>
          <w:color w:val="auto"/>
          <w:sz w:val="24"/>
          <w:szCs w:val="24"/>
          <w:highlight w:val="none"/>
        </w:rPr>
        <w:t>5.1.4评标办法；</w:t>
      </w:r>
    </w:p>
    <w:p>
      <w:pPr>
        <w:pStyle w:val="32"/>
        <w:keepNext w:val="0"/>
        <w:keepLines w:val="0"/>
        <w:pageBreakBefore w:val="0"/>
        <w:tabs>
          <w:tab w:val="left" w:pos="840"/>
        </w:tabs>
        <w:kinsoku/>
        <w:wordWrap/>
        <w:overflowPunct/>
        <w:topLinePunct w:val="0"/>
        <w:bidi w:val="0"/>
        <w:snapToGrid w:val="0"/>
        <w:spacing w:line="360" w:lineRule="auto"/>
        <w:ind w:firstLine="960" w:firstLineChars="400"/>
        <w:textAlignment w:val="auto"/>
        <w:rPr>
          <w:rFonts w:hAnsi="宋体" w:cs="宋体"/>
          <w:color w:val="auto"/>
          <w:sz w:val="24"/>
          <w:szCs w:val="24"/>
          <w:highlight w:val="none"/>
        </w:rPr>
      </w:pPr>
      <w:r>
        <w:rPr>
          <w:rFonts w:hint="eastAsia" w:hAnsi="宋体" w:cs="宋体"/>
          <w:color w:val="auto"/>
          <w:sz w:val="24"/>
          <w:szCs w:val="24"/>
          <w:highlight w:val="none"/>
        </w:rPr>
        <w:t>5.1.5拟签订的合同文本；</w:t>
      </w:r>
    </w:p>
    <w:p>
      <w:pPr>
        <w:pStyle w:val="32"/>
        <w:keepNext w:val="0"/>
        <w:keepLines w:val="0"/>
        <w:pageBreakBefore w:val="0"/>
        <w:tabs>
          <w:tab w:val="left" w:pos="840"/>
        </w:tabs>
        <w:kinsoku/>
        <w:wordWrap/>
        <w:overflowPunct/>
        <w:topLinePunct w:val="0"/>
        <w:bidi w:val="0"/>
        <w:snapToGrid w:val="0"/>
        <w:spacing w:line="360" w:lineRule="auto"/>
        <w:ind w:firstLine="960" w:firstLineChars="400"/>
        <w:textAlignment w:val="auto"/>
        <w:rPr>
          <w:rFonts w:hAnsi="宋体" w:cs="宋体"/>
          <w:color w:val="auto"/>
          <w:sz w:val="24"/>
          <w:szCs w:val="24"/>
          <w:highlight w:val="none"/>
        </w:rPr>
      </w:pPr>
      <w:r>
        <w:rPr>
          <w:rFonts w:hint="eastAsia" w:hAnsi="宋体" w:cs="宋体"/>
          <w:color w:val="auto"/>
          <w:sz w:val="24"/>
          <w:highlight w:val="none"/>
        </w:rPr>
        <w:t>5.1.6</w:t>
      </w:r>
      <w:r>
        <w:rPr>
          <w:rFonts w:hint="eastAsia" w:hAnsi="宋体" w:cs="宋体"/>
          <w:color w:val="auto"/>
          <w:sz w:val="24"/>
          <w:szCs w:val="24"/>
          <w:highlight w:val="none"/>
        </w:rPr>
        <w:t>应提交的有关格式范例。</w:t>
      </w:r>
    </w:p>
    <w:p>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5.2与本项目有关的</w:t>
      </w:r>
      <w:r>
        <w:rPr>
          <w:rFonts w:hint="eastAsia" w:ascii="宋体" w:hAnsi="宋体" w:cs="宋体"/>
          <w:bCs/>
          <w:color w:val="auto"/>
          <w:sz w:val="24"/>
          <w:highlight w:val="none"/>
        </w:rPr>
        <w:t>澄清或者修改的内容为招标文件的组成部分</w:t>
      </w:r>
      <w:r>
        <w:rPr>
          <w:rFonts w:hint="eastAsia" w:ascii="宋体" w:hAnsi="宋体" w:cs="宋体"/>
          <w:color w:val="auto"/>
          <w:sz w:val="24"/>
          <w:highlight w:val="none"/>
        </w:rPr>
        <w:t>。</w:t>
      </w:r>
    </w:p>
    <w:p>
      <w:pPr>
        <w:pStyle w:val="32"/>
        <w:keepNext w:val="0"/>
        <w:keepLines w:val="0"/>
        <w:pageBreakBefore w:val="0"/>
        <w:kinsoku/>
        <w:wordWrap/>
        <w:overflowPunct/>
        <w:topLinePunct w:val="0"/>
        <w:bidi w:val="0"/>
        <w:snapToGrid w:val="0"/>
        <w:spacing w:line="360" w:lineRule="auto"/>
        <w:textAlignment w:val="auto"/>
        <w:rPr>
          <w:rFonts w:hAnsi="宋体" w:cs="宋体"/>
          <w:b/>
          <w:color w:val="auto"/>
          <w:sz w:val="24"/>
          <w:szCs w:val="24"/>
          <w:highlight w:val="none"/>
        </w:rPr>
      </w:pPr>
      <w:r>
        <w:rPr>
          <w:rFonts w:hint="eastAsia" w:hAnsi="宋体" w:cs="宋体"/>
          <w:b/>
          <w:color w:val="auto"/>
          <w:sz w:val="24"/>
          <w:szCs w:val="24"/>
          <w:highlight w:val="none"/>
        </w:rPr>
        <w:t>6. 招标文件的澄清、修改</w:t>
      </w:r>
    </w:p>
    <w:p>
      <w:pPr>
        <w:pStyle w:val="128"/>
        <w:keepNext w:val="0"/>
        <w:keepLines w:val="0"/>
        <w:pageBreakBefore w:val="0"/>
        <w:kinsoku/>
        <w:wordWrap/>
        <w:overflowPunct/>
        <w:topLinePunct w:val="0"/>
        <w:bidi w:val="0"/>
        <w:snapToGrid w:val="0"/>
        <w:spacing w:before="0"/>
        <w:ind w:firstLine="480"/>
        <w:textAlignment w:val="auto"/>
        <w:rPr>
          <w:rFonts w:ascii="宋体" w:hAnsi="宋体" w:cs="宋体"/>
          <w:color w:val="auto"/>
          <w:highlight w:val="none"/>
        </w:rPr>
      </w:pPr>
      <w:r>
        <w:rPr>
          <w:rFonts w:hint="eastAsia" w:ascii="宋体" w:hAnsi="宋体" w:cs="宋体"/>
          <w:color w:val="auto"/>
          <w:highlight w:val="none"/>
        </w:rPr>
        <w:t>6.1已获取招标文件的潜在投标人，若有问题需要澄清，应于投标截止时间前，以书面形式向采购代理机构提出。</w:t>
      </w:r>
    </w:p>
    <w:p>
      <w:pPr>
        <w:pStyle w:val="128"/>
        <w:keepNext w:val="0"/>
        <w:keepLines w:val="0"/>
        <w:pageBreakBefore w:val="0"/>
        <w:kinsoku/>
        <w:wordWrap/>
        <w:overflowPunct/>
        <w:topLinePunct w:val="0"/>
        <w:bidi w:val="0"/>
        <w:snapToGrid w:val="0"/>
        <w:spacing w:before="0"/>
        <w:ind w:firstLine="480"/>
        <w:textAlignment w:val="auto"/>
        <w:rPr>
          <w:rFonts w:ascii="宋体" w:hAnsi="宋体" w:cs="宋体"/>
          <w:color w:val="auto"/>
          <w:highlight w:val="none"/>
        </w:rPr>
      </w:pPr>
      <w:r>
        <w:rPr>
          <w:rFonts w:hint="eastAsia" w:ascii="宋体" w:hAnsi="宋体" w:cs="宋体"/>
          <w:color w:val="auto"/>
          <w:highlight w:val="none"/>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keepNext w:val="0"/>
        <w:keepLines w:val="0"/>
        <w:pageBreakBefore w:val="0"/>
        <w:kinsoku/>
        <w:wordWrap/>
        <w:overflowPunct/>
        <w:topLinePunct w:val="0"/>
        <w:bidi w:val="0"/>
        <w:adjustRightInd/>
        <w:snapToGrid w:val="0"/>
        <w:spacing w:line="360" w:lineRule="auto"/>
        <w:jc w:val="center"/>
        <w:textAlignment w:val="auto"/>
        <w:outlineLvl w:val="0"/>
        <w:rPr>
          <w:rFonts w:ascii="宋体" w:hAnsi="宋体" w:cs="宋体"/>
          <w:b/>
          <w:color w:val="auto"/>
          <w:sz w:val="32"/>
          <w:szCs w:val="21"/>
          <w:highlight w:val="none"/>
        </w:rPr>
      </w:pPr>
      <w:r>
        <w:rPr>
          <w:rFonts w:hint="eastAsia" w:ascii="宋体" w:hAnsi="宋体" w:cs="宋体"/>
          <w:b/>
          <w:color w:val="auto"/>
          <w:sz w:val="32"/>
          <w:szCs w:val="21"/>
          <w:highlight w:val="none"/>
        </w:rPr>
        <w:t>三、投标</w:t>
      </w:r>
    </w:p>
    <w:p>
      <w:pPr>
        <w:pStyle w:val="32"/>
        <w:keepNext w:val="0"/>
        <w:keepLines w:val="0"/>
        <w:pageBreakBefore w:val="0"/>
        <w:kinsoku/>
        <w:wordWrap/>
        <w:overflowPunct/>
        <w:topLinePunct w:val="0"/>
        <w:bidi w:val="0"/>
        <w:snapToGrid w:val="0"/>
        <w:spacing w:line="360" w:lineRule="auto"/>
        <w:textAlignment w:val="auto"/>
        <w:rPr>
          <w:rFonts w:hAnsi="宋体" w:cs="宋体"/>
          <w:b/>
          <w:color w:val="auto"/>
          <w:sz w:val="24"/>
          <w:szCs w:val="24"/>
          <w:highlight w:val="none"/>
        </w:rPr>
      </w:pPr>
      <w:r>
        <w:rPr>
          <w:rFonts w:hint="eastAsia" w:hAnsi="宋体" w:cs="宋体"/>
          <w:b/>
          <w:color w:val="auto"/>
          <w:sz w:val="24"/>
          <w:szCs w:val="24"/>
          <w:highlight w:val="none"/>
        </w:rPr>
        <w:t>7. 招标文件的获取</w:t>
      </w:r>
    </w:p>
    <w:p>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详见招标公告中获取招标文件的时间期限、地点、方式及招标文件售价。</w:t>
      </w:r>
    </w:p>
    <w:p>
      <w:pPr>
        <w:pStyle w:val="32"/>
        <w:keepNext w:val="0"/>
        <w:keepLines w:val="0"/>
        <w:pageBreakBefore w:val="0"/>
        <w:numPr>
          <w:ilvl w:val="0"/>
          <w:numId w:val="2"/>
        </w:numPr>
        <w:kinsoku/>
        <w:wordWrap/>
        <w:overflowPunct/>
        <w:topLinePunct w:val="0"/>
        <w:bidi w:val="0"/>
        <w:snapToGrid w:val="0"/>
        <w:spacing w:line="360" w:lineRule="auto"/>
        <w:textAlignment w:val="auto"/>
        <w:rPr>
          <w:rFonts w:hAnsi="宋体" w:cs="宋体"/>
          <w:b/>
          <w:color w:val="auto"/>
          <w:sz w:val="24"/>
          <w:szCs w:val="24"/>
          <w:highlight w:val="none"/>
        </w:rPr>
      </w:pPr>
      <w:r>
        <w:rPr>
          <w:rFonts w:hint="eastAsia" w:hAnsi="宋体" w:cs="宋体"/>
          <w:b/>
          <w:color w:val="auto"/>
          <w:sz w:val="24"/>
          <w:szCs w:val="24"/>
          <w:highlight w:val="none"/>
        </w:rPr>
        <w:t>开标前答疑会或现场考察</w:t>
      </w:r>
    </w:p>
    <w:p>
      <w:pPr>
        <w:pStyle w:val="32"/>
        <w:keepNext w:val="0"/>
        <w:keepLines w:val="0"/>
        <w:pageBreakBefore w:val="0"/>
        <w:kinsoku/>
        <w:wordWrap/>
        <w:overflowPunct/>
        <w:topLinePunct w:val="0"/>
        <w:bidi w:val="0"/>
        <w:snapToGrid w:val="0"/>
        <w:spacing w:line="360" w:lineRule="auto"/>
        <w:ind w:firstLine="480" w:firstLineChars="200"/>
        <w:textAlignment w:val="auto"/>
        <w:rPr>
          <w:rFonts w:hAnsi="宋体" w:cs="宋体"/>
          <w:color w:val="auto"/>
          <w:sz w:val="24"/>
          <w:szCs w:val="24"/>
          <w:highlight w:val="none"/>
        </w:rPr>
      </w:pPr>
      <w:r>
        <w:rPr>
          <w:rFonts w:hint="eastAsia" w:hAnsi="宋体" w:cs="宋体"/>
          <w:color w:val="auto"/>
          <w:sz w:val="24"/>
          <w:szCs w:val="24"/>
          <w:highlight w:val="none"/>
        </w:rPr>
        <w:t>采购人组织潜在投标人现场考察或者召开开标前答疑会的，潜在投标人按第二部分投标人须知前附表的规定参加现场考察或者开标前答疑会。</w:t>
      </w:r>
    </w:p>
    <w:p>
      <w:pPr>
        <w:pStyle w:val="32"/>
        <w:keepNext w:val="0"/>
        <w:keepLines w:val="0"/>
        <w:pageBreakBefore w:val="0"/>
        <w:numPr>
          <w:ilvl w:val="0"/>
          <w:numId w:val="2"/>
        </w:numPr>
        <w:kinsoku/>
        <w:wordWrap/>
        <w:overflowPunct/>
        <w:topLinePunct w:val="0"/>
        <w:bidi w:val="0"/>
        <w:snapToGrid w:val="0"/>
        <w:spacing w:line="360" w:lineRule="auto"/>
        <w:ind w:left="0" w:leftChars="0" w:firstLine="0" w:firstLineChars="0"/>
        <w:textAlignment w:val="auto"/>
        <w:rPr>
          <w:rFonts w:hAnsi="宋体" w:cs="宋体"/>
          <w:b/>
          <w:color w:val="auto"/>
          <w:sz w:val="24"/>
          <w:szCs w:val="24"/>
          <w:highlight w:val="none"/>
        </w:rPr>
      </w:pPr>
      <w:r>
        <w:rPr>
          <w:rFonts w:hint="eastAsia" w:hAnsi="宋体" w:cs="宋体"/>
          <w:b/>
          <w:color w:val="auto"/>
          <w:sz w:val="24"/>
          <w:szCs w:val="24"/>
          <w:highlight w:val="none"/>
        </w:rPr>
        <w:t>投标保证金</w:t>
      </w:r>
    </w:p>
    <w:p>
      <w:pPr>
        <w:pStyle w:val="15"/>
        <w:keepNext w:val="0"/>
        <w:keepLines w:val="0"/>
        <w:pageBreakBefore w:val="0"/>
        <w:kinsoku/>
        <w:wordWrap/>
        <w:overflowPunct/>
        <w:topLinePunct w:val="0"/>
        <w:bidi w:val="0"/>
        <w:snapToGrid w:val="0"/>
        <w:spacing w:line="360" w:lineRule="auto"/>
        <w:ind w:firstLine="470" w:firstLineChars="196"/>
        <w:textAlignment w:val="auto"/>
        <w:rPr>
          <w:rFonts w:hAnsi="宋体" w:cs="宋体"/>
          <w:color w:val="auto"/>
          <w:sz w:val="24"/>
          <w:highlight w:val="none"/>
        </w:rPr>
      </w:pPr>
      <w:r>
        <w:rPr>
          <w:rFonts w:hint="eastAsia" w:hAnsi="宋体" w:cs="宋体"/>
          <w:color w:val="auto"/>
          <w:sz w:val="24"/>
          <w:highlight w:val="none"/>
        </w:rPr>
        <w:t>本项目不需缴纳投标保证金。</w:t>
      </w:r>
    </w:p>
    <w:p>
      <w:pPr>
        <w:pStyle w:val="32"/>
        <w:keepNext w:val="0"/>
        <w:keepLines w:val="0"/>
        <w:pageBreakBefore w:val="0"/>
        <w:kinsoku/>
        <w:wordWrap/>
        <w:overflowPunct/>
        <w:topLinePunct w:val="0"/>
        <w:bidi w:val="0"/>
        <w:snapToGrid w:val="0"/>
        <w:spacing w:line="360" w:lineRule="auto"/>
        <w:textAlignment w:val="auto"/>
        <w:rPr>
          <w:rFonts w:hAnsi="宋体" w:cs="宋体"/>
          <w:b/>
          <w:color w:val="auto"/>
          <w:sz w:val="24"/>
          <w:szCs w:val="24"/>
          <w:highlight w:val="none"/>
        </w:rPr>
      </w:pPr>
      <w:r>
        <w:rPr>
          <w:rFonts w:hint="eastAsia" w:hAnsi="宋体" w:cs="宋体"/>
          <w:b/>
          <w:color w:val="auto"/>
          <w:sz w:val="24"/>
          <w:szCs w:val="24"/>
          <w:highlight w:val="none"/>
        </w:rPr>
        <w:t>10. 投标文件的语言</w:t>
      </w:r>
    </w:p>
    <w:p>
      <w:pPr>
        <w:keepNext w:val="0"/>
        <w:keepLines w:val="0"/>
        <w:pageBreakBefore w:val="0"/>
        <w:kinsoku/>
        <w:wordWrap/>
        <w:overflowPunct/>
        <w:topLinePunct w:val="0"/>
        <w:autoSpaceDE w:val="0"/>
        <w:autoSpaceDN w:val="0"/>
        <w:bidi w:val="0"/>
        <w:snapToGrid w:val="0"/>
        <w:spacing w:line="360" w:lineRule="auto"/>
        <w:ind w:firstLine="480" w:firstLineChars="200"/>
        <w:textAlignment w:val="auto"/>
        <w:rPr>
          <w:rFonts w:ascii="宋体" w:hAnsi="宋体" w:cs="宋体"/>
          <w:color w:val="auto"/>
          <w:sz w:val="24"/>
          <w:highlight w:val="none"/>
          <w:lang w:val="zh-CN"/>
        </w:rPr>
      </w:pPr>
      <w:r>
        <w:rPr>
          <w:rFonts w:hint="eastAsia" w:ascii="宋体" w:hAnsi="宋体" w:cs="宋体"/>
          <w:color w:val="auto"/>
          <w:sz w:val="24"/>
          <w:highlight w:val="none"/>
        </w:rPr>
        <w:t>投标文件及投标人与采购有关的来往通知、函件和文件均应使用中文。</w:t>
      </w:r>
    </w:p>
    <w:p>
      <w:pPr>
        <w:pStyle w:val="32"/>
        <w:keepNext w:val="0"/>
        <w:keepLines w:val="0"/>
        <w:pageBreakBefore w:val="0"/>
        <w:kinsoku/>
        <w:wordWrap/>
        <w:overflowPunct/>
        <w:topLinePunct w:val="0"/>
        <w:bidi w:val="0"/>
        <w:snapToGrid w:val="0"/>
        <w:spacing w:line="360" w:lineRule="auto"/>
        <w:textAlignment w:val="auto"/>
        <w:rPr>
          <w:rFonts w:hAnsi="宋体" w:cs="宋体"/>
          <w:b/>
          <w:color w:val="auto"/>
          <w:sz w:val="24"/>
          <w:szCs w:val="24"/>
          <w:highlight w:val="none"/>
        </w:rPr>
      </w:pPr>
      <w:r>
        <w:rPr>
          <w:rFonts w:hint="eastAsia" w:hAnsi="宋体" w:cs="宋体"/>
          <w:b/>
          <w:color w:val="auto"/>
          <w:sz w:val="24"/>
          <w:szCs w:val="24"/>
          <w:highlight w:val="none"/>
        </w:rPr>
        <w:t>11. 投标文件的组成</w:t>
      </w:r>
    </w:p>
    <w:p>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11.1</w:t>
      </w:r>
      <w:r>
        <w:rPr>
          <w:rFonts w:hint="eastAsia" w:ascii="宋体" w:hAnsi="宋体" w:cs="宋体"/>
          <w:b/>
          <w:color w:val="auto"/>
          <w:sz w:val="24"/>
          <w:highlight w:val="none"/>
        </w:rPr>
        <w:t>资格文件</w:t>
      </w:r>
      <w:r>
        <w:rPr>
          <w:rFonts w:hint="eastAsia" w:ascii="宋体" w:hAnsi="宋体" w:cs="宋体"/>
          <w:color w:val="auto"/>
          <w:sz w:val="24"/>
          <w:highlight w:val="none"/>
        </w:rPr>
        <w:t>：</w:t>
      </w:r>
    </w:p>
    <w:p>
      <w:pPr>
        <w:keepNext w:val="0"/>
        <w:keepLines w:val="0"/>
        <w:pageBreakBefore w:val="0"/>
        <w:kinsoku/>
        <w:wordWrap/>
        <w:overflowPunct/>
        <w:topLinePunct w:val="0"/>
        <w:bidi w:val="0"/>
        <w:snapToGrid w:val="0"/>
        <w:spacing w:line="360" w:lineRule="auto"/>
        <w:ind w:firstLine="960" w:firstLineChars="400"/>
        <w:textAlignment w:val="auto"/>
        <w:rPr>
          <w:rFonts w:ascii="宋体" w:hAnsi="宋体" w:cs="宋体"/>
          <w:color w:val="auto"/>
          <w:sz w:val="24"/>
          <w:highlight w:val="none"/>
        </w:rPr>
      </w:pPr>
      <w:r>
        <w:rPr>
          <w:rFonts w:hint="eastAsia" w:ascii="宋体" w:hAnsi="宋体" w:cs="宋体"/>
          <w:color w:val="auto"/>
          <w:sz w:val="24"/>
          <w:highlight w:val="none"/>
        </w:rPr>
        <w:t>11.1.1符合参加政府采购活动应当具备的一般条件的承诺函；</w:t>
      </w:r>
    </w:p>
    <w:p>
      <w:pPr>
        <w:keepNext w:val="0"/>
        <w:keepLines w:val="0"/>
        <w:pageBreakBefore w:val="0"/>
        <w:kinsoku/>
        <w:wordWrap/>
        <w:overflowPunct/>
        <w:topLinePunct w:val="0"/>
        <w:bidi w:val="0"/>
        <w:snapToGrid w:val="0"/>
        <w:spacing w:line="360" w:lineRule="auto"/>
        <w:ind w:firstLine="960" w:firstLineChars="400"/>
        <w:textAlignment w:val="auto"/>
        <w:rPr>
          <w:rFonts w:ascii="宋体" w:hAnsi="宋体" w:cs="宋体"/>
          <w:color w:val="auto"/>
          <w:sz w:val="24"/>
          <w:highlight w:val="none"/>
        </w:rPr>
      </w:pPr>
      <w:r>
        <w:rPr>
          <w:rFonts w:hint="eastAsia" w:ascii="宋体" w:hAnsi="宋体" w:cs="宋体"/>
          <w:color w:val="auto"/>
          <w:sz w:val="24"/>
          <w:highlight w:val="none"/>
        </w:rPr>
        <w:t>1</w:t>
      </w:r>
      <w:r>
        <w:rPr>
          <w:rFonts w:ascii="宋体" w:hAnsi="宋体" w:cs="宋体"/>
          <w:color w:val="auto"/>
          <w:sz w:val="24"/>
          <w:highlight w:val="none"/>
        </w:rPr>
        <w:t>1.1.2</w:t>
      </w:r>
      <w:bookmarkStart w:id="13" w:name="_Hlk101259339"/>
      <w:r>
        <w:rPr>
          <w:rFonts w:hint="eastAsia" w:ascii="宋体" w:hAnsi="宋体" w:cs="宋体"/>
          <w:snapToGrid w:val="0"/>
          <w:color w:val="auto"/>
          <w:kern w:val="28"/>
          <w:sz w:val="24"/>
          <w:szCs w:val="20"/>
          <w:highlight w:val="none"/>
        </w:rPr>
        <w:t>联合协议</w:t>
      </w:r>
      <w:bookmarkEnd w:id="13"/>
      <w:r>
        <w:rPr>
          <w:rFonts w:hint="eastAsia" w:ascii="宋体" w:hAnsi="宋体" w:cs="宋体"/>
          <w:snapToGrid w:val="0"/>
          <w:color w:val="auto"/>
          <w:kern w:val="28"/>
          <w:sz w:val="24"/>
          <w:szCs w:val="20"/>
          <w:highlight w:val="none"/>
        </w:rPr>
        <w:t>（如果有)；</w:t>
      </w:r>
    </w:p>
    <w:p>
      <w:pPr>
        <w:keepNext w:val="0"/>
        <w:keepLines w:val="0"/>
        <w:pageBreakBefore w:val="0"/>
        <w:kinsoku/>
        <w:wordWrap/>
        <w:overflowPunct/>
        <w:topLinePunct w:val="0"/>
        <w:bidi w:val="0"/>
        <w:snapToGrid w:val="0"/>
        <w:spacing w:line="360" w:lineRule="auto"/>
        <w:ind w:firstLine="960" w:firstLineChars="400"/>
        <w:textAlignment w:val="auto"/>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pPr>
        <w:keepNext w:val="0"/>
        <w:keepLines w:val="0"/>
        <w:pageBreakBefore w:val="0"/>
        <w:kinsoku/>
        <w:wordWrap/>
        <w:overflowPunct/>
        <w:topLinePunct w:val="0"/>
        <w:bidi w:val="0"/>
        <w:snapToGrid w:val="0"/>
        <w:spacing w:line="360" w:lineRule="auto"/>
        <w:ind w:firstLine="960" w:firstLineChars="400"/>
        <w:textAlignment w:val="auto"/>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pPr>
        <w:keepNext w:val="0"/>
        <w:keepLines w:val="0"/>
        <w:pageBreakBefore w:val="0"/>
        <w:kinsoku/>
        <w:wordWrap/>
        <w:overflowPunct/>
        <w:topLinePunct w:val="0"/>
        <w:bidi w:val="0"/>
        <w:snapToGrid w:val="0"/>
        <w:spacing w:line="360" w:lineRule="auto"/>
        <w:ind w:firstLine="960" w:firstLineChars="400"/>
        <w:textAlignment w:val="auto"/>
        <w:rPr>
          <w:rFonts w:ascii="宋体" w:hAnsi="宋体" w:cs="宋体"/>
          <w:color w:val="auto"/>
          <w:sz w:val="24"/>
          <w:highlight w:val="none"/>
        </w:rPr>
      </w:pPr>
      <w:r>
        <w:rPr>
          <w:rFonts w:hint="eastAsia" w:ascii="宋体" w:hAnsi="宋体" w:cs="宋体"/>
          <w:color w:val="auto"/>
          <w:sz w:val="24"/>
          <w:highlight w:val="none"/>
        </w:rPr>
        <w:t>11.2.1投标函；</w:t>
      </w:r>
      <w:r>
        <w:rPr>
          <w:rFonts w:hint="eastAsia" w:ascii="宋体" w:hAnsi="宋体" w:cs="宋体"/>
          <w:color w:val="auto"/>
          <w:sz w:val="24"/>
          <w:highlight w:val="none"/>
          <w:lang w:val="zh-CN"/>
        </w:rPr>
        <w:t xml:space="preserve"> </w:t>
      </w:r>
    </w:p>
    <w:p>
      <w:pPr>
        <w:keepNext w:val="0"/>
        <w:keepLines w:val="0"/>
        <w:pageBreakBefore w:val="0"/>
        <w:kinsoku/>
        <w:wordWrap/>
        <w:overflowPunct/>
        <w:topLinePunct w:val="0"/>
        <w:bidi w:val="0"/>
        <w:snapToGrid w:val="0"/>
        <w:spacing w:line="360" w:lineRule="auto"/>
        <w:ind w:firstLine="960" w:firstLineChars="400"/>
        <w:textAlignment w:val="auto"/>
        <w:rPr>
          <w:rFonts w:ascii="宋体" w:hAnsi="宋体" w:cs="宋体"/>
          <w:color w:val="auto"/>
          <w:sz w:val="24"/>
          <w:highlight w:val="none"/>
        </w:rPr>
      </w:pPr>
      <w:r>
        <w:rPr>
          <w:rFonts w:hint="eastAsia" w:ascii="宋体" w:hAnsi="宋体" w:cs="宋体"/>
          <w:color w:val="auto"/>
          <w:sz w:val="24"/>
          <w:highlight w:val="none"/>
        </w:rPr>
        <w:t>11.2.2授权委托书或法定代表人（单位负责人、自然人本人）身份证明；</w:t>
      </w:r>
    </w:p>
    <w:p>
      <w:pPr>
        <w:keepNext w:val="0"/>
        <w:keepLines w:val="0"/>
        <w:pageBreakBefore w:val="0"/>
        <w:kinsoku/>
        <w:wordWrap/>
        <w:overflowPunct/>
        <w:topLinePunct w:val="0"/>
        <w:bidi w:val="0"/>
        <w:snapToGrid w:val="0"/>
        <w:spacing w:line="360" w:lineRule="auto"/>
        <w:ind w:firstLine="960" w:firstLineChars="400"/>
        <w:textAlignment w:val="auto"/>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pPr>
        <w:keepNext w:val="0"/>
        <w:keepLines w:val="0"/>
        <w:pageBreakBefore w:val="0"/>
        <w:kinsoku/>
        <w:wordWrap/>
        <w:overflowPunct/>
        <w:topLinePunct w:val="0"/>
        <w:bidi w:val="0"/>
        <w:snapToGrid w:val="0"/>
        <w:spacing w:line="360" w:lineRule="auto"/>
        <w:ind w:firstLine="960" w:firstLineChars="400"/>
        <w:textAlignment w:val="auto"/>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4</w:t>
      </w:r>
      <w:r>
        <w:rPr>
          <w:rFonts w:hint="eastAsia" w:ascii="宋体" w:hAnsi="宋体" w:cs="宋体"/>
          <w:color w:val="auto"/>
          <w:sz w:val="24"/>
          <w:highlight w:val="none"/>
        </w:rPr>
        <w:t>符合性审查资料；</w:t>
      </w:r>
    </w:p>
    <w:p>
      <w:pPr>
        <w:keepNext w:val="0"/>
        <w:keepLines w:val="0"/>
        <w:pageBreakBefore w:val="0"/>
        <w:kinsoku/>
        <w:wordWrap/>
        <w:overflowPunct/>
        <w:topLinePunct w:val="0"/>
        <w:bidi w:val="0"/>
        <w:snapToGrid w:val="0"/>
        <w:spacing w:line="360" w:lineRule="auto"/>
        <w:ind w:left="420" w:leftChars="200"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pPr>
        <w:keepNext w:val="0"/>
        <w:keepLines w:val="0"/>
        <w:pageBreakBefore w:val="0"/>
        <w:kinsoku/>
        <w:wordWrap/>
        <w:overflowPunct/>
        <w:topLinePunct w:val="0"/>
        <w:bidi w:val="0"/>
        <w:snapToGrid w:val="0"/>
        <w:spacing w:line="360" w:lineRule="auto"/>
        <w:ind w:left="420" w:leftChars="200"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6</w:t>
      </w:r>
      <w:r>
        <w:rPr>
          <w:rFonts w:hint="eastAsia" w:ascii="宋体" w:hAnsi="宋体" w:cs="宋体"/>
          <w:color w:val="auto"/>
          <w:sz w:val="24"/>
          <w:highlight w:val="none"/>
        </w:rPr>
        <w:t>投标标的清单；</w:t>
      </w:r>
    </w:p>
    <w:p>
      <w:pPr>
        <w:keepNext w:val="0"/>
        <w:keepLines w:val="0"/>
        <w:pageBreakBefore w:val="0"/>
        <w:kinsoku/>
        <w:wordWrap/>
        <w:overflowPunct/>
        <w:topLinePunct w:val="0"/>
        <w:bidi w:val="0"/>
        <w:snapToGrid w:val="0"/>
        <w:spacing w:line="360" w:lineRule="auto"/>
        <w:ind w:firstLine="960" w:firstLineChars="400"/>
        <w:textAlignment w:val="auto"/>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7</w:t>
      </w:r>
      <w:r>
        <w:rPr>
          <w:rFonts w:hint="eastAsia" w:ascii="宋体" w:hAnsi="宋体" w:cs="宋体"/>
          <w:color w:val="auto"/>
          <w:sz w:val="24"/>
          <w:highlight w:val="none"/>
        </w:rPr>
        <w:t>商务技术偏离表；</w:t>
      </w:r>
    </w:p>
    <w:p>
      <w:pPr>
        <w:keepNext w:val="0"/>
        <w:keepLines w:val="0"/>
        <w:pageBreakBefore w:val="0"/>
        <w:kinsoku/>
        <w:wordWrap/>
        <w:overflowPunct/>
        <w:topLinePunct w:val="0"/>
        <w:bidi w:val="0"/>
        <w:snapToGrid w:val="0"/>
        <w:spacing w:line="360" w:lineRule="auto"/>
        <w:ind w:firstLine="960" w:firstLineChars="400"/>
        <w:textAlignment w:val="auto"/>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sz w:val="24"/>
          <w:highlight w:val="none"/>
          <w:u w:val="single"/>
          <w:lang w:val="zh-CN"/>
        </w:rPr>
      </w:pPr>
      <w:r>
        <w:rPr>
          <w:rFonts w:hint="eastAsia" w:ascii="宋体" w:hAnsi="宋体" w:cs="宋体"/>
          <w:color w:val="auto"/>
          <w:kern w:val="0"/>
          <w:sz w:val="24"/>
          <w:highlight w:val="none"/>
          <w:lang w:val="zh-CN"/>
        </w:rPr>
        <w:t>11.</w:t>
      </w:r>
      <w:r>
        <w:rPr>
          <w:rFonts w:hint="eastAsia" w:ascii="宋体" w:hAnsi="宋体" w:cs="宋体"/>
          <w:color w:val="auto"/>
          <w:kern w:val="0"/>
          <w:sz w:val="24"/>
          <w:highlight w:val="none"/>
        </w:rPr>
        <w:t>3</w:t>
      </w:r>
      <w:r>
        <w:rPr>
          <w:rFonts w:hint="eastAsia" w:ascii="宋体" w:hAnsi="宋体" w:cs="宋体"/>
          <w:b/>
          <w:color w:val="auto"/>
          <w:sz w:val="24"/>
          <w:highlight w:val="none"/>
        </w:rPr>
        <w:t>报价文件：</w:t>
      </w:r>
      <w:r>
        <w:rPr>
          <w:rFonts w:hint="eastAsia" w:ascii="宋体" w:hAnsi="宋体" w:cs="宋体"/>
          <w:color w:val="auto"/>
          <w:sz w:val="24"/>
          <w:highlight w:val="none"/>
        </w:rPr>
        <w:t xml:space="preserve"> </w:t>
      </w:r>
    </w:p>
    <w:p>
      <w:pPr>
        <w:keepNext w:val="0"/>
        <w:keepLines w:val="0"/>
        <w:pageBreakBefore w:val="0"/>
        <w:kinsoku/>
        <w:wordWrap/>
        <w:overflowPunct/>
        <w:topLinePunct w:val="0"/>
        <w:bidi w:val="0"/>
        <w:snapToGrid w:val="0"/>
        <w:spacing w:line="360" w:lineRule="auto"/>
        <w:ind w:firstLine="960" w:firstLineChars="400"/>
        <w:textAlignment w:val="auto"/>
        <w:rPr>
          <w:rFonts w:ascii="宋体" w:hAnsi="宋体" w:cs="宋体"/>
          <w:color w:val="auto"/>
          <w:sz w:val="24"/>
          <w:highlight w:val="none"/>
        </w:rPr>
      </w:pPr>
      <w:r>
        <w:rPr>
          <w:rFonts w:hint="eastAsia" w:ascii="宋体" w:hAnsi="宋体" w:cs="宋体"/>
          <w:color w:val="auto"/>
          <w:sz w:val="24"/>
          <w:highlight w:val="none"/>
        </w:rPr>
        <w:t>11.3.1开标一览表（报价表）；</w:t>
      </w:r>
    </w:p>
    <w:p>
      <w:pPr>
        <w:keepNext w:val="0"/>
        <w:keepLines w:val="0"/>
        <w:pageBreakBefore w:val="0"/>
        <w:kinsoku/>
        <w:wordWrap/>
        <w:overflowPunct/>
        <w:topLinePunct w:val="0"/>
        <w:bidi w:val="0"/>
        <w:snapToGrid w:val="0"/>
        <w:spacing w:line="360" w:lineRule="auto"/>
        <w:ind w:firstLine="960" w:firstLineChars="400"/>
        <w:textAlignment w:val="auto"/>
        <w:rPr>
          <w:rFonts w:ascii="宋体" w:hAnsi="宋体" w:cs="宋体"/>
          <w:color w:val="auto"/>
          <w:sz w:val="24"/>
          <w:highlight w:val="none"/>
        </w:rPr>
      </w:pPr>
      <w:r>
        <w:rPr>
          <w:rFonts w:hint="eastAsia" w:ascii="宋体" w:hAnsi="宋体" w:cs="宋体"/>
          <w:color w:val="auto"/>
          <w:sz w:val="24"/>
          <w:highlight w:val="none"/>
        </w:rPr>
        <w:t>11.3.2中小企业声明函。</w:t>
      </w:r>
    </w:p>
    <w:p>
      <w:pPr>
        <w:keepNext w:val="0"/>
        <w:keepLines w:val="0"/>
        <w:pageBreakBefore w:val="0"/>
        <w:kinsoku/>
        <w:wordWrap/>
        <w:overflowPunct/>
        <w:topLinePunct w:val="0"/>
        <w:bidi w:val="0"/>
        <w:snapToGrid w:val="0"/>
        <w:spacing w:line="360" w:lineRule="auto"/>
        <w:ind w:firstLine="723" w:firstLineChars="300"/>
        <w:textAlignment w:val="auto"/>
        <w:rPr>
          <w:rFonts w:ascii="宋体" w:hAnsi="宋体" w:cs="宋体"/>
          <w:b/>
          <w:color w:val="auto"/>
          <w:sz w:val="24"/>
          <w:highlight w:val="none"/>
        </w:rPr>
      </w:pPr>
      <w:r>
        <w:rPr>
          <w:rFonts w:hint="eastAsia" w:ascii="宋体" w:hAnsi="宋体" w:cs="宋体"/>
          <w:b/>
          <w:color w:val="auto"/>
          <w:sz w:val="24"/>
          <w:highlight w:val="none"/>
        </w:rPr>
        <w:t>投标文件含有采购人不能接受的附加条件的，投标无效；</w:t>
      </w:r>
    </w:p>
    <w:p>
      <w:pPr>
        <w:keepNext w:val="0"/>
        <w:keepLines w:val="0"/>
        <w:pageBreakBefore w:val="0"/>
        <w:kinsoku/>
        <w:wordWrap/>
        <w:overflowPunct/>
        <w:topLinePunct w:val="0"/>
        <w:bidi w:val="0"/>
        <w:snapToGrid w:val="0"/>
        <w:spacing w:line="360" w:lineRule="auto"/>
        <w:ind w:firstLine="723" w:firstLineChars="300"/>
        <w:textAlignment w:val="auto"/>
        <w:rPr>
          <w:rFonts w:ascii="宋体" w:hAnsi="宋体" w:cs="宋体"/>
          <w:b/>
          <w:color w:val="auto"/>
          <w:sz w:val="24"/>
          <w:szCs w:val="21"/>
          <w:highlight w:val="none"/>
        </w:rPr>
      </w:pPr>
      <w:r>
        <w:rPr>
          <w:rFonts w:hint="eastAsia" w:ascii="宋体" w:hAnsi="宋体" w:cs="宋体"/>
          <w:b/>
          <w:color w:val="auto"/>
          <w:sz w:val="24"/>
          <w:highlight w:val="none"/>
        </w:rPr>
        <w:t>投标人提供虚假材料投标的，投标无效。</w:t>
      </w:r>
    </w:p>
    <w:p>
      <w:pPr>
        <w:pStyle w:val="128"/>
        <w:keepNext w:val="0"/>
        <w:keepLines w:val="0"/>
        <w:pageBreakBefore w:val="0"/>
        <w:kinsoku/>
        <w:wordWrap/>
        <w:overflowPunct/>
        <w:topLinePunct w:val="0"/>
        <w:bidi w:val="0"/>
        <w:snapToGrid w:val="0"/>
        <w:spacing w:before="0"/>
        <w:ind w:firstLine="0" w:firstLineChars="0"/>
        <w:textAlignment w:val="auto"/>
        <w:outlineLvl w:val="0"/>
        <w:rPr>
          <w:rFonts w:ascii="宋体" w:hAnsi="宋体" w:cs="宋体"/>
          <w:b/>
          <w:color w:val="auto"/>
          <w:szCs w:val="24"/>
          <w:highlight w:val="none"/>
        </w:rPr>
      </w:pPr>
      <w:r>
        <w:rPr>
          <w:rFonts w:hint="eastAsia" w:ascii="宋体" w:hAnsi="宋体" w:cs="宋体"/>
          <w:b/>
          <w:color w:val="auto"/>
          <w:szCs w:val="24"/>
          <w:highlight w:val="none"/>
        </w:rPr>
        <w:t>12</w:t>
      </w:r>
      <w:r>
        <w:rPr>
          <w:rFonts w:hint="eastAsia" w:ascii="宋体" w:hAnsi="宋体" w:cs="宋体"/>
          <w:b/>
          <w:color w:val="auto"/>
          <w:kern w:val="0"/>
          <w:szCs w:val="24"/>
          <w:highlight w:val="none"/>
          <w:lang w:val="zh-CN"/>
        </w:rPr>
        <w:t xml:space="preserve">. </w:t>
      </w:r>
      <w:r>
        <w:rPr>
          <w:rFonts w:hint="eastAsia" w:ascii="宋体" w:hAnsi="宋体" w:cs="宋体"/>
          <w:b/>
          <w:color w:val="auto"/>
          <w:szCs w:val="24"/>
          <w:highlight w:val="none"/>
        </w:rPr>
        <w:t>投标文件的编制</w:t>
      </w:r>
    </w:p>
    <w:p>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b/>
          <w:color w:val="auto"/>
          <w:sz w:val="24"/>
          <w:highlight w:val="none"/>
        </w:rPr>
      </w:pPr>
      <w:r>
        <w:rPr>
          <w:rFonts w:hint="eastAsia" w:ascii="宋体" w:hAnsi="宋体" w:cs="宋体"/>
          <w:color w:val="auto"/>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pPr>
        <w:keepNext w:val="0"/>
        <w:keepLines w:val="0"/>
        <w:pageBreakBefore w:val="0"/>
        <w:numPr>
          <w:ilvl w:val="0"/>
          <w:numId w:val="0"/>
        </w:numPr>
        <w:kinsoku/>
        <w:wordWrap/>
        <w:overflowPunct/>
        <w:topLinePunct w:val="0"/>
        <w:bidi w:val="0"/>
        <w:snapToGrid w:val="0"/>
        <w:spacing w:line="360" w:lineRule="auto"/>
        <w:textAlignment w:val="auto"/>
        <w:rPr>
          <w:rFonts w:ascii="宋体" w:hAnsi="宋体" w:cs="宋体"/>
          <w:b/>
          <w:color w:val="auto"/>
          <w:sz w:val="24"/>
          <w:highlight w:val="none"/>
        </w:rPr>
      </w:pPr>
      <w:r>
        <w:rPr>
          <w:rFonts w:hint="eastAsia" w:ascii="宋体" w:hAnsi="宋体" w:cs="宋体"/>
          <w:b/>
          <w:color w:val="auto"/>
          <w:sz w:val="24"/>
          <w:highlight w:val="none"/>
          <w:lang w:val="en-US" w:eastAsia="zh-CN"/>
        </w:rPr>
        <w:t>13.</w:t>
      </w:r>
      <w:r>
        <w:rPr>
          <w:rFonts w:hint="eastAsia" w:ascii="宋体" w:hAnsi="宋体" w:cs="宋体"/>
          <w:b/>
          <w:color w:val="auto"/>
          <w:szCs w:val="24"/>
          <w:highlight w:val="none"/>
          <w:lang w:val="en-US" w:eastAsia="zh-CN"/>
        </w:rPr>
        <w:t xml:space="preserve"> </w:t>
      </w:r>
      <w:r>
        <w:rPr>
          <w:rFonts w:hint="eastAsia" w:ascii="宋体" w:hAnsi="宋体" w:cs="宋体"/>
          <w:b/>
          <w:color w:val="auto"/>
          <w:sz w:val="24"/>
          <w:highlight w:val="none"/>
        </w:rPr>
        <w:t>投标文件的签署、盖章</w:t>
      </w:r>
    </w:p>
    <w:p>
      <w:pPr>
        <w:pStyle w:val="128"/>
        <w:keepNext w:val="0"/>
        <w:keepLines w:val="0"/>
        <w:pageBreakBefore w:val="0"/>
        <w:kinsoku/>
        <w:wordWrap/>
        <w:overflowPunct/>
        <w:topLinePunct w:val="0"/>
        <w:bidi w:val="0"/>
        <w:snapToGrid w:val="0"/>
        <w:spacing w:before="0"/>
        <w:ind w:firstLine="480"/>
        <w:textAlignment w:val="auto"/>
        <w:rPr>
          <w:rFonts w:ascii="宋体" w:hAnsi="宋体" w:cs="宋体"/>
          <w:b/>
          <w:color w:val="auto"/>
          <w:highlight w:val="none"/>
        </w:rPr>
      </w:pPr>
      <w:r>
        <w:rPr>
          <w:rFonts w:hint="eastAsia" w:ascii="宋体" w:hAnsi="宋体" w:cs="宋体"/>
          <w:color w:val="auto"/>
          <w:szCs w:val="24"/>
          <w:highlight w:val="none"/>
        </w:rPr>
        <w:t>13.1投标文件按照招标文件第六部分格式要</w:t>
      </w:r>
      <w:r>
        <w:rPr>
          <w:rFonts w:hint="eastAsia" w:ascii="宋体" w:hAnsi="宋体" w:cs="宋体"/>
          <w:color w:val="auto"/>
          <w:highlight w:val="none"/>
        </w:rPr>
        <w:t>求进行签署、盖章。</w:t>
      </w:r>
      <w:r>
        <w:rPr>
          <w:rFonts w:hint="eastAsia" w:ascii="宋体" w:hAnsi="宋体" w:cs="宋体"/>
          <w:b/>
          <w:color w:val="auto"/>
          <w:highlight w:val="none"/>
        </w:rPr>
        <w:t>▲投标人的投标文件未按照招标文件要求签署、盖章的，其投标无效</w:t>
      </w:r>
      <w:r>
        <w:rPr>
          <w:rFonts w:hint="eastAsia" w:ascii="宋体" w:hAnsi="宋体" w:cs="宋体"/>
          <w:color w:val="auto"/>
          <w:szCs w:val="24"/>
          <w:highlight w:val="none"/>
        </w:rPr>
        <w:t>。</w:t>
      </w:r>
    </w:p>
    <w:p>
      <w:pPr>
        <w:pStyle w:val="128"/>
        <w:keepNext w:val="0"/>
        <w:keepLines w:val="0"/>
        <w:pageBreakBefore w:val="0"/>
        <w:kinsoku/>
        <w:wordWrap/>
        <w:overflowPunct/>
        <w:topLinePunct w:val="0"/>
        <w:bidi w:val="0"/>
        <w:snapToGrid w:val="0"/>
        <w:spacing w:before="0"/>
        <w:ind w:firstLine="480"/>
        <w:textAlignment w:val="auto"/>
        <w:rPr>
          <w:rFonts w:ascii="宋体" w:hAnsi="宋体" w:cs="宋体"/>
          <w:color w:val="auto"/>
          <w:highlight w:val="none"/>
        </w:rPr>
      </w:pPr>
      <w:r>
        <w:rPr>
          <w:rFonts w:hint="eastAsia" w:ascii="宋体" w:hAnsi="宋体" w:cs="宋体"/>
          <w:color w:val="auto"/>
          <w:highlight w:val="none"/>
        </w:rPr>
        <w:t>13.2为确保网上操作合法、有效和安全，投标人应当在投标截止时间前完成在“政府采购云平台”的身份认证，确保在电子投标过程中能够对相关数据电文进行加密和使用电子签名。</w:t>
      </w:r>
    </w:p>
    <w:p>
      <w:pPr>
        <w:pStyle w:val="128"/>
        <w:keepNext w:val="0"/>
        <w:keepLines w:val="0"/>
        <w:pageBreakBefore w:val="0"/>
        <w:kinsoku/>
        <w:wordWrap/>
        <w:overflowPunct/>
        <w:topLinePunct w:val="0"/>
        <w:bidi w:val="0"/>
        <w:snapToGrid w:val="0"/>
        <w:spacing w:before="0"/>
        <w:ind w:firstLine="480"/>
        <w:textAlignment w:val="auto"/>
        <w:rPr>
          <w:rFonts w:ascii="宋体" w:hAnsi="宋体" w:cs="宋体"/>
          <w:color w:val="auto"/>
          <w:szCs w:val="24"/>
          <w:highlight w:val="none"/>
        </w:rPr>
      </w:pPr>
      <w:r>
        <w:rPr>
          <w:rFonts w:hint="eastAsia" w:ascii="宋体" w:hAnsi="宋体" w:cs="宋体"/>
          <w:color w:val="auto"/>
          <w:highlight w:val="none"/>
        </w:rPr>
        <w:t>13.3招标文件对投标文件签署、盖章的要求适用于电子签名。</w:t>
      </w:r>
    </w:p>
    <w:p>
      <w:pPr>
        <w:pStyle w:val="128"/>
        <w:keepNext w:val="0"/>
        <w:keepLines w:val="0"/>
        <w:pageBreakBefore w:val="0"/>
        <w:numPr>
          <w:ilvl w:val="0"/>
          <w:numId w:val="0"/>
        </w:numPr>
        <w:kinsoku/>
        <w:wordWrap/>
        <w:overflowPunct/>
        <w:topLinePunct w:val="0"/>
        <w:bidi w:val="0"/>
        <w:snapToGrid w:val="0"/>
        <w:spacing w:before="0"/>
        <w:ind w:leftChars="0"/>
        <w:textAlignment w:val="auto"/>
        <w:rPr>
          <w:rFonts w:ascii="宋体" w:hAnsi="宋体" w:cs="宋体"/>
          <w:b/>
          <w:color w:val="auto"/>
          <w:szCs w:val="24"/>
          <w:highlight w:val="none"/>
        </w:rPr>
      </w:pPr>
      <w:r>
        <w:rPr>
          <w:rFonts w:hint="eastAsia" w:ascii="宋体" w:hAnsi="宋体" w:cs="宋体"/>
          <w:b/>
          <w:color w:val="auto"/>
          <w:szCs w:val="24"/>
          <w:highlight w:val="none"/>
          <w:lang w:val="en-US" w:eastAsia="zh-CN"/>
        </w:rPr>
        <w:t xml:space="preserve">14. </w:t>
      </w:r>
      <w:r>
        <w:rPr>
          <w:rFonts w:hint="eastAsia" w:ascii="宋体" w:hAnsi="宋体" w:cs="宋体"/>
          <w:b/>
          <w:color w:val="auto"/>
          <w:szCs w:val="24"/>
          <w:highlight w:val="none"/>
        </w:rPr>
        <w:t>投标文件的提交、补充、修改、撤回</w:t>
      </w:r>
    </w:p>
    <w:p>
      <w:pPr>
        <w:pStyle w:val="128"/>
        <w:keepNext w:val="0"/>
        <w:keepLines w:val="0"/>
        <w:pageBreakBefore w:val="0"/>
        <w:kinsoku/>
        <w:wordWrap/>
        <w:overflowPunct/>
        <w:topLinePunct w:val="0"/>
        <w:bidi w:val="0"/>
        <w:snapToGrid w:val="0"/>
        <w:spacing w:before="0"/>
        <w:ind w:firstLine="480"/>
        <w:textAlignment w:val="auto"/>
        <w:rPr>
          <w:rFonts w:ascii="宋体" w:hAnsi="宋体" w:cs="宋体"/>
          <w:color w:val="auto"/>
          <w:szCs w:val="24"/>
          <w:highlight w:val="none"/>
        </w:rPr>
      </w:pPr>
      <w:r>
        <w:rPr>
          <w:rFonts w:hint="eastAsia" w:ascii="宋体" w:hAnsi="宋体" w:cs="宋体"/>
          <w:color w:val="auto"/>
          <w:szCs w:val="24"/>
          <w:highlight w:val="none"/>
        </w:rPr>
        <w:t>14.1 供应商应当在投标截止时间前完成投标文件的传输递交，并可以补充、修改或者撤回投标文件。补充或者修改投标文件的，应当先行撤回原文件，补充、修改后重新传输递交。供应商撤回投标不得损害国家利益、社会公共利益、采购人利益、代理机构利益、其他供应商利益，否则，供应商撤销（撤回）投标无效。投标截止时间前未完成传输的，视为撤回投标文件。投标截止时间后递交的投标文件，电子交易平台将拒收。</w:t>
      </w:r>
    </w:p>
    <w:p>
      <w:pPr>
        <w:pStyle w:val="128"/>
        <w:keepNext w:val="0"/>
        <w:keepLines w:val="0"/>
        <w:pageBreakBefore w:val="0"/>
        <w:kinsoku/>
        <w:wordWrap/>
        <w:overflowPunct/>
        <w:topLinePunct w:val="0"/>
        <w:bidi w:val="0"/>
        <w:snapToGrid w:val="0"/>
        <w:spacing w:before="0"/>
        <w:ind w:firstLine="480"/>
        <w:textAlignment w:val="auto"/>
        <w:rPr>
          <w:rFonts w:ascii="宋体" w:hAnsi="宋体" w:cs="宋体"/>
          <w:color w:val="auto"/>
          <w:szCs w:val="24"/>
          <w:highlight w:val="none"/>
        </w:rPr>
      </w:pPr>
      <w:r>
        <w:rPr>
          <w:rFonts w:hint="eastAsia" w:ascii="宋体" w:hAnsi="宋体" w:cs="宋体"/>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pPr>
        <w:pStyle w:val="128"/>
        <w:keepNext w:val="0"/>
        <w:keepLines w:val="0"/>
        <w:pageBreakBefore w:val="0"/>
        <w:widowControl w:val="0"/>
        <w:kinsoku/>
        <w:wordWrap/>
        <w:overflowPunct/>
        <w:topLinePunct w:val="0"/>
        <w:autoSpaceDE/>
        <w:autoSpaceDN/>
        <w:bidi w:val="0"/>
        <w:adjustRightInd w:val="0"/>
        <w:snapToGrid w:val="0"/>
        <w:spacing w:before="0"/>
        <w:ind w:firstLine="480"/>
        <w:textAlignment w:val="auto"/>
        <w:rPr>
          <w:rFonts w:ascii="宋体" w:hAnsi="宋体" w:cs="宋体"/>
          <w:color w:val="auto"/>
          <w:szCs w:val="24"/>
          <w:highlight w:val="none"/>
        </w:rPr>
      </w:pPr>
      <w:r>
        <w:rPr>
          <w:rFonts w:hint="eastAsia" w:ascii="宋体" w:hAnsi="宋体" w:cs="宋体"/>
          <w:color w:val="auto"/>
          <w:szCs w:val="24"/>
          <w:highlight w:val="none"/>
        </w:rPr>
        <w:t>14.3采购人、采购代理机构可以视情况延长投标文件提交的截止时间。在上述情况下，采购代理机构与投标人以前在投标截止期方面的全部权利、责任和义务，将适用于延长至新的投标截止期。</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Ansi="宋体" w:cs="宋体"/>
          <w:b/>
          <w:color w:val="auto"/>
          <w:sz w:val="24"/>
          <w:szCs w:val="24"/>
          <w:highlight w:val="none"/>
        </w:rPr>
      </w:pPr>
      <w:r>
        <w:rPr>
          <w:rFonts w:hint="eastAsia" w:hAnsi="宋体" w:cs="宋体"/>
          <w:b/>
          <w:color w:val="auto"/>
          <w:sz w:val="24"/>
          <w:szCs w:val="24"/>
          <w:highlight w:val="none"/>
          <w:lang w:val="en-US" w:eastAsia="zh-CN"/>
        </w:rPr>
        <w:t xml:space="preserve">15. </w:t>
      </w:r>
      <w:r>
        <w:rPr>
          <w:rFonts w:hint="eastAsia" w:hAnsi="宋体" w:cs="宋体"/>
          <w:b/>
          <w:color w:val="auto"/>
          <w:sz w:val="24"/>
          <w:szCs w:val="24"/>
          <w:highlight w:val="none"/>
        </w:rPr>
        <w:t>备份投标文件</w:t>
      </w:r>
    </w:p>
    <w:p>
      <w:pPr>
        <w:pStyle w:val="32"/>
        <w:keepNext w:val="0"/>
        <w:keepLines w:val="0"/>
        <w:pageBreakBefore w:val="0"/>
        <w:widowControl w:val="0"/>
        <w:kinsoku/>
        <w:wordWrap/>
        <w:overflowPunct/>
        <w:topLinePunct w:val="0"/>
        <w:autoSpaceDE/>
        <w:autoSpaceDN/>
        <w:bidi w:val="0"/>
        <w:adjustRightInd w:val="0"/>
        <w:snapToGrid w:val="0"/>
        <w:spacing w:line="360" w:lineRule="auto"/>
        <w:ind w:firstLine="360" w:firstLineChars="150"/>
        <w:textAlignment w:val="auto"/>
        <w:rPr>
          <w:rFonts w:hAnsi="宋体" w:cs="宋体"/>
          <w:b/>
          <w:color w:val="auto"/>
          <w:sz w:val="24"/>
          <w:szCs w:val="24"/>
          <w:highlight w:val="none"/>
        </w:rPr>
      </w:pPr>
      <w:r>
        <w:rPr>
          <w:rFonts w:hint="eastAsia" w:hAnsi="宋体" w:cs="宋体"/>
          <w:color w:val="auto"/>
          <w:sz w:val="24"/>
          <w:szCs w:val="24"/>
          <w:highlight w:val="none"/>
        </w:rPr>
        <w:t xml:space="preserve"> 15.1投标人在电子交易平台传输递交投标文件后，还可以在投标截止时间前直接提交或者以邮政快递方式递交备份投标文件1份，</w:t>
      </w:r>
      <w:r>
        <w:rPr>
          <w:rFonts w:hint="eastAsia" w:hAnsi="宋体" w:cs="宋体"/>
          <w:b/>
          <w:color w:val="auto"/>
          <w:sz w:val="24"/>
          <w:szCs w:val="24"/>
          <w:highlight w:val="none"/>
        </w:rPr>
        <w:t>但采购人、采购代理机构不强制或变相强制投标人提交备份投标文件。</w:t>
      </w:r>
    </w:p>
    <w:p>
      <w:pPr>
        <w:pStyle w:val="3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Ansi="宋体" w:cs="宋体"/>
          <w:b/>
          <w:color w:val="auto"/>
          <w:sz w:val="24"/>
          <w:szCs w:val="24"/>
          <w:highlight w:val="none"/>
        </w:rPr>
      </w:pPr>
      <w:r>
        <w:rPr>
          <w:rFonts w:hint="eastAsia" w:hAnsi="宋体" w:cs="宋体"/>
          <w:color w:val="auto"/>
          <w:sz w:val="24"/>
          <w:szCs w:val="24"/>
          <w:highlight w:val="none"/>
        </w:rPr>
        <w:t>15.2备份投标文件须在“政采云投标客户端”制作生成，并储存在</w:t>
      </w:r>
      <w:r>
        <w:rPr>
          <w:rFonts w:hint="eastAsia" w:hAnsi="宋体" w:cs="宋体"/>
          <w:color w:val="auto"/>
          <w:sz w:val="24"/>
          <w:highlight w:val="none"/>
        </w:rPr>
        <w:t>DVD光盘等存储介质</w:t>
      </w:r>
      <w:r>
        <w:rPr>
          <w:rFonts w:hint="eastAsia" w:hAnsi="宋体" w:cs="宋体"/>
          <w:color w:val="auto"/>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color w:val="auto"/>
          <w:sz w:val="24"/>
          <w:highlight w:val="none"/>
        </w:rPr>
        <w:t>不符合上述制作、</w:t>
      </w:r>
      <w:r>
        <w:rPr>
          <w:rFonts w:hint="eastAsia" w:hAnsi="宋体" w:cs="宋体"/>
          <w:b/>
          <w:color w:val="auto"/>
          <w:sz w:val="24"/>
          <w:szCs w:val="24"/>
          <w:highlight w:val="none"/>
        </w:rPr>
        <w:t>存储、密封规定的备份投标文件将被视为无效或者被拒绝接收。</w:t>
      </w:r>
    </w:p>
    <w:p>
      <w:pPr>
        <w:pStyle w:val="3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Ansi="宋体" w:cs="宋体"/>
          <w:color w:val="auto"/>
          <w:sz w:val="24"/>
          <w:szCs w:val="24"/>
          <w:highlight w:val="none"/>
        </w:rPr>
      </w:pPr>
      <w:r>
        <w:rPr>
          <w:rFonts w:hint="eastAsia" w:hAnsi="宋体" w:cs="宋体"/>
          <w:color w:val="auto"/>
          <w:sz w:val="24"/>
          <w:szCs w:val="24"/>
          <w:highlight w:val="none"/>
        </w:rPr>
        <w:t>15.3直接提交备份投标文件的，投标人应于投标截止时间前在招标公告中载明的开标地点将备份投标文件提交给采购代理机构，采购代理机构将拒绝接受逾期送达的备份投标文件。</w:t>
      </w:r>
    </w:p>
    <w:p>
      <w:pPr>
        <w:pStyle w:val="3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Ansi="宋体" w:cs="宋体"/>
          <w:color w:val="auto"/>
          <w:sz w:val="24"/>
          <w:szCs w:val="24"/>
          <w:highlight w:val="none"/>
        </w:rPr>
      </w:pPr>
      <w:r>
        <w:rPr>
          <w:rFonts w:hint="eastAsia" w:hAnsi="宋体" w:cs="宋体"/>
          <w:color w:val="auto"/>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hAnsi="宋体" w:cs="宋体"/>
          <w:snapToGrid/>
          <w:color w:val="auto"/>
          <w:sz w:val="24"/>
          <w:szCs w:val="24"/>
          <w:highlight w:val="none"/>
        </w:rPr>
        <w:t>招标文件第二部分投标人须知前附表规定的备份投标文件送达地点；</w:t>
      </w:r>
      <w:r>
        <w:rPr>
          <w:rFonts w:hint="eastAsia" w:hAnsi="宋体" w:cs="宋体"/>
          <w:color w:val="auto"/>
          <w:sz w:val="24"/>
          <w:szCs w:val="24"/>
          <w:highlight w:val="none"/>
        </w:rPr>
        <w:t>送达时间以签收人签收时间为准。采购代理机构将拒绝接受逾期送达的备份投标文件。邮寄过程中，电子备份投标文件发生泄露、遗失、损坏或延期送达等情况的，由投标人自行负责。</w:t>
      </w:r>
    </w:p>
    <w:p>
      <w:pPr>
        <w:pStyle w:val="32"/>
        <w:keepNext w:val="0"/>
        <w:keepLines w:val="0"/>
        <w:pageBreakBefore w:val="0"/>
        <w:widowControl w:val="0"/>
        <w:kinsoku/>
        <w:wordWrap/>
        <w:overflowPunct/>
        <w:topLinePunct w:val="0"/>
        <w:autoSpaceDE/>
        <w:autoSpaceDN/>
        <w:bidi w:val="0"/>
        <w:adjustRightInd w:val="0"/>
        <w:snapToGrid w:val="0"/>
        <w:spacing w:line="360" w:lineRule="auto"/>
        <w:ind w:firstLine="479" w:firstLineChars="199"/>
        <w:textAlignment w:val="auto"/>
        <w:rPr>
          <w:rFonts w:hAnsi="宋体" w:cs="宋体"/>
          <w:b/>
          <w:color w:val="auto"/>
          <w:sz w:val="24"/>
          <w:szCs w:val="24"/>
          <w:highlight w:val="none"/>
        </w:rPr>
      </w:pPr>
      <w:r>
        <w:rPr>
          <w:rFonts w:hint="eastAsia" w:hAnsi="宋体" w:cs="宋体"/>
          <w:b/>
          <w:color w:val="auto"/>
          <w:sz w:val="24"/>
          <w:szCs w:val="24"/>
          <w:highlight w:val="none"/>
        </w:rPr>
        <w:t>15.5投标人仅提交备份投标文件，未在电子交易平台传输递交投标文件的，投标无效。</w:t>
      </w:r>
    </w:p>
    <w:p>
      <w:pPr>
        <w:pStyle w:val="128"/>
        <w:keepNext w:val="0"/>
        <w:keepLines w:val="0"/>
        <w:pageBreakBefore w:val="0"/>
        <w:widowControl w:val="0"/>
        <w:numPr>
          <w:ilvl w:val="0"/>
          <w:numId w:val="0"/>
        </w:numPr>
        <w:kinsoku/>
        <w:wordWrap/>
        <w:overflowPunct/>
        <w:topLinePunct w:val="0"/>
        <w:autoSpaceDE/>
        <w:autoSpaceDN/>
        <w:bidi w:val="0"/>
        <w:adjustRightInd w:val="0"/>
        <w:snapToGrid w:val="0"/>
        <w:spacing w:before="0"/>
        <w:ind w:leftChars="0"/>
        <w:textAlignment w:val="auto"/>
        <w:rPr>
          <w:rFonts w:ascii="宋体" w:hAnsi="宋体" w:cs="宋体"/>
          <w:b/>
          <w:color w:val="auto"/>
          <w:szCs w:val="24"/>
          <w:highlight w:val="none"/>
        </w:rPr>
      </w:pPr>
      <w:r>
        <w:rPr>
          <w:rFonts w:hint="eastAsia" w:ascii="宋体" w:hAnsi="宋体" w:eastAsia="宋体" w:cs="宋体"/>
          <w:b/>
          <w:color w:val="auto"/>
          <w:szCs w:val="24"/>
          <w:highlight w:val="none"/>
          <w:lang w:val="en-US" w:eastAsia="zh-CN"/>
        </w:rPr>
        <w:t>16. 投</w:t>
      </w:r>
      <w:r>
        <w:rPr>
          <w:rFonts w:hint="eastAsia" w:ascii="宋体" w:hAnsi="宋体" w:cs="宋体"/>
          <w:b/>
          <w:color w:val="auto"/>
          <w:szCs w:val="24"/>
          <w:highlight w:val="none"/>
        </w:rPr>
        <w:t>标文件的无效处理</w:t>
      </w:r>
    </w:p>
    <w:p>
      <w:pPr>
        <w:pStyle w:val="24"/>
        <w:keepNext w:val="0"/>
        <w:keepLines w:val="0"/>
        <w:pageBreakBefore w:val="0"/>
        <w:widowControl w:val="0"/>
        <w:kinsoku/>
        <w:wordWrap/>
        <w:overflowPunct/>
        <w:topLinePunct w:val="0"/>
        <w:autoSpaceDE/>
        <w:autoSpaceDN/>
        <w:bidi w:val="0"/>
        <w:adjustRightInd w:val="0"/>
        <w:snapToGrid w:val="0"/>
        <w:spacing w:line="360" w:lineRule="auto"/>
        <w:ind w:firstLine="360" w:firstLineChars="150"/>
        <w:textAlignment w:val="auto"/>
        <w:rPr>
          <w:rFonts w:cs="宋体"/>
          <w:color w:val="auto"/>
          <w:szCs w:val="21"/>
          <w:highlight w:val="none"/>
        </w:rPr>
      </w:pPr>
      <w:r>
        <w:rPr>
          <w:rFonts w:hint="eastAsia" w:cs="宋体"/>
          <w:color w:val="auto"/>
          <w:szCs w:val="21"/>
          <w:highlight w:val="none"/>
        </w:rPr>
        <w:t>有招标文件第四部分</w:t>
      </w:r>
      <w:r>
        <w:rPr>
          <w:rFonts w:cs="宋体"/>
          <w:color w:val="auto"/>
          <w:highlight w:val="none"/>
        </w:rPr>
        <w:t>4.2规定</w:t>
      </w:r>
      <w:r>
        <w:rPr>
          <w:rFonts w:hint="eastAsia" w:cs="宋体"/>
          <w:color w:val="auto"/>
          <w:szCs w:val="21"/>
          <w:highlight w:val="none"/>
        </w:rPr>
        <w:t>的情形之一的，投标无效：</w:t>
      </w:r>
    </w:p>
    <w:p>
      <w:pPr>
        <w:pStyle w:val="128"/>
        <w:keepNext w:val="0"/>
        <w:keepLines w:val="0"/>
        <w:pageBreakBefore w:val="0"/>
        <w:widowControl w:val="0"/>
        <w:numPr>
          <w:ilvl w:val="0"/>
          <w:numId w:val="0"/>
        </w:numPr>
        <w:kinsoku/>
        <w:wordWrap/>
        <w:overflowPunct/>
        <w:topLinePunct w:val="0"/>
        <w:autoSpaceDE/>
        <w:autoSpaceDN/>
        <w:bidi w:val="0"/>
        <w:adjustRightInd w:val="0"/>
        <w:snapToGrid w:val="0"/>
        <w:spacing w:before="0"/>
        <w:ind w:leftChars="0"/>
        <w:textAlignment w:val="auto"/>
        <w:rPr>
          <w:rFonts w:ascii="宋体" w:hAnsi="宋体" w:cs="宋体"/>
          <w:b/>
          <w:color w:val="auto"/>
          <w:szCs w:val="24"/>
          <w:highlight w:val="none"/>
        </w:rPr>
      </w:pPr>
      <w:r>
        <w:rPr>
          <w:rFonts w:hint="eastAsia" w:ascii="宋体" w:hAnsi="宋体" w:eastAsia="宋体" w:cs="宋体"/>
          <w:b/>
          <w:color w:val="auto"/>
          <w:szCs w:val="24"/>
          <w:highlight w:val="none"/>
          <w:lang w:val="en-US" w:eastAsia="zh-CN"/>
        </w:rPr>
        <w:t>17. 投</w:t>
      </w:r>
      <w:r>
        <w:rPr>
          <w:rFonts w:hint="eastAsia" w:ascii="宋体" w:hAnsi="宋体" w:cs="宋体"/>
          <w:b/>
          <w:color w:val="auto"/>
          <w:szCs w:val="24"/>
          <w:highlight w:val="none"/>
        </w:rPr>
        <w:t>标有效期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cs="宋体"/>
          <w:b/>
          <w:color w:val="auto"/>
          <w:sz w:val="24"/>
          <w:szCs w:val="21"/>
          <w:highlight w:val="none"/>
        </w:rPr>
      </w:pPr>
      <w:r>
        <w:rPr>
          <w:rFonts w:hint="eastAsia" w:ascii="宋体" w:hAnsi="宋体" w:cs="宋体"/>
          <w:color w:val="auto"/>
          <w:sz w:val="24"/>
          <w:szCs w:val="20"/>
          <w:highlight w:val="none"/>
        </w:rPr>
        <w:t>17.1投标有效期为从提交投标文件的截止之日起90天。▲</w:t>
      </w:r>
      <w:r>
        <w:rPr>
          <w:rFonts w:hint="eastAsia" w:ascii="宋体" w:hAnsi="宋体" w:cs="宋体"/>
          <w:b/>
          <w:color w:val="auto"/>
          <w:sz w:val="24"/>
          <w:szCs w:val="20"/>
          <w:highlight w:val="none"/>
        </w:rPr>
        <w:t>投标人的投标文件中承</w:t>
      </w:r>
      <w:r>
        <w:rPr>
          <w:rFonts w:hint="eastAsia" w:ascii="宋体" w:hAnsi="宋体" w:cs="宋体"/>
          <w:b/>
          <w:color w:val="auto"/>
          <w:sz w:val="24"/>
          <w:szCs w:val="21"/>
          <w:highlight w:val="none"/>
        </w:rPr>
        <w:t>诺的投标有效期少于招标文件中载明的投标有效期的，投标无效。</w:t>
      </w:r>
    </w:p>
    <w:p>
      <w:pPr>
        <w:pStyle w:val="128"/>
        <w:keepNext w:val="0"/>
        <w:keepLines w:val="0"/>
        <w:pageBreakBefore w:val="0"/>
        <w:widowControl w:val="0"/>
        <w:kinsoku/>
        <w:wordWrap/>
        <w:overflowPunct/>
        <w:topLinePunct w:val="0"/>
        <w:autoSpaceDE/>
        <w:autoSpaceDN/>
        <w:bidi w:val="0"/>
        <w:adjustRightInd w:val="0"/>
        <w:snapToGrid w:val="0"/>
        <w:spacing w:before="0"/>
        <w:ind w:firstLine="480"/>
        <w:textAlignment w:val="auto"/>
        <w:rPr>
          <w:rFonts w:ascii="宋体" w:hAnsi="宋体" w:cs="宋体"/>
          <w:color w:val="auto"/>
          <w:highlight w:val="none"/>
        </w:rPr>
      </w:pPr>
      <w:r>
        <w:rPr>
          <w:rFonts w:hint="eastAsia" w:ascii="宋体" w:hAnsi="宋体" w:cs="宋体"/>
          <w:color w:val="auto"/>
          <w:highlight w:val="none"/>
        </w:rPr>
        <w:t>17.2投标文件合格投递后，自投标截止日期起，在投标有效期内有效。</w:t>
      </w:r>
    </w:p>
    <w:p>
      <w:pPr>
        <w:pStyle w:val="128"/>
        <w:keepNext w:val="0"/>
        <w:keepLines w:val="0"/>
        <w:pageBreakBefore w:val="0"/>
        <w:widowControl w:val="0"/>
        <w:kinsoku/>
        <w:wordWrap/>
        <w:overflowPunct/>
        <w:topLinePunct w:val="0"/>
        <w:autoSpaceDE/>
        <w:autoSpaceDN/>
        <w:bidi w:val="0"/>
        <w:adjustRightInd w:val="0"/>
        <w:snapToGrid w:val="0"/>
        <w:spacing w:before="0"/>
        <w:ind w:firstLine="480"/>
        <w:textAlignment w:val="auto"/>
        <w:rPr>
          <w:rFonts w:ascii="宋体" w:hAnsi="宋体" w:cs="宋体"/>
          <w:color w:val="auto"/>
          <w:highlight w:val="none"/>
        </w:rPr>
      </w:pPr>
      <w:r>
        <w:rPr>
          <w:rFonts w:hint="eastAsia" w:ascii="宋体" w:hAnsi="宋体" w:cs="宋体"/>
          <w:color w:val="auto"/>
          <w:highlight w:val="none"/>
        </w:rPr>
        <w:t>17.3在原定投标有效期满之前，如果出现特殊情况，采购代理机构可以以书面形式通知投标人延长投标有效期。投标人同意延长的，不得要求或被允许修改其投标文件，投标人拒绝延长的，其投标无效。</w:t>
      </w:r>
    </w:p>
    <w:p>
      <w:pPr>
        <w:pStyle w:val="128"/>
        <w:keepNext w:val="0"/>
        <w:keepLines w:val="0"/>
        <w:pageBreakBefore w:val="0"/>
        <w:widowControl w:val="0"/>
        <w:kinsoku/>
        <w:wordWrap/>
        <w:overflowPunct/>
        <w:topLinePunct w:val="0"/>
        <w:autoSpaceDE/>
        <w:autoSpaceDN/>
        <w:bidi w:val="0"/>
        <w:adjustRightInd w:val="0"/>
        <w:snapToGrid w:val="0"/>
        <w:spacing w:before="0"/>
        <w:ind w:firstLine="480"/>
        <w:textAlignment w:val="auto"/>
        <w:rPr>
          <w:rFonts w:ascii="宋体" w:hAnsi="宋体" w:cs="宋体"/>
          <w:color w:val="auto"/>
          <w:highlight w:val="none"/>
        </w:rPr>
      </w:pPr>
      <w:r>
        <w:rPr>
          <w:rFonts w:hint="eastAsia" w:ascii="宋体" w:hAnsi="宋体" w:cs="宋体"/>
          <w:color w:val="auto"/>
          <w:highlight w:val="none"/>
        </w:rPr>
        <w:t>17.4在投标截止时间起至投标有效期届满，供应商投标文件不可撤销。</w:t>
      </w:r>
    </w:p>
    <w:p>
      <w:pPr>
        <w:pStyle w:val="128"/>
        <w:keepNext w:val="0"/>
        <w:keepLines w:val="0"/>
        <w:pageBreakBefore w:val="0"/>
        <w:widowControl w:val="0"/>
        <w:kinsoku/>
        <w:wordWrap/>
        <w:overflowPunct/>
        <w:topLinePunct w:val="0"/>
        <w:autoSpaceDE/>
        <w:autoSpaceDN/>
        <w:bidi w:val="0"/>
        <w:adjustRightInd w:val="0"/>
        <w:snapToGrid w:val="0"/>
        <w:spacing w:before="0" w:beforeAutospacing="0"/>
        <w:ind w:firstLine="1928" w:firstLineChars="600"/>
        <w:textAlignment w:val="auto"/>
        <w:rPr>
          <w:rFonts w:ascii="宋体" w:hAnsi="宋体" w:cs="宋体"/>
          <w:b/>
          <w:color w:val="auto"/>
          <w:sz w:val="32"/>
          <w:highlight w:val="none"/>
        </w:rPr>
      </w:pPr>
      <w:r>
        <w:rPr>
          <w:rFonts w:hint="eastAsia" w:ascii="宋体" w:hAnsi="宋体" w:cs="宋体"/>
          <w:b/>
          <w:color w:val="auto"/>
          <w:sz w:val="32"/>
          <w:highlight w:val="none"/>
        </w:rPr>
        <w:t>四、开标、资格审查与信用信息查询</w:t>
      </w:r>
    </w:p>
    <w:p>
      <w:pPr>
        <w:pStyle w:val="554"/>
        <w:keepNext w:val="0"/>
        <w:keepLines w:val="0"/>
        <w:pageBreakBefore w:val="0"/>
        <w:kinsoku/>
        <w:wordWrap/>
        <w:overflowPunct/>
        <w:topLinePunct w:val="0"/>
        <w:bidi w:val="0"/>
        <w:adjustRightInd w:val="0"/>
        <w:snapToGrid w:val="0"/>
        <w:spacing w:before="0" w:beforeAutospacing="0" w:line="360" w:lineRule="auto"/>
        <w:ind w:left="0" w:firstLine="0"/>
        <w:contextualSpacing/>
        <w:textAlignment w:val="auto"/>
        <w:rPr>
          <w:rFonts w:ascii="宋体" w:hAnsi="宋体" w:cs="宋体"/>
          <w:color w:val="auto"/>
          <w:sz w:val="24"/>
          <w:highlight w:val="none"/>
        </w:rPr>
      </w:pPr>
      <w:r>
        <w:rPr>
          <w:rFonts w:hint="eastAsia" w:ascii="宋体" w:hAnsi="宋体" w:cs="宋体"/>
          <w:b/>
          <w:color w:val="auto"/>
          <w:sz w:val="24"/>
          <w:szCs w:val="24"/>
          <w:highlight w:val="none"/>
        </w:rPr>
        <w:t>18. 开标</w:t>
      </w:r>
      <w:r>
        <w:rPr>
          <w:rFonts w:hint="eastAsia" w:ascii="宋体" w:hAnsi="宋体" w:cs="宋体"/>
          <w:color w:val="auto"/>
          <w:sz w:val="24"/>
          <w:highlight w:val="none"/>
        </w:rPr>
        <w:t xml:space="preserve"> </w:t>
      </w:r>
    </w:p>
    <w:p>
      <w:pPr>
        <w:pStyle w:val="554"/>
        <w:keepNext w:val="0"/>
        <w:keepLines w:val="0"/>
        <w:pageBreakBefore w:val="0"/>
        <w:kinsoku/>
        <w:wordWrap/>
        <w:overflowPunct/>
        <w:topLinePunct w:val="0"/>
        <w:bidi w:val="0"/>
        <w:adjustRightInd w:val="0"/>
        <w:snapToGrid w:val="0"/>
        <w:spacing w:before="0" w:beforeAutospacing="0" w:line="360" w:lineRule="auto"/>
        <w:ind w:left="0" w:firstLine="480" w:firstLineChars="200"/>
        <w:contextualSpacing/>
        <w:textAlignment w:val="auto"/>
        <w:rPr>
          <w:rFonts w:ascii="宋体" w:hAnsi="宋体" w:cs="宋体"/>
          <w:color w:val="auto"/>
          <w:sz w:val="24"/>
          <w:highlight w:val="none"/>
        </w:rPr>
      </w:pPr>
      <w:r>
        <w:rPr>
          <w:rFonts w:hint="eastAsia" w:ascii="宋体" w:hAnsi="宋体" w:cs="宋体"/>
          <w:color w:val="auto"/>
          <w:sz w:val="24"/>
          <w:highlight w:val="none"/>
        </w:rPr>
        <w:t>18.1采购代理机构按照招标文件规定的时间通过电子交易平台组织开标，所有投标人均应当准时在线参加。投标人不足3家的，不得开标。</w:t>
      </w:r>
    </w:p>
    <w:p>
      <w:pPr>
        <w:pStyle w:val="554"/>
        <w:keepNext w:val="0"/>
        <w:keepLines w:val="0"/>
        <w:pageBreakBefore w:val="0"/>
        <w:kinsoku/>
        <w:wordWrap/>
        <w:overflowPunct/>
        <w:topLinePunct w:val="0"/>
        <w:bidi w:val="0"/>
        <w:adjustRightInd w:val="0"/>
        <w:snapToGrid w:val="0"/>
        <w:spacing w:before="0" w:beforeAutospacing="0" w:line="360" w:lineRule="auto"/>
        <w:ind w:left="0" w:firstLine="240" w:firstLineChars="100"/>
        <w:contextualSpacing/>
        <w:textAlignment w:val="auto"/>
        <w:rPr>
          <w:rFonts w:ascii="宋体" w:hAnsi="宋体" w:cs="宋体"/>
          <w:color w:val="auto"/>
          <w:sz w:val="24"/>
          <w:highlight w:val="none"/>
        </w:rPr>
      </w:pPr>
      <w:r>
        <w:rPr>
          <w:rFonts w:hint="eastAsia" w:ascii="宋体" w:hAnsi="宋体" w:cs="宋体"/>
          <w:color w:val="auto"/>
          <w:sz w:val="24"/>
          <w:highlight w:val="none"/>
        </w:rPr>
        <w:t>18.2开标时，电子交易平台按开标时间自动提取所有投标文件。采购代理机构依托电子交易平台发起开始解密指令，投标人按照平台提示和招标文件的规定在半小时内完成在线解密。</w:t>
      </w:r>
    </w:p>
    <w:p>
      <w:pPr>
        <w:pStyle w:val="554"/>
        <w:keepNext w:val="0"/>
        <w:keepLines w:val="0"/>
        <w:pageBreakBefore w:val="0"/>
        <w:kinsoku/>
        <w:wordWrap/>
        <w:overflowPunct/>
        <w:topLinePunct w:val="0"/>
        <w:bidi w:val="0"/>
        <w:adjustRightInd w:val="0"/>
        <w:snapToGrid w:val="0"/>
        <w:spacing w:before="0" w:beforeAutospacing="0" w:line="360" w:lineRule="auto"/>
        <w:ind w:left="0" w:firstLine="240" w:firstLineChars="100"/>
        <w:contextualSpacing/>
        <w:textAlignment w:val="auto"/>
        <w:rPr>
          <w:rFonts w:ascii="宋体" w:hAnsi="宋体" w:cs="宋体"/>
          <w:b/>
          <w:color w:val="auto"/>
          <w:sz w:val="24"/>
          <w:highlight w:val="none"/>
        </w:rPr>
      </w:pPr>
      <w:r>
        <w:rPr>
          <w:rFonts w:hint="eastAsia" w:ascii="宋体" w:hAnsi="宋体" w:cs="宋体"/>
          <w:color w:val="auto"/>
          <w:sz w:val="24"/>
          <w:highlight w:val="none"/>
        </w:rPr>
        <w:t>18.3</w:t>
      </w:r>
      <w:r>
        <w:rPr>
          <w:rFonts w:hint="eastAsia" w:ascii="宋体" w:hAnsi="宋体" w:cs="宋体"/>
          <w:b/>
          <w:color w:val="auto"/>
          <w:sz w:val="24"/>
          <w:highlight w:val="none"/>
        </w:rPr>
        <w:t>投标文件未按时解密，投标人提供了备份投标文件的，以备份投标文件作为依据，否则视为投标文件撤回。投标文件已按时解密的，备份投标文件自动失效。</w:t>
      </w:r>
    </w:p>
    <w:p>
      <w:pPr>
        <w:keepNext w:val="0"/>
        <w:keepLines w:val="0"/>
        <w:pageBreakBefore w:val="0"/>
        <w:widowControl/>
        <w:numPr>
          <w:ilvl w:val="0"/>
          <w:numId w:val="0"/>
        </w:numPr>
        <w:kinsoku/>
        <w:wordWrap/>
        <w:overflowPunct/>
        <w:topLinePunct w:val="0"/>
        <w:bidi w:val="0"/>
        <w:adjustRightInd w:val="0"/>
        <w:snapToGrid w:val="0"/>
        <w:spacing w:beforeAutospacing="0" w:line="360" w:lineRule="auto"/>
        <w:ind w:leftChars="0"/>
        <w:jc w:val="left"/>
        <w:textAlignment w:val="auto"/>
        <w:rPr>
          <w:rFonts w:ascii="宋体" w:hAnsi="宋体" w:cs="宋体"/>
          <w:b/>
          <w:color w:val="auto"/>
          <w:sz w:val="24"/>
          <w:szCs w:val="20"/>
          <w:highlight w:val="none"/>
        </w:rPr>
      </w:pPr>
      <w:r>
        <w:rPr>
          <w:rFonts w:hint="eastAsia" w:ascii="宋体" w:hAnsi="宋体" w:cs="宋体"/>
          <w:b/>
          <w:color w:val="auto"/>
          <w:sz w:val="24"/>
          <w:szCs w:val="20"/>
          <w:highlight w:val="none"/>
          <w:lang w:val="en-US" w:eastAsia="zh-CN"/>
        </w:rPr>
        <w:t>19.</w:t>
      </w:r>
      <w:r>
        <w:rPr>
          <w:rFonts w:hint="eastAsia" w:ascii="宋体" w:hAnsi="宋体" w:eastAsia="宋体" w:cs="宋体"/>
          <w:b/>
          <w:color w:val="auto"/>
          <w:kern w:val="2"/>
          <w:sz w:val="24"/>
          <w:szCs w:val="20"/>
          <w:highlight w:val="none"/>
          <w:lang w:val="en-US" w:eastAsia="zh-CN" w:bidi="ar-SA"/>
        </w:rPr>
        <w:t xml:space="preserve"> </w:t>
      </w:r>
      <w:r>
        <w:rPr>
          <w:rFonts w:hint="eastAsia" w:ascii="宋体" w:hAnsi="宋体" w:cs="宋体"/>
          <w:b/>
          <w:color w:val="auto"/>
          <w:sz w:val="24"/>
          <w:szCs w:val="20"/>
          <w:highlight w:val="none"/>
        </w:rPr>
        <w:t>资格审查</w:t>
      </w:r>
    </w:p>
    <w:p>
      <w:pPr>
        <w:keepNext w:val="0"/>
        <w:keepLines w:val="0"/>
        <w:pageBreakBefore w:val="0"/>
        <w:kinsoku/>
        <w:wordWrap/>
        <w:overflowPunct/>
        <w:topLinePunct w:val="0"/>
        <w:bidi w:val="0"/>
        <w:adjustRightInd w:val="0"/>
        <w:snapToGrid w:val="0"/>
        <w:spacing w:beforeAutospacing="0" w:line="360" w:lineRule="auto"/>
        <w:ind w:firstLine="480" w:firstLineChars="200"/>
        <w:textAlignment w:val="auto"/>
        <w:rPr>
          <w:rFonts w:ascii="宋体" w:hAnsi="宋体" w:cs="宋体"/>
          <w:color w:val="auto"/>
          <w:sz w:val="24"/>
          <w:highlight w:val="none"/>
        </w:rPr>
      </w:pPr>
      <w:r>
        <w:rPr>
          <w:rFonts w:hint="eastAsia" w:ascii="宋体" w:hAnsi="宋体" w:cs="宋体"/>
          <w:color w:val="auto"/>
          <w:kern w:val="0"/>
          <w:sz w:val="24"/>
          <w:highlight w:val="none"/>
        </w:rPr>
        <w:t>19.1</w:t>
      </w:r>
      <w:r>
        <w:rPr>
          <w:rFonts w:hint="eastAsia" w:ascii="宋体" w:hAnsi="宋体" w:cs="宋体"/>
          <w:color w:val="auto"/>
          <w:sz w:val="24"/>
          <w:highlight w:val="none"/>
        </w:rPr>
        <w:t>采购人或采购代理机构依据法律法规和招标文件的规定，对投标人的资格进行审查。</w:t>
      </w:r>
    </w:p>
    <w:p>
      <w:pPr>
        <w:pStyle w:val="128"/>
        <w:keepNext w:val="0"/>
        <w:keepLines w:val="0"/>
        <w:pageBreakBefore w:val="0"/>
        <w:kinsoku/>
        <w:wordWrap/>
        <w:overflowPunct/>
        <w:topLinePunct w:val="0"/>
        <w:bidi w:val="0"/>
        <w:adjustRightInd w:val="0"/>
        <w:snapToGrid w:val="0"/>
        <w:spacing w:before="0" w:beforeAutospacing="0"/>
        <w:ind w:firstLine="480"/>
        <w:textAlignment w:val="auto"/>
        <w:rPr>
          <w:rFonts w:ascii="宋体" w:hAnsi="宋体" w:cs="宋体"/>
          <w:color w:val="auto"/>
          <w:highlight w:val="none"/>
        </w:rPr>
      </w:pPr>
      <w:r>
        <w:rPr>
          <w:rFonts w:hint="eastAsia" w:ascii="宋体" w:hAnsi="宋体" w:cs="宋体"/>
          <w:color w:val="auto"/>
          <w:kern w:val="0"/>
          <w:szCs w:val="24"/>
          <w:highlight w:val="none"/>
        </w:rPr>
        <w:t>19.2投标人未按照招标文件要求提供与</w:t>
      </w:r>
      <w:r>
        <w:rPr>
          <w:rFonts w:hint="eastAsia" w:ascii="宋体" w:hAnsi="宋体" w:cs="宋体"/>
          <w:color w:val="auto"/>
          <w:highlight w:val="none"/>
        </w:rPr>
        <w:t>资格条件相应的</w:t>
      </w:r>
      <w:r>
        <w:rPr>
          <w:rFonts w:hint="eastAsia" w:ascii="宋体" w:hAnsi="宋体" w:cs="宋体"/>
          <w:color w:val="auto"/>
          <w:kern w:val="0"/>
          <w:szCs w:val="24"/>
          <w:highlight w:val="none"/>
        </w:rPr>
        <w:t>有效资格证明材料的，视为</w:t>
      </w:r>
      <w:r>
        <w:rPr>
          <w:rFonts w:hint="eastAsia" w:ascii="宋体" w:hAnsi="宋体" w:cs="宋体"/>
          <w:color w:val="auto"/>
          <w:highlight w:val="none"/>
        </w:rPr>
        <w:t>投标人不具备招标文件中规定的资格要求，其投标无效。</w:t>
      </w:r>
    </w:p>
    <w:p>
      <w:pPr>
        <w:pStyle w:val="128"/>
        <w:keepNext w:val="0"/>
        <w:keepLines w:val="0"/>
        <w:pageBreakBefore w:val="0"/>
        <w:kinsoku/>
        <w:wordWrap/>
        <w:overflowPunct/>
        <w:topLinePunct w:val="0"/>
        <w:bidi w:val="0"/>
        <w:adjustRightInd w:val="0"/>
        <w:snapToGrid w:val="0"/>
        <w:spacing w:before="0" w:beforeAutospacing="0"/>
        <w:ind w:firstLine="480"/>
        <w:textAlignment w:val="auto"/>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rPr>
        <w:t>3对未通过资格审查的投标人，采购人或采购代理机构告知其未通过的原因。</w:t>
      </w:r>
    </w:p>
    <w:p>
      <w:pPr>
        <w:pStyle w:val="128"/>
        <w:keepNext w:val="0"/>
        <w:keepLines w:val="0"/>
        <w:pageBreakBefore w:val="0"/>
        <w:kinsoku/>
        <w:wordWrap/>
        <w:overflowPunct/>
        <w:topLinePunct w:val="0"/>
        <w:bidi w:val="0"/>
        <w:adjustRightInd w:val="0"/>
        <w:snapToGrid w:val="0"/>
        <w:spacing w:before="0" w:beforeAutospacing="0"/>
        <w:ind w:firstLine="480"/>
        <w:textAlignment w:val="auto"/>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rPr>
        <w:t>4合格投标人不足3家的，不再评标。</w:t>
      </w:r>
    </w:p>
    <w:p>
      <w:pPr>
        <w:pStyle w:val="128"/>
        <w:keepNext w:val="0"/>
        <w:keepLines w:val="0"/>
        <w:pageBreakBefore w:val="0"/>
        <w:numPr>
          <w:ilvl w:val="0"/>
          <w:numId w:val="0"/>
        </w:numPr>
        <w:kinsoku/>
        <w:wordWrap/>
        <w:overflowPunct/>
        <w:topLinePunct w:val="0"/>
        <w:bidi w:val="0"/>
        <w:adjustRightInd w:val="0"/>
        <w:snapToGrid w:val="0"/>
        <w:spacing w:before="0" w:beforeAutospacing="0"/>
        <w:ind w:leftChars="0"/>
        <w:textAlignment w:val="auto"/>
        <w:rPr>
          <w:rFonts w:ascii="宋体" w:hAnsi="宋体" w:cs="宋体"/>
          <w:b/>
          <w:color w:val="auto"/>
          <w:szCs w:val="24"/>
          <w:highlight w:val="none"/>
        </w:rPr>
      </w:pPr>
      <w:r>
        <w:rPr>
          <w:rFonts w:hint="eastAsia" w:ascii="宋体" w:hAnsi="宋体" w:cs="宋体"/>
          <w:b/>
          <w:color w:val="auto"/>
          <w:szCs w:val="24"/>
          <w:highlight w:val="none"/>
          <w:lang w:val="en-US" w:eastAsia="zh-CN"/>
        </w:rPr>
        <w:t>20.</w:t>
      </w:r>
      <w:r>
        <w:rPr>
          <w:rFonts w:hint="eastAsia" w:ascii="宋体" w:hAnsi="宋体" w:eastAsia="宋体" w:cs="宋体"/>
          <w:b/>
          <w:color w:val="auto"/>
          <w:kern w:val="2"/>
          <w:sz w:val="24"/>
          <w:szCs w:val="20"/>
          <w:highlight w:val="none"/>
          <w:lang w:val="en-US" w:eastAsia="zh-CN" w:bidi="ar-SA"/>
        </w:rPr>
        <w:t xml:space="preserve"> </w:t>
      </w:r>
      <w:r>
        <w:rPr>
          <w:rFonts w:hint="eastAsia" w:ascii="宋体" w:hAnsi="宋体" w:cs="宋体"/>
          <w:b/>
          <w:color w:val="auto"/>
          <w:szCs w:val="24"/>
          <w:highlight w:val="none"/>
        </w:rPr>
        <w:t>信用信息查询</w:t>
      </w:r>
    </w:p>
    <w:p>
      <w:pPr>
        <w:pStyle w:val="128"/>
        <w:keepNext w:val="0"/>
        <w:keepLines w:val="0"/>
        <w:pageBreakBefore w:val="0"/>
        <w:kinsoku/>
        <w:wordWrap/>
        <w:overflowPunct/>
        <w:topLinePunct w:val="0"/>
        <w:bidi w:val="0"/>
        <w:adjustRightInd w:val="0"/>
        <w:snapToGrid w:val="0"/>
        <w:spacing w:before="0" w:beforeAutospacing="0"/>
        <w:ind w:firstLine="495" w:firstLineChars="0"/>
        <w:textAlignment w:val="auto"/>
        <w:rPr>
          <w:rFonts w:ascii="宋体" w:hAnsi="宋体" w:cs="宋体"/>
          <w:color w:val="auto"/>
          <w:kern w:val="0"/>
          <w:szCs w:val="24"/>
          <w:highlight w:val="none"/>
        </w:rPr>
      </w:pPr>
      <w:r>
        <w:rPr>
          <w:rFonts w:hint="eastAsia" w:ascii="宋体" w:hAnsi="宋体" w:cs="宋体"/>
          <w:color w:val="auto"/>
          <w:kern w:val="0"/>
          <w:szCs w:val="24"/>
          <w:highlight w:val="none"/>
        </w:rPr>
        <w:t>20.1信用信息查询渠道及截止时间：采购人或采购代理机构将在资格审查时通过“信用中国”网站(www.creditchina.gov.cn)、中国政府采购网(www.ccgp.gov.cn)渠道查询投标人接受资格审查时的信用记录。</w:t>
      </w:r>
    </w:p>
    <w:p>
      <w:pPr>
        <w:pStyle w:val="128"/>
        <w:keepNext w:val="0"/>
        <w:keepLines w:val="0"/>
        <w:pageBreakBefore w:val="0"/>
        <w:kinsoku/>
        <w:wordWrap/>
        <w:overflowPunct/>
        <w:topLinePunct w:val="0"/>
        <w:bidi w:val="0"/>
        <w:adjustRightInd w:val="0"/>
        <w:snapToGrid w:val="0"/>
        <w:spacing w:before="0" w:beforeAutospacing="0"/>
        <w:ind w:firstLine="495" w:firstLineChars="0"/>
        <w:textAlignment w:val="auto"/>
        <w:rPr>
          <w:rFonts w:ascii="宋体" w:hAnsi="宋体" w:cs="宋体"/>
          <w:color w:val="auto"/>
          <w:kern w:val="0"/>
          <w:szCs w:val="24"/>
          <w:highlight w:val="none"/>
        </w:rPr>
      </w:pPr>
      <w:r>
        <w:rPr>
          <w:rFonts w:hint="eastAsia" w:ascii="宋体" w:hAnsi="宋体" w:cs="宋体"/>
          <w:color w:val="auto"/>
          <w:kern w:val="0"/>
          <w:szCs w:val="24"/>
          <w:highlight w:val="none"/>
        </w:rPr>
        <w:t>20.2信用信息查询记录和证据留存的具体方式：现场查询的投标人的信用记录、查询结果经确认后将与采购文件一起存档。</w:t>
      </w:r>
    </w:p>
    <w:p>
      <w:pPr>
        <w:pStyle w:val="128"/>
        <w:keepNext w:val="0"/>
        <w:keepLines w:val="0"/>
        <w:pageBreakBefore w:val="0"/>
        <w:kinsoku/>
        <w:wordWrap/>
        <w:overflowPunct/>
        <w:topLinePunct w:val="0"/>
        <w:bidi w:val="0"/>
        <w:adjustRightInd w:val="0"/>
        <w:snapToGrid w:val="0"/>
        <w:spacing w:before="0" w:beforeAutospacing="0"/>
        <w:ind w:firstLine="495" w:firstLineChars="0"/>
        <w:textAlignment w:val="auto"/>
        <w:rPr>
          <w:rFonts w:ascii="宋体" w:hAnsi="宋体" w:cs="宋体"/>
          <w:color w:val="auto"/>
          <w:kern w:val="0"/>
          <w:szCs w:val="24"/>
          <w:highlight w:val="none"/>
        </w:rPr>
      </w:pPr>
      <w:r>
        <w:rPr>
          <w:rFonts w:hint="eastAsia" w:ascii="宋体" w:hAnsi="宋体" w:cs="宋体"/>
          <w:color w:val="auto"/>
          <w:kern w:val="0"/>
          <w:szCs w:val="24"/>
          <w:highlight w:val="none"/>
        </w:rPr>
        <w:t>20.3信用信息的使用规则：经查询列入失信被执行人名单、重大税收违法案件当事人名单、政府采购严重违法失信行为记录名单的投标人将被拒绝参与政府采购活动。</w:t>
      </w:r>
    </w:p>
    <w:p>
      <w:pPr>
        <w:pStyle w:val="128"/>
        <w:keepNext w:val="0"/>
        <w:keepLines w:val="0"/>
        <w:pageBreakBefore w:val="0"/>
        <w:kinsoku/>
        <w:wordWrap/>
        <w:overflowPunct/>
        <w:topLinePunct w:val="0"/>
        <w:bidi w:val="0"/>
        <w:adjustRightInd w:val="0"/>
        <w:snapToGrid w:val="0"/>
        <w:spacing w:before="0" w:beforeAutospacing="0"/>
        <w:ind w:firstLine="480"/>
        <w:textAlignment w:val="auto"/>
        <w:rPr>
          <w:rFonts w:ascii="宋体" w:hAnsi="宋体" w:cs="宋体"/>
          <w:color w:val="auto"/>
          <w:highlight w:val="none"/>
        </w:rPr>
      </w:pPr>
      <w:r>
        <w:rPr>
          <w:rFonts w:hint="eastAsia" w:ascii="宋体" w:hAnsi="宋体" w:cs="宋体"/>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color w:val="auto"/>
          <w:highlight w:val="none"/>
        </w:rPr>
        <w:t>。</w:t>
      </w:r>
    </w:p>
    <w:p>
      <w:pPr>
        <w:keepNext w:val="0"/>
        <w:keepLines w:val="0"/>
        <w:pageBreakBefore w:val="0"/>
        <w:kinsoku/>
        <w:wordWrap/>
        <w:overflowPunct/>
        <w:topLinePunct w:val="0"/>
        <w:bidi w:val="0"/>
        <w:adjustRightInd w:val="0"/>
        <w:snapToGrid w:val="0"/>
        <w:spacing w:beforeAutospacing="0" w:line="360" w:lineRule="auto"/>
        <w:jc w:val="center"/>
        <w:textAlignment w:val="auto"/>
        <w:outlineLvl w:val="0"/>
        <w:rPr>
          <w:rFonts w:ascii="宋体" w:hAnsi="宋体" w:cs="宋体"/>
          <w:b/>
          <w:color w:val="auto"/>
          <w:sz w:val="32"/>
          <w:szCs w:val="32"/>
          <w:highlight w:val="none"/>
        </w:rPr>
      </w:pPr>
      <w:r>
        <w:rPr>
          <w:rFonts w:hint="eastAsia" w:ascii="宋体" w:hAnsi="宋体" w:cs="宋体"/>
          <w:b/>
          <w:color w:val="auto"/>
          <w:sz w:val="32"/>
          <w:szCs w:val="32"/>
          <w:highlight w:val="none"/>
        </w:rPr>
        <w:t>五、评标</w:t>
      </w:r>
    </w:p>
    <w:p>
      <w:pPr>
        <w:keepNext w:val="0"/>
        <w:keepLines w:val="0"/>
        <w:pageBreakBefore w:val="0"/>
        <w:kinsoku/>
        <w:wordWrap/>
        <w:overflowPunct/>
        <w:topLinePunct w:val="0"/>
        <w:autoSpaceDE/>
        <w:autoSpaceDN/>
        <w:bidi w:val="0"/>
        <w:adjustRightInd w:val="0"/>
        <w:snapToGrid w:val="0"/>
        <w:spacing w:beforeAutospacing="0" w:line="360" w:lineRule="auto"/>
        <w:textAlignment w:val="auto"/>
        <w:rPr>
          <w:rFonts w:ascii="宋体" w:hAnsi="宋体" w:cs="宋体"/>
          <w:b/>
          <w:color w:val="auto"/>
          <w:sz w:val="24"/>
          <w:highlight w:val="none"/>
        </w:rPr>
      </w:pPr>
      <w:bookmarkStart w:id="14" w:name="_Toc91899903"/>
      <w:r>
        <w:rPr>
          <w:rFonts w:hint="eastAsia" w:ascii="宋体" w:hAnsi="宋体" w:cs="宋体"/>
          <w:b/>
          <w:color w:val="auto"/>
          <w:sz w:val="24"/>
          <w:highlight w:val="none"/>
        </w:rPr>
        <w:t>21.</w:t>
      </w:r>
      <w:r>
        <w:rPr>
          <w:rFonts w:hint="eastAsia" w:ascii="宋体" w:hAnsi="宋体" w:cs="宋体"/>
          <w:color w:val="auto"/>
          <w:highlight w:val="none"/>
        </w:rPr>
        <w:t xml:space="preserve"> </w:t>
      </w:r>
      <w:r>
        <w:rPr>
          <w:rFonts w:hint="eastAsia" w:ascii="宋体" w:hAnsi="宋体" w:cs="宋体"/>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color w:val="auto"/>
          <w:sz w:val="24"/>
          <w:highlight w:val="none"/>
        </w:rPr>
        <w:t>详见招标文件第四部分评标办法。</w:t>
      </w:r>
    </w:p>
    <w:p>
      <w:pPr>
        <w:keepNext w:val="0"/>
        <w:keepLines w:val="0"/>
        <w:pageBreakBefore w:val="0"/>
        <w:kinsoku/>
        <w:wordWrap/>
        <w:overflowPunct/>
        <w:topLinePunct w:val="0"/>
        <w:autoSpaceDE/>
        <w:autoSpaceDN/>
        <w:bidi w:val="0"/>
        <w:adjustRightInd w:val="0"/>
        <w:snapToGrid w:val="0"/>
        <w:spacing w:line="360" w:lineRule="auto"/>
        <w:jc w:val="center"/>
        <w:textAlignment w:val="auto"/>
        <w:outlineLvl w:val="0"/>
        <w:rPr>
          <w:rFonts w:ascii="宋体" w:hAnsi="宋体" w:cs="宋体"/>
          <w:b/>
          <w:color w:val="auto"/>
          <w:sz w:val="32"/>
          <w:szCs w:val="32"/>
          <w:highlight w:val="none"/>
        </w:rPr>
      </w:pPr>
      <w:r>
        <w:rPr>
          <w:rFonts w:hint="eastAsia" w:ascii="宋体" w:hAnsi="宋体" w:cs="宋体"/>
          <w:b/>
          <w:color w:val="auto"/>
          <w:sz w:val="32"/>
          <w:szCs w:val="32"/>
          <w:highlight w:val="none"/>
        </w:rPr>
        <w:t>六、定标</w:t>
      </w:r>
    </w:p>
    <w:p>
      <w:pPr>
        <w:pStyle w:val="24"/>
        <w:keepNext w:val="0"/>
        <w:keepLines w:val="0"/>
        <w:pageBreakBefore w:val="0"/>
        <w:kinsoku/>
        <w:wordWrap/>
        <w:overflowPunct/>
        <w:topLinePunct w:val="0"/>
        <w:autoSpaceDE/>
        <w:autoSpaceDN/>
        <w:bidi w:val="0"/>
        <w:adjustRightInd w:val="0"/>
        <w:snapToGrid w:val="0"/>
        <w:spacing w:line="360" w:lineRule="auto"/>
        <w:ind w:left="479" w:hanging="479" w:hangingChars="199"/>
        <w:textAlignment w:val="auto"/>
        <w:rPr>
          <w:rFonts w:cs="宋体"/>
          <w:b/>
          <w:color w:val="auto"/>
          <w:highlight w:val="none"/>
        </w:rPr>
      </w:pPr>
      <w:r>
        <w:rPr>
          <w:rFonts w:hint="eastAsia" w:cs="宋体"/>
          <w:b/>
          <w:color w:val="auto"/>
          <w:highlight w:val="none"/>
        </w:rPr>
        <w:t>22. 确定中标供应商</w:t>
      </w:r>
    </w:p>
    <w:p>
      <w:pPr>
        <w:pStyle w:val="128"/>
        <w:keepNext w:val="0"/>
        <w:keepLines w:val="0"/>
        <w:pageBreakBefore w:val="0"/>
        <w:kinsoku/>
        <w:wordWrap/>
        <w:overflowPunct/>
        <w:topLinePunct w:val="0"/>
        <w:autoSpaceDE/>
        <w:autoSpaceDN/>
        <w:bidi w:val="0"/>
        <w:adjustRightInd w:val="0"/>
        <w:snapToGrid w:val="0"/>
        <w:spacing w:before="0"/>
        <w:ind w:firstLine="480"/>
        <w:textAlignment w:val="auto"/>
        <w:rPr>
          <w:rFonts w:ascii="宋体" w:hAnsi="宋体" w:cs="宋体"/>
          <w:b/>
          <w:color w:val="auto"/>
          <w:szCs w:val="24"/>
          <w:highlight w:val="none"/>
        </w:rPr>
      </w:pPr>
      <w:r>
        <w:rPr>
          <w:rFonts w:hint="eastAsia" w:ascii="宋体" w:hAnsi="宋体" w:cs="宋体"/>
          <w:color w:val="auto"/>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pPr>
        <w:pStyle w:val="128"/>
        <w:keepNext w:val="0"/>
        <w:keepLines w:val="0"/>
        <w:pageBreakBefore w:val="0"/>
        <w:kinsoku/>
        <w:wordWrap/>
        <w:overflowPunct/>
        <w:topLinePunct w:val="0"/>
        <w:autoSpaceDE/>
        <w:autoSpaceDN/>
        <w:bidi w:val="0"/>
        <w:adjustRightInd w:val="0"/>
        <w:snapToGrid w:val="0"/>
        <w:spacing w:before="0"/>
        <w:ind w:firstLine="0" w:firstLineChars="0"/>
        <w:textAlignment w:val="auto"/>
        <w:rPr>
          <w:rFonts w:ascii="宋体" w:hAnsi="宋体" w:cs="宋体"/>
          <w:b/>
          <w:color w:val="auto"/>
          <w:szCs w:val="24"/>
          <w:highlight w:val="none"/>
        </w:rPr>
      </w:pPr>
      <w:r>
        <w:rPr>
          <w:rFonts w:hint="eastAsia" w:ascii="宋体" w:hAnsi="宋体" w:cs="宋体"/>
          <w:b/>
          <w:color w:val="auto"/>
          <w:szCs w:val="24"/>
          <w:highlight w:val="none"/>
        </w:rPr>
        <w:t>23. 中标通知与中标结果公告</w:t>
      </w:r>
    </w:p>
    <w:p>
      <w:pPr>
        <w:keepNext w:val="0"/>
        <w:keepLines w:val="0"/>
        <w:pageBreakBefore w:val="0"/>
        <w:widowControl/>
        <w:shd w:val="clear" w:color="auto" w:fill="FFFFFF"/>
        <w:kinsoku/>
        <w:wordWrap/>
        <w:overflowPunct/>
        <w:topLinePunct w:val="0"/>
        <w:autoSpaceDE/>
        <w:autoSpaceDN/>
        <w:bidi w:val="0"/>
        <w:adjustRightInd w:val="0"/>
        <w:snapToGrid w:val="0"/>
        <w:spacing w:line="360" w:lineRule="auto"/>
        <w:ind w:firstLine="480"/>
        <w:jc w:val="left"/>
        <w:textAlignment w:val="auto"/>
        <w:rPr>
          <w:rFonts w:ascii="宋体" w:hAnsi="宋体" w:cs="宋体"/>
          <w:color w:val="auto"/>
          <w:sz w:val="24"/>
          <w:highlight w:val="none"/>
        </w:rPr>
      </w:pPr>
      <w:r>
        <w:rPr>
          <w:rFonts w:hint="eastAsia" w:ascii="宋体" w:hAnsi="宋体" w:cs="宋体"/>
          <w:color w:val="auto"/>
          <w:sz w:val="24"/>
          <w:highlight w:val="none"/>
        </w:rPr>
        <w:t>23.1自中标人确定之日起2个工作日内，采购代理机构通过电子交易平台向中标人发出中标通知书，同时编制发布采购结果公告。采购代理机构也可以以纸质形式进行中标通知。</w:t>
      </w:r>
    </w:p>
    <w:p>
      <w:pPr>
        <w:keepNext w:val="0"/>
        <w:keepLines w:val="0"/>
        <w:pageBreakBefore w:val="0"/>
        <w:widowControl/>
        <w:shd w:val="clear" w:color="auto" w:fill="FFFFFF"/>
        <w:kinsoku/>
        <w:wordWrap/>
        <w:overflowPunct/>
        <w:topLinePunct w:val="0"/>
        <w:autoSpaceDE/>
        <w:autoSpaceDN/>
        <w:bidi w:val="0"/>
        <w:adjustRightInd w:val="0"/>
        <w:snapToGrid w:val="0"/>
        <w:spacing w:line="360" w:lineRule="auto"/>
        <w:ind w:firstLine="480"/>
        <w:jc w:val="left"/>
        <w:textAlignment w:val="auto"/>
        <w:rPr>
          <w:rFonts w:ascii="宋体" w:hAnsi="宋体" w:cs="宋体"/>
          <w:color w:val="auto"/>
          <w:sz w:val="24"/>
          <w:highlight w:val="none"/>
        </w:rPr>
      </w:pPr>
      <w:r>
        <w:rPr>
          <w:rFonts w:hint="eastAsia" w:ascii="宋体" w:hAnsi="宋体" w:cs="宋体"/>
          <w:color w:val="auto"/>
          <w:sz w:val="24"/>
          <w:highlight w:val="none"/>
        </w:rPr>
        <w:t>23.2中标结果公告内容包括采购人及其委托的采购代理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pPr>
        <w:keepNext w:val="0"/>
        <w:keepLines w:val="0"/>
        <w:pageBreakBefore w:val="0"/>
        <w:widowControl/>
        <w:shd w:val="clear" w:color="auto" w:fill="FFFFFF"/>
        <w:kinsoku/>
        <w:wordWrap/>
        <w:overflowPunct/>
        <w:topLinePunct w:val="0"/>
        <w:autoSpaceDE/>
        <w:autoSpaceDN/>
        <w:bidi w:val="0"/>
        <w:adjustRightInd w:val="0"/>
        <w:snapToGrid w:val="0"/>
        <w:spacing w:line="360" w:lineRule="auto"/>
        <w:ind w:firstLine="480"/>
        <w:jc w:val="left"/>
        <w:textAlignment w:val="auto"/>
        <w:rPr>
          <w:rFonts w:ascii="宋体" w:hAnsi="宋体" w:cs="宋体"/>
          <w:color w:val="auto"/>
          <w:sz w:val="24"/>
          <w:highlight w:val="none"/>
        </w:rPr>
      </w:pPr>
      <w:r>
        <w:rPr>
          <w:rFonts w:hint="eastAsia" w:ascii="宋体" w:hAnsi="宋体" w:cs="宋体"/>
          <w:color w:val="auto"/>
          <w:sz w:val="24"/>
          <w:highlight w:val="none"/>
        </w:rPr>
        <w:t>23.3公告期限为1个工作日。</w:t>
      </w:r>
    </w:p>
    <w:p>
      <w:pPr>
        <w:keepNext w:val="0"/>
        <w:keepLines w:val="0"/>
        <w:pageBreakBefore w:val="0"/>
        <w:kinsoku/>
        <w:wordWrap/>
        <w:overflowPunct/>
        <w:topLinePunct w:val="0"/>
        <w:autoSpaceDE/>
        <w:autoSpaceDN/>
        <w:bidi w:val="0"/>
        <w:adjustRightInd w:val="0"/>
        <w:snapToGrid w:val="0"/>
        <w:spacing w:line="360" w:lineRule="auto"/>
        <w:ind w:left="120" w:leftChars="57" w:firstLine="482" w:firstLineChars="150"/>
        <w:jc w:val="center"/>
        <w:textAlignment w:val="auto"/>
        <w:rPr>
          <w:rFonts w:ascii="宋体" w:hAnsi="宋体" w:cs="宋体"/>
          <w:b/>
          <w:color w:val="auto"/>
          <w:sz w:val="32"/>
          <w:highlight w:val="none"/>
        </w:rPr>
      </w:pPr>
      <w:r>
        <w:rPr>
          <w:rFonts w:hint="eastAsia" w:ascii="宋体" w:hAnsi="宋体" w:cs="宋体"/>
          <w:b/>
          <w:color w:val="auto"/>
          <w:sz w:val="32"/>
          <w:highlight w:val="none"/>
        </w:rPr>
        <w:t>七、合同授予</w:t>
      </w:r>
    </w:p>
    <w:p>
      <w:pPr>
        <w:pStyle w:val="24"/>
        <w:keepNext w:val="0"/>
        <w:keepLines w:val="0"/>
        <w:pageBreakBefore w:val="0"/>
        <w:kinsoku/>
        <w:wordWrap/>
        <w:overflowPunct/>
        <w:topLinePunct w:val="0"/>
        <w:autoSpaceDE/>
        <w:autoSpaceDN/>
        <w:bidi w:val="0"/>
        <w:adjustRightInd w:val="0"/>
        <w:snapToGrid w:val="0"/>
        <w:spacing w:line="360" w:lineRule="auto"/>
        <w:ind w:left="479" w:hanging="479" w:hangingChars="199"/>
        <w:textAlignment w:val="auto"/>
        <w:rPr>
          <w:rFonts w:cs="宋体"/>
          <w:b/>
          <w:color w:val="auto"/>
          <w:highlight w:val="none"/>
        </w:rPr>
      </w:pPr>
      <w:r>
        <w:rPr>
          <w:rFonts w:hint="eastAsia" w:cs="宋体"/>
          <w:b/>
          <w:color w:val="auto"/>
          <w:highlight w:val="none"/>
        </w:rPr>
        <w:t xml:space="preserve">24. </w:t>
      </w:r>
      <w:r>
        <w:rPr>
          <w:rFonts w:hint="eastAsia" w:cs="宋体"/>
          <w:color w:val="auto"/>
          <w:highlight w:val="none"/>
        </w:rPr>
        <w:t>合同主要条款详见第五部分拟签订的合同文本。</w:t>
      </w:r>
    </w:p>
    <w:p>
      <w:pPr>
        <w:pStyle w:val="24"/>
        <w:keepNext w:val="0"/>
        <w:keepLines w:val="0"/>
        <w:pageBreakBefore w:val="0"/>
        <w:kinsoku/>
        <w:wordWrap/>
        <w:overflowPunct/>
        <w:topLinePunct w:val="0"/>
        <w:autoSpaceDE/>
        <w:autoSpaceDN/>
        <w:bidi w:val="0"/>
        <w:adjustRightInd w:val="0"/>
        <w:snapToGrid w:val="0"/>
        <w:spacing w:line="360" w:lineRule="auto"/>
        <w:ind w:left="479" w:hanging="479" w:hangingChars="199"/>
        <w:textAlignment w:val="auto"/>
        <w:rPr>
          <w:rFonts w:cs="宋体"/>
          <w:b/>
          <w:color w:val="auto"/>
          <w:highlight w:val="none"/>
        </w:rPr>
      </w:pPr>
      <w:r>
        <w:rPr>
          <w:rFonts w:hint="eastAsia" w:cs="宋体"/>
          <w:b/>
          <w:color w:val="auto"/>
          <w:highlight w:val="none"/>
        </w:rPr>
        <w:t>25. 合同的签订</w:t>
      </w:r>
    </w:p>
    <w:p>
      <w:pPr>
        <w:keepNext w:val="0"/>
        <w:keepLines w:val="0"/>
        <w:pageBreakBefore w:val="0"/>
        <w:widowControl/>
        <w:shd w:val="clear" w:color="auto" w:fill="FFFFFF"/>
        <w:kinsoku/>
        <w:wordWrap/>
        <w:overflowPunct/>
        <w:topLinePunct w:val="0"/>
        <w:autoSpaceDE/>
        <w:autoSpaceDN/>
        <w:bidi w:val="0"/>
        <w:adjustRightInd w:val="0"/>
        <w:snapToGrid w:val="0"/>
        <w:spacing w:line="360" w:lineRule="auto"/>
        <w:ind w:firstLine="480"/>
        <w:jc w:val="left"/>
        <w:textAlignment w:val="auto"/>
        <w:rPr>
          <w:rFonts w:ascii="宋体" w:hAnsi="宋体" w:cs="宋体"/>
          <w:color w:val="auto"/>
          <w:kern w:val="0"/>
          <w:sz w:val="24"/>
          <w:highlight w:val="none"/>
        </w:rPr>
      </w:pPr>
      <w:r>
        <w:rPr>
          <w:rFonts w:hint="eastAsia" w:ascii="宋体" w:hAnsi="宋体" w:cs="宋体"/>
          <w:color w:val="auto"/>
          <w:sz w:val="24"/>
          <w:highlight w:val="none"/>
        </w:rPr>
        <w:t>25.1</w:t>
      </w:r>
      <w:r>
        <w:rPr>
          <w:rFonts w:hint="eastAsia" w:ascii="宋体" w:hAnsi="宋体" w:cs="宋体"/>
          <w:color w:val="auto"/>
          <w:kern w:val="0"/>
          <w:sz w:val="24"/>
          <w:highlight w:val="none"/>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pPr>
        <w:pStyle w:val="128"/>
        <w:keepNext w:val="0"/>
        <w:keepLines w:val="0"/>
        <w:pageBreakBefore w:val="0"/>
        <w:kinsoku/>
        <w:wordWrap/>
        <w:overflowPunct/>
        <w:topLinePunct w:val="0"/>
        <w:autoSpaceDE/>
        <w:autoSpaceDN/>
        <w:bidi w:val="0"/>
        <w:adjustRightInd w:val="0"/>
        <w:snapToGrid w:val="0"/>
        <w:spacing w:before="0"/>
        <w:ind w:firstLine="480"/>
        <w:textAlignment w:val="auto"/>
        <w:rPr>
          <w:rFonts w:ascii="宋体" w:hAnsi="宋体" w:cs="宋体"/>
          <w:color w:val="auto"/>
          <w:kern w:val="0"/>
          <w:highlight w:val="none"/>
        </w:rPr>
      </w:pPr>
      <w:r>
        <w:rPr>
          <w:rFonts w:hint="eastAsia" w:ascii="宋体" w:hAnsi="宋体" w:cs="宋体"/>
          <w:color w:val="auto"/>
          <w:kern w:val="0"/>
          <w:highlight w:val="none"/>
          <w:lang w:val="zh-CN"/>
        </w:rPr>
        <w:t>25.2中标人按规定的日期、时间、地点，由法定代表人或其授权代表与采购人代表签订合同。如中标人为联合体的，由联合体成员各方法定代表人或其授权代表与采购人代表签订合同。</w:t>
      </w:r>
    </w:p>
    <w:p>
      <w:pPr>
        <w:pStyle w:val="128"/>
        <w:pageBreakBefore w:val="0"/>
        <w:widowControl w:val="0"/>
        <w:kinsoku/>
        <w:wordWrap/>
        <w:overflowPunct/>
        <w:topLinePunct w:val="0"/>
        <w:autoSpaceDE/>
        <w:autoSpaceDN/>
        <w:bidi w:val="0"/>
        <w:snapToGrid w:val="0"/>
        <w:spacing w:before="0"/>
        <w:ind w:firstLine="480"/>
        <w:textAlignment w:val="auto"/>
        <w:rPr>
          <w:rFonts w:ascii="宋体" w:hAnsi="宋体" w:cs="宋体"/>
          <w:color w:val="auto"/>
          <w:highlight w:val="none"/>
        </w:rPr>
      </w:pPr>
      <w:r>
        <w:rPr>
          <w:rFonts w:hint="eastAsia" w:ascii="宋体" w:hAnsi="宋体" w:cs="宋体"/>
          <w:color w:val="auto"/>
          <w:highlight w:val="none"/>
        </w:rPr>
        <w:t>25.3如签订合同并生效后，供应商无故拒绝或延期，除按照合同条款处理外，列入不良行为记录一次，并给予通报。</w:t>
      </w:r>
    </w:p>
    <w:p>
      <w:pPr>
        <w:pStyle w:val="128"/>
        <w:pageBreakBefore w:val="0"/>
        <w:widowControl w:val="0"/>
        <w:kinsoku/>
        <w:wordWrap/>
        <w:overflowPunct/>
        <w:topLinePunct w:val="0"/>
        <w:autoSpaceDE/>
        <w:autoSpaceDN/>
        <w:bidi w:val="0"/>
        <w:snapToGrid w:val="0"/>
        <w:spacing w:before="0"/>
        <w:ind w:firstLine="480"/>
        <w:textAlignment w:val="auto"/>
        <w:rPr>
          <w:rFonts w:ascii="宋体" w:hAnsi="宋体" w:cs="宋体"/>
          <w:color w:val="auto"/>
          <w:highlight w:val="none"/>
        </w:rPr>
      </w:pPr>
      <w:r>
        <w:rPr>
          <w:rFonts w:hint="eastAsia" w:ascii="宋体" w:hAnsi="宋体" w:cs="宋体"/>
          <w:color w:val="auto"/>
          <w:highlight w:val="none"/>
        </w:rPr>
        <w:t>25.4中标供应商拒绝与采购人签订合同的，采购人可以按照评审报告推荐的中标或者成交候选人名单排序，确定下一候选人为中标供应商，也可以重新开展政府采购活动。</w:t>
      </w:r>
    </w:p>
    <w:p>
      <w:pPr>
        <w:pStyle w:val="128"/>
        <w:pageBreakBefore w:val="0"/>
        <w:widowControl w:val="0"/>
        <w:kinsoku/>
        <w:wordWrap/>
        <w:overflowPunct/>
        <w:topLinePunct w:val="0"/>
        <w:autoSpaceDE/>
        <w:autoSpaceDN/>
        <w:bidi w:val="0"/>
        <w:snapToGrid w:val="0"/>
        <w:spacing w:before="0"/>
        <w:ind w:firstLine="480"/>
        <w:textAlignment w:val="auto"/>
        <w:rPr>
          <w:rFonts w:ascii="宋体" w:hAnsi="宋体" w:cs="宋体"/>
          <w:color w:val="auto"/>
          <w:highlight w:val="none"/>
        </w:rPr>
      </w:pPr>
      <w:r>
        <w:rPr>
          <w:rFonts w:hint="eastAsia" w:ascii="宋体" w:hAnsi="宋体" w:cs="宋体"/>
          <w:color w:val="auto"/>
          <w:highlight w:val="none"/>
        </w:rPr>
        <w:t>25.5采购合同由采购人与中标供应商根据招标文件、投标文件等内容通过政府采购电子交易平台在线签订，自动备案。</w:t>
      </w:r>
    </w:p>
    <w:p>
      <w:pPr>
        <w:pStyle w:val="24"/>
        <w:pageBreakBefore w:val="0"/>
        <w:widowControl w:val="0"/>
        <w:kinsoku/>
        <w:wordWrap/>
        <w:overflowPunct/>
        <w:topLinePunct w:val="0"/>
        <w:autoSpaceDE/>
        <w:autoSpaceDN/>
        <w:bidi w:val="0"/>
        <w:snapToGrid w:val="0"/>
        <w:spacing w:line="360" w:lineRule="auto"/>
        <w:ind w:left="479" w:hanging="479" w:hangingChars="199"/>
        <w:textAlignment w:val="auto"/>
        <w:rPr>
          <w:rFonts w:cs="宋体"/>
          <w:b/>
          <w:color w:val="auto"/>
          <w:highlight w:val="none"/>
        </w:rPr>
      </w:pPr>
      <w:r>
        <w:rPr>
          <w:rFonts w:hint="eastAsia" w:cs="宋体"/>
          <w:b/>
          <w:color w:val="auto"/>
          <w:highlight w:val="none"/>
        </w:rPr>
        <w:t>26. 履约保证金</w:t>
      </w:r>
    </w:p>
    <w:p>
      <w:pPr>
        <w:pageBreakBefore w:val="0"/>
        <w:widowControl w:val="0"/>
        <w:tabs>
          <w:tab w:val="left" w:pos="0"/>
        </w:tabs>
        <w:kinsoku/>
        <w:wordWrap/>
        <w:overflowPunct/>
        <w:topLinePunct w:val="0"/>
        <w:autoSpaceDE/>
        <w:autoSpaceDN/>
        <w:bidi w:val="0"/>
        <w:snapToGrid w:val="0"/>
        <w:spacing w:line="360" w:lineRule="auto"/>
        <w:ind w:firstLine="482"/>
        <w:textAlignment w:val="auto"/>
        <w:rPr>
          <w:rFonts w:ascii="宋体" w:hAnsi="宋体" w:cs="宋体"/>
          <w:color w:val="auto"/>
          <w:sz w:val="24"/>
          <w:highlight w:val="none"/>
        </w:rPr>
      </w:pPr>
      <w:r>
        <w:rPr>
          <w:rFonts w:hint="eastAsia" w:ascii="宋体" w:hAnsi="宋体" w:cs="宋体"/>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宋体" w:hAnsi="宋体" w:cs="宋体"/>
          <w:color w:val="auto"/>
          <w:sz w:val="24"/>
          <w:highlight w:val="none"/>
        </w:rPr>
        <w:t>。履约保证金的数额不得超过政府采购合同金额的</w:t>
      </w:r>
      <w:r>
        <w:rPr>
          <w:rFonts w:ascii="宋体" w:hAnsi="宋体" w:cs="宋体"/>
          <w:color w:val="auto"/>
          <w:sz w:val="24"/>
          <w:highlight w:val="none"/>
        </w:rPr>
        <w:t>1</w:t>
      </w:r>
      <w:r>
        <w:rPr>
          <w:rFonts w:hint="eastAsia" w:ascii="宋体" w:hAnsi="宋体" w:cs="宋体"/>
          <w:color w:val="auto"/>
          <w:sz w:val="24"/>
          <w:highlight w:val="none"/>
        </w:rPr>
        <w:t>%，鼓励根据项目特点、供应商诚信等因素免收履约保证金或降低缴纳比例。鼓励和支持供应商以银行、保险公司出具的保函形式提供履约保证金。采购人不得拒收履约保函，项目验收结束后应及时退还，</w:t>
      </w:r>
      <w:r>
        <w:rPr>
          <w:rFonts w:ascii="宋体" w:hAnsi="宋体" w:cs="宋体"/>
          <w:color w:val="auto"/>
          <w:sz w:val="24"/>
          <w:highlight w:val="none"/>
        </w:rPr>
        <w:t>延迟退还的，应当按照合同约定和法律规定承担相应的赔偿责任</w:t>
      </w:r>
      <w:r>
        <w:rPr>
          <w:rFonts w:hint="eastAsia" w:ascii="宋体" w:hAnsi="宋体" w:cs="宋体"/>
          <w:color w:val="auto"/>
          <w:sz w:val="24"/>
          <w:highlight w:val="none"/>
        </w:rPr>
        <w:t>。</w:t>
      </w:r>
    </w:p>
    <w:p>
      <w:pPr>
        <w:pageBreakBefore w:val="0"/>
        <w:widowControl w:val="0"/>
        <w:tabs>
          <w:tab w:val="left" w:pos="0"/>
        </w:tabs>
        <w:kinsoku/>
        <w:wordWrap/>
        <w:overflowPunct/>
        <w:topLinePunct w:val="0"/>
        <w:autoSpaceDE/>
        <w:autoSpaceDN/>
        <w:bidi w:val="0"/>
        <w:snapToGrid w:val="0"/>
        <w:spacing w:line="360" w:lineRule="auto"/>
        <w:ind w:firstLine="482"/>
        <w:textAlignment w:val="auto"/>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pStyle w:val="4"/>
        <w:pageBreakBefore w:val="0"/>
        <w:widowControl w:val="0"/>
        <w:numPr>
          <w:ilvl w:val="0"/>
          <w:numId w:val="0"/>
        </w:numPr>
        <w:kinsoku/>
        <w:wordWrap/>
        <w:overflowPunct/>
        <w:topLinePunct w:val="0"/>
        <w:autoSpaceDE/>
        <w:autoSpaceDN/>
        <w:bidi w:val="0"/>
        <w:snapToGrid w:val="0"/>
        <w:ind w:leftChars="0"/>
        <w:textAlignment w:val="auto"/>
        <w:rPr>
          <w:color w:val="auto"/>
          <w:highlight w:val="none"/>
        </w:rPr>
      </w:pPr>
      <w:r>
        <w:rPr>
          <w:rFonts w:hint="eastAsia" w:ascii="宋体" w:hAnsi="宋体" w:eastAsia="宋体"/>
          <w:color w:val="auto"/>
          <w:sz w:val="24"/>
          <w:highlight w:val="none"/>
          <w:lang w:val="en-US" w:eastAsia="zh-CN"/>
        </w:rPr>
        <w:t>27.</w:t>
      </w:r>
      <w:r>
        <w:rPr>
          <w:rFonts w:hint="eastAsia" w:ascii="宋体" w:hAnsi="宋体" w:eastAsia="宋体" w:cs="宋体"/>
          <w:b/>
          <w:color w:val="auto"/>
          <w:kern w:val="2"/>
          <w:sz w:val="24"/>
          <w:szCs w:val="20"/>
          <w:highlight w:val="none"/>
          <w:lang w:val="en-US" w:eastAsia="zh-CN" w:bidi="ar-SA"/>
        </w:rPr>
        <w:t xml:space="preserve"> </w:t>
      </w:r>
      <w:r>
        <w:rPr>
          <w:rFonts w:ascii="宋体" w:hAnsi="宋体" w:eastAsia="宋体"/>
          <w:color w:val="auto"/>
          <w:sz w:val="24"/>
          <w:highlight w:val="none"/>
          <w:lang w:val="en-US"/>
        </w:rPr>
        <w:t>预付款</w:t>
      </w:r>
    </w:p>
    <w:p>
      <w:pPr>
        <w:pageBreakBefore w:val="0"/>
        <w:widowControl w:val="0"/>
        <w:kinsoku/>
        <w:wordWrap/>
        <w:overflowPunct/>
        <w:topLinePunct w:val="0"/>
        <w:autoSpaceDE/>
        <w:autoSpaceDN/>
        <w:bidi w:val="0"/>
        <w:adjustRightInd/>
        <w:snapToGrid w:val="0"/>
        <w:spacing w:line="360" w:lineRule="auto"/>
        <w:ind w:firstLine="480" w:firstLineChars="200"/>
        <w:textAlignment w:val="auto"/>
        <w:rPr>
          <w:color w:val="auto"/>
          <w:highlight w:val="none"/>
        </w:rPr>
      </w:pPr>
      <w:r>
        <w:rPr>
          <w:rFonts w:hint="eastAsia" w:ascii="宋体" w:hAnsi="宋体"/>
          <w:color w:val="auto"/>
          <w:sz w:val="24"/>
          <w:highlight w:val="none"/>
        </w:rPr>
        <w:t>采购单位应当在政府采购合同中约定预付款，对中小企业合同预付款比例原则上不低于合同金额的</w:t>
      </w:r>
      <w:r>
        <w:rPr>
          <w:rFonts w:ascii="宋体" w:hAnsi="宋体"/>
          <w:color w:val="auto"/>
          <w:sz w:val="24"/>
          <w:highlight w:val="none"/>
        </w:rPr>
        <w:t>40％</w:t>
      </w:r>
      <w:r>
        <w:rPr>
          <w:rFonts w:hint="eastAsia" w:ascii="宋体" w:hAnsi="宋体"/>
          <w:color w:val="auto"/>
          <w:sz w:val="24"/>
          <w:highlight w:val="none"/>
        </w:rPr>
        <w:t>，不高于合同金额的</w:t>
      </w:r>
      <w:r>
        <w:rPr>
          <w:rFonts w:ascii="宋体" w:hAnsi="宋体"/>
          <w:color w:val="auto"/>
          <w:sz w:val="24"/>
          <w:highlight w:val="none"/>
        </w:rPr>
        <w:t>70%；项目分年安排预算的，每年预付款比例</w:t>
      </w:r>
      <w:r>
        <w:rPr>
          <w:rFonts w:hint="eastAsia" w:ascii="宋体" w:hAnsi="宋体"/>
          <w:color w:val="auto"/>
          <w:sz w:val="24"/>
          <w:highlight w:val="none"/>
        </w:rPr>
        <w:t>不低于</w:t>
      </w:r>
      <w:r>
        <w:rPr>
          <w:rFonts w:ascii="宋体" w:hAnsi="宋体"/>
          <w:color w:val="auto"/>
          <w:sz w:val="24"/>
          <w:highlight w:val="none"/>
        </w:rPr>
        <w:t>项目年度计划支付资金额的40％</w:t>
      </w:r>
      <w:r>
        <w:rPr>
          <w:rFonts w:hint="eastAsia" w:ascii="宋体" w:hAnsi="宋体"/>
          <w:color w:val="auto"/>
          <w:sz w:val="24"/>
          <w:highlight w:val="none"/>
        </w:rPr>
        <w:t>，不高于合同金额的</w:t>
      </w:r>
      <w:r>
        <w:rPr>
          <w:rFonts w:ascii="宋体" w:hAnsi="宋体"/>
          <w:color w:val="auto"/>
          <w:sz w:val="24"/>
          <w:highlight w:val="none"/>
        </w:rPr>
        <w:t>70%；采购项目实施以人工投入为主的，</w:t>
      </w:r>
      <w:r>
        <w:rPr>
          <w:rFonts w:hint="eastAsia" w:ascii="宋体" w:hAnsi="宋体"/>
          <w:color w:val="auto"/>
          <w:sz w:val="24"/>
          <w:highlight w:val="none"/>
        </w:rPr>
        <w:t>可适当降低预付款比例，但不得低于</w:t>
      </w:r>
      <w:r>
        <w:rPr>
          <w:rFonts w:ascii="宋体" w:hAnsi="宋体"/>
          <w:color w:val="auto"/>
          <w:sz w:val="24"/>
          <w:highlight w:val="none"/>
        </w:rPr>
        <w:t>20%。对供应商为大型企业的项目或者以人工投入为主且实行按月定期结算支付款项的项目，预付款可低于上述比例或者不约定预付款。在签订合同时，</w:t>
      </w:r>
      <w:r>
        <w:rPr>
          <w:rFonts w:hint="eastAsia" w:ascii="宋体" w:hAnsi="宋体"/>
          <w:color w:val="auto"/>
          <w:sz w:val="24"/>
          <w:highlight w:val="none"/>
        </w:rPr>
        <w:t>供应商</w:t>
      </w:r>
      <w:r>
        <w:rPr>
          <w:rFonts w:ascii="宋体" w:hAnsi="宋体"/>
          <w:color w:val="auto"/>
          <w:sz w:val="24"/>
          <w:highlight w:val="none"/>
        </w:rPr>
        <w:t>明确表示无需预付款或者主动要求降低预付款比例的，</w:t>
      </w:r>
      <w:r>
        <w:rPr>
          <w:rFonts w:hint="eastAsia" w:ascii="宋体" w:hAnsi="宋体"/>
          <w:color w:val="auto"/>
          <w:sz w:val="24"/>
          <w:highlight w:val="none"/>
        </w:rPr>
        <w:t>采购单位</w:t>
      </w:r>
      <w:r>
        <w:rPr>
          <w:rFonts w:ascii="宋体" w:hAnsi="宋体"/>
          <w:color w:val="auto"/>
          <w:sz w:val="24"/>
          <w:highlight w:val="none"/>
        </w:rPr>
        <w:t>可不适用前述规定。</w:t>
      </w:r>
      <w:r>
        <w:rPr>
          <w:rFonts w:hint="eastAsia" w:ascii="宋体" w:hAnsi="宋体"/>
          <w:color w:val="auto"/>
          <w:sz w:val="24"/>
          <w:highlight w:val="none"/>
        </w:rPr>
        <w:t>采购单位</w:t>
      </w:r>
      <w:r>
        <w:rPr>
          <w:rFonts w:ascii="宋体" w:hAnsi="宋体"/>
          <w:color w:val="auto"/>
          <w:sz w:val="24"/>
          <w:highlight w:val="none"/>
        </w:rPr>
        <w:t>根据项目特点、供应商诚信等因素，可以要求</w:t>
      </w:r>
      <w:r>
        <w:rPr>
          <w:rFonts w:hint="eastAsia" w:ascii="宋体" w:hAnsi="宋体"/>
          <w:color w:val="auto"/>
          <w:sz w:val="24"/>
          <w:highlight w:val="none"/>
        </w:rPr>
        <w:t>供应商</w:t>
      </w:r>
      <w:r>
        <w:rPr>
          <w:rFonts w:ascii="宋体" w:hAnsi="宋体"/>
          <w:color w:val="auto"/>
          <w:sz w:val="24"/>
          <w:highlight w:val="none"/>
        </w:rPr>
        <w:t>提交银行、保险公司等金融机构出具的预付款保函或其他担保措施。政府采购预付款应在合同生效以及具备实施条件后5个工作日内支付。</w:t>
      </w:r>
      <w:r>
        <w:rPr>
          <w:rFonts w:hint="eastAsia" w:ascii="宋体" w:hAnsi="宋体"/>
          <w:color w:val="auto"/>
          <w:sz w:val="24"/>
          <w:highlight w:val="none"/>
        </w:rPr>
        <w:t>政府采购工程以及与工程建设有关的货物、服务，采用招标方式采购的，预付款从其相关规定。供应商可登录政采云前台大厅选择金融服务</w:t>
      </w:r>
      <w:r>
        <w:rPr>
          <w:rFonts w:ascii="宋体" w:hAnsi="宋体"/>
          <w:color w:val="auto"/>
          <w:sz w:val="24"/>
          <w:highlight w:val="none"/>
        </w:rPr>
        <w:t xml:space="preserve"> - </w:t>
      </w:r>
      <w:r>
        <w:rPr>
          <w:rFonts w:hint="eastAsia" w:ascii="宋体" w:hAnsi="宋体"/>
          <w:color w:val="auto"/>
          <w:sz w:val="24"/>
          <w:highlight w:val="none"/>
        </w:rPr>
        <w:t>【保函保险服务】出具预付款保函，具体步骤：选择产品—填写供应商信息—选择中标项目—确认信息—等待保险</w:t>
      </w:r>
      <w:r>
        <w:rPr>
          <w:rFonts w:ascii="宋体" w:hAnsi="宋体"/>
          <w:color w:val="auto"/>
          <w:sz w:val="24"/>
          <w:highlight w:val="none"/>
        </w:rPr>
        <w:t>/保函受理—确认保单—支付保费—成功出单。政</w:t>
      </w:r>
      <w:r>
        <w:rPr>
          <w:rFonts w:hint="eastAsia" w:ascii="宋体" w:hAnsi="宋体"/>
          <w:color w:val="auto"/>
          <w:sz w:val="24"/>
          <w:highlight w:val="none"/>
        </w:rPr>
        <w:t>采云金融专线</w:t>
      </w:r>
      <w:r>
        <w:rPr>
          <w:rFonts w:ascii="宋体" w:hAnsi="宋体"/>
          <w:color w:val="auto"/>
          <w:sz w:val="24"/>
          <w:highlight w:val="none"/>
        </w:rPr>
        <w:t>400-903-9583。</w:t>
      </w:r>
    </w:p>
    <w:p>
      <w:pPr>
        <w:keepNext w:val="0"/>
        <w:keepLines w:val="0"/>
        <w:pageBreakBefore w:val="0"/>
        <w:widowControl w:val="0"/>
        <w:kinsoku/>
        <w:wordWrap/>
        <w:overflowPunct/>
        <w:topLinePunct w:val="0"/>
        <w:autoSpaceDE/>
        <w:autoSpaceDN/>
        <w:bidi w:val="0"/>
        <w:adjustRightInd w:val="0"/>
        <w:snapToGrid w:val="0"/>
        <w:spacing w:line="360" w:lineRule="auto"/>
        <w:ind w:firstLine="3357" w:firstLineChars="1045"/>
        <w:textAlignment w:val="auto"/>
        <w:rPr>
          <w:rFonts w:ascii="宋体" w:hAnsi="宋体" w:cs="宋体"/>
          <w:b/>
          <w:color w:val="auto"/>
          <w:sz w:val="24"/>
          <w:highlight w:val="none"/>
        </w:rPr>
      </w:pPr>
      <w:r>
        <w:rPr>
          <w:rFonts w:hint="eastAsia" w:ascii="宋体" w:hAnsi="宋体" w:cs="宋体"/>
          <w:b/>
          <w:color w:val="auto"/>
          <w:sz w:val="32"/>
          <w:highlight w:val="none"/>
        </w:rPr>
        <w:t>八、电子交易活动的中止</w:t>
      </w:r>
    </w:p>
    <w:p>
      <w:pPr>
        <w:pStyle w:val="128"/>
        <w:keepNext w:val="0"/>
        <w:keepLines w:val="0"/>
        <w:pageBreakBefore w:val="0"/>
        <w:widowControl w:val="0"/>
        <w:kinsoku/>
        <w:wordWrap/>
        <w:overflowPunct/>
        <w:topLinePunct w:val="0"/>
        <w:autoSpaceDE/>
        <w:autoSpaceDN/>
        <w:bidi w:val="0"/>
        <w:adjustRightInd w:val="0"/>
        <w:snapToGrid w:val="0"/>
        <w:spacing w:before="0"/>
        <w:ind w:firstLine="0" w:firstLineChars="0"/>
        <w:textAlignment w:val="auto"/>
        <w:rPr>
          <w:rFonts w:ascii="宋体" w:hAnsi="宋体" w:cs="宋体"/>
          <w:color w:val="auto"/>
          <w:highlight w:val="none"/>
        </w:rPr>
      </w:pPr>
      <w:r>
        <w:rPr>
          <w:rFonts w:ascii="宋体" w:hAnsi="宋体" w:cs="宋体"/>
          <w:b/>
          <w:bCs/>
          <w:color w:val="auto"/>
          <w:highlight w:val="none"/>
        </w:rPr>
        <w:t>2</w:t>
      </w:r>
      <w:r>
        <w:rPr>
          <w:rFonts w:ascii="宋体" w:hAnsi="宋体" w:cs="宋体"/>
          <w:b/>
          <w:bCs/>
          <w:color w:val="auto"/>
          <w:szCs w:val="24"/>
          <w:highlight w:val="none"/>
        </w:rPr>
        <w:t>8</w:t>
      </w:r>
      <w:r>
        <w:rPr>
          <w:rFonts w:hint="eastAsia" w:ascii="宋体" w:hAnsi="宋体" w:cs="宋体"/>
          <w:b/>
          <w:color w:val="auto"/>
          <w:szCs w:val="24"/>
          <w:highlight w:val="none"/>
        </w:rPr>
        <w:t>. 电子交易活动的中止。</w:t>
      </w:r>
      <w:r>
        <w:rPr>
          <w:rFonts w:hint="eastAsia" w:ascii="宋体" w:hAnsi="宋体" w:cs="宋体"/>
          <w:color w:val="auto"/>
          <w:highlight w:val="none"/>
        </w:rPr>
        <w:t>采购过程中出现以下情形，导致电子交易平台无法正常运行，或者无法保证电子交易的公平、公正和安全时，采购代理机构可中止电子交易活动：</w:t>
      </w:r>
    </w:p>
    <w:p>
      <w:pPr>
        <w:pStyle w:val="128"/>
        <w:keepNext w:val="0"/>
        <w:keepLines w:val="0"/>
        <w:pageBreakBefore w:val="0"/>
        <w:widowControl w:val="0"/>
        <w:kinsoku/>
        <w:wordWrap/>
        <w:overflowPunct/>
        <w:topLinePunct w:val="0"/>
        <w:autoSpaceDE/>
        <w:autoSpaceDN/>
        <w:bidi w:val="0"/>
        <w:adjustRightInd w:val="0"/>
        <w:snapToGrid w:val="0"/>
        <w:spacing w:before="0"/>
        <w:ind w:firstLine="480"/>
        <w:textAlignment w:val="auto"/>
        <w:rPr>
          <w:rFonts w:ascii="宋体" w:hAnsi="宋体" w:cs="宋体"/>
          <w:color w:val="auto"/>
          <w:highlight w:val="none"/>
        </w:rPr>
      </w:pPr>
      <w:r>
        <w:rPr>
          <w:rFonts w:hint="eastAsia" w:ascii="宋体" w:hAnsi="宋体" w:cs="宋体"/>
          <w:color w:val="auto"/>
          <w:highlight w:val="none"/>
        </w:rPr>
        <w:t xml:space="preserve">28.1电子交易平台发生故障而无法登录访问的； </w:t>
      </w:r>
    </w:p>
    <w:p>
      <w:pPr>
        <w:pStyle w:val="128"/>
        <w:keepNext w:val="0"/>
        <w:keepLines w:val="0"/>
        <w:pageBreakBefore w:val="0"/>
        <w:widowControl w:val="0"/>
        <w:kinsoku/>
        <w:wordWrap/>
        <w:overflowPunct/>
        <w:topLinePunct w:val="0"/>
        <w:autoSpaceDE/>
        <w:autoSpaceDN/>
        <w:bidi w:val="0"/>
        <w:adjustRightInd w:val="0"/>
        <w:snapToGrid w:val="0"/>
        <w:spacing w:before="0"/>
        <w:ind w:firstLine="480"/>
        <w:textAlignment w:val="auto"/>
        <w:rPr>
          <w:rFonts w:ascii="宋体" w:hAnsi="宋体" w:cs="宋体"/>
          <w:color w:val="auto"/>
          <w:highlight w:val="none"/>
        </w:rPr>
      </w:pPr>
      <w:r>
        <w:rPr>
          <w:rFonts w:hint="eastAsia" w:ascii="宋体" w:hAnsi="宋体" w:cs="宋体"/>
          <w:color w:val="auto"/>
          <w:highlight w:val="none"/>
        </w:rPr>
        <w:t>28.2电子交易平台应用或数据库出现错误，不能进行正常操作的；</w:t>
      </w:r>
    </w:p>
    <w:p>
      <w:pPr>
        <w:pStyle w:val="128"/>
        <w:keepNext w:val="0"/>
        <w:keepLines w:val="0"/>
        <w:pageBreakBefore w:val="0"/>
        <w:widowControl w:val="0"/>
        <w:kinsoku/>
        <w:wordWrap/>
        <w:overflowPunct/>
        <w:topLinePunct w:val="0"/>
        <w:autoSpaceDE/>
        <w:autoSpaceDN/>
        <w:bidi w:val="0"/>
        <w:adjustRightInd w:val="0"/>
        <w:snapToGrid w:val="0"/>
        <w:spacing w:before="0"/>
        <w:ind w:firstLine="480"/>
        <w:textAlignment w:val="auto"/>
        <w:rPr>
          <w:rFonts w:ascii="宋体" w:hAnsi="宋体" w:cs="宋体"/>
          <w:color w:val="auto"/>
          <w:highlight w:val="none"/>
        </w:rPr>
      </w:pPr>
      <w:r>
        <w:rPr>
          <w:rFonts w:hint="eastAsia" w:ascii="宋体" w:hAnsi="宋体" w:cs="宋体"/>
          <w:color w:val="auto"/>
          <w:highlight w:val="none"/>
        </w:rPr>
        <w:t>28.3电子交易平台发现严重安全漏洞，有潜在泄密危险的；</w:t>
      </w:r>
    </w:p>
    <w:p>
      <w:pPr>
        <w:pStyle w:val="128"/>
        <w:keepNext w:val="0"/>
        <w:keepLines w:val="0"/>
        <w:pageBreakBefore w:val="0"/>
        <w:widowControl w:val="0"/>
        <w:kinsoku/>
        <w:wordWrap/>
        <w:overflowPunct/>
        <w:topLinePunct w:val="0"/>
        <w:autoSpaceDE/>
        <w:autoSpaceDN/>
        <w:bidi w:val="0"/>
        <w:adjustRightInd w:val="0"/>
        <w:snapToGrid w:val="0"/>
        <w:spacing w:before="0"/>
        <w:ind w:firstLine="480"/>
        <w:textAlignment w:val="auto"/>
        <w:rPr>
          <w:rFonts w:ascii="宋体" w:hAnsi="宋体" w:cs="宋体"/>
          <w:color w:val="auto"/>
          <w:highlight w:val="none"/>
        </w:rPr>
      </w:pPr>
      <w:r>
        <w:rPr>
          <w:rFonts w:hint="eastAsia" w:ascii="宋体" w:hAnsi="宋体" w:cs="宋体"/>
          <w:color w:val="auto"/>
          <w:highlight w:val="none"/>
        </w:rPr>
        <w:t xml:space="preserve">28.4病毒发作导致不能进行正常操作的； </w:t>
      </w:r>
    </w:p>
    <w:p>
      <w:pPr>
        <w:pStyle w:val="128"/>
        <w:keepNext w:val="0"/>
        <w:keepLines w:val="0"/>
        <w:pageBreakBefore w:val="0"/>
        <w:widowControl w:val="0"/>
        <w:kinsoku/>
        <w:wordWrap/>
        <w:overflowPunct/>
        <w:topLinePunct w:val="0"/>
        <w:autoSpaceDE/>
        <w:autoSpaceDN/>
        <w:bidi w:val="0"/>
        <w:adjustRightInd w:val="0"/>
        <w:snapToGrid w:val="0"/>
        <w:spacing w:before="0"/>
        <w:ind w:firstLine="480"/>
        <w:textAlignment w:val="auto"/>
        <w:rPr>
          <w:rFonts w:ascii="宋体" w:hAnsi="宋体" w:cs="宋体"/>
          <w:color w:val="auto"/>
          <w:highlight w:val="none"/>
        </w:rPr>
      </w:pPr>
      <w:r>
        <w:rPr>
          <w:rFonts w:hint="eastAsia" w:ascii="宋体" w:hAnsi="宋体" w:cs="宋体"/>
          <w:color w:val="auto"/>
          <w:highlight w:val="none"/>
        </w:rPr>
        <w:t>28.5其他无法保证电子交易的公平、公正和安全的情况。</w:t>
      </w:r>
    </w:p>
    <w:p>
      <w:pPr>
        <w:pStyle w:val="128"/>
        <w:keepNext w:val="0"/>
        <w:keepLines w:val="0"/>
        <w:pageBreakBefore w:val="0"/>
        <w:widowControl w:val="0"/>
        <w:kinsoku/>
        <w:wordWrap/>
        <w:overflowPunct/>
        <w:topLinePunct w:val="0"/>
        <w:autoSpaceDE/>
        <w:autoSpaceDN/>
        <w:bidi w:val="0"/>
        <w:adjustRightInd w:val="0"/>
        <w:snapToGrid w:val="0"/>
        <w:spacing w:before="0"/>
        <w:ind w:firstLine="0" w:firstLineChars="0"/>
        <w:textAlignment w:val="auto"/>
        <w:rPr>
          <w:rFonts w:ascii="宋体" w:hAnsi="宋体" w:cs="宋体"/>
          <w:color w:val="auto"/>
          <w:highlight w:val="none"/>
        </w:rPr>
      </w:pPr>
      <w:r>
        <w:rPr>
          <w:rFonts w:hint="eastAsia" w:ascii="宋体" w:hAnsi="宋体" w:cs="宋体"/>
          <w:b/>
          <w:bCs/>
          <w:color w:val="auto"/>
          <w:highlight w:val="none"/>
        </w:rPr>
        <w:t>29.</w:t>
      </w:r>
      <w:r>
        <w:rPr>
          <w:rFonts w:hint="eastAsia" w:ascii="宋体" w:hAnsi="宋体" w:cs="宋体"/>
          <w:b/>
          <w:bCs/>
          <w:color w:val="auto"/>
          <w:highlight w:val="none"/>
          <w:lang w:val="en-US" w:eastAsia="zh-CN"/>
        </w:rPr>
        <w:t xml:space="preserve"> </w:t>
      </w:r>
      <w:r>
        <w:rPr>
          <w:rFonts w:hint="eastAsia" w:ascii="宋体" w:hAnsi="宋体" w:cs="宋体"/>
          <w:color w:val="auto"/>
          <w:highlight w:val="none"/>
        </w:rPr>
        <w:t>出现以上情形，不影响采购公平、公正性的，采购组织机构可以待上述情形消除后继续组织电子交易活动，也可以决定某些环节以纸质形式进行；影响或可能影响采购公平、公正性的，应当重新采购。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widowControl w:val="0"/>
        <w:kinsoku/>
        <w:wordWrap/>
        <w:overflowPunct/>
        <w:topLinePunct w:val="0"/>
        <w:autoSpaceDE/>
        <w:autoSpaceDN/>
        <w:bidi w:val="0"/>
        <w:adjustRightInd w:val="0"/>
        <w:snapToGrid w:val="0"/>
        <w:spacing w:line="360" w:lineRule="auto"/>
        <w:ind w:left="120" w:leftChars="57" w:firstLine="482" w:firstLineChars="150"/>
        <w:jc w:val="center"/>
        <w:textAlignment w:val="auto"/>
        <w:rPr>
          <w:rFonts w:ascii="宋体" w:hAnsi="宋体" w:cs="宋体"/>
          <w:b/>
          <w:color w:val="auto"/>
          <w:sz w:val="32"/>
          <w:highlight w:val="none"/>
        </w:rPr>
      </w:pPr>
      <w:r>
        <w:rPr>
          <w:rFonts w:hint="eastAsia" w:ascii="宋体" w:hAnsi="宋体" w:cs="宋体"/>
          <w:b/>
          <w:color w:val="auto"/>
          <w:sz w:val="32"/>
          <w:highlight w:val="none"/>
        </w:rPr>
        <w:t>九、验收</w:t>
      </w:r>
    </w:p>
    <w:p>
      <w:pPr>
        <w:pStyle w:val="24"/>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cs="宋体"/>
          <w:b/>
          <w:color w:val="auto"/>
          <w:highlight w:val="none"/>
        </w:rPr>
      </w:pPr>
      <w:r>
        <w:rPr>
          <w:rFonts w:hint="eastAsia" w:cs="宋体"/>
          <w:b/>
          <w:color w:val="auto"/>
          <w:highlight w:val="none"/>
        </w:rPr>
        <w:t>30. 验收</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80"/>
        <w:textAlignment w:val="auto"/>
        <w:rPr>
          <w:rFonts w:ascii="宋体" w:hAnsi="宋体" w:cs="宋体"/>
          <w:color w:val="auto"/>
          <w:kern w:val="0"/>
          <w:sz w:val="24"/>
          <w:highlight w:val="none"/>
        </w:rPr>
      </w:pPr>
      <w:r>
        <w:rPr>
          <w:rFonts w:hint="eastAsia" w:ascii="宋体" w:hAnsi="宋体" w:cs="宋体"/>
          <w:color w:val="auto"/>
          <w:kern w:val="0"/>
          <w:sz w:val="24"/>
          <w:highlight w:val="none"/>
        </w:rPr>
        <w:t>30.1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80"/>
        <w:textAlignment w:val="auto"/>
        <w:rPr>
          <w:rFonts w:ascii="宋体" w:hAnsi="宋体" w:cs="宋体"/>
          <w:color w:val="auto"/>
          <w:kern w:val="0"/>
          <w:sz w:val="24"/>
          <w:highlight w:val="none"/>
        </w:rPr>
      </w:pPr>
      <w:r>
        <w:rPr>
          <w:rFonts w:hint="eastAsia" w:ascii="宋体" w:hAnsi="宋体" w:cs="宋体"/>
          <w:color w:val="auto"/>
          <w:kern w:val="0"/>
          <w:sz w:val="24"/>
          <w:highlight w:val="none"/>
        </w:rPr>
        <w:t>30.2采购人可以邀请参加本项目的其他投标人或者第三方机构参与验收。参与验收的投标人或者第三方机构的意见作为验收书的参考资料一并存档。</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80"/>
        <w:textAlignment w:val="auto"/>
        <w:rPr>
          <w:rFonts w:ascii="宋体" w:hAnsi="宋体" w:cs="宋体"/>
          <w:color w:val="auto"/>
          <w:kern w:val="0"/>
          <w:sz w:val="24"/>
          <w:highlight w:val="none"/>
        </w:rPr>
      </w:pPr>
      <w:r>
        <w:rPr>
          <w:rFonts w:hint="eastAsia" w:ascii="宋体" w:hAnsi="宋体" w:cs="宋体"/>
          <w:color w:val="auto"/>
          <w:kern w:val="0"/>
          <w:sz w:val="24"/>
          <w:highlight w:val="none"/>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80"/>
        <w:textAlignment w:val="auto"/>
        <w:rPr>
          <w:rFonts w:ascii="宋体" w:hAnsi="宋体" w:cs="宋体"/>
          <w:color w:val="auto"/>
          <w:kern w:val="0"/>
          <w:sz w:val="24"/>
          <w:highlight w:val="none"/>
        </w:rPr>
      </w:pPr>
      <w:r>
        <w:rPr>
          <w:rFonts w:hint="eastAsia" w:ascii="宋体" w:hAnsi="宋体" w:cs="宋体"/>
          <w:color w:val="auto"/>
          <w:kern w:val="0"/>
          <w:sz w:val="24"/>
          <w:highlight w:val="none"/>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bookmarkEnd w:id="14"/>
      <w:bookmarkStart w:id="15" w:name="_Hlt74714665"/>
      <w:bookmarkEnd w:id="15"/>
      <w:bookmarkStart w:id="16" w:name="_Hlt75236011"/>
      <w:bookmarkEnd w:id="16"/>
      <w:bookmarkStart w:id="17" w:name="_Hlt68072990"/>
      <w:bookmarkEnd w:id="17"/>
      <w:bookmarkStart w:id="18" w:name="_Hlt75236290"/>
      <w:bookmarkEnd w:id="18"/>
      <w:bookmarkStart w:id="19" w:name="_Hlt74730295"/>
      <w:bookmarkEnd w:id="19"/>
      <w:bookmarkStart w:id="20" w:name="_Hlt74729768"/>
      <w:bookmarkEnd w:id="20"/>
      <w:bookmarkStart w:id="21" w:name="_Hlt68073093"/>
      <w:bookmarkEnd w:id="21"/>
      <w:bookmarkStart w:id="22" w:name="_Hlt74707468"/>
      <w:bookmarkEnd w:id="22"/>
      <w:bookmarkStart w:id="23" w:name="_Hlt68072998"/>
      <w:bookmarkEnd w:id="23"/>
      <w:bookmarkStart w:id="24" w:name="_Hlt68057669"/>
      <w:bookmarkEnd w:id="24"/>
      <w:bookmarkStart w:id="25" w:name="_Hlt68403820"/>
      <w:bookmarkEnd w:id="25"/>
      <w:bookmarkStart w:id="26" w:name="_Hlt75236101"/>
      <w:bookmarkEnd w:id="26"/>
      <w:r>
        <w:rPr>
          <w:rFonts w:hint="eastAsia" w:ascii="宋体" w:hAnsi="宋体" w:cs="宋体"/>
          <w:color w:val="auto"/>
          <w:kern w:val="0"/>
          <w:sz w:val="24"/>
          <w:highlight w:val="none"/>
        </w:rPr>
        <w:t>。</w:t>
      </w:r>
      <w:r>
        <w:rPr>
          <w:rFonts w:hint="eastAsia" w:ascii="宋体" w:hAnsi="宋体" w:cs="宋体"/>
          <w:color w:val="auto"/>
          <w:kern w:val="0"/>
          <w:sz w:val="24"/>
          <w:highlight w:val="none"/>
        </w:rPr>
        <w:br w:type="page"/>
      </w:r>
    </w:p>
    <w:bookmarkEnd w:id="9"/>
    <w:bookmarkEnd w:id="10"/>
    <w:p>
      <w:pPr>
        <w:spacing w:line="360" w:lineRule="auto"/>
        <w:jc w:val="center"/>
        <w:outlineLvl w:val="0"/>
        <w:rPr>
          <w:rFonts w:ascii="宋体" w:hAnsi="宋体" w:cs="宋体"/>
          <w:b/>
          <w:color w:val="auto"/>
          <w:sz w:val="36"/>
          <w:szCs w:val="36"/>
          <w:highlight w:val="none"/>
        </w:rPr>
      </w:pPr>
      <w:bookmarkStart w:id="27" w:name="第四部分"/>
      <w:r>
        <w:rPr>
          <w:rFonts w:hint="eastAsia" w:ascii="宋体" w:hAnsi="宋体" w:cs="宋体"/>
          <w:b/>
          <w:color w:val="auto"/>
          <w:sz w:val="36"/>
          <w:szCs w:val="36"/>
          <w:highlight w:val="none"/>
        </w:rPr>
        <w:t>第三部分</w:t>
      </w:r>
      <w:r>
        <w:rPr>
          <w:rFonts w:hint="eastAsia" w:ascii="宋体" w:hAnsi="宋体" w:cs="宋体"/>
          <w:b/>
          <w:color w:val="auto"/>
          <w:sz w:val="36"/>
          <w:szCs w:val="36"/>
          <w:highlight w:val="none"/>
          <w:lang w:val="en-US" w:eastAsia="zh-CN"/>
        </w:rPr>
        <w:t xml:space="preserve"> </w:t>
      </w:r>
      <w:r>
        <w:rPr>
          <w:rFonts w:hint="eastAsia" w:ascii="宋体" w:hAnsi="宋体" w:cs="宋体"/>
          <w:b/>
          <w:color w:val="auto"/>
          <w:sz w:val="36"/>
          <w:szCs w:val="36"/>
          <w:highlight w:val="none"/>
        </w:rPr>
        <w:t>采购需求</w:t>
      </w:r>
    </w:p>
    <w:p>
      <w:pPr>
        <w:snapToGrid w:val="0"/>
        <w:rPr>
          <w:rStyle w:val="962"/>
          <w:i w:val="0"/>
          <w:iCs w:val="0"/>
          <w:color w:val="auto"/>
          <w:highlight w:val="none"/>
        </w:rPr>
      </w:pPr>
      <w:r>
        <w:rPr>
          <w:rStyle w:val="962"/>
          <w:rFonts w:hint="eastAsia"/>
          <w:i w:val="0"/>
          <w:iCs w:val="0"/>
          <w:color w:val="auto"/>
          <w:highlight w:val="none"/>
        </w:rPr>
        <w:t>属于实质性要求条款的，请用符号“▲”标明，否则属于非实质性要求。“★”系产品采购项目中单一产品或核心产品。</w:t>
      </w:r>
    </w:p>
    <w:p>
      <w:pPr>
        <w:pStyle w:val="4"/>
        <w:numPr>
          <w:ilvl w:val="0"/>
          <w:numId w:val="0"/>
        </w:numPr>
        <w:ind w:leftChars="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一、</w:t>
      </w:r>
      <w:r>
        <w:rPr>
          <w:rFonts w:hint="eastAsia" w:asciiTheme="minorEastAsia" w:hAnsiTheme="minorEastAsia" w:eastAsiaTheme="minorEastAsia" w:cstheme="minorEastAsia"/>
          <w:color w:val="auto"/>
          <w:highlight w:val="none"/>
        </w:rPr>
        <w:t>招标一览表</w:t>
      </w:r>
    </w:p>
    <w:p>
      <w:pPr>
        <w:pStyle w:val="2"/>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标项一：金一金二党群服务中心办公家具采购项目</w:t>
      </w:r>
    </w:p>
    <w:tbl>
      <w:tblPr>
        <w:tblStyle w:val="62"/>
        <w:tblpPr w:leftFromText="180" w:rightFromText="180" w:vertAnchor="text" w:horzAnchor="margin" w:tblpY="63"/>
        <w:tblOverlap w:val="never"/>
        <w:tblW w:w="86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23"/>
        <w:gridCol w:w="1103"/>
        <w:gridCol w:w="508"/>
        <w:gridCol w:w="565"/>
        <w:gridCol w:w="991"/>
        <w:gridCol w:w="2993"/>
        <w:gridCol w:w="1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643" w:hRule="atLeast"/>
        </w:trPr>
        <w:tc>
          <w:tcPr>
            <w:tcW w:w="523" w:type="dxa"/>
            <w:tcMar>
              <w:top w:w="15" w:type="dxa"/>
              <w:left w:w="15" w:type="dxa"/>
              <w:bottom w:w="0" w:type="dxa"/>
              <w:right w:w="15" w:type="dxa"/>
            </w:tcMar>
            <w:vAlign w:val="center"/>
          </w:tcPr>
          <w:p>
            <w:pPr>
              <w:tabs>
                <w:tab w:val="left" w:pos="0"/>
              </w:tabs>
              <w:snapToGrid w:val="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序号</w:t>
            </w:r>
          </w:p>
        </w:tc>
        <w:tc>
          <w:tcPr>
            <w:tcW w:w="1103" w:type="dxa"/>
            <w:tcMar>
              <w:top w:w="15" w:type="dxa"/>
              <w:left w:w="15" w:type="dxa"/>
              <w:bottom w:w="0" w:type="dxa"/>
              <w:right w:w="15" w:type="dxa"/>
            </w:tcMar>
            <w:vAlign w:val="center"/>
          </w:tcPr>
          <w:p>
            <w:pPr>
              <w:tabs>
                <w:tab w:val="left" w:pos="0"/>
              </w:tabs>
              <w:snapToGrid w:val="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名称</w:t>
            </w:r>
          </w:p>
        </w:tc>
        <w:tc>
          <w:tcPr>
            <w:tcW w:w="508" w:type="dxa"/>
            <w:tcMar>
              <w:top w:w="15" w:type="dxa"/>
              <w:left w:w="15" w:type="dxa"/>
              <w:bottom w:w="0" w:type="dxa"/>
              <w:right w:w="15" w:type="dxa"/>
            </w:tcMar>
            <w:vAlign w:val="center"/>
          </w:tcPr>
          <w:p>
            <w:pPr>
              <w:tabs>
                <w:tab w:val="left" w:pos="0"/>
              </w:tabs>
              <w:snapToGrid w:val="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数量</w:t>
            </w:r>
          </w:p>
        </w:tc>
        <w:tc>
          <w:tcPr>
            <w:tcW w:w="565" w:type="dxa"/>
            <w:tcMar>
              <w:top w:w="15" w:type="dxa"/>
              <w:left w:w="15" w:type="dxa"/>
              <w:bottom w:w="0" w:type="dxa"/>
              <w:right w:w="15" w:type="dxa"/>
            </w:tcMar>
            <w:vAlign w:val="center"/>
          </w:tcPr>
          <w:p>
            <w:pPr>
              <w:tabs>
                <w:tab w:val="left" w:pos="0"/>
              </w:tabs>
              <w:snapToGrid w:val="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单位</w:t>
            </w:r>
          </w:p>
        </w:tc>
        <w:tc>
          <w:tcPr>
            <w:tcW w:w="991" w:type="dxa"/>
            <w:vAlign w:val="center"/>
          </w:tcPr>
          <w:p>
            <w:pPr>
              <w:tabs>
                <w:tab w:val="left" w:pos="0"/>
              </w:tabs>
              <w:snapToGrid w:val="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预算（元）</w:t>
            </w:r>
          </w:p>
        </w:tc>
        <w:tc>
          <w:tcPr>
            <w:tcW w:w="2993" w:type="dxa"/>
            <w:vAlign w:val="center"/>
          </w:tcPr>
          <w:p>
            <w:pPr>
              <w:tabs>
                <w:tab w:val="left" w:pos="0"/>
              </w:tabs>
              <w:snapToGrid w:val="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简要规格描述或基本情况介绍</w:t>
            </w:r>
          </w:p>
        </w:tc>
        <w:tc>
          <w:tcPr>
            <w:tcW w:w="1996" w:type="dxa"/>
            <w:vAlign w:val="center"/>
          </w:tcPr>
          <w:p>
            <w:pPr>
              <w:tabs>
                <w:tab w:val="left" w:pos="0"/>
              </w:tabs>
              <w:snapToGrid w:val="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最高限价（元）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33" w:hRule="atLeast"/>
        </w:trPr>
        <w:tc>
          <w:tcPr>
            <w:tcW w:w="523" w:type="dxa"/>
            <w:tcMar>
              <w:top w:w="15" w:type="dxa"/>
              <w:left w:w="15" w:type="dxa"/>
              <w:bottom w:w="0" w:type="dxa"/>
              <w:right w:w="15" w:type="dxa"/>
            </w:tcMar>
            <w:vAlign w:val="center"/>
          </w:tcPr>
          <w:p>
            <w:pPr>
              <w:jc w:val="center"/>
              <w:textAlignment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1</w:t>
            </w:r>
          </w:p>
        </w:tc>
        <w:tc>
          <w:tcPr>
            <w:tcW w:w="1103" w:type="dxa"/>
            <w:tcMar>
              <w:top w:w="15" w:type="dxa"/>
              <w:left w:w="15" w:type="dxa"/>
              <w:bottom w:w="0" w:type="dxa"/>
              <w:right w:w="15" w:type="dxa"/>
            </w:tcMar>
            <w:vAlign w:val="center"/>
          </w:tcPr>
          <w:p>
            <w:pPr>
              <w:jc w:val="center"/>
              <w:textAlignment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桌台类</w:t>
            </w:r>
          </w:p>
        </w:tc>
        <w:tc>
          <w:tcPr>
            <w:tcW w:w="508" w:type="dxa"/>
            <w:tcMar>
              <w:top w:w="15" w:type="dxa"/>
              <w:left w:w="15" w:type="dxa"/>
              <w:bottom w:w="0" w:type="dxa"/>
              <w:right w:w="15" w:type="dxa"/>
            </w:tcMar>
            <w:vAlign w:val="center"/>
          </w:tcPr>
          <w:p>
            <w:pPr>
              <w:jc w:val="center"/>
              <w:textAlignment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1</w:t>
            </w:r>
          </w:p>
        </w:tc>
        <w:tc>
          <w:tcPr>
            <w:tcW w:w="565" w:type="dxa"/>
            <w:tcMar>
              <w:top w:w="15" w:type="dxa"/>
              <w:left w:w="15" w:type="dxa"/>
              <w:bottom w:w="0" w:type="dxa"/>
              <w:right w:w="15" w:type="dxa"/>
            </w:tcMar>
            <w:vAlign w:val="center"/>
          </w:tcPr>
          <w:p>
            <w:pPr>
              <w:jc w:val="center"/>
              <w:textAlignment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批</w:t>
            </w:r>
          </w:p>
        </w:tc>
        <w:tc>
          <w:tcPr>
            <w:tcW w:w="991" w:type="dxa"/>
            <w:vAlign w:val="center"/>
          </w:tcPr>
          <w:p>
            <w:pPr>
              <w:jc w:val="center"/>
              <w:textAlignment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227040</w:t>
            </w:r>
          </w:p>
        </w:tc>
        <w:tc>
          <w:tcPr>
            <w:tcW w:w="2993" w:type="dxa"/>
            <w:vAlign w:val="center"/>
          </w:tcPr>
          <w:p>
            <w:pPr>
              <w:jc w:val="center"/>
              <w:textAlignment w:val="center"/>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eastAsia="zh-CN"/>
              </w:rPr>
              <w:t>详见</w:t>
            </w:r>
            <w:r>
              <w:rPr>
                <w:rFonts w:hint="eastAsia" w:asciiTheme="minorEastAsia" w:hAnsiTheme="minorEastAsia" w:eastAsiaTheme="minorEastAsia" w:cstheme="minorEastAsia"/>
                <w:color w:val="auto"/>
                <w:highlight w:val="none"/>
                <w:lang w:val="en-US" w:eastAsia="zh-CN"/>
              </w:rPr>
              <w:t>二、招标需求-技术需求</w:t>
            </w:r>
          </w:p>
          <w:p>
            <w:pPr>
              <w:jc w:val="center"/>
              <w:textAlignment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序号1-18</w:t>
            </w:r>
          </w:p>
        </w:tc>
        <w:tc>
          <w:tcPr>
            <w:tcW w:w="1996" w:type="dxa"/>
            <w:vAlign w:val="center"/>
          </w:tcPr>
          <w:p>
            <w:pPr>
              <w:jc w:val="center"/>
              <w:textAlignment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227040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33" w:hRule="atLeast"/>
        </w:trPr>
        <w:tc>
          <w:tcPr>
            <w:tcW w:w="523" w:type="dxa"/>
            <w:tcMar>
              <w:top w:w="15" w:type="dxa"/>
              <w:left w:w="15" w:type="dxa"/>
              <w:bottom w:w="0" w:type="dxa"/>
              <w:right w:w="15" w:type="dxa"/>
            </w:tcMar>
            <w:vAlign w:val="center"/>
          </w:tcPr>
          <w:p>
            <w:pPr>
              <w:jc w:val="center"/>
              <w:textAlignment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2</w:t>
            </w:r>
          </w:p>
        </w:tc>
        <w:tc>
          <w:tcPr>
            <w:tcW w:w="1103" w:type="dxa"/>
            <w:tcMar>
              <w:top w:w="15" w:type="dxa"/>
              <w:left w:w="15" w:type="dxa"/>
              <w:bottom w:w="0" w:type="dxa"/>
              <w:right w:w="15" w:type="dxa"/>
            </w:tcMar>
            <w:vAlign w:val="center"/>
          </w:tcPr>
          <w:p>
            <w:pPr>
              <w:jc w:val="center"/>
              <w:textAlignment w:val="center"/>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color w:val="auto"/>
                <w:highlight w:val="none"/>
                <w:lang w:val="en-US" w:eastAsia="zh-CN"/>
              </w:rPr>
              <w:t>椅凳类</w:t>
            </w:r>
          </w:p>
        </w:tc>
        <w:tc>
          <w:tcPr>
            <w:tcW w:w="508" w:type="dxa"/>
            <w:tcMar>
              <w:top w:w="15" w:type="dxa"/>
              <w:left w:w="15" w:type="dxa"/>
              <w:bottom w:w="0" w:type="dxa"/>
              <w:right w:w="15" w:type="dxa"/>
            </w:tcMar>
            <w:vAlign w:val="center"/>
          </w:tcPr>
          <w:p>
            <w:pPr>
              <w:jc w:val="center"/>
              <w:textAlignment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1</w:t>
            </w:r>
          </w:p>
        </w:tc>
        <w:tc>
          <w:tcPr>
            <w:tcW w:w="565" w:type="dxa"/>
            <w:tcMar>
              <w:top w:w="15" w:type="dxa"/>
              <w:left w:w="15" w:type="dxa"/>
              <w:bottom w:w="0" w:type="dxa"/>
              <w:right w:w="15" w:type="dxa"/>
            </w:tcMar>
            <w:vAlign w:val="center"/>
          </w:tcPr>
          <w:p>
            <w:pPr>
              <w:jc w:val="center"/>
              <w:textAlignment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批</w:t>
            </w:r>
          </w:p>
        </w:tc>
        <w:tc>
          <w:tcPr>
            <w:tcW w:w="991" w:type="dxa"/>
            <w:vAlign w:val="center"/>
          </w:tcPr>
          <w:p>
            <w:pPr>
              <w:jc w:val="center"/>
              <w:textAlignment w:val="center"/>
              <w:rPr>
                <w:rFonts w:hint="eastAsia" w:asciiTheme="minorEastAsia" w:hAnsiTheme="minorEastAsia" w:eastAsiaTheme="minorEastAsia" w:cstheme="minorEastAsia"/>
                <w:color w:val="auto"/>
                <w:highlight w:val="none"/>
                <w:lang w:bidi="ar"/>
              </w:rPr>
            </w:pPr>
            <w:r>
              <w:rPr>
                <w:rFonts w:hint="eastAsia" w:asciiTheme="minorEastAsia" w:hAnsiTheme="minorEastAsia" w:eastAsiaTheme="minorEastAsia" w:cstheme="minorEastAsia"/>
                <w:color w:val="auto"/>
                <w:highlight w:val="none"/>
                <w:lang w:val="en-US" w:eastAsia="zh-CN"/>
              </w:rPr>
              <w:t>166700</w:t>
            </w:r>
          </w:p>
        </w:tc>
        <w:tc>
          <w:tcPr>
            <w:tcW w:w="2993" w:type="dxa"/>
            <w:vAlign w:val="center"/>
          </w:tcPr>
          <w:p>
            <w:pPr>
              <w:jc w:val="center"/>
              <w:textAlignment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eastAsia="zh-CN"/>
              </w:rPr>
              <w:t>详见</w:t>
            </w:r>
            <w:r>
              <w:rPr>
                <w:rFonts w:hint="eastAsia" w:asciiTheme="minorEastAsia" w:hAnsiTheme="minorEastAsia" w:eastAsiaTheme="minorEastAsia" w:cstheme="minorEastAsia"/>
                <w:color w:val="auto"/>
                <w:highlight w:val="none"/>
                <w:lang w:val="en-US" w:eastAsia="zh-CN"/>
              </w:rPr>
              <w:t>二、招标需求-技术需求</w:t>
            </w:r>
            <w:r>
              <w:rPr>
                <w:rFonts w:hint="eastAsia" w:asciiTheme="minorEastAsia" w:hAnsiTheme="minorEastAsia" w:eastAsiaTheme="minorEastAsia" w:cstheme="minorEastAsia"/>
                <w:color w:val="auto"/>
                <w:highlight w:val="none"/>
                <w:lang w:val="en-US" w:eastAsia="zh-CN"/>
              </w:rPr>
              <w:br w:type="textWrapping"/>
            </w:r>
            <w:r>
              <w:rPr>
                <w:rFonts w:hint="eastAsia" w:asciiTheme="minorEastAsia" w:hAnsiTheme="minorEastAsia" w:eastAsiaTheme="minorEastAsia" w:cstheme="minorEastAsia"/>
                <w:color w:val="auto"/>
                <w:highlight w:val="none"/>
                <w:lang w:val="en-US" w:eastAsia="zh-CN"/>
              </w:rPr>
              <w:t>序号19-28</w:t>
            </w:r>
          </w:p>
        </w:tc>
        <w:tc>
          <w:tcPr>
            <w:tcW w:w="1996" w:type="dxa"/>
            <w:vAlign w:val="center"/>
          </w:tcPr>
          <w:p>
            <w:pPr>
              <w:jc w:val="center"/>
              <w:textAlignment w:val="center"/>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color w:val="auto"/>
                <w:highlight w:val="none"/>
                <w:lang w:val="en-US" w:eastAsia="zh-CN"/>
              </w:rPr>
              <w:t>166700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34" w:hRule="atLeast"/>
        </w:trPr>
        <w:tc>
          <w:tcPr>
            <w:tcW w:w="523" w:type="dxa"/>
            <w:tcMar>
              <w:top w:w="15" w:type="dxa"/>
              <w:left w:w="15" w:type="dxa"/>
              <w:bottom w:w="0" w:type="dxa"/>
              <w:right w:w="15" w:type="dxa"/>
            </w:tcMar>
            <w:vAlign w:val="center"/>
          </w:tcPr>
          <w:p>
            <w:pPr>
              <w:jc w:val="center"/>
              <w:textAlignment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3</w:t>
            </w:r>
          </w:p>
        </w:tc>
        <w:tc>
          <w:tcPr>
            <w:tcW w:w="1103" w:type="dxa"/>
            <w:tcMar>
              <w:top w:w="15" w:type="dxa"/>
              <w:left w:w="15" w:type="dxa"/>
              <w:bottom w:w="0" w:type="dxa"/>
              <w:right w:w="15" w:type="dxa"/>
            </w:tcMar>
            <w:vAlign w:val="center"/>
          </w:tcPr>
          <w:p>
            <w:pPr>
              <w:jc w:val="center"/>
              <w:textAlignment w:val="center"/>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color w:val="auto"/>
                <w:highlight w:val="none"/>
                <w:lang w:val="en-US" w:eastAsia="zh-CN"/>
              </w:rPr>
              <w:t>其他柜类</w:t>
            </w:r>
          </w:p>
        </w:tc>
        <w:tc>
          <w:tcPr>
            <w:tcW w:w="508" w:type="dxa"/>
            <w:tcMar>
              <w:top w:w="15" w:type="dxa"/>
              <w:left w:w="15" w:type="dxa"/>
              <w:bottom w:w="0" w:type="dxa"/>
              <w:right w:w="15" w:type="dxa"/>
            </w:tcMar>
            <w:vAlign w:val="center"/>
          </w:tcPr>
          <w:p>
            <w:pPr>
              <w:jc w:val="center"/>
              <w:textAlignment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1</w:t>
            </w:r>
          </w:p>
        </w:tc>
        <w:tc>
          <w:tcPr>
            <w:tcW w:w="565" w:type="dxa"/>
            <w:tcMar>
              <w:top w:w="15" w:type="dxa"/>
              <w:left w:w="15" w:type="dxa"/>
              <w:bottom w:w="0" w:type="dxa"/>
              <w:right w:w="15" w:type="dxa"/>
            </w:tcMar>
            <w:vAlign w:val="center"/>
          </w:tcPr>
          <w:p>
            <w:pPr>
              <w:jc w:val="center"/>
              <w:textAlignment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批</w:t>
            </w:r>
          </w:p>
        </w:tc>
        <w:tc>
          <w:tcPr>
            <w:tcW w:w="991" w:type="dxa"/>
            <w:vAlign w:val="center"/>
          </w:tcPr>
          <w:p>
            <w:pPr>
              <w:jc w:val="center"/>
              <w:textAlignment w:val="center"/>
              <w:rPr>
                <w:rFonts w:hint="eastAsia" w:asciiTheme="minorEastAsia" w:hAnsiTheme="minorEastAsia" w:eastAsiaTheme="minorEastAsia" w:cstheme="minorEastAsia"/>
                <w:color w:val="auto"/>
                <w:highlight w:val="none"/>
                <w:lang w:bidi="ar"/>
              </w:rPr>
            </w:pPr>
            <w:r>
              <w:rPr>
                <w:rFonts w:hint="eastAsia" w:asciiTheme="minorEastAsia" w:hAnsiTheme="minorEastAsia" w:eastAsiaTheme="minorEastAsia" w:cstheme="minorEastAsia"/>
                <w:color w:val="auto"/>
                <w:highlight w:val="none"/>
                <w:lang w:val="en-US" w:eastAsia="zh-CN"/>
              </w:rPr>
              <w:t>229120</w:t>
            </w:r>
          </w:p>
        </w:tc>
        <w:tc>
          <w:tcPr>
            <w:tcW w:w="2993" w:type="dxa"/>
            <w:vAlign w:val="center"/>
          </w:tcPr>
          <w:p>
            <w:pPr>
              <w:jc w:val="center"/>
              <w:textAlignment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eastAsia="zh-CN"/>
              </w:rPr>
              <w:t>详见</w:t>
            </w:r>
            <w:r>
              <w:rPr>
                <w:rFonts w:hint="eastAsia" w:asciiTheme="minorEastAsia" w:hAnsiTheme="minorEastAsia" w:eastAsiaTheme="minorEastAsia" w:cstheme="minorEastAsia"/>
                <w:color w:val="auto"/>
                <w:highlight w:val="none"/>
                <w:lang w:val="en-US" w:eastAsia="zh-CN"/>
              </w:rPr>
              <w:t>二、招标需求-技术需求</w:t>
            </w:r>
            <w:r>
              <w:rPr>
                <w:rFonts w:hint="eastAsia" w:asciiTheme="minorEastAsia" w:hAnsiTheme="minorEastAsia" w:eastAsiaTheme="minorEastAsia" w:cstheme="minorEastAsia"/>
                <w:color w:val="auto"/>
                <w:highlight w:val="none"/>
                <w:lang w:val="en-US" w:eastAsia="zh-CN"/>
              </w:rPr>
              <w:br w:type="textWrapping"/>
            </w:r>
            <w:r>
              <w:rPr>
                <w:rFonts w:hint="eastAsia" w:asciiTheme="minorEastAsia" w:hAnsiTheme="minorEastAsia" w:eastAsiaTheme="minorEastAsia" w:cstheme="minorEastAsia"/>
                <w:color w:val="auto"/>
                <w:highlight w:val="none"/>
                <w:lang w:val="en-US" w:eastAsia="zh-CN"/>
              </w:rPr>
              <w:t>序号29-39</w:t>
            </w:r>
          </w:p>
        </w:tc>
        <w:tc>
          <w:tcPr>
            <w:tcW w:w="1996" w:type="dxa"/>
            <w:vAlign w:val="center"/>
          </w:tcPr>
          <w:p>
            <w:pPr>
              <w:jc w:val="center"/>
              <w:textAlignment w:val="center"/>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color w:val="auto"/>
                <w:highlight w:val="none"/>
                <w:lang w:val="en-US" w:eastAsia="zh-CN"/>
              </w:rPr>
              <w:t>229120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34" w:hRule="atLeast"/>
        </w:trPr>
        <w:tc>
          <w:tcPr>
            <w:tcW w:w="523" w:type="dxa"/>
            <w:tcMar>
              <w:top w:w="15" w:type="dxa"/>
              <w:left w:w="15" w:type="dxa"/>
              <w:bottom w:w="0" w:type="dxa"/>
              <w:right w:w="15" w:type="dxa"/>
            </w:tcMar>
            <w:vAlign w:val="center"/>
          </w:tcPr>
          <w:p>
            <w:pPr>
              <w:jc w:val="center"/>
              <w:textAlignment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4</w:t>
            </w:r>
          </w:p>
        </w:tc>
        <w:tc>
          <w:tcPr>
            <w:tcW w:w="1103" w:type="dxa"/>
            <w:tcMar>
              <w:top w:w="15" w:type="dxa"/>
              <w:left w:w="15" w:type="dxa"/>
              <w:bottom w:w="0" w:type="dxa"/>
              <w:right w:w="15" w:type="dxa"/>
            </w:tcMar>
            <w:vAlign w:val="center"/>
          </w:tcPr>
          <w:p>
            <w:pPr>
              <w:jc w:val="center"/>
              <w:textAlignment w:val="center"/>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color w:val="auto"/>
                <w:highlight w:val="none"/>
                <w:lang w:val="en-US" w:eastAsia="zh-CN"/>
              </w:rPr>
              <w:t>其他沙发类</w:t>
            </w:r>
          </w:p>
        </w:tc>
        <w:tc>
          <w:tcPr>
            <w:tcW w:w="508" w:type="dxa"/>
            <w:tcMar>
              <w:top w:w="15" w:type="dxa"/>
              <w:left w:w="15" w:type="dxa"/>
              <w:bottom w:w="0" w:type="dxa"/>
              <w:right w:w="15" w:type="dxa"/>
            </w:tcMar>
            <w:vAlign w:val="center"/>
          </w:tcPr>
          <w:p>
            <w:pPr>
              <w:jc w:val="center"/>
              <w:textAlignment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1</w:t>
            </w:r>
          </w:p>
        </w:tc>
        <w:tc>
          <w:tcPr>
            <w:tcW w:w="565" w:type="dxa"/>
            <w:tcMar>
              <w:top w:w="15" w:type="dxa"/>
              <w:left w:w="15" w:type="dxa"/>
              <w:bottom w:w="0" w:type="dxa"/>
              <w:right w:w="15" w:type="dxa"/>
            </w:tcMar>
            <w:vAlign w:val="center"/>
          </w:tcPr>
          <w:p>
            <w:pPr>
              <w:jc w:val="center"/>
              <w:textAlignment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批</w:t>
            </w:r>
          </w:p>
        </w:tc>
        <w:tc>
          <w:tcPr>
            <w:tcW w:w="991" w:type="dxa"/>
            <w:vAlign w:val="center"/>
          </w:tcPr>
          <w:p>
            <w:pPr>
              <w:jc w:val="center"/>
              <w:textAlignment w:val="center"/>
              <w:rPr>
                <w:rFonts w:hint="eastAsia" w:asciiTheme="minorEastAsia" w:hAnsiTheme="minorEastAsia" w:eastAsiaTheme="minorEastAsia" w:cstheme="minorEastAsia"/>
                <w:color w:val="auto"/>
                <w:highlight w:val="none"/>
                <w:lang w:bidi="ar"/>
              </w:rPr>
            </w:pPr>
            <w:r>
              <w:rPr>
                <w:rFonts w:hint="eastAsia" w:asciiTheme="minorEastAsia" w:hAnsiTheme="minorEastAsia" w:eastAsiaTheme="minorEastAsia" w:cstheme="minorEastAsia"/>
                <w:color w:val="auto"/>
                <w:highlight w:val="none"/>
                <w:lang w:val="en-US" w:eastAsia="zh-CN"/>
              </w:rPr>
              <w:t>44140</w:t>
            </w:r>
          </w:p>
        </w:tc>
        <w:tc>
          <w:tcPr>
            <w:tcW w:w="2993" w:type="dxa"/>
            <w:vAlign w:val="center"/>
          </w:tcPr>
          <w:p>
            <w:pPr>
              <w:jc w:val="center"/>
              <w:textAlignment w:val="center"/>
              <w:rPr>
                <w:rFonts w:hint="eastAsia" w:asciiTheme="minorEastAsia" w:hAnsiTheme="minorEastAsia" w:eastAsiaTheme="minorEastAsia" w:cstheme="minorEastAsia"/>
                <w:color w:val="auto"/>
                <w:highlight w:val="none"/>
                <w:lang w:eastAsia="zh-Hans"/>
              </w:rPr>
            </w:pPr>
            <w:r>
              <w:rPr>
                <w:rFonts w:hint="eastAsia" w:asciiTheme="minorEastAsia" w:hAnsiTheme="minorEastAsia" w:eastAsiaTheme="minorEastAsia" w:cstheme="minorEastAsia"/>
                <w:color w:val="auto"/>
                <w:highlight w:val="none"/>
                <w:lang w:eastAsia="zh-CN"/>
              </w:rPr>
              <w:t>详见</w:t>
            </w:r>
            <w:r>
              <w:rPr>
                <w:rFonts w:hint="eastAsia" w:asciiTheme="minorEastAsia" w:hAnsiTheme="minorEastAsia" w:eastAsiaTheme="minorEastAsia" w:cstheme="minorEastAsia"/>
                <w:color w:val="auto"/>
                <w:highlight w:val="none"/>
                <w:lang w:val="en-US" w:eastAsia="zh-CN"/>
              </w:rPr>
              <w:t>二、招标需求-技术需求</w:t>
            </w:r>
            <w:r>
              <w:rPr>
                <w:rFonts w:hint="eastAsia" w:asciiTheme="minorEastAsia" w:hAnsiTheme="minorEastAsia" w:eastAsiaTheme="minorEastAsia" w:cstheme="minorEastAsia"/>
                <w:color w:val="auto"/>
                <w:highlight w:val="none"/>
                <w:lang w:val="en-US" w:eastAsia="zh-CN"/>
              </w:rPr>
              <w:br w:type="textWrapping"/>
            </w:r>
            <w:r>
              <w:rPr>
                <w:rFonts w:hint="eastAsia" w:asciiTheme="minorEastAsia" w:hAnsiTheme="minorEastAsia" w:eastAsiaTheme="minorEastAsia" w:cstheme="minorEastAsia"/>
                <w:color w:val="auto"/>
                <w:highlight w:val="none"/>
                <w:lang w:val="en-US" w:eastAsia="zh-CN"/>
              </w:rPr>
              <w:t>序号40-46</w:t>
            </w:r>
          </w:p>
        </w:tc>
        <w:tc>
          <w:tcPr>
            <w:tcW w:w="1996" w:type="dxa"/>
            <w:vAlign w:val="center"/>
          </w:tcPr>
          <w:p>
            <w:pPr>
              <w:jc w:val="center"/>
              <w:textAlignment w:val="center"/>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color w:val="auto"/>
                <w:highlight w:val="none"/>
                <w:lang w:val="en-US" w:eastAsia="zh-CN"/>
              </w:rPr>
              <w:t>44140</w:t>
            </w:r>
          </w:p>
        </w:tc>
      </w:tr>
    </w:tbl>
    <w:p>
      <w:pPr>
        <w:pStyle w:val="4"/>
        <w:ind w:left="0" w:firstLine="0"/>
        <w:rPr>
          <w:rFonts w:hint="eastAsia" w:asciiTheme="minorEastAsia" w:hAnsiTheme="minorEastAsia" w:eastAsiaTheme="minorEastAsia" w:cstheme="minorEastAsia"/>
          <w:b w:val="0"/>
          <w:bCs w:val="0"/>
          <w:color w:val="auto"/>
          <w:sz w:val="21"/>
          <w:szCs w:val="24"/>
          <w:highlight w:val="none"/>
          <w:lang w:val="en-US"/>
        </w:rPr>
      </w:pPr>
      <w:r>
        <w:rPr>
          <w:rFonts w:hint="eastAsia" w:asciiTheme="minorEastAsia" w:hAnsiTheme="minorEastAsia" w:eastAsiaTheme="minorEastAsia" w:cstheme="minorEastAsia"/>
          <w:color w:val="auto"/>
          <w:sz w:val="22"/>
          <w:szCs w:val="22"/>
          <w:highlight w:val="none"/>
        </w:rPr>
        <w:t>注：▲投标人需在投标（开标）一览表中明确投标报价（总价）及以上各分项小计报价，各分项小计报价不得超过上表各最高限价。</w:t>
      </w:r>
      <w:r>
        <w:rPr>
          <w:rFonts w:hint="eastAsia" w:asciiTheme="minorEastAsia" w:hAnsiTheme="minorEastAsia" w:eastAsiaTheme="minorEastAsia" w:cstheme="minorEastAsia"/>
          <w:b w:val="0"/>
          <w:bCs w:val="0"/>
          <w:color w:val="auto"/>
          <w:sz w:val="21"/>
          <w:szCs w:val="24"/>
          <w:highlight w:val="none"/>
          <w:lang w:val="en-US"/>
        </w:rPr>
        <w:t>严格执行预算限价，项目如涉及办公用房装修、通用办公设备家具的不得超限额标准。（萧财国资【2019】389号）</w:t>
      </w:r>
    </w:p>
    <w:p>
      <w:pPr>
        <w:rPr>
          <w:rFonts w:hint="eastAsia" w:asciiTheme="minorEastAsia" w:hAnsiTheme="minorEastAsia" w:eastAsiaTheme="minorEastAsia" w:cstheme="minorEastAsia"/>
          <w:b w:val="0"/>
          <w:bCs w:val="0"/>
          <w:color w:val="auto"/>
          <w:sz w:val="21"/>
          <w:szCs w:val="24"/>
          <w:highlight w:val="none"/>
          <w:lang w:val="en-US"/>
        </w:rPr>
      </w:pPr>
      <w:r>
        <w:rPr>
          <w:rFonts w:hint="eastAsia" w:asciiTheme="minorEastAsia" w:hAnsiTheme="minorEastAsia" w:eastAsiaTheme="minorEastAsia" w:cstheme="minorEastAsia"/>
          <w:b w:val="0"/>
          <w:bCs w:val="0"/>
          <w:color w:val="auto"/>
          <w:sz w:val="21"/>
          <w:szCs w:val="24"/>
          <w:highlight w:val="none"/>
          <w:lang w:val="en-US"/>
        </w:rPr>
        <w:br w:type="page"/>
      </w:r>
    </w:p>
    <w:p>
      <w:pPr>
        <w:spacing w:line="440" w:lineRule="exact"/>
        <w:outlineLvl w:val="0"/>
        <w:rPr>
          <w:rFonts w:ascii="宋体" w:hAnsi="宋体" w:cs="宋体"/>
          <w:color w:val="auto"/>
          <w:sz w:val="24"/>
          <w:highlight w:val="none"/>
        </w:rPr>
      </w:pPr>
      <w:r>
        <w:rPr>
          <w:rFonts w:hint="eastAsia" w:ascii="宋体" w:hAnsi="宋体" w:cs="宋体"/>
          <w:color w:val="auto"/>
          <w:sz w:val="24"/>
          <w:highlight w:val="none"/>
        </w:rPr>
        <w:t>附件：</w:t>
      </w:r>
    </w:p>
    <w:p>
      <w:pPr>
        <w:spacing w:line="440" w:lineRule="exact"/>
        <w:outlineLvl w:val="0"/>
        <w:rPr>
          <w:rFonts w:ascii="宋体" w:hAnsi="宋体" w:cs="宋体"/>
          <w:color w:val="auto"/>
          <w:sz w:val="24"/>
          <w:highlight w:val="none"/>
        </w:rPr>
      </w:pPr>
    </w:p>
    <w:p>
      <w:pPr>
        <w:jc w:val="center"/>
        <w:rPr>
          <w:rFonts w:ascii="宋体" w:hAnsi="宋体" w:cs="宋体"/>
          <w:b/>
          <w:bCs/>
          <w:color w:val="auto"/>
          <w:sz w:val="24"/>
          <w:highlight w:val="none"/>
          <w:lang w:val="zh-CN"/>
        </w:rPr>
      </w:pPr>
      <w:r>
        <w:rPr>
          <w:rFonts w:hint="eastAsia" w:ascii="宋体" w:hAnsi="宋体" w:cs="宋体"/>
          <w:b/>
          <w:bCs/>
          <w:color w:val="auto"/>
          <w:sz w:val="24"/>
          <w:highlight w:val="none"/>
          <w:lang w:val="zh-CN"/>
        </w:rPr>
        <w:t>杭州市萧山区区级行政事业单位通用</w:t>
      </w:r>
    </w:p>
    <w:p>
      <w:pPr>
        <w:jc w:val="center"/>
        <w:rPr>
          <w:rFonts w:ascii="宋体" w:hAnsi="宋体" w:cs="宋体"/>
          <w:b/>
          <w:bCs/>
          <w:color w:val="auto"/>
          <w:sz w:val="24"/>
          <w:highlight w:val="none"/>
          <w:lang w:val="zh-CN"/>
        </w:rPr>
      </w:pPr>
      <w:r>
        <w:rPr>
          <w:rFonts w:hint="eastAsia" w:ascii="宋体" w:hAnsi="宋体" w:cs="宋体"/>
          <w:b/>
          <w:bCs/>
          <w:color w:val="auto"/>
          <w:sz w:val="24"/>
          <w:highlight w:val="none"/>
          <w:lang w:val="zh-CN"/>
        </w:rPr>
        <w:t>办公家具配置标准表</w:t>
      </w:r>
    </w:p>
    <w:p>
      <w:pPr>
        <w:spacing w:line="440" w:lineRule="exact"/>
        <w:jc w:val="center"/>
        <w:rPr>
          <w:rFonts w:ascii="宋体" w:hAnsi="宋体" w:cs="宋体"/>
          <w:color w:val="auto"/>
          <w:sz w:val="24"/>
          <w:highlight w:val="none"/>
        </w:rPr>
      </w:pPr>
    </w:p>
    <w:tbl>
      <w:tblPr>
        <w:tblStyle w:val="62"/>
        <w:tblpPr w:leftFromText="180" w:rightFromText="180" w:vertAnchor="text" w:tblpXSpec="center" w:tblpY="1"/>
        <w:tblOverlap w:val="never"/>
        <w:tblW w:w="9438" w:type="dxa"/>
        <w:jc w:val="center"/>
        <w:tblLayout w:type="fixed"/>
        <w:tblCellMar>
          <w:top w:w="0" w:type="dxa"/>
          <w:left w:w="108" w:type="dxa"/>
          <w:bottom w:w="0" w:type="dxa"/>
          <w:right w:w="108" w:type="dxa"/>
        </w:tblCellMar>
      </w:tblPr>
      <w:tblGrid>
        <w:gridCol w:w="674"/>
        <w:gridCol w:w="710"/>
        <w:gridCol w:w="647"/>
        <w:gridCol w:w="1338"/>
        <w:gridCol w:w="1984"/>
        <w:gridCol w:w="1745"/>
        <w:gridCol w:w="1170"/>
        <w:gridCol w:w="1170"/>
      </w:tblGrid>
      <w:tr>
        <w:tblPrEx>
          <w:tblCellMar>
            <w:top w:w="0" w:type="dxa"/>
            <w:left w:w="108" w:type="dxa"/>
            <w:bottom w:w="0" w:type="dxa"/>
            <w:right w:w="108" w:type="dxa"/>
          </w:tblCellMar>
        </w:tblPrEx>
        <w:trPr>
          <w:trHeight w:val="618" w:hRule="atLeast"/>
          <w:jc w:val="center"/>
        </w:trPr>
        <w:tc>
          <w:tcPr>
            <w:tcW w:w="67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宋体"/>
                <w:b/>
                <w:color w:val="auto"/>
                <w:sz w:val="24"/>
                <w:highlight w:val="none"/>
              </w:rPr>
            </w:pPr>
            <w:r>
              <w:rPr>
                <w:rFonts w:hint="eastAsia" w:ascii="宋体" w:hAnsi="宋体" w:cs="宋体"/>
                <w:b/>
                <w:color w:val="auto"/>
                <w:sz w:val="24"/>
                <w:highlight w:val="none"/>
              </w:rPr>
              <w:t>分类</w:t>
            </w:r>
          </w:p>
        </w:tc>
        <w:tc>
          <w:tcPr>
            <w:tcW w:w="710"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cs="宋体"/>
                <w:b/>
                <w:color w:val="auto"/>
                <w:sz w:val="24"/>
                <w:highlight w:val="none"/>
              </w:rPr>
            </w:pPr>
            <w:r>
              <w:rPr>
                <w:rFonts w:hint="eastAsia" w:ascii="宋体" w:hAnsi="宋体" w:cs="宋体"/>
                <w:b/>
                <w:color w:val="auto"/>
                <w:sz w:val="24"/>
                <w:highlight w:val="none"/>
              </w:rPr>
              <w:t>级别</w:t>
            </w:r>
          </w:p>
        </w:tc>
        <w:tc>
          <w:tcPr>
            <w:tcW w:w="1985"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cs="宋体"/>
                <w:b/>
                <w:color w:val="auto"/>
                <w:sz w:val="24"/>
                <w:highlight w:val="none"/>
              </w:rPr>
            </w:pPr>
            <w:r>
              <w:rPr>
                <w:rFonts w:hint="eastAsia" w:ascii="宋体" w:hAnsi="宋体" w:cs="宋体"/>
                <w:b/>
                <w:color w:val="auto"/>
                <w:sz w:val="24"/>
                <w:highlight w:val="none"/>
              </w:rPr>
              <w:t>资产品目</w:t>
            </w:r>
          </w:p>
        </w:tc>
        <w:tc>
          <w:tcPr>
            <w:tcW w:w="1984"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cs="宋体"/>
                <w:b/>
                <w:color w:val="auto"/>
                <w:sz w:val="24"/>
                <w:highlight w:val="none"/>
              </w:rPr>
            </w:pPr>
            <w:r>
              <w:rPr>
                <w:rFonts w:hint="eastAsia" w:ascii="宋体" w:hAnsi="宋体" w:cs="宋体"/>
                <w:b/>
                <w:color w:val="auto"/>
                <w:kern w:val="0"/>
                <w:sz w:val="24"/>
                <w:highlight w:val="none"/>
              </w:rPr>
              <w:t>价格上限</w:t>
            </w:r>
          </w:p>
        </w:tc>
        <w:tc>
          <w:tcPr>
            <w:tcW w:w="174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宋体"/>
                <w:b/>
                <w:color w:val="auto"/>
                <w:sz w:val="24"/>
                <w:highlight w:val="none"/>
              </w:rPr>
            </w:pPr>
            <w:r>
              <w:rPr>
                <w:rFonts w:hint="eastAsia" w:ascii="宋体" w:hAnsi="宋体" w:cs="宋体"/>
                <w:b/>
                <w:color w:val="auto"/>
                <w:sz w:val="24"/>
                <w:highlight w:val="none"/>
              </w:rPr>
              <w:t>数量上限</w:t>
            </w:r>
          </w:p>
        </w:tc>
        <w:tc>
          <w:tcPr>
            <w:tcW w:w="1170" w:type="dxa"/>
            <w:tcBorders>
              <w:top w:val="single" w:color="auto" w:sz="4" w:space="0"/>
              <w:left w:val="single" w:color="auto" w:sz="4" w:space="0"/>
              <w:bottom w:val="single" w:color="auto" w:sz="4" w:space="0"/>
              <w:right w:val="single" w:color="auto" w:sz="4" w:space="0"/>
            </w:tcBorders>
          </w:tcPr>
          <w:p>
            <w:pPr>
              <w:spacing w:line="240" w:lineRule="exact"/>
              <w:jc w:val="center"/>
              <w:rPr>
                <w:rFonts w:ascii="宋体" w:hAnsi="宋体" w:cs="宋体"/>
                <w:b/>
                <w:color w:val="auto"/>
                <w:kern w:val="0"/>
                <w:sz w:val="24"/>
                <w:highlight w:val="none"/>
              </w:rPr>
            </w:pPr>
          </w:p>
          <w:p>
            <w:pPr>
              <w:spacing w:line="240" w:lineRule="exact"/>
              <w:jc w:val="center"/>
              <w:rPr>
                <w:rFonts w:ascii="宋体" w:hAnsi="宋体" w:cs="宋体"/>
                <w:b/>
                <w:color w:val="auto"/>
                <w:kern w:val="0"/>
                <w:sz w:val="24"/>
                <w:highlight w:val="none"/>
              </w:rPr>
            </w:pPr>
            <w:r>
              <w:rPr>
                <w:rFonts w:hint="eastAsia" w:ascii="宋体" w:hAnsi="宋体" w:cs="宋体"/>
                <w:b/>
                <w:color w:val="auto"/>
                <w:kern w:val="0"/>
                <w:sz w:val="24"/>
                <w:highlight w:val="none"/>
              </w:rPr>
              <w:t>年限要求</w:t>
            </w:r>
          </w:p>
        </w:tc>
        <w:tc>
          <w:tcPr>
            <w:tcW w:w="117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宋体"/>
                <w:b/>
                <w:color w:val="auto"/>
                <w:sz w:val="24"/>
                <w:highlight w:val="none"/>
              </w:rPr>
            </w:pPr>
            <w:r>
              <w:rPr>
                <w:rFonts w:hint="eastAsia" w:ascii="宋体" w:hAnsi="宋体" w:cs="宋体"/>
                <w:b/>
                <w:color w:val="auto"/>
                <w:kern w:val="0"/>
                <w:sz w:val="24"/>
                <w:highlight w:val="none"/>
              </w:rPr>
              <w:t>性能要求</w:t>
            </w:r>
          </w:p>
        </w:tc>
      </w:tr>
      <w:tr>
        <w:tblPrEx>
          <w:tblCellMar>
            <w:top w:w="0" w:type="dxa"/>
            <w:left w:w="108" w:type="dxa"/>
            <w:bottom w:w="0" w:type="dxa"/>
            <w:right w:w="108" w:type="dxa"/>
          </w:tblCellMar>
        </w:tblPrEx>
        <w:trPr>
          <w:trHeight w:val="352" w:hRule="atLeast"/>
          <w:jc w:val="center"/>
        </w:trPr>
        <w:tc>
          <w:tcPr>
            <w:tcW w:w="674" w:type="dxa"/>
            <w:vMerge w:val="restart"/>
            <w:tcBorders>
              <w:top w:val="nil"/>
              <w:left w:val="single" w:color="auto" w:sz="4" w:space="0"/>
              <w:right w:val="single" w:color="auto" w:sz="4" w:space="0"/>
            </w:tcBorders>
            <w:vAlign w:val="center"/>
          </w:tcPr>
          <w:p>
            <w:pPr>
              <w:widowControl/>
              <w:spacing w:line="240" w:lineRule="exact"/>
              <w:ind w:firstLine="120" w:firstLineChars="50"/>
              <w:rPr>
                <w:rFonts w:ascii="宋体" w:hAnsi="宋体" w:cs="宋体"/>
                <w:color w:val="auto"/>
                <w:sz w:val="24"/>
                <w:highlight w:val="none"/>
              </w:rPr>
            </w:pPr>
            <w:r>
              <w:rPr>
                <w:rFonts w:hint="eastAsia" w:ascii="宋体" w:hAnsi="宋体" w:cs="宋体"/>
                <w:color w:val="auto"/>
                <w:sz w:val="24"/>
                <w:highlight w:val="none"/>
              </w:rPr>
              <w:t>办</w:t>
            </w:r>
          </w:p>
          <w:p>
            <w:pPr>
              <w:widowControl/>
              <w:spacing w:line="240" w:lineRule="exact"/>
              <w:jc w:val="center"/>
              <w:rPr>
                <w:rFonts w:ascii="宋体" w:hAnsi="宋体" w:cs="宋体"/>
                <w:color w:val="auto"/>
                <w:sz w:val="24"/>
                <w:highlight w:val="none"/>
              </w:rPr>
            </w:pPr>
            <w:r>
              <w:rPr>
                <w:rFonts w:hint="eastAsia" w:ascii="宋体" w:hAnsi="宋体" w:cs="宋体"/>
                <w:color w:val="auto"/>
                <w:sz w:val="24"/>
                <w:highlight w:val="none"/>
              </w:rPr>
              <w:t>公</w:t>
            </w:r>
          </w:p>
          <w:p>
            <w:pPr>
              <w:widowControl/>
              <w:spacing w:line="240" w:lineRule="exact"/>
              <w:jc w:val="center"/>
              <w:rPr>
                <w:rFonts w:ascii="宋体" w:hAnsi="宋体" w:cs="宋体"/>
                <w:color w:val="auto"/>
                <w:sz w:val="24"/>
                <w:highlight w:val="none"/>
              </w:rPr>
            </w:pPr>
            <w:r>
              <w:rPr>
                <w:rFonts w:hint="eastAsia" w:ascii="宋体" w:hAnsi="宋体" w:cs="宋体"/>
                <w:color w:val="auto"/>
                <w:sz w:val="24"/>
                <w:highlight w:val="none"/>
              </w:rPr>
              <w:t>室</w:t>
            </w:r>
          </w:p>
        </w:tc>
        <w:tc>
          <w:tcPr>
            <w:tcW w:w="710" w:type="dxa"/>
            <w:vMerge w:val="restart"/>
            <w:tcBorders>
              <w:top w:val="nil"/>
              <w:left w:val="nil"/>
              <w:right w:val="single" w:color="auto" w:sz="4" w:space="0"/>
            </w:tcBorders>
            <w:vAlign w:val="center"/>
          </w:tcPr>
          <w:p>
            <w:pPr>
              <w:spacing w:line="240" w:lineRule="exact"/>
              <w:rPr>
                <w:rFonts w:ascii="宋体" w:hAnsi="宋体" w:cs="宋体"/>
                <w:color w:val="auto"/>
                <w:sz w:val="24"/>
                <w:highlight w:val="none"/>
              </w:rPr>
            </w:pPr>
            <w:r>
              <w:rPr>
                <w:rFonts w:hint="eastAsia" w:ascii="宋体" w:hAnsi="宋体" w:cs="宋体"/>
                <w:color w:val="auto"/>
                <w:sz w:val="24"/>
                <w:highlight w:val="none"/>
              </w:rPr>
              <w:t>处级</w:t>
            </w:r>
          </w:p>
        </w:tc>
        <w:tc>
          <w:tcPr>
            <w:tcW w:w="1985"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cs="宋体"/>
                <w:color w:val="auto"/>
                <w:sz w:val="24"/>
                <w:highlight w:val="none"/>
              </w:rPr>
            </w:pPr>
            <w:r>
              <w:rPr>
                <w:rFonts w:hint="eastAsia" w:ascii="宋体" w:hAnsi="宋体" w:cs="宋体"/>
                <w:color w:val="auto"/>
                <w:sz w:val="24"/>
                <w:highlight w:val="none"/>
              </w:rPr>
              <w:t>办公桌</w:t>
            </w:r>
          </w:p>
        </w:tc>
        <w:tc>
          <w:tcPr>
            <w:tcW w:w="1984" w:type="dxa"/>
            <w:vMerge w:val="restart"/>
            <w:tcBorders>
              <w:top w:val="single" w:color="auto" w:sz="4" w:space="0"/>
              <w:left w:val="nil"/>
              <w:right w:val="single" w:color="auto" w:sz="4" w:space="0"/>
            </w:tcBorders>
            <w:vAlign w:val="center"/>
          </w:tcPr>
          <w:p>
            <w:pPr>
              <w:spacing w:line="240" w:lineRule="exact"/>
              <w:jc w:val="center"/>
              <w:rPr>
                <w:rFonts w:ascii="宋体" w:hAnsi="宋体" w:cs="宋体"/>
                <w:color w:val="auto"/>
                <w:sz w:val="24"/>
                <w:highlight w:val="none"/>
              </w:rPr>
            </w:pPr>
            <w:r>
              <w:rPr>
                <w:rFonts w:hint="eastAsia" w:ascii="宋体" w:hAnsi="宋体" w:cs="宋体"/>
                <w:color w:val="auto"/>
                <w:sz w:val="24"/>
                <w:highlight w:val="none"/>
              </w:rPr>
              <w:t>4000元/套</w:t>
            </w:r>
          </w:p>
        </w:tc>
        <w:tc>
          <w:tcPr>
            <w:tcW w:w="174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宋体"/>
                <w:color w:val="auto"/>
                <w:sz w:val="24"/>
                <w:highlight w:val="none"/>
              </w:rPr>
            </w:pPr>
            <w:r>
              <w:rPr>
                <w:rFonts w:hint="eastAsia" w:ascii="宋体" w:hAnsi="宋体" w:cs="宋体"/>
                <w:color w:val="auto"/>
                <w:sz w:val="24"/>
                <w:highlight w:val="none"/>
              </w:rPr>
              <w:t>1张/人</w:t>
            </w:r>
          </w:p>
        </w:tc>
        <w:tc>
          <w:tcPr>
            <w:tcW w:w="1170" w:type="dxa"/>
            <w:tcBorders>
              <w:top w:val="single" w:color="auto" w:sz="4" w:space="0"/>
              <w:left w:val="single" w:color="auto" w:sz="4" w:space="0"/>
              <w:bottom w:val="single" w:color="auto" w:sz="4" w:space="0"/>
              <w:right w:val="single" w:color="auto" w:sz="4" w:space="0"/>
            </w:tcBorders>
          </w:tcPr>
          <w:p>
            <w:pPr>
              <w:spacing w:line="276"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15</w:t>
            </w:r>
          </w:p>
        </w:tc>
        <w:tc>
          <w:tcPr>
            <w:tcW w:w="1170" w:type="dxa"/>
            <w:vMerge w:val="restart"/>
            <w:tcBorders>
              <w:top w:val="single" w:color="auto" w:sz="4" w:space="0"/>
              <w:left w:val="single" w:color="auto" w:sz="4" w:space="0"/>
              <w:bottom w:val="single" w:color="auto" w:sz="4" w:space="0"/>
              <w:right w:val="single" w:color="auto" w:sz="4" w:space="0"/>
            </w:tcBorders>
            <w:vAlign w:val="center"/>
          </w:tcPr>
          <w:p>
            <w:pPr>
              <w:spacing w:line="240" w:lineRule="exact"/>
              <w:rPr>
                <w:rFonts w:ascii="宋体" w:hAnsi="宋体" w:cs="宋体"/>
                <w:color w:val="auto"/>
                <w:sz w:val="24"/>
                <w:highlight w:val="none"/>
              </w:rPr>
            </w:pPr>
            <w:r>
              <w:rPr>
                <w:rFonts w:hint="eastAsia" w:ascii="宋体" w:hAnsi="宋体" w:cs="宋体"/>
                <w:color w:val="auto"/>
                <w:kern w:val="0"/>
                <w:sz w:val="24"/>
                <w:highlight w:val="none"/>
              </w:rPr>
              <w:t>充分考虑办公布局，符合简朴实用、经济耐用要求，不得配置豪华家具，不得使用名贵木材。</w:t>
            </w:r>
          </w:p>
        </w:tc>
      </w:tr>
      <w:tr>
        <w:tblPrEx>
          <w:tblCellMar>
            <w:top w:w="0" w:type="dxa"/>
            <w:left w:w="108" w:type="dxa"/>
            <w:bottom w:w="0" w:type="dxa"/>
            <w:right w:w="108" w:type="dxa"/>
          </w:tblCellMar>
        </w:tblPrEx>
        <w:trPr>
          <w:trHeight w:val="432" w:hRule="atLeast"/>
          <w:jc w:val="center"/>
        </w:trPr>
        <w:tc>
          <w:tcPr>
            <w:tcW w:w="674" w:type="dxa"/>
            <w:vMerge w:val="continue"/>
            <w:tcBorders>
              <w:left w:val="single" w:color="auto" w:sz="4" w:space="0"/>
              <w:right w:val="single" w:color="auto" w:sz="4" w:space="0"/>
            </w:tcBorders>
            <w:vAlign w:val="center"/>
          </w:tcPr>
          <w:p>
            <w:pPr>
              <w:widowControl/>
              <w:spacing w:line="240" w:lineRule="exact"/>
              <w:jc w:val="center"/>
              <w:rPr>
                <w:rFonts w:ascii="宋体" w:hAnsi="宋体" w:cs="宋体"/>
                <w:color w:val="auto"/>
                <w:sz w:val="24"/>
                <w:highlight w:val="none"/>
              </w:rPr>
            </w:pPr>
          </w:p>
        </w:tc>
        <w:tc>
          <w:tcPr>
            <w:tcW w:w="710" w:type="dxa"/>
            <w:vMerge w:val="continue"/>
            <w:tcBorders>
              <w:left w:val="nil"/>
              <w:right w:val="single" w:color="auto" w:sz="4" w:space="0"/>
            </w:tcBorders>
            <w:vAlign w:val="center"/>
          </w:tcPr>
          <w:p>
            <w:pPr>
              <w:widowControl/>
              <w:spacing w:line="240" w:lineRule="exact"/>
              <w:jc w:val="center"/>
              <w:rPr>
                <w:rFonts w:ascii="宋体" w:hAnsi="宋体" w:cs="宋体"/>
                <w:color w:val="auto"/>
                <w:sz w:val="24"/>
                <w:highlight w:val="none"/>
              </w:rPr>
            </w:pPr>
          </w:p>
        </w:tc>
        <w:tc>
          <w:tcPr>
            <w:tcW w:w="1985"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cs="宋体"/>
                <w:color w:val="auto"/>
                <w:sz w:val="24"/>
                <w:highlight w:val="none"/>
              </w:rPr>
            </w:pPr>
            <w:r>
              <w:rPr>
                <w:rFonts w:hint="eastAsia" w:ascii="宋体" w:hAnsi="宋体" w:cs="宋体"/>
                <w:color w:val="auto"/>
                <w:sz w:val="24"/>
                <w:highlight w:val="none"/>
              </w:rPr>
              <w:t>办公椅</w:t>
            </w:r>
          </w:p>
        </w:tc>
        <w:tc>
          <w:tcPr>
            <w:tcW w:w="1984" w:type="dxa"/>
            <w:vMerge w:val="continue"/>
            <w:tcBorders>
              <w:left w:val="nil"/>
              <w:bottom w:val="single" w:color="auto" w:sz="4" w:space="0"/>
              <w:right w:val="single" w:color="auto" w:sz="4" w:space="0"/>
            </w:tcBorders>
            <w:vAlign w:val="center"/>
          </w:tcPr>
          <w:p>
            <w:pPr>
              <w:spacing w:line="240" w:lineRule="exact"/>
              <w:jc w:val="center"/>
              <w:rPr>
                <w:rFonts w:ascii="宋体" w:hAnsi="宋体" w:cs="宋体"/>
                <w:color w:val="auto"/>
                <w:sz w:val="24"/>
                <w:highlight w:val="none"/>
              </w:rPr>
            </w:pPr>
          </w:p>
        </w:tc>
        <w:tc>
          <w:tcPr>
            <w:tcW w:w="174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宋体"/>
                <w:color w:val="auto"/>
                <w:sz w:val="24"/>
                <w:highlight w:val="none"/>
              </w:rPr>
            </w:pPr>
            <w:r>
              <w:rPr>
                <w:rFonts w:hint="eastAsia" w:ascii="宋体" w:hAnsi="宋体" w:cs="宋体"/>
                <w:color w:val="auto"/>
                <w:sz w:val="24"/>
                <w:highlight w:val="none"/>
              </w:rPr>
              <w:t>1张/人</w:t>
            </w:r>
          </w:p>
        </w:tc>
        <w:tc>
          <w:tcPr>
            <w:tcW w:w="1170" w:type="dxa"/>
            <w:tcBorders>
              <w:top w:val="single" w:color="auto" w:sz="4" w:space="0"/>
              <w:left w:val="single" w:color="auto" w:sz="4" w:space="0"/>
              <w:bottom w:val="single" w:color="auto" w:sz="4" w:space="0"/>
              <w:right w:val="single" w:color="auto" w:sz="4" w:space="0"/>
            </w:tcBorders>
          </w:tcPr>
          <w:p>
            <w:pPr>
              <w:spacing w:line="276" w:lineRule="auto"/>
              <w:jc w:val="center"/>
              <w:rPr>
                <w:rFonts w:ascii="宋体" w:hAnsi="宋体" w:cs="宋体"/>
                <w:color w:val="auto"/>
                <w:sz w:val="24"/>
                <w:highlight w:val="none"/>
              </w:rPr>
            </w:pPr>
            <w:r>
              <w:rPr>
                <w:rFonts w:hint="eastAsia" w:ascii="宋体" w:hAnsi="宋体" w:cs="宋体"/>
                <w:color w:val="auto"/>
                <w:sz w:val="24"/>
                <w:highlight w:val="none"/>
              </w:rPr>
              <w:t>15</w:t>
            </w:r>
          </w:p>
        </w:tc>
        <w:tc>
          <w:tcPr>
            <w:tcW w:w="1170" w:type="dxa"/>
            <w:vMerge w:val="continue"/>
            <w:tcBorders>
              <w:top w:val="single" w:color="auto" w:sz="4" w:space="0"/>
              <w:left w:val="single" w:color="auto" w:sz="4" w:space="0"/>
              <w:bottom w:val="single" w:color="auto" w:sz="4" w:space="0"/>
              <w:right w:val="single" w:color="auto" w:sz="4" w:space="0"/>
            </w:tcBorders>
          </w:tcPr>
          <w:p>
            <w:pPr>
              <w:spacing w:line="240" w:lineRule="exact"/>
              <w:jc w:val="center"/>
              <w:rPr>
                <w:rFonts w:ascii="宋体" w:hAnsi="宋体" w:cs="宋体"/>
                <w:color w:val="auto"/>
                <w:sz w:val="24"/>
                <w:highlight w:val="none"/>
              </w:rPr>
            </w:pPr>
          </w:p>
        </w:tc>
      </w:tr>
      <w:tr>
        <w:tblPrEx>
          <w:tblCellMar>
            <w:top w:w="0" w:type="dxa"/>
            <w:left w:w="108" w:type="dxa"/>
            <w:bottom w:w="0" w:type="dxa"/>
            <w:right w:w="108" w:type="dxa"/>
          </w:tblCellMar>
        </w:tblPrEx>
        <w:trPr>
          <w:trHeight w:val="397" w:hRule="exact"/>
          <w:jc w:val="center"/>
        </w:trPr>
        <w:tc>
          <w:tcPr>
            <w:tcW w:w="674" w:type="dxa"/>
            <w:vMerge w:val="continue"/>
            <w:tcBorders>
              <w:left w:val="single" w:color="auto" w:sz="4" w:space="0"/>
              <w:right w:val="single" w:color="auto" w:sz="4" w:space="0"/>
            </w:tcBorders>
            <w:vAlign w:val="center"/>
          </w:tcPr>
          <w:p>
            <w:pPr>
              <w:widowControl/>
              <w:spacing w:line="240" w:lineRule="exact"/>
              <w:jc w:val="center"/>
              <w:rPr>
                <w:rFonts w:ascii="宋体" w:hAnsi="宋体" w:cs="宋体"/>
                <w:color w:val="auto"/>
                <w:sz w:val="24"/>
                <w:highlight w:val="none"/>
              </w:rPr>
            </w:pPr>
          </w:p>
        </w:tc>
        <w:tc>
          <w:tcPr>
            <w:tcW w:w="710" w:type="dxa"/>
            <w:vMerge w:val="continue"/>
            <w:tcBorders>
              <w:left w:val="nil"/>
              <w:right w:val="single" w:color="auto" w:sz="4" w:space="0"/>
            </w:tcBorders>
            <w:vAlign w:val="center"/>
          </w:tcPr>
          <w:p>
            <w:pPr>
              <w:widowControl/>
              <w:spacing w:line="240" w:lineRule="exact"/>
              <w:jc w:val="center"/>
              <w:rPr>
                <w:rFonts w:ascii="宋体" w:hAnsi="宋体" w:cs="宋体"/>
                <w:color w:val="auto"/>
                <w:sz w:val="24"/>
                <w:highlight w:val="none"/>
              </w:rPr>
            </w:pPr>
          </w:p>
        </w:tc>
        <w:tc>
          <w:tcPr>
            <w:tcW w:w="1985"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cs="宋体"/>
                <w:color w:val="auto"/>
                <w:sz w:val="24"/>
                <w:highlight w:val="none"/>
              </w:rPr>
            </w:pPr>
            <w:r>
              <w:rPr>
                <w:rFonts w:hint="eastAsia" w:ascii="宋体" w:hAnsi="宋体" w:cs="宋体"/>
                <w:color w:val="auto"/>
                <w:sz w:val="24"/>
                <w:highlight w:val="none"/>
              </w:rPr>
              <w:t>文件柜</w:t>
            </w:r>
          </w:p>
        </w:tc>
        <w:tc>
          <w:tcPr>
            <w:tcW w:w="1984"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cs="宋体"/>
                <w:color w:val="auto"/>
                <w:sz w:val="24"/>
                <w:highlight w:val="none"/>
              </w:rPr>
            </w:pPr>
            <w:r>
              <w:rPr>
                <w:rFonts w:hint="eastAsia" w:ascii="宋体" w:hAnsi="宋体" w:cs="宋体"/>
                <w:color w:val="auto"/>
                <w:sz w:val="24"/>
                <w:highlight w:val="none"/>
              </w:rPr>
              <w:t>1500元/组</w:t>
            </w:r>
          </w:p>
        </w:tc>
        <w:tc>
          <w:tcPr>
            <w:tcW w:w="174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宋体"/>
                <w:color w:val="auto"/>
                <w:sz w:val="24"/>
                <w:highlight w:val="none"/>
              </w:rPr>
            </w:pPr>
            <w:r>
              <w:rPr>
                <w:rFonts w:hint="eastAsia" w:ascii="宋体" w:hAnsi="宋体" w:cs="宋体"/>
                <w:color w:val="auto"/>
                <w:sz w:val="24"/>
                <w:highlight w:val="none"/>
              </w:rPr>
              <w:t>2组/人</w:t>
            </w:r>
          </w:p>
        </w:tc>
        <w:tc>
          <w:tcPr>
            <w:tcW w:w="1170" w:type="dxa"/>
            <w:tcBorders>
              <w:top w:val="single" w:color="auto" w:sz="4" w:space="0"/>
              <w:left w:val="single" w:color="auto" w:sz="4" w:space="0"/>
              <w:bottom w:val="single" w:color="auto" w:sz="4" w:space="0"/>
              <w:right w:val="single" w:color="auto" w:sz="4" w:space="0"/>
            </w:tcBorders>
          </w:tcPr>
          <w:p>
            <w:pPr>
              <w:spacing w:line="276" w:lineRule="auto"/>
              <w:jc w:val="center"/>
              <w:rPr>
                <w:rFonts w:ascii="宋体" w:hAnsi="宋体" w:cs="宋体"/>
                <w:color w:val="auto"/>
                <w:sz w:val="24"/>
                <w:highlight w:val="none"/>
              </w:rPr>
            </w:pPr>
            <w:r>
              <w:rPr>
                <w:rFonts w:hint="eastAsia" w:ascii="宋体" w:hAnsi="宋体" w:cs="宋体"/>
                <w:color w:val="auto"/>
                <w:sz w:val="24"/>
                <w:highlight w:val="none"/>
              </w:rPr>
              <w:t>15</w:t>
            </w:r>
          </w:p>
        </w:tc>
        <w:tc>
          <w:tcPr>
            <w:tcW w:w="1170" w:type="dxa"/>
            <w:vMerge w:val="continue"/>
            <w:tcBorders>
              <w:top w:val="single" w:color="auto" w:sz="4" w:space="0"/>
              <w:left w:val="single" w:color="auto" w:sz="4" w:space="0"/>
              <w:bottom w:val="single" w:color="auto" w:sz="4" w:space="0"/>
              <w:right w:val="single" w:color="auto" w:sz="4" w:space="0"/>
            </w:tcBorders>
          </w:tcPr>
          <w:p>
            <w:pPr>
              <w:spacing w:line="240" w:lineRule="exact"/>
              <w:jc w:val="center"/>
              <w:rPr>
                <w:rFonts w:ascii="宋体" w:hAnsi="宋体" w:cs="宋体"/>
                <w:color w:val="auto"/>
                <w:sz w:val="24"/>
                <w:highlight w:val="none"/>
              </w:rPr>
            </w:pPr>
          </w:p>
        </w:tc>
      </w:tr>
      <w:tr>
        <w:tblPrEx>
          <w:tblCellMar>
            <w:top w:w="0" w:type="dxa"/>
            <w:left w:w="108" w:type="dxa"/>
            <w:bottom w:w="0" w:type="dxa"/>
            <w:right w:w="108" w:type="dxa"/>
          </w:tblCellMar>
        </w:tblPrEx>
        <w:trPr>
          <w:trHeight w:val="501" w:hRule="atLeast"/>
          <w:jc w:val="center"/>
        </w:trPr>
        <w:tc>
          <w:tcPr>
            <w:tcW w:w="674" w:type="dxa"/>
            <w:vMerge w:val="continue"/>
            <w:tcBorders>
              <w:left w:val="single" w:color="auto" w:sz="4" w:space="0"/>
              <w:right w:val="single" w:color="auto" w:sz="4" w:space="0"/>
            </w:tcBorders>
            <w:vAlign w:val="center"/>
          </w:tcPr>
          <w:p>
            <w:pPr>
              <w:widowControl/>
              <w:spacing w:line="240" w:lineRule="exact"/>
              <w:jc w:val="center"/>
              <w:rPr>
                <w:rFonts w:ascii="宋体" w:hAnsi="宋体" w:cs="宋体"/>
                <w:color w:val="auto"/>
                <w:sz w:val="24"/>
                <w:highlight w:val="none"/>
              </w:rPr>
            </w:pPr>
          </w:p>
        </w:tc>
        <w:tc>
          <w:tcPr>
            <w:tcW w:w="710" w:type="dxa"/>
            <w:vMerge w:val="continue"/>
            <w:tcBorders>
              <w:left w:val="nil"/>
              <w:right w:val="single" w:color="auto" w:sz="4" w:space="0"/>
            </w:tcBorders>
            <w:vAlign w:val="center"/>
          </w:tcPr>
          <w:p>
            <w:pPr>
              <w:widowControl/>
              <w:spacing w:line="240" w:lineRule="exact"/>
              <w:jc w:val="center"/>
              <w:rPr>
                <w:rFonts w:ascii="宋体" w:hAnsi="宋体" w:cs="宋体"/>
                <w:color w:val="auto"/>
                <w:sz w:val="24"/>
                <w:highlight w:val="none"/>
              </w:rPr>
            </w:pPr>
          </w:p>
        </w:tc>
        <w:tc>
          <w:tcPr>
            <w:tcW w:w="647" w:type="dxa"/>
            <w:vMerge w:val="restart"/>
            <w:tcBorders>
              <w:top w:val="single" w:color="auto" w:sz="4" w:space="0"/>
              <w:left w:val="nil"/>
              <w:right w:val="single" w:color="auto" w:sz="4" w:space="0"/>
            </w:tcBorders>
            <w:vAlign w:val="center"/>
          </w:tcPr>
          <w:p>
            <w:pPr>
              <w:spacing w:line="240" w:lineRule="exact"/>
              <w:jc w:val="center"/>
              <w:rPr>
                <w:rFonts w:ascii="宋体" w:hAnsi="宋体" w:cs="宋体"/>
                <w:color w:val="auto"/>
                <w:sz w:val="24"/>
                <w:highlight w:val="none"/>
              </w:rPr>
            </w:pPr>
            <w:r>
              <w:rPr>
                <w:rFonts w:hint="eastAsia" w:ascii="宋体" w:hAnsi="宋体" w:cs="宋体"/>
                <w:color w:val="auto"/>
                <w:sz w:val="24"/>
                <w:highlight w:val="none"/>
              </w:rPr>
              <w:t>沙发</w:t>
            </w:r>
          </w:p>
        </w:tc>
        <w:tc>
          <w:tcPr>
            <w:tcW w:w="133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宋体"/>
                <w:color w:val="auto"/>
                <w:sz w:val="24"/>
                <w:highlight w:val="none"/>
              </w:rPr>
            </w:pPr>
            <w:r>
              <w:rPr>
                <w:rFonts w:hint="eastAsia" w:ascii="宋体" w:hAnsi="宋体" w:cs="宋体"/>
                <w:color w:val="auto"/>
                <w:sz w:val="24"/>
                <w:highlight w:val="none"/>
              </w:rPr>
              <w:t>三人沙发</w:t>
            </w:r>
          </w:p>
        </w:tc>
        <w:tc>
          <w:tcPr>
            <w:tcW w:w="1984" w:type="dxa"/>
            <w:tcBorders>
              <w:top w:val="single" w:color="auto" w:sz="4" w:space="0"/>
              <w:left w:val="nil"/>
              <w:bottom w:val="single" w:color="auto" w:sz="4" w:space="0"/>
              <w:right w:val="single" w:color="auto" w:sz="4" w:space="0"/>
            </w:tcBorders>
            <w:vAlign w:val="center"/>
          </w:tcPr>
          <w:p>
            <w:pPr>
              <w:spacing w:line="2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3000元/张</w:t>
            </w:r>
          </w:p>
        </w:tc>
        <w:tc>
          <w:tcPr>
            <w:tcW w:w="1745" w:type="dxa"/>
            <w:vMerge w:val="restart"/>
            <w:tcBorders>
              <w:top w:val="single" w:color="auto" w:sz="4" w:space="0"/>
              <w:left w:val="single" w:color="auto" w:sz="4" w:space="0"/>
              <w:right w:val="single" w:color="auto" w:sz="4" w:space="0"/>
            </w:tcBorders>
            <w:vAlign w:val="center"/>
          </w:tcPr>
          <w:p>
            <w:pPr>
              <w:spacing w:line="240" w:lineRule="exact"/>
              <w:jc w:val="center"/>
              <w:rPr>
                <w:rFonts w:ascii="宋体" w:hAnsi="宋体" w:cs="宋体"/>
                <w:color w:val="auto"/>
                <w:sz w:val="24"/>
                <w:highlight w:val="none"/>
              </w:rPr>
            </w:pPr>
            <w:r>
              <w:rPr>
                <w:rFonts w:hint="eastAsia" w:ascii="宋体" w:hAnsi="宋体" w:cs="宋体"/>
                <w:color w:val="auto"/>
                <w:sz w:val="24"/>
                <w:highlight w:val="none"/>
              </w:rPr>
              <w:t>三人沙发1张或单人沙发1对/办公室</w:t>
            </w:r>
          </w:p>
        </w:tc>
        <w:tc>
          <w:tcPr>
            <w:tcW w:w="1170" w:type="dxa"/>
            <w:vMerge w:val="restart"/>
            <w:tcBorders>
              <w:top w:val="single" w:color="auto" w:sz="4" w:space="0"/>
              <w:left w:val="single" w:color="auto" w:sz="4" w:space="0"/>
              <w:right w:val="single" w:color="auto" w:sz="4" w:space="0"/>
            </w:tcBorders>
          </w:tcPr>
          <w:p>
            <w:pPr>
              <w:spacing w:line="240" w:lineRule="exact"/>
              <w:jc w:val="center"/>
              <w:rPr>
                <w:rFonts w:ascii="宋体" w:hAnsi="宋体" w:cs="宋体"/>
                <w:color w:val="auto"/>
                <w:sz w:val="24"/>
                <w:highlight w:val="none"/>
              </w:rPr>
            </w:pPr>
          </w:p>
          <w:p>
            <w:pPr>
              <w:spacing w:line="240" w:lineRule="exact"/>
              <w:jc w:val="center"/>
              <w:rPr>
                <w:rFonts w:ascii="宋体" w:hAnsi="宋体" w:cs="宋体"/>
                <w:color w:val="auto"/>
                <w:sz w:val="24"/>
                <w:highlight w:val="none"/>
              </w:rPr>
            </w:pPr>
            <w:r>
              <w:rPr>
                <w:rFonts w:hint="eastAsia" w:ascii="宋体" w:hAnsi="宋体" w:cs="宋体"/>
                <w:color w:val="auto"/>
                <w:sz w:val="24"/>
                <w:highlight w:val="none"/>
              </w:rPr>
              <w:t>15</w:t>
            </w:r>
          </w:p>
        </w:tc>
        <w:tc>
          <w:tcPr>
            <w:tcW w:w="1170" w:type="dxa"/>
            <w:vMerge w:val="continue"/>
            <w:tcBorders>
              <w:top w:val="single" w:color="auto" w:sz="4" w:space="0"/>
              <w:left w:val="single" w:color="auto" w:sz="4" w:space="0"/>
              <w:bottom w:val="single" w:color="auto" w:sz="4" w:space="0"/>
              <w:right w:val="single" w:color="auto" w:sz="4" w:space="0"/>
            </w:tcBorders>
          </w:tcPr>
          <w:p>
            <w:pPr>
              <w:spacing w:line="240" w:lineRule="exact"/>
              <w:jc w:val="center"/>
              <w:rPr>
                <w:rFonts w:ascii="宋体" w:hAnsi="宋体" w:cs="宋体"/>
                <w:color w:val="auto"/>
                <w:sz w:val="24"/>
                <w:highlight w:val="none"/>
              </w:rPr>
            </w:pPr>
          </w:p>
        </w:tc>
      </w:tr>
      <w:tr>
        <w:tblPrEx>
          <w:tblCellMar>
            <w:top w:w="0" w:type="dxa"/>
            <w:left w:w="108" w:type="dxa"/>
            <w:bottom w:w="0" w:type="dxa"/>
            <w:right w:w="108" w:type="dxa"/>
          </w:tblCellMar>
        </w:tblPrEx>
        <w:trPr>
          <w:trHeight w:val="494" w:hRule="atLeast"/>
          <w:jc w:val="center"/>
        </w:trPr>
        <w:tc>
          <w:tcPr>
            <w:tcW w:w="674" w:type="dxa"/>
            <w:vMerge w:val="continue"/>
            <w:tcBorders>
              <w:left w:val="single" w:color="auto" w:sz="4" w:space="0"/>
              <w:right w:val="single" w:color="auto" w:sz="4" w:space="0"/>
            </w:tcBorders>
            <w:vAlign w:val="center"/>
          </w:tcPr>
          <w:p>
            <w:pPr>
              <w:widowControl/>
              <w:spacing w:line="240" w:lineRule="exact"/>
              <w:jc w:val="center"/>
              <w:rPr>
                <w:rFonts w:ascii="宋体" w:hAnsi="宋体" w:cs="宋体"/>
                <w:color w:val="auto"/>
                <w:sz w:val="24"/>
                <w:highlight w:val="none"/>
              </w:rPr>
            </w:pPr>
          </w:p>
        </w:tc>
        <w:tc>
          <w:tcPr>
            <w:tcW w:w="710" w:type="dxa"/>
            <w:vMerge w:val="continue"/>
            <w:tcBorders>
              <w:left w:val="nil"/>
              <w:right w:val="single" w:color="auto" w:sz="4" w:space="0"/>
            </w:tcBorders>
            <w:vAlign w:val="center"/>
          </w:tcPr>
          <w:p>
            <w:pPr>
              <w:widowControl/>
              <w:spacing w:line="240" w:lineRule="exact"/>
              <w:jc w:val="center"/>
              <w:rPr>
                <w:rFonts w:ascii="宋体" w:hAnsi="宋体" w:cs="宋体"/>
                <w:color w:val="auto"/>
                <w:sz w:val="24"/>
                <w:highlight w:val="none"/>
              </w:rPr>
            </w:pPr>
          </w:p>
        </w:tc>
        <w:tc>
          <w:tcPr>
            <w:tcW w:w="647" w:type="dxa"/>
            <w:vMerge w:val="continue"/>
            <w:tcBorders>
              <w:left w:val="nil"/>
              <w:bottom w:val="single" w:color="auto" w:sz="4" w:space="0"/>
              <w:right w:val="single" w:color="auto" w:sz="4" w:space="0"/>
            </w:tcBorders>
            <w:vAlign w:val="center"/>
          </w:tcPr>
          <w:p>
            <w:pPr>
              <w:spacing w:line="240" w:lineRule="exact"/>
              <w:jc w:val="center"/>
              <w:rPr>
                <w:rFonts w:ascii="宋体" w:hAnsi="宋体" w:cs="宋体"/>
                <w:color w:val="auto"/>
                <w:sz w:val="24"/>
                <w:highlight w:val="none"/>
              </w:rPr>
            </w:pPr>
          </w:p>
        </w:tc>
        <w:tc>
          <w:tcPr>
            <w:tcW w:w="133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宋体"/>
                <w:color w:val="auto"/>
                <w:sz w:val="24"/>
                <w:highlight w:val="none"/>
              </w:rPr>
            </w:pPr>
            <w:r>
              <w:rPr>
                <w:rFonts w:hint="eastAsia" w:ascii="宋体" w:hAnsi="宋体" w:cs="宋体"/>
                <w:color w:val="auto"/>
                <w:sz w:val="24"/>
                <w:highlight w:val="none"/>
              </w:rPr>
              <w:t>单人沙发</w:t>
            </w:r>
          </w:p>
        </w:tc>
        <w:tc>
          <w:tcPr>
            <w:tcW w:w="1984"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cs="宋体"/>
                <w:color w:val="auto"/>
                <w:sz w:val="24"/>
                <w:highlight w:val="none"/>
              </w:rPr>
            </w:pPr>
            <w:r>
              <w:rPr>
                <w:rFonts w:hint="eastAsia" w:ascii="宋体" w:hAnsi="宋体" w:cs="宋体"/>
                <w:color w:val="auto"/>
                <w:sz w:val="24"/>
                <w:highlight w:val="none"/>
              </w:rPr>
              <w:t>1500元/个</w:t>
            </w:r>
          </w:p>
        </w:tc>
        <w:tc>
          <w:tcPr>
            <w:tcW w:w="1745" w:type="dxa"/>
            <w:vMerge w:val="continue"/>
            <w:tcBorders>
              <w:left w:val="single" w:color="auto" w:sz="4" w:space="0"/>
              <w:bottom w:val="single" w:color="auto" w:sz="4" w:space="0"/>
              <w:right w:val="single" w:color="auto" w:sz="4" w:space="0"/>
            </w:tcBorders>
            <w:vAlign w:val="center"/>
          </w:tcPr>
          <w:p>
            <w:pPr>
              <w:spacing w:line="240" w:lineRule="exact"/>
              <w:jc w:val="center"/>
              <w:rPr>
                <w:rFonts w:ascii="宋体" w:hAnsi="宋体" w:cs="宋体"/>
                <w:color w:val="auto"/>
                <w:sz w:val="24"/>
                <w:highlight w:val="none"/>
              </w:rPr>
            </w:pPr>
          </w:p>
        </w:tc>
        <w:tc>
          <w:tcPr>
            <w:tcW w:w="1170" w:type="dxa"/>
            <w:vMerge w:val="continue"/>
            <w:tcBorders>
              <w:left w:val="single" w:color="auto" w:sz="4" w:space="0"/>
              <w:bottom w:val="single" w:color="auto" w:sz="4" w:space="0"/>
              <w:right w:val="single" w:color="auto" w:sz="4" w:space="0"/>
            </w:tcBorders>
          </w:tcPr>
          <w:p>
            <w:pPr>
              <w:spacing w:line="240" w:lineRule="exact"/>
              <w:jc w:val="center"/>
              <w:rPr>
                <w:rFonts w:ascii="宋体" w:hAnsi="宋体" w:cs="宋体"/>
                <w:color w:val="auto"/>
                <w:sz w:val="24"/>
                <w:highlight w:val="none"/>
              </w:rPr>
            </w:pPr>
          </w:p>
        </w:tc>
        <w:tc>
          <w:tcPr>
            <w:tcW w:w="1170" w:type="dxa"/>
            <w:vMerge w:val="continue"/>
            <w:tcBorders>
              <w:top w:val="single" w:color="auto" w:sz="4" w:space="0"/>
              <w:left w:val="single" w:color="auto" w:sz="4" w:space="0"/>
              <w:bottom w:val="single" w:color="auto" w:sz="4" w:space="0"/>
              <w:right w:val="single" w:color="auto" w:sz="4" w:space="0"/>
            </w:tcBorders>
          </w:tcPr>
          <w:p>
            <w:pPr>
              <w:spacing w:line="240" w:lineRule="exact"/>
              <w:jc w:val="center"/>
              <w:rPr>
                <w:rFonts w:ascii="宋体" w:hAnsi="宋体" w:cs="宋体"/>
                <w:color w:val="auto"/>
                <w:sz w:val="24"/>
                <w:highlight w:val="none"/>
              </w:rPr>
            </w:pPr>
          </w:p>
        </w:tc>
      </w:tr>
      <w:tr>
        <w:tblPrEx>
          <w:tblCellMar>
            <w:top w:w="0" w:type="dxa"/>
            <w:left w:w="108" w:type="dxa"/>
            <w:bottom w:w="0" w:type="dxa"/>
            <w:right w:w="108" w:type="dxa"/>
          </w:tblCellMar>
        </w:tblPrEx>
        <w:trPr>
          <w:trHeight w:val="397" w:hRule="exact"/>
          <w:jc w:val="center"/>
        </w:trPr>
        <w:tc>
          <w:tcPr>
            <w:tcW w:w="674" w:type="dxa"/>
            <w:vMerge w:val="continue"/>
            <w:tcBorders>
              <w:left w:val="single" w:color="auto" w:sz="4" w:space="0"/>
              <w:right w:val="single" w:color="auto" w:sz="4" w:space="0"/>
            </w:tcBorders>
            <w:vAlign w:val="center"/>
          </w:tcPr>
          <w:p>
            <w:pPr>
              <w:widowControl/>
              <w:spacing w:line="240" w:lineRule="exact"/>
              <w:jc w:val="center"/>
              <w:rPr>
                <w:rFonts w:ascii="宋体" w:hAnsi="宋体" w:cs="宋体"/>
                <w:color w:val="auto"/>
                <w:sz w:val="24"/>
                <w:highlight w:val="none"/>
              </w:rPr>
            </w:pPr>
          </w:p>
        </w:tc>
        <w:tc>
          <w:tcPr>
            <w:tcW w:w="710" w:type="dxa"/>
            <w:vMerge w:val="continue"/>
            <w:tcBorders>
              <w:left w:val="nil"/>
              <w:right w:val="single" w:color="auto" w:sz="4" w:space="0"/>
            </w:tcBorders>
            <w:vAlign w:val="center"/>
          </w:tcPr>
          <w:p>
            <w:pPr>
              <w:widowControl/>
              <w:spacing w:line="240" w:lineRule="exact"/>
              <w:jc w:val="center"/>
              <w:rPr>
                <w:rFonts w:ascii="宋体" w:hAnsi="宋体" w:cs="宋体"/>
                <w:color w:val="auto"/>
                <w:sz w:val="24"/>
                <w:highlight w:val="none"/>
              </w:rPr>
            </w:pPr>
          </w:p>
        </w:tc>
        <w:tc>
          <w:tcPr>
            <w:tcW w:w="1985"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cs="宋体"/>
                <w:color w:val="auto"/>
                <w:sz w:val="24"/>
                <w:highlight w:val="none"/>
              </w:rPr>
            </w:pPr>
            <w:r>
              <w:rPr>
                <w:rFonts w:hint="eastAsia" w:ascii="宋体" w:hAnsi="宋体" w:cs="宋体"/>
                <w:color w:val="auto"/>
                <w:sz w:val="24"/>
                <w:highlight w:val="none"/>
              </w:rPr>
              <w:t>茶几</w:t>
            </w:r>
          </w:p>
        </w:tc>
        <w:tc>
          <w:tcPr>
            <w:tcW w:w="1984"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cs="宋体"/>
                <w:color w:val="auto"/>
                <w:sz w:val="24"/>
                <w:highlight w:val="none"/>
              </w:rPr>
            </w:pPr>
            <w:r>
              <w:rPr>
                <w:rFonts w:hint="eastAsia" w:ascii="宋体" w:hAnsi="宋体" w:cs="宋体"/>
                <w:color w:val="auto"/>
                <w:sz w:val="24"/>
                <w:highlight w:val="none"/>
              </w:rPr>
              <w:t>800元/张</w:t>
            </w:r>
          </w:p>
        </w:tc>
        <w:tc>
          <w:tcPr>
            <w:tcW w:w="174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宋体"/>
                <w:color w:val="auto"/>
                <w:sz w:val="24"/>
                <w:highlight w:val="none"/>
              </w:rPr>
            </w:pPr>
            <w:r>
              <w:rPr>
                <w:rFonts w:hint="eastAsia" w:ascii="宋体" w:hAnsi="宋体" w:cs="宋体"/>
                <w:color w:val="auto"/>
                <w:sz w:val="24"/>
                <w:highlight w:val="none"/>
              </w:rPr>
              <w:t>1张/人</w:t>
            </w:r>
          </w:p>
        </w:tc>
        <w:tc>
          <w:tcPr>
            <w:tcW w:w="1170" w:type="dxa"/>
            <w:tcBorders>
              <w:top w:val="single" w:color="auto" w:sz="4" w:space="0"/>
              <w:left w:val="single" w:color="auto" w:sz="4" w:space="0"/>
              <w:bottom w:val="single" w:color="auto" w:sz="4" w:space="0"/>
              <w:right w:val="single" w:color="auto" w:sz="4" w:space="0"/>
            </w:tcBorders>
          </w:tcPr>
          <w:p>
            <w:pPr>
              <w:spacing w:line="276" w:lineRule="auto"/>
              <w:jc w:val="center"/>
              <w:rPr>
                <w:rFonts w:ascii="宋体" w:hAnsi="宋体" w:cs="宋体"/>
                <w:color w:val="auto"/>
                <w:sz w:val="24"/>
                <w:highlight w:val="none"/>
              </w:rPr>
            </w:pPr>
            <w:r>
              <w:rPr>
                <w:rFonts w:hint="eastAsia" w:ascii="宋体" w:hAnsi="宋体" w:cs="宋体"/>
                <w:color w:val="auto"/>
                <w:sz w:val="24"/>
                <w:highlight w:val="none"/>
              </w:rPr>
              <w:t>15</w:t>
            </w:r>
          </w:p>
        </w:tc>
        <w:tc>
          <w:tcPr>
            <w:tcW w:w="1170" w:type="dxa"/>
            <w:vMerge w:val="continue"/>
            <w:tcBorders>
              <w:top w:val="single" w:color="auto" w:sz="4" w:space="0"/>
              <w:left w:val="single" w:color="auto" w:sz="4" w:space="0"/>
              <w:bottom w:val="single" w:color="auto" w:sz="4" w:space="0"/>
              <w:right w:val="single" w:color="auto" w:sz="4" w:space="0"/>
            </w:tcBorders>
          </w:tcPr>
          <w:p>
            <w:pPr>
              <w:spacing w:line="240" w:lineRule="exact"/>
              <w:jc w:val="center"/>
              <w:rPr>
                <w:rFonts w:ascii="宋体" w:hAnsi="宋体" w:cs="宋体"/>
                <w:color w:val="auto"/>
                <w:sz w:val="24"/>
                <w:highlight w:val="none"/>
              </w:rPr>
            </w:pPr>
          </w:p>
        </w:tc>
      </w:tr>
      <w:tr>
        <w:tblPrEx>
          <w:tblCellMar>
            <w:top w:w="0" w:type="dxa"/>
            <w:left w:w="108" w:type="dxa"/>
            <w:bottom w:w="0" w:type="dxa"/>
            <w:right w:w="108" w:type="dxa"/>
          </w:tblCellMar>
        </w:tblPrEx>
        <w:trPr>
          <w:trHeight w:val="397" w:hRule="exact"/>
          <w:jc w:val="center"/>
        </w:trPr>
        <w:tc>
          <w:tcPr>
            <w:tcW w:w="674" w:type="dxa"/>
            <w:vMerge w:val="continue"/>
            <w:tcBorders>
              <w:left w:val="single" w:color="auto" w:sz="4" w:space="0"/>
              <w:right w:val="single" w:color="auto" w:sz="4" w:space="0"/>
            </w:tcBorders>
            <w:vAlign w:val="center"/>
          </w:tcPr>
          <w:p>
            <w:pPr>
              <w:widowControl/>
              <w:spacing w:line="240" w:lineRule="exact"/>
              <w:jc w:val="center"/>
              <w:rPr>
                <w:rFonts w:ascii="宋体" w:hAnsi="宋体" w:cs="宋体"/>
                <w:color w:val="auto"/>
                <w:sz w:val="24"/>
                <w:highlight w:val="none"/>
              </w:rPr>
            </w:pPr>
          </w:p>
        </w:tc>
        <w:tc>
          <w:tcPr>
            <w:tcW w:w="710" w:type="dxa"/>
            <w:vMerge w:val="continue"/>
            <w:tcBorders>
              <w:left w:val="nil"/>
              <w:right w:val="single" w:color="auto" w:sz="4" w:space="0"/>
            </w:tcBorders>
            <w:vAlign w:val="center"/>
          </w:tcPr>
          <w:p>
            <w:pPr>
              <w:widowControl/>
              <w:spacing w:line="240" w:lineRule="exact"/>
              <w:jc w:val="center"/>
              <w:rPr>
                <w:rFonts w:ascii="宋体" w:hAnsi="宋体" w:cs="宋体"/>
                <w:color w:val="auto"/>
                <w:sz w:val="24"/>
                <w:highlight w:val="none"/>
              </w:rPr>
            </w:pPr>
          </w:p>
        </w:tc>
        <w:tc>
          <w:tcPr>
            <w:tcW w:w="1985"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cs="宋体"/>
                <w:color w:val="auto"/>
                <w:sz w:val="24"/>
                <w:highlight w:val="none"/>
              </w:rPr>
            </w:pPr>
            <w:r>
              <w:rPr>
                <w:rFonts w:hint="eastAsia" w:ascii="宋体" w:hAnsi="宋体" w:cs="宋体"/>
                <w:color w:val="auto"/>
                <w:sz w:val="24"/>
                <w:highlight w:val="none"/>
              </w:rPr>
              <w:t>会客椅</w:t>
            </w:r>
          </w:p>
        </w:tc>
        <w:tc>
          <w:tcPr>
            <w:tcW w:w="1984"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cs="宋体"/>
                <w:color w:val="auto"/>
                <w:sz w:val="24"/>
                <w:highlight w:val="none"/>
              </w:rPr>
            </w:pPr>
            <w:r>
              <w:rPr>
                <w:rFonts w:hint="eastAsia" w:ascii="宋体" w:hAnsi="宋体" w:cs="宋体"/>
                <w:color w:val="auto"/>
                <w:sz w:val="24"/>
                <w:highlight w:val="none"/>
              </w:rPr>
              <w:t>400元/张</w:t>
            </w:r>
          </w:p>
        </w:tc>
        <w:tc>
          <w:tcPr>
            <w:tcW w:w="174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宋体"/>
                <w:color w:val="auto"/>
                <w:sz w:val="24"/>
                <w:highlight w:val="none"/>
              </w:rPr>
            </w:pPr>
            <w:r>
              <w:rPr>
                <w:rFonts w:hint="eastAsia" w:ascii="宋体" w:hAnsi="宋体" w:cs="宋体"/>
                <w:color w:val="auto"/>
                <w:sz w:val="24"/>
                <w:highlight w:val="none"/>
              </w:rPr>
              <w:t>2张/人</w:t>
            </w:r>
          </w:p>
        </w:tc>
        <w:tc>
          <w:tcPr>
            <w:tcW w:w="1170" w:type="dxa"/>
            <w:tcBorders>
              <w:top w:val="single" w:color="auto" w:sz="4" w:space="0"/>
              <w:left w:val="single" w:color="auto" w:sz="4" w:space="0"/>
              <w:bottom w:val="single" w:color="auto" w:sz="4" w:space="0"/>
              <w:right w:val="single" w:color="auto" w:sz="4" w:space="0"/>
            </w:tcBorders>
          </w:tcPr>
          <w:p>
            <w:pPr>
              <w:spacing w:line="276" w:lineRule="auto"/>
              <w:jc w:val="center"/>
              <w:rPr>
                <w:rFonts w:ascii="宋体" w:hAnsi="宋体" w:cs="宋体"/>
                <w:color w:val="auto"/>
                <w:sz w:val="24"/>
                <w:highlight w:val="none"/>
              </w:rPr>
            </w:pPr>
            <w:r>
              <w:rPr>
                <w:rFonts w:hint="eastAsia" w:ascii="宋体" w:hAnsi="宋体" w:cs="宋体"/>
                <w:color w:val="auto"/>
                <w:sz w:val="24"/>
                <w:highlight w:val="none"/>
              </w:rPr>
              <w:t>15</w:t>
            </w:r>
          </w:p>
        </w:tc>
        <w:tc>
          <w:tcPr>
            <w:tcW w:w="1170" w:type="dxa"/>
            <w:vMerge w:val="continue"/>
            <w:tcBorders>
              <w:top w:val="single" w:color="auto" w:sz="4" w:space="0"/>
              <w:left w:val="single" w:color="auto" w:sz="4" w:space="0"/>
              <w:bottom w:val="single" w:color="auto" w:sz="4" w:space="0"/>
              <w:right w:val="single" w:color="auto" w:sz="4" w:space="0"/>
            </w:tcBorders>
          </w:tcPr>
          <w:p>
            <w:pPr>
              <w:spacing w:line="240" w:lineRule="exact"/>
              <w:jc w:val="center"/>
              <w:rPr>
                <w:rFonts w:ascii="宋体" w:hAnsi="宋体" w:cs="宋体"/>
                <w:color w:val="auto"/>
                <w:sz w:val="24"/>
                <w:highlight w:val="none"/>
              </w:rPr>
            </w:pPr>
          </w:p>
        </w:tc>
      </w:tr>
      <w:tr>
        <w:tblPrEx>
          <w:tblCellMar>
            <w:top w:w="0" w:type="dxa"/>
            <w:left w:w="108" w:type="dxa"/>
            <w:bottom w:w="0" w:type="dxa"/>
            <w:right w:w="108" w:type="dxa"/>
          </w:tblCellMar>
        </w:tblPrEx>
        <w:trPr>
          <w:trHeight w:val="397" w:hRule="exact"/>
          <w:jc w:val="center"/>
        </w:trPr>
        <w:tc>
          <w:tcPr>
            <w:tcW w:w="674" w:type="dxa"/>
            <w:vMerge w:val="continue"/>
            <w:tcBorders>
              <w:left w:val="single" w:color="auto" w:sz="4" w:space="0"/>
              <w:right w:val="single" w:color="auto" w:sz="4" w:space="0"/>
            </w:tcBorders>
            <w:vAlign w:val="center"/>
          </w:tcPr>
          <w:p>
            <w:pPr>
              <w:widowControl/>
              <w:spacing w:line="240" w:lineRule="exact"/>
              <w:jc w:val="center"/>
              <w:rPr>
                <w:rFonts w:ascii="宋体" w:hAnsi="宋体" w:cs="宋体"/>
                <w:color w:val="auto"/>
                <w:sz w:val="24"/>
                <w:highlight w:val="none"/>
              </w:rPr>
            </w:pPr>
          </w:p>
        </w:tc>
        <w:tc>
          <w:tcPr>
            <w:tcW w:w="710" w:type="dxa"/>
            <w:vMerge w:val="continue"/>
            <w:tcBorders>
              <w:left w:val="nil"/>
              <w:bottom w:val="single" w:color="auto" w:sz="4" w:space="0"/>
              <w:right w:val="single" w:color="auto" w:sz="4" w:space="0"/>
            </w:tcBorders>
            <w:vAlign w:val="center"/>
          </w:tcPr>
          <w:p>
            <w:pPr>
              <w:widowControl/>
              <w:spacing w:line="240" w:lineRule="exact"/>
              <w:jc w:val="center"/>
              <w:rPr>
                <w:rFonts w:ascii="宋体" w:hAnsi="宋体" w:cs="宋体"/>
                <w:color w:val="auto"/>
                <w:sz w:val="24"/>
                <w:highlight w:val="none"/>
              </w:rPr>
            </w:pPr>
          </w:p>
        </w:tc>
        <w:tc>
          <w:tcPr>
            <w:tcW w:w="1985"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cs="宋体"/>
                <w:color w:val="auto"/>
                <w:sz w:val="24"/>
                <w:highlight w:val="none"/>
              </w:rPr>
            </w:pPr>
            <w:r>
              <w:rPr>
                <w:rFonts w:hint="eastAsia" w:ascii="宋体" w:hAnsi="宋体" w:cs="宋体"/>
                <w:color w:val="auto"/>
                <w:sz w:val="24"/>
                <w:highlight w:val="none"/>
              </w:rPr>
              <w:t>茶水柜</w:t>
            </w:r>
          </w:p>
        </w:tc>
        <w:tc>
          <w:tcPr>
            <w:tcW w:w="1984"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cs="宋体"/>
                <w:color w:val="auto"/>
                <w:sz w:val="24"/>
                <w:highlight w:val="none"/>
              </w:rPr>
            </w:pPr>
            <w:r>
              <w:rPr>
                <w:rFonts w:hint="eastAsia" w:ascii="宋体" w:hAnsi="宋体" w:cs="宋体"/>
                <w:color w:val="auto"/>
                <w:sz w:val="24"/>
                <w:highlight w:val="none"/>
              </w:rPr>
              <w:t>1000元/个</w:t>
            </w:r>
          </w:p>
        </w:tc>
        <w:tc>
          <w:tcPr>
            <w:tcW w:w="174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宋体"/>
                <w:color w:val="auto"/>
                <w:sz w:val="24"/>
                <w:highlight w:val="none"/>
              </w:rPr>
            </w:pPr>
            <w:r>
              <w:rPr>
                <w:rFonts w:hint="eastAsia" w:ascii="宋体" w:hAnsi="宋体" w:cs="宋体"/>
                <w:color w:val="auto"/>
                <w:sz w:val="24"/>
                <w:highlight w:val="none"/>
              </w:rPr>
              <w:t>1个/办公室</w:t>
            </w:r>
          </w:p>
        </w:tc>
        <w:tc>
          <w:tcPr>
            <w:tcW w:w="1170" w:type="dxa"/>
            <w:tcBorders>
              <w:top w:val="single" w:color="auto" w:sz="4" w:space="0"/>
              <w:left w:val="single" w:color="auto" w:sz="4" w:space="0"/>
              <w:bottom w:val="single" w:color="auto" w:sz="4" w:space="0"/>
              <w:right w:val="single" w:color="auto" w:sz="4" w:space="0"/>
            </w:tcBorders>
          </w:tcPr>
          <w:p>
            <w:pPr>
              <w:spacing w:line="276" w:lineRule="auto"/>
              <w:jc w:val="center"/>
              <w:rPr>
                <w:rFonts w:ascii="宋体" w:hAnsi="宋体" w:cs="宋体"/>
                <w:color w:val="auto"/>
                <w:sz w:val="24"/>
                <w:highlight w:val="none"/>
              </w:rPr>
            </w:pPr>
            <w:r>
              <w:rPr>
                <w:rFonts w:hint="eastAsia" w:ascii="宋体" w:hAnsi="宋体" w:cs="宋体"/>
                <w:color w:val="auto"/>
                <w:sz w:val="24"/>
                <w:highlight w:val="none"/>
              </w:rPr>
              <w:t>15</w:t>
            </w:r>
          </w:p>
        </w:tc>
        <w:tc>
          <w:tcPr>
            <w:tcW w:w="1170" w:type="dxa"/>
            <w:vMerge w:val="continue"/>
            <w:tcBorders>
              <w:top w:val="single" w:color="auto" w:sz="4" w:space="0"/>
              <w:left w:val="single" w:color="auto" w:sz="4" w:space="0"/>
              <w:bottom w:val="single" w:color="auto" w:sz="4" w:space="0"/>
              <w:right w:val="single" w:color="auto" w:sz="4" w:space="0"/>
            </w:tcBorders>
          </w:tcPr>
          <w:p>
            <w:pPr>
              <w:spacing w:line="240" w:lineRule="exact"/>
              <w:jc w:val="center"/>
              <w:rPr>
                <w:rFonts w:ascii="宋体" w:hAnsi="宋体" w:cs="宋体"/>
                <w:color w:val="auto"/>
                <w:sz w:val="24"/>
                <w:highlight w:val="none"/>
              </w:rPr>
            </w:pPr>
          </w:p>
        </w:tc>
      </w:tr>
      <w:tr>
        <w:tblPrEx>
          <w:tblCellMar>
            <w:top w:w="0" w:type="dxa"/>
            <w:left w:w="108" w:type="dxa"/>
            <w:bottom w:w="0" w:type="dxa"/>
            <w:right w:w="108" w:type="dxa"/>
          </w:tblCellMar>
        </w:tblPrEx>
        <w:trPr>
          <w:trHeight w:val="397" w:hRule="exact"/>
          <w:jc w:val="center"/>
        </w:trPr>
        <w:tc>
          <w:tcPr>
            <w:tcW w:w="674" w:type="dxa"/>
            <w:vMerge w:val="continue"/>
            <w:tcBorders>
              <w:left w:val="single" w:color="auto" w:sz="4" w:space="0"/>
              <w:right w:val="single" w:color="auto" w:sz="4" w:space="0"/>
            </w:tcBorders>
          </w:tcPr>
          <w:p>
            <w:pPr>
              <w:spacing w:line="240" w:lineRule="exact"/>
              <w:jc w:val="center"/>
              <w:rPr>
                <w:rFonts w:ascii="宋体" w:hAnsi="宋体" w:cs="宋体"/>
                <w:color w:val="auto"/>
                <w:sz w:val="24"/>
                <w:highlight w:val="none"/>
              </w:rPr>
            </w:pPr>
          </w:p>
        </w:tc>
        <w:tc>
          <w:tcPr>
            <w:tcW w:w="710" w:type="dxa"/>
            <w:vMerge w:val="restart"/>
            <w:tcBorders>
              <w:top w:val="nil"/>
              <w:left w:val="nil"/>
              <w:right w:val="single" w:color="auto" w:sz="4" w:space="0"/>
            </w:tcBorders>
            <w:vAlign w:val="center"/>
          </w:tcPr>
          <w:p>
            <w:pPr>
              <w:spacing w:line="240" w:lineRule="exact"/>
              <w:rPr>
                <w:rFonts w:ascii="宋体" w:hAnsi="宋体" w:cs="宋体"/>
                <w:color w:val="auto"/>
                <w:sz w:val="24"/>
                <w:highlight w:val="none"/>
              </w:rPr>
            </w:pPr>
            <w:r>
              <w:rPr>
                <w:rFonts w:hint="eastAsia" w:ascii="宋体" w:hAnsi="宋体" w:cs="宋体"/>
                <w:color w:val="auto"/>
                <w:sz w:val="24"/>
                <w:highlight w:val="none"/>
              </w:rPr>
              <w:t>科级及以下</w:t>
            </w:r>
          </w:p>
        </w:tc>
        <w:tc>
          <w:tcPr>
            <w:tcW w:w="1985"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cs="宋体"/>
                <w:color w:val="auto"/>
                <w:sz w:val="24"/>
                <w:highlight w:val="none"/>
              </w:rPr>
            </w:pPr>
            <w:r>
              <w:rPr>
                <w:rFonts w:hint="eastAsia" w:ascii="宋体" w:hAnsi="宋体" w:cs="宋体"/>
                <w:color w:val="auto"/>
                <w:sz w:val="24"/>
                <w:highlight w:val="none"/>
              </w:rPr>
              <w:t>办公桌</w:t>
            </w:r>
          </w:p>
        </w:tc>
        <w:tc>
          <w:tcPr>
            <w:tcW w:w="1984" w:type="dxa"/>
            <w:vMerge w:val="restart"/>
            <w:tcBorders>
              <w:top w:val="single" w:color="auto" w:sz="4" w:space="0"/>
              <w:left w:val="nil"/>
              <w:right w:val="single" w:color="auto" w:sz="4" w:space="0"/>
            </w:tcBorders>
            <w:vAlign w:val="center"/>
          </w:tcPr>
          <w:p>
            <w:pPr>
              <w:spacing w:line="240" w:lineRule="exact"/>
              <w:jc w:val="center"/>
              <w:rPr>
                <w:rFonts w:ascii="宋体" w:hAnsi="宋体" w:cs="宋体"/>
                <w:color w:val="auto"/>
                <w:sz w:val="24"/>
                <w:highlight w:val="none"/>
              </w:rPr>
            </w:pPr>
            <w:r>
              <w:rPr>
                <w:rFonts w:hint="eastAsia" w:ascii="宋体" w:hAnsi="宋体" w:cs="宋体"/>
                <w:color w:val="auto"/>
                <w:sz w:val="24"/>
                <w:highlight w:val="none"/>
              </w:rPr>
              <w:t>2500元/套</w:t>
            </w:r>
          </w:p>
        </w:tc>
        <w:tc>
          <w:tcPr>
            <w:tcW w:w="174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宋体"/>
                <w:color w:val="auto"/>
                <w:sz w:val="24"/>
                <w:highlight w:val="none"/>
              </w:rPr>
            </w:pPr>
            <w:r>
              <w:rPr>
                <w:rFonts w:hint="eastAsia" w:ascii="宋体" w:hAnsi="宋体" w:cs="宋体"/>
                <w:color w:val="auto"/>
                <w:sz w:val="24"/>
                <w:highlight w:val="none"/>
              </w:rPr>
              <w:t>1张/人</w:t>
            </w:r>
          </w:p>
        </w:tc>
        <w:tc>
          <w:tcPr>
            <w:tcW w:w="1170" w:type="dxa"/>
            <w:tcBorders>
              <w:top w:val="single" w:color="auto" w:sz="4" w:space="0"/>
              <w:left w:val="single" w:color="auto" w:sz="4" w:space="0"/>
              <w:bottom w:val="single" w:color="auto" w:sz="4" w:space="0"/>
              <w:right w:val="single" w:color="auto" w:sz="4" w:space="0"/>
            </w:tcBorders>
          </w:tcPr>
          <w:p>
            <w:pPr>
              <w:spacing w:line="276" w:lineRule="auto"/>
              <w:jc w:val="center"/>
              <w:rPr>
                <w:rFonts w:ascii="宋体" w:hAnsi="宋体" w:cs="宋体"/>
                <w:color w:val="auto"/>
                <w:sz w:val="24"/>
                <w:highlight w:val="none"/>
              </w:rPr>
            </w:pPr>
            <w:r>
              <w:rPr>
                <w:rFonts w:hint="eastAsia" w:ascii="宋体" w:hAnsi="宋体" w:cs="宋体"/>
                <w:color w:val="auto"/>
                <w:sz w:val="24"/>
                <w:highlight w:val="none"/>
              </w:rPr>
              <w:t>15</w:t>
            </w:r>
          </w:p>
        </w:tc>
        <w:tc>
          <w:tcPr>
            <w:tcW w:w="1170" w:type="dxa"/>
            <w:vMerge w:val="continue"/>
            <w:tcBorders>
              <w:top w:val="single" w:color="auto" w:sz="4" w:space="0"/>
              <w:left w:val="single" w:color="auto" w:sz="4" w:space="0"/>
              <w:bottom w:val="single" w:color="auto" w:sz="4" w:space="0"/>
              <w:right w:val="single" w:color="auto" w:sz="4" w:space="0"/>
            </w:tcBorders>
          </w:tcPr>
          <w:p>
            <w:pPr>
              <w:spacing w:line="240" w:lineRule="exact"/>
              <w:jc w:val="center"/>
              <w:rPr>
                <w:rFonts w:ascii="宋体" w:hAnsi="宋体" w:cs="宋体"/>
                <w:color w:val="auto"/>
                <w:sz w:val="24"/>
                <w:highlight w:val="none"/>
              </w:rPr>
            </w:pPr>
          </w:p>
        </w:tc>
      </w:tr>
      <w:tr>
        <w:tblPrEx>
          <w:tblCellMar>
            <w:top w:w="0" w:type="dxa"/>
            <w:left w:w="108" w:type="dxa"/>
            <w:bottom w:w="0" w:type="dxa"/>
            <w:right w:w="108" w:type="dxa"/>
          </w:tblCellMar>
        </w:tblPrEx>
        <w:trPr>
          <w:trHeight w:val="397" w:hRule="exact"/>
          <w:jc w:val="center"/>
        </w:trPr>
        <w:tc>
          <w:tcPr>
            <w:tcW w:w="674" w:type="dxa"/>
            <w:vMerge w:val="continue"/>
            <w:tcBorders>
              <w:left w:val="single" w:color="auto" w:sz="4" w:space="0"/>
              <w:right w:val="single" w:color="auto" w:sz="4" w:space="0"/>
            </w:tcBorders>
            <w:vAlign w:val="center"/>
          </w:tcPr>
          <w:p>
            <w:pPr>
              <w:widowControl/>
              <w:spacing w:line="240" w:lineRule="exact"/>
              <w:jc w:val="center"/>
              <w:rPr>
                <w:rFonts w:ascii="宋体" w:hAnsi="宋体" w:cs="宋体"/>
                <w:color w:val="auto"/>
                <w:sz w:val="24"/>
                <w:highlight w:val="none"/>
              </w:rPr>
            </w:pPr>
          </w:p>
        </w:tc>
        <w:tc>
          <w:tcPr>
            <w:tcW w:w="710" w:type="dxa"/>
            <w:vMerge w:val="continue"/>
            <w:tcBorders>
              <w:left w:val="nil"/>
              <w:right w:val="single" w:color="auto" w:sz="4" w:space="0"/>
            </w:tcBorders>
            <w:vAlign w:val="center"/>
          </w:tcPr>
          <w:p>
            <w:pPr>
              <w:widowControl/>
              <w:spacing w:line="240" w:lineRule="exact"/>
              <w:jc w:val="center"/>
              <w:rPr>
                <w:rFonts w:ascii="宋体" w:hAnsi="宋体" w:cs="宋体"/>
                <w:color w:val="auto"/>
                <w:sz w:val="24"/>
                <w:highlight w:val="none"/>
              </w:rPr>
            </w:pPr>
          </w:p>
        </w:tc>
        <w:tc>
          <w:tcPr>
            <w:tcW w:w="1985"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cs="宋体"/>
                <w:color w:val="auto"/>
                <w:sz w:val="24"/>
                <w:highlight w:val="none"/>
              </w:rPr>
            </w:pPr>
            <w:r>
              <w:rPr>
                <w:rFonts w:hint="eastAsia" w:ascii="宋体" w:hAnsi="宋体" w:cs="宋体"/>
                <w:color w:val="auto"/>
                <w:sz w:val="24"/>
                <w:highlight w:val="none"/>
              </w:rPr>
              <w:t>办公椅</w:t>
            </w:r>
          </w:p>
        </w:tc>
        <w:tc>
          <w:tcPr>
            <w:tcW w:w="1984" w:type="dxa"/>
            <w:vMerge w:val="continue"/>
            <w:tcBorders>
              <w:left w:val="nil"/>
              <w:bottom w:val="single" w:color="auto" w:sz="4" w:space="0"/>
              <w:right w:val="single" w:color="auto" w:sz="4" w:space="0"/>
            </w:tcBorders>
            <w:vAlign w:val="center"/>
          </w:tcPr>
          <w:p>
            <w:pPr>
              <w:spacing w:line="240" w:lineRule="exact"/>
              <w:jc w:val="center"/>
              <w:rPr>
                <w:rFonts w:ascii="宋体" w:hAnsi="宋体" w:cs="宋体"/>
                <w:color w:val="auto"/>
                <w:sz w:val="24"/>
                <w:highlight w:val="none"/>
              </w:rPr>
            </w:pPr>
          </w:p>
        </w:tc>
        <w:tc>
          <w:tcPr>
            <w:tcW w:w="174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宋体"/>
                <w:color w:val="auto"/>
                <w:sz w:val="24"/>
                <w:highlight w:val="none"/>
              </w:rPr>
            </w:pPr>
            <w:r>
              <w:rPr>
                <w:rFonts w:hint="eastAsia" w:ascii="宋体" w:hAnsi="宋体" w:cs="宋体"/>
                <w:color w:val="auto"/>
                <w:sz w:val="24"/>
                <w:highlight w:val="none"/>
              </w:rPr>
              <w:t>1张/人</w:t>
            </w:r>
          </w:p>
        </w:tc>
        <w:tc>
          <w:tcPr>
            <w:tcW w:w="1170" w:type="dxa"/>
            <w:tcBorders>
              <w:top w:val="single" w:color="auto" w:sz="4" w:space="0"/>
              <w:left w:val="single" w:color="auto" w:sz="4" w:space="0"/>
              <w:bottom w:val="single" w:color="auto" w:sz="4" w:space="0"/>
              <w:right w:val="single" w:color="auto" w:sz="4" w:space="0"/>
            </w:tcBorders>
          </w:tcPr>
          <w:p>
            <w:pPr>
              <w:spacing w:line="276" w:lineRule="auto"/>
              <w:jc w:val="center"/>
              <w:rPr>
                <w:rFonts w:ascii="宋体" w:hAnsi="宋体" w:cs="宋体"/>
                <w:color w:val="auto"/>
                <w:sz w:val="24"/>
                <w:highlight w:val="none"/>
              </w:rPr>
            </w:pPr>
            <w:r>
              <w:rPr>
                <w:rFonts w:hint="eastAsia" w:ascii="宋体" w:hAnsi="宋体" w:cs="宋体"/>
                <w:color w:val="auto"/>
                <w:sz w:val="24"/>
                <w:highlight w:val="none"/>
              </w:rPr>
              <w:t>15</w:t>
            </w:r>
          </w:p>
        </w:tc>
        <w:tc>
          <w:tcPr>
            <w:tcW w:w="1170" w:type="dxa"/>
            <w:vMerge w:val="continue"/>
            <w:tcBorders>
              <w:top w:val="single" w:color="auto" w:sz="4" w:space="0"/>
              <w:left w:val="single" w:color="auto" w:sz="4" w:space="0"/>
              <w:bottom w:val="single" w:color="auto" w:sz="4" w:space="0"/>
              <w:right w:val="single" w:color="auto" w:sz="4" w:space="0"/>
            </w:tcBorders>
          </w:tcPr>
          <w:p>
            <w:pPr>
              <w:spacing w:line="240" w:lineRule="exact"/>
              <w:jc w:val="center"/>
              <w:rPr>
                <w:rFonts w:ascii="宋体" w:hAnsi="宋体" w:cs="宋体"/>
                <w:color w:val="auto"/>
                <w:sz w:val="24"/>
                <w:highlight w:val="none"/>
              </w:rPr>
            </w:pPr>
          </w:p>
        </w:tc>
      </w:tr>
      <w:tr>
        <w:tblPrEx>
          <w:tblCellMar>
            <w:top w:w="0" w:type="dxa"/>
            <w:left w:w="108" w:type="dxa"/>
            <w:bottom w:w="0" w:type="dxa"/>
            <w:right w:w="108" w:type="dxa"/>
          </w:tblCellMar>
        </w:tblPrEx>
        <w:trPr>
          <w:trHeight w:val="444" w:hRule="atLeast"/>
          <w:jc w:val="center"/>
        </w:trPr>
        <w:tc>
          <w:tcPr>
            <w:tcW w:w="674" w:type="dxa"/>
            <w:vMerge w:val="continue"/>
            <w:tcBorders>
              <w:left w:val="single" w:color="auto" w:sz="4" w:space="0"/>
              <w:right w:val="single" w:color="auto" w:sz="4" w:space="0"/>
            </w:tcBorders>
            <w:vAlign w:val="center"/>
          </w:tcPr>
          <w:p>
            <w:pPr>
              <w:widowControl/>
              <w:spacing w:line="240" w:lineRule="exact"/>
              <w:jc w:val="center"/>
              <w:rPr>
                <w:rFonts w:ascii="宋体" w:hAnsi="宋体" w:cs="宋体"/>
                <w:color w:val="auto"/>
                <w:sz w:val="24"/>
                <w:highlight w:val="none"/>
              </w:rPr>
            </w:pPr>
          </w:p>
        </w:tc>
        <w:tc>
          <w:tcPr>
            <w:tcW w:w="710" w:type="dxa"/>
            <w:vMerge w:val="continue"/>
            <w:tcBorders>
              <w:left w:val="nil"/>
              <w:right w:val="single" w:color="auto" w:sz="4" w:space="0"/>
            </w:tcBorders>
            <w:vAlign w:val="center"/>
          </w:tcPr>
          <w:p>
            <w:pPr>
              <w:widowControl/>
              <w:spacing w:line="240" w:lineRule="exact"/>
              <w:jc w:val="center"/>
              <w:rPr>
                <w:rFonts w:ascii="宋体" w:hAnsi="宋体" w:cs="宋体"/>
                <w:color w:val="auto"/>
                <w:sz w:val="24"/>
                <w:highlight w:val="none"/>
              </w:rPr>
            </w:pPr>
          </w:p>
        </w:tc>
        <w:tc>
          <w:tcPr>
            <w:tcW w:w="1985"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cs="宋体"/>
                <w:color w:val="auto"/>
                <w:sz w:val="24"/>
                <w:highlight w:val="none"/>
              </w:rPr>
            </w:pPr>
            <w:r>
              <w:rPr>
                <w:rFonts w:hint="eastAsia" w:ascii="宋体" w:hAnsi="宋体" w:cs="宋体"/>
                <w:color w:val="auto"/>
                <w:sz w:val="24"/>
                <w:highlight w:val="none"/>
              </w:rPr>
              <w:t>茶几</w:t>
            </w:r>
          </w:p>
        </w:tc>
        <w:tc>
          <w:tcPr>
            <w:tcW w:w="1984" w:type="dxa"/>
            <w:tcBorders>
              <w:top w:val="single" w:color="auto" w:sz="4" w:space="0"/>
              <w:left w:val="nil"/>
              <w:bottom w:val="single" w:color="auto" w:sz="4" w:space="0"/>
              <w:right w:val="single" w:color="auto" w:sz="4" w:space="0"/>
            </w:tcBorders>
            <w:vAlign w:val="center"/>
          </w:tcPr>
          <w:p>
            <w:pPr>
              <w:spacing w:after="100" w:afterAutospacing="1" w:line="240" w:lineRule="exact"/>
              <w:ind w:right="-210" w:firstLine="480" w:firstLineChars="200"/>
              <w:rPr>
                <w:rFonts w:ascii="宋体" w:hAnsi="宋体" w:cs="宋体"/>
                <w:color w:val="auto"/>
                <w:sz w:val="24"/>
                <w:highlight w:val="none"/>
              </w:rPr>
            </w:pPr>
            <w:r>
              <w:rPr>
                <w:rFonts w:hint="eastAsia" w:ascii="宋体" w:hAnsi="宋体" w:cs="宋体"/>
                <w:color w:val="auto"/>
                <w:sz w:val="24"/>
                <w:highlight w:val="none"/>
              </w:rPr>
              <w:t>500元/张</w:t>
            </w:r>
          </w:p>
        </w:tc>
        <w:tc>
          <w:tcPr>
            <w:tcW w:w="174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宋体"/>
                <w:color w:val="auto"/>
                <w:sz w:val="24"/>
                <w:highlight w:val="none"/>
              </w:rPr>
            </w:pPr>
            <w:r>
              <w:rPr>
                <w:rFonts w:hint="eastAsia" w:ascii="宋体" w:hAnsi="宋体" w:cs="宋体"/>
                <w:color w:val="auto"/>
                <w:sz w:val="24"/>
                <w:highlight w:val="none"/>
              </w:rPr>
              <w:t>1张/办公室</w:t>
            </w:r>
          </w:p>
        </w:tc>
        <w:tc>
          <w:tcPr>
            <w:tcW w:w="1170" w:type="dxa"/>
            <w:tcBorders>
              <w:top w:val="single" w:color="auto" w:sz="4" w:space="0"/>
              <w:left w:val="single" w:color="auto" w:sz="4" w:space="0"/>
              <w:bottom w:val="single" w:color="auto" w:sz="4" w:space="0"/>
              <w:right w:val="single" w:color="auto" w:sz="4" w:space="0"/>
            </w:tcBorders>
          </w:tcPr>
          <w:p>
            <w:pPr>
              <w:spacing w:line="276" w:lineRule="auto"/>
              <w:jc w:val="center"/>
              <w:rPr>
                <w:rFonts w:ascii="宋体" w:hAnsi="宋体" w:cs="宋体"/>
                <w:color w:val="auto"/>
                <w:sz w:val="24"/>
                <w:highlight w:val="none"/>
              </w:rPr>
            </w:pPr>
            <w:r>
              <w:rPr>
                <w:rFonts w:hint="eastAsia" w:ascii="宋体" w:hAnsi="宋体" w:cs="宋体"/>
                <w:color w:val="auto"/>
                <w:sz w:val="24"/>
                <w:highlight w:val="none"/>
              </w:rPr>
              <w:t>15</w:t>
            </w:r>
          </w:p>
        </w:tc>
        <w:tc>
          <w:tcPr>
            <w:tcW w:w="1170" w:type="dxa"/>
            <w:vMerge w:val="continue"/>
            <w:tcBorders>
              <w:top w:val="single" w:color="auto" w:sz="4" w:space="0"/>
              <w:left w:val="single" w:color="auto" w:sz="4" w:space="0"/>
              <w:bottom w:val="single" w:color="auto" w:sz="4" w:space="0"/>
              <w:right w:val="single" w:color="auto" w:sz="4" w:space="0"/>
            </w:tcBorders>
          </w:tcPr>
          <w:p>
            <w:pPr>
              <w:spacing w:after="100" w:afterAutospacing="1" w:line="240" w:lineRule="exact"/>
              <w:ind w:right="-210"/>
              <w:jc w:val="center"/>
              <w:rPr>
                <w:rFonts w:ascii="宋体" w:hAnsi="宋体" w:cs="宋体"/>
                <w:color w:val="auto"/>
                <w:sz w:val="24"/>
                <w:highlight w:val="none"/>
              </w:rPr>
            </w:pPr>
          </w:p>
        </w:tc>
      </w:tr>
      <w:tr>
        <w:tblPrEx>
          <w:tblCellMar>
            <w:top w:w="0" w:type="dxa"/>
            <w:left w:w="108" w:type="dxa"/>
            <w:bottom w:w="0" w:type="dxa"/>
            <w:right w:w="108" w:type="dxa"/>
          </w:tblCellMar>
        </w:tblPrEx>
        <w:trPr>
          <w:trHeight w:val="444" w:hRule="atLeast"/>
          <w:jc w:val="center"/>
        </w:trPr>
        <w:tc>
          <w:tcPr>
            <w:tcW w:w="674" w:type="dxa"/>
            <w:vMerge w:val="continue"/>
            <w:tcBorders>
              <w:left w:val="single" w:color="auto" w:sz="4" w:space="0"/>
              <w:right w:val="single" w:color="auto" w:sz="4" w:space="0"/>
            </w:tcBorders>
            <w:vAlign w:val="center"/>
          </w:tcPr>
          <w:p>
            <w:pPr>
              <w:widowControl/>
              <w:spacing w:line="240" w:lineRule="exact"/>
              <w:jc w:val="center"/>
              <w:rPr>
                <w:rFonts w:ascii="宋体" w:hAnsi="宋体" w:cs="宋体"/>
                <w:color w:val="auto"/>
                <w:sz w:val="24"/>
                <w:highlight w:val="none"/>
              </w:rPr>
            </w:pPr>
          </w:p>
        </w:tc>
        <w:tc>
          <w:tcPr>
            <w:tcW w:w="710" w:type="dxa"/>
            <w:vMerge w:val="continue"/>
            <w:tcBorders>
              <w:left w:val="nil"/>
              <w:right w:val="single" w:color="auto" w:sz="4" w:space="0"/>
            </w:tcBorders>
            <w:vAlign w:val="center"/>
          </w:tcPr>
          <w:p>
            <w:pPr>
              <w:widowControl/>
              <w:spacing w:line="240" w:lineRule="exact"/>
              <w:jc w:val="center"/>
              <w:rPr>
                <w:rFonts w:ascii="宋体" w:hAnsi="宋体" w:cs="宋体"/>
                <w:color w:val="auto"/>
                <w:sz w:val="24"/>
                <w:highlight w:val="none"/>
              </w:rPr>
            </w:pPr>
          </w:p>
        </w:tc>
        <w:tc>
          <w:tcPr>
            <w:tcW w:w="1985"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cs="宋体"/>
                <w:color w:val="auto"/>
                <w:sz w:val="24"/>
                <w:highlight w:val="none"/>
              </w:rPr>
            </w:pPr>
            <w:r>
              <w:rPr>
                <w:rFonts w:hint="eastAsia" w:ascii="宋体" w:hAnsi="宋体" w:cs="宋体"/>
                <w:color w:val="auto"/>
                <w:sz w:val="24"/>
                <w:highlight w:val="none"/>
              </w:rPr>
              <w:t>文件柜</w:t>
            </w:r>
          </w:p>
        </w:tc>
        <w:tc>
          <w:tcPr>
            <w:tcW w:w="1984" w:type="dxa"/>
            <w:tcBorders>
              <w:top w:val="single" w:color="auto" w:sz="4" w:space="0"/>
              <w:left w:val="nil"/>
              <w:bottom w:val="single" w:color="auto" w:sz="4" w:space="0"/>
              <w:right w:val="single" w:color="auto" w:sz="4" w:space="0"/>
            </w:tcBorders>
            <w:vAlign w:val="center"/>
          </w:tcPr>
          <w:p>
            <w:pPr>
              <w:spacing w:after="100" w:afterAutospacing="1" w:line="240" w:lineRule="exact"/>
              <w:ind w:right="-210"/>
              <w:jc w:val="center"/>
              <w:rPr>
                <w:rFonts w:ascii="宋体" w:hAnsi="宋体" w:cs="宋体"/>
                <w:color w:val="auto"/>
                <w:sz w:val="24"/>
                <w:highlight w:val="none"/>
              </w:rPr>
            </w:pPr>
            <w:r>
              <w:rPr>
                <w:rFonts w:hint="eastAsia" w:ascii="宋体" w:hAnsi="宋体" w:cs="宋体"/>
                <w:color w:val="auto"/>
                <w:sz w:val="24"/>
                <w:highlight w:val="none"/>
              </w:rPr>
              <w:t>1000元/组</w:t>
            </w:r>
          </w:p>
        </w:tc>
        <w:tc>
          <w:tcPr>
            <w:tcW w:w="1745" w:type="dxa"/>
            <w:tcBorders>
              <w:top w:val="single" w:color="auto" w:sz="4" w:space="0"/>
              <w:left w:val="single" w:color="auto" w:sz="4" w:space="0"/>
              <w:bottom w:val="single" w:color="auto" w:sz="4" w:space="0"/>
              <w:right w:val="single" w:color="auto" w:sz="4" w:space="0"/>
            </w:tcBorders>
            <w:vAlign w:val="center"/>
          </w:tcPr>
          <w:p>
            <w:pPr>
              <w:spacing w:after="100" w:afterAutospacing="1" w:line="240" w:lineRule="exact"/>
              <w:ind w:right="-210"/>
              <w:jc w:val="center"/>
              <w:rPr>
                <w:rFonts w:ascii="宋体" w:hAnsi="宋体" w:cs="宋体"/>
                <w:color w:val="auto"/>
                <w:sz w:val="24"/>
                <w:highlight w:val="none"/>
              </w:rPr>
            </w:pPr>
            <w:r>
              <w:rPr>
                <w:rFonts w:hint="eastAsia" w:ascii="宋体" w:hAnsi="宋体" w:cs="宋体"/>
                <w:color w:val="auto"/>
                <w:sz w:val="24"/>
                <w:highlight w:val="none"/>
              </w:rPr>
              <w:t>1-2组/办公室</w:t>
            </w:r>
          </w:p>
        </w:tc>
        <w:tc>
          <w:tcPr>
            <w:tcW w:w="1170" w:type="dxa"/>
            <w:tcBorders>
              <w:top w:val="single" w:color="auto" w:sz="4" w:space="0"/>
              <w:left w:val="single" w:color="auto" w:sz="4" w:space="0"/>
              <w:bottom w:val="single" w:color="auto" w:sz="4" w:space="0"/>
              <w:right w:val="single" w:color="auto" w:sz="4" w:space="0"/>
            </w:tcBorders>
          </w:tcPr>
          <w:p>
            <w:pPr>
              <w:spacing w:line="276" w:lineRule="auto"/>
              <w:jc w:val="center"/>
              <w:rPr>
                <w:rFonts w:ascii="宋体" w:hAnsi="宋体" w:cs="宋体"/>
                <w:color w:val="auto"/>
                <w:sz w:val="24"/>
                <w:highlight w:val="none"/>
              </w:rPr>
            </w:pPr>
            <w:r>
              <w:rPr>
                <w:rFonts w:hint="eastAsia" w:ascii="宋体" w:hAnsi="宋体" w:cs="宋体"/>
                <w:color w:val="auto"/>
                <w:sz w:val="24"/>
                <w:highlight w:val="none"/>
              </w:rPr>
              <w:t>15</w:t>
            </w:r>
          </w:p>
        </w:tc>
        <w:tc>
          <w:tcPr>
            <w:tcW w:w="1170" w:type="dxa"/>
            <w:vMerge w:val="continue"/>
            <w:tcBorders>
              <w:top w:val="single" w:color="auto" w:sz="4" w:space="0"/>
              <w:left w:val="single" w:color="auto" w:sz="4" w:space="0"/>
              <w:bottom w:val="single" w:color="auto" w:sz="4" w:space="0"/>
              <w:right w:val="single" w:color="auto" w:sz="4" w:space="0"/>
            </w:tcBorders>
          </w:tcPr>
          <w:p>
            <w:pPr>
              <w:spacing w:after="100" w:afterAutospacing="1" w:line="240" w:lineRule="exact"/>
              <w:ind w:right="-210"/>
              <w:jc w:val="center"/>
              <w:rPr>
                <w:rFonts w:ascii="宋体" w:hAnsi="宋体" w:cs="宋体"/>
                <w:color w:val="auto"/>
                <w:sz w:val="24"/>
                <w:highlight w:val="none"/>
              </w:rPr>
            </w:pPr>
          </w:p>
        </w:tc>
      </w:tr>
      <w:tr>
        <w:tblPrEx>
          <w:tblCellMar>
            <w:top w:w="0" w:type="dxa"/>
            <w:left w:w="108" w:type="dxa"/>
            <w:bottom w:w="0" w:type="dxa"/>
            <w:right w:w="108" w:type="dxa"/>
          </w:tblCellMar>
        </w:tblPrEx>
        <w:trPr>
          <w:trHeight w:val="422" w:hRule="atLeast"/>
          <w:jc w:val="center"/>
        </w:trPr>
        <w:tc>
          <w:tcPr>
            <w:tcW w:w="674" w:type="dxa"/>
            <w:vMerge w:val="continue"/>
            <w:tcBorders>
              <w:left w:val="single" w:color="auto" w:sz="4" w:space="0"/>
              <w:right w:val="single" w:color="auto" w:sz="4" w:space="0"/>
            </w:tcBorders>
            <w:vAlign w:val="center"/>
          </w:tcPr>
          <w:p>
            <w:pPr>
              <w:widowControl/>
              <w:spacing w:line="240" w:lineRule="exact"/>
              <w:jc w:val="center"/>
              <w:rPr>
                <w:rFonts w:ascii="宋体" w:hAnsi="宋体" w:cs="宋体"/>
                <w:color w:val="auto"/>
                <w:sz w:val="24"/>
                <w:highlight w:val="none"/>
              </w:rPr>
            </w:pPr>
          </w:p>
        </w:tc>
        <w:tc>
          <w:tcPr>
            <w:tcW w:w="710" w:type="dxa"/>
            <w:vMerge w:val="continue"/>
            <w:tcBorders>
              <w:left w:val="nil"/>
              <w:right w:val="single" w:color="auto" w:sz="4" w:space="0"/>
            </w:tcBorders>
            <w:vAlign w:val="center"/>
          </w:tcPr>
          <w:p>
            <w:pPr>
              <w:widowControl/>
              <w:spacing w:line="240" w:lineRule="exact"/>
              <w:jc w:val="center"/>
              <w:rPr>
                <w:rFonts w:ascii="宋体" w:hAnsi="宋体" w:cs="宋体"/>
                <w:color w:val="auto"/>
                <w:sz w:val="24"/>
                <w:highlight w:val="none"/>
              </w:rPr>
            </w:pPr>
          </w:p>
        </w:tc>
        <w:tc>
          <w:tcPr>
            <w:tcW w:w="1985"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cs="宋体"/>
                <w:color w:val="auto"/>
                <w:sz w:val="24"/>
                <w:highlight w:val="none"/>
              </w:rPr>
            </w:pPr>
            <w:r>
              <w:rPr>
                <w:rFonts w:hint="eastAsia" w:ascii="宋体" w:hAnsi="宋体" w:cs="宋体"/>
                <w:color w:val="auto"/>
                <w:sz w:val="24"/>
                <w:highlight w:val="none"/>
              </w:rPr>
              <w:t>会客椅</w:t>
            </w:r>
          </w:p>
        </w:tc>
        <w:tc>
          <w:tcPr>
            <w:tcW w:w="1984" w:type="dxa"/>
            <w:tcBorders>
              <w:top w:val="single" w:color="auto" w:sz="4" w:space="0"/>
              <w:left w:val="nil"/>
              <w:bottom w:val="single" w:color="auto" w:sz="4" w:space="0"/>
              <w:right w:val="single" w:color="auto" w:sz="4" w:space="0"/>
            </w:tcBorders>
            <w:vAlign w:val="center"/>
          </w:tcPr>
          <w:p>
            <w:pPr>
              <w:spacing w:after="100" w:afterAutospacing="1" w:line="240" w:lineRule="exact"/>
              <w:ind w:right="-210"/>
              <w:jc w:val="center"/>
              <w:rPr>
                <w:rFonts w:ascii="宋体" w:hAnsi="宋体" w:cs="宋体"/>
                <w:color w:val="auto"/>
                <w:sz w:val="24"/>
                <w:highlight w:val="none"/>
              </w:rPr>
            </w:pPr>
            <w:r>
              <w:rPr>
                <w:rFonts w:hint="eastAsia" w:ascii="宋体" w:hAnsi="宋体" w:cs="宋体"/>
                <w:color w:val="auto"/>
                <w:sz w:val="24"/>
                <w:highlight w:val="none"/>
              </w:rPr>
              <w:t>400元/张</w:t>
            </w:r>
          </w:p>
        </w:tc>
        <w:tc>
          <w:tcPr>
            <w:tcW w:w="1745" w:type="dxa"/>
            <w:tcBorders>
              <w:top w:val="single" w:color="auto" w:sz="4" w:space="0"/>
              <w:left w:val="single" w:color="auto" w:sz="4" w:space="0"/>
              <w:right w:val="single" w:color="auto" w:sz="4" w:space="0"/>
            </w:tcBorders>
            <w:vAlign w:val="center"/>
          </w:tcPr>
          <w:p>
            <w:pPr>
              <w:spacing w:line="240" w:lineRule="exact"/>
              <w:ind w:right="-210"/>
              <w:jc w:val="center"/>
              <w:rPr>
                <w:rFonts w:ascii="宋体" w:hAnsi="宋体" w:cs="宋体"/>
                <w:color w:val="auto"/>
                <w:sz w:val="24"/>
                <w:highlight w:val="none"/>
              </w:rPr>
            </w:pPr>
            <w:r>
              <w:rPr>
                <w:rFonts w:hint="eastAsia" w:ascii="宋体" w:hAnsi="宋体" w:cs="宋体"/>
                <w:color w:val="auto"/>
                <w:sz w:val="24"/>
                <w:highlight w:val="none"/>
              </w:rPr>
              <w:t>2张/办公室</w:t>
            </w:r>
          </w:p>
        </w:tc>
        <w:tc>
          <w:tcPr>
            <w:tcW w:w="1170" w:type="dxa"/>
            <w:tcBorders>
              <w:top w:val="single" w:color="auto" w:sz="4" w:space="0"/>
              <w:left w:val="single" w:color="auto" w:sz="4" w:space="0"/>
              <w:right w:val="single" w:color="auto" w:sz="4" w:space="0"/>
            </w:tcBorders>
          </w:tcPr>
          <w:p>
            <w:pPr>
              <w:spacing w:line="276" w:lineRule="auto"/>
              <w:jc w:val="center"/>
              <w:rPr>
                <w:rFonts w:ascii="宋体" w:hAnsi="宋体" w:cs="宋体"/>
                <w:color w:val="auto"/>
                <w:sz w:val="24"/>
                <w:highlight w:val="none"/>
              </w:rPr>
            </w:pPr>
            <w:r>
              <w:rPr>
                <w:rFonts w:hint="eastAsia" w:ascii="宋体" w:hAnsi="宋体" w:cs="宋体"/>
                <w:color w:val="auto"/>
                <w:sz w:val="24"/>
                <w:highlight w:val="none"/>
              </w:rPr>
              <w:t>15</w:t>
            </w:r>
          </w:p>
        </w:tc>
        <w:tc>
          <w:tcPr>
            <w:tcW w:w="1170" w:type="dxa"/>
            <w:vMerge w:val="continue"/>
            <w:tcBorders>
              <w:top w:val="single" w:color="auto" w:sz="4" w:space="0"/>
              <w:left w:val="single" w:color="auto" w:sz="4" w:space="0"/>
              <w:bottom w:val="single" w:color="auto" w:sz="4" w:space="0"/>
              <w:right w:val="single" w:color="auto" w:sz="4" w:space="0"/>
            </w:tcBorders>
          </w:tcPr>
          <w:p>
            <w:pPr>
              <w:spacing w:after="100" w:afterAutospacing="1" w:line="240" w:lineRule="exact"/>
              <w:ind w:right="-210"/>
              <w:jc w:val="center"/>
              <w:rPr>
                <w:rFonts w:ascii="宋体" w:hAnsi="宋体" w:cs="宋体"/>
                <w:color w:val="auto"/>
                <w:sz w:val="24"/>
                <w:highlight w:val="none"/>
              </w:rPr>
            </w:pPr>
          </w:p>
        </w:tc>
      </w:tr>
      <w:tr>
        <w:tblPrEx>
          <w:tblCellMar>
            <w:top w:w="0" w:type="dxa"/>
            <w:left w:w="108" w:type="dxa"/>
            <w:bottom w:w="0" w:type="dxa"/>
            <w:right w:w="108" w:type="dxa"/>
          </w:tblCellMar>
        </w:tblPrEx>
        <w:trPr>
          <w:trHeight w:val="521" w:hRule="atLeast"/>
          <w:jc w:val="center"/>
        </w:trPr>
        <w:tc>
          <w:tcPr>
            <w:tcW w:w="1384" w:type="dxa"/>
            <w:gridSpan w:val="2"/>
            <w:vMerge w:val="restart"/>
            <w:tcBorders>
              <w:top w:val="single" w:color="auto" w:sz="4" w:space="0"/>
              <w:left w:val="single" w:color="auto" w:sz="4" w:space="0"/>
              <w:right w:val="single" w:color="auto" w:sz="4" w:space="0"/>
            </w:tcBorders>
            <w:vAlign w:val="center"/>
          </w:tcPr>
          <w:p>
            <w:pPr>
              <w:spacing w:line="240" w:lineRule="exact"/>
              <w:ind w:firstLine="120" w:firstLineChars="50"/>
              <w:jc w:val="center"/>
              <w:rPr>
                <w:rFonts w:ascii="宋体" w:hAnsi="宋体" w:cs="宋体"/>
                <w:color w:val="auto"/>
                <w:sz w:val="24"/>
                <w:highlight w:val="none"/>
              </w:rPr>
            </w:pPr>
            <w:r>
              <w:rPr>
                <w:rFonts w:hint="eastAsia" w:ascii="宋体" w:hAnsi="宋体" w:cs="宋体"/>
                <w:color w:val="auto"/>
                <w:sz w:val="24"/>
                <w:highlight w:val="none"/>
              </w:rPr>
              <w:t>其他办公家具</w:t>
            </w:r>
          </w:p>
        </w:tc>
        <w:tc>
          <w:tcPr>
            <w:tcW w:w="1985"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cs="宋体"/>
                <w:color w:val="auto"/>
                <w:sz w:val="24"/>
                <w:highlight w:val="none"/>
              </w:rPr>
            </w:pPr>
            <w:r>
              <w:rPr>
                <w:rFonts w:hint="eastAsia" w:ascii="宋体" w:hAnsi="宋体" w:cs="宋体"/>
                <w:color w:val="auto"/>
                <w:sz w:val="24"/>
                <w:highlight w:val="none"/>
              </w:rPr>
              <w:t>保密柜</w:t>
            </w:r>
          </w:p>
        </w:tc>
        <w:tc>
          <w:tcPr>
            <w:tcW w:w="198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3000元/个</w:t>
            </w:r>
          </w:p>
        </w:tc>
        <w:tc>
          <w:tcPr>
            <w:tcW w:w="174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根据保密规定和工作需要合理配置</w:t>
            </w:r>
          </w:p>
        </w:tc>
        <w:tc>
          <w:tcPr>
            <w:tcW w:w="1170" w:type="dxa"/>
            <w:tcBorders>
              <w:top w:val="single" w:color="auto" w:sz="4" w:space="0"/>
              <w:left w:val="single" w:color="auto" w:sz="4" w:space="0"/>
              <w:bottom w:val="single" w:color="auto" w:sz="4" w:space="0"/>
              <w:right w:val="single" w:color="auto" w:sz="4" w:space="0"/>
            </w:tcBorders>
          </w:tcPr>
          <w:p>
            <w:pPr>
              <w:spacing w:line="480" w:lineRule="auto"/>
              <w:jc w:val="center"/>
              <w:rPr>
                <w:rFonts w:ascii="宋体" w:hAnsi="宋体" w:cs="宋体"/>
                <w:color w:val="auto"/>
                <w:sz w:val="24"/>
                <w:highlight w:val="none"/>
              </w:rPr>
            </w:pPr>
            <w:r>
              <w:rPr>
                <w:rFonts w:hint="eastAsia" w:ascii="宋体" w:hAnsi="宋体" w:cs="宋体"/>
                <w:color w:val="auto"/>
                <w:sz w:val="24"/>
                <w:highlight w:val="none"/>
              </w:rPr>
              <w:t>长期</w:t>
            </w:r>
          </w:p>
        </w:tc>
        <w:tc>
          <w:tcPr>
            <w:tcW w:w="1170" w:type="dxa"/>
            <w:vMerge w:val="continue"/>
            <w:tcBorders>
              <w:top w:val="single" w:color="auto" w:sz="4" w:space="0"/>
              <w:left w:val="single" w:color="auto" w:sz="4" w:space="0"/>
              <w:bottom w:val="single" w:color="auto" w:sz="4" w:space="0"/>
              <w:right w:val="single" w:color="auto" w:sz="4" w:space="0"/>
            </w:tcBorders>
          </w:tcPr>
          <w:p>
            <w:pPr>
              <w:spacing w:line="240" w:lineRule="exact"/>
              <w:jc w:val="center"/>
              <w:rPr>
                <w:rFonts w:ascii="宋体" w:hAnsi="宋体" w:cs="宋体"/>
                <w:color w:val="auto"/>
                <w:sz w:val="24"/>
                <w:highlight w:val="none"/>
              </w:rPr>
            </w:pPr>
          </w:p>
        </w:tc>
      </w:tr>
      <w:tr>
        <w:tblPrEx>
          <w:tblCellMar>
            <w:top w:w="0" w:type="dxa"/>
            <w:left w:w="108" w:type="dxa"/>
            <w:bottom w:w="0" w:type="dxa"/>
            <w:right w:w="108" w:type="dxa"/>
          </w:tblCellMar>
        </w:tblPrEx>
        <w:trPr>
          <w:trHeight w:val="397" w:hRule="exact"/>
          <w:jc w:val="center"/>
        </w:trPr>
        <w:tc>
          <w:tcPr>
            <w:tcW w:w="1384" w:type="dxa"/>
            <w:gridSpan w:val="2"/>
            <w:vMerge w:val="continue"/>
            <w:tcBorders>
              <w:left w:val="single" w:color="auto" w:sz="4" w:space="0"/>
              <w:bottom w:val="single" w:color="auto" w:sz="4" w:space="0"/>
              <w:right w:val="single" w:color="auto" w:sz="4" w:space="0"/>
            </w:tcBorders>
            <w:vAlign w:val="center"/>
          </w:tcPr>
          <w:p>
            <w:pPr>
              <w:spacing w:line="240" w:lineRule="exact"/>
              <w:ind w:firstLine="120" w:firstLineChars="50"/>
              <w:jc w:val="center"/>
              <w:rPr>
                <w:rFonts w:ascii="宋体" w:hAnsi="宋体" w:cs="宋体"/>
                <w:color w:val="auto"/>
                <w:sz w:val="24"/>
                <w:highlight w:val="none"/>
              </w:rPr>
            </w:pPr>
          </w:p>
        </w:tc>
        <w:tc>
          <w:tcPr>
            <w:tcW w:w="1985" w:type="dxa"/>
            <w:gridSpan w:val="2"/>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cs="宋体"/>
                <w:color w:val="auto"/>
                <w:sz w:val="24"/>
                <w:highlight w:val="none"/>
              </w:rPr>
            </w:pPr>
            <w:r>
              <w:rPr>
                <w:rFonts w:hint="eastAsia" w:ascii="宋体" w:hAnsi="宋体" w:cs="宋体"/>
                <w:color w:val="auto"/>
                <w:sz w:val="24"/>
                <w:highlight w:val="none"/>
              </w:rPr>
              <w:t>电脑桌椅</w:t>
            </w:r>
          </w:p>
        </w:tc>
        <w:tc>
          <w:tcPr>
            <w:tcW w:w="198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800元/套</w:t>
            </w:r>
          </w:p>
        </w:tc>
        <w:tc>
          <w:tcPr>
            <w:tcW w:w="174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按需配置</w:t>
            </w:r>
          </w:p>
        </w:tc>
        <w:tc>
          <w:tcPr>
            <w:tcW w:w="1170" w:type="dxa"/>
            <w:tcBorders>
              <w:top w:val="single" w:color="auto" w:sz="4" w:space="0"/>
              <w:left w:val="single" w:color="auto" w:sz="4" w:space="0"/>
              <w:bottom w:val="single" w:color="auto" w:sz="4" w:space="0"/>
              <w:right w:val="single" w:color="auto" w:sz="4" w:space="0"/>
            </w:tcBorders>
          </w:tcPr>
          <w:p>
            <w:pPr>
              <w:spacing w:line="276" w:lineRule="auto"/>
              <w:jc w:val="center"/>
              <w:rPr>
                <w:rFonts w:ascii="宋体" w:hAnsi="宋体" w:cs="宋体"/>
                <w:color w:val="auto"/>
                <w:sz w:val="24"/>
                <w:highlight w:val="none"/>
              </w:rPr>
            </w:pPr>
            <w:r>
              <w:rPr>
                <w:rFonts w:hint="eastAsia" w:ascii="宋体" w:hAnsi="宋体" w:cs="宋体"/>
                <w:color w:val="auto"/>
                <w:sz w:val="24"/>
                <w:highlight w:val="none"/>
              </w:rPr>
              <w:t>15</w:t>
            </w:r>
          </w:p>
        </w:tc>
        <w:tc>
          <w:tcPr>
            <w:tcW w:w="1170" w:type="dxa"/>
            <w:vMerge w:val="continue"/>
            <w:tcBorders>
              <w:top w:val="single" w:color="auto" w:sz="4" w:space="0"/>
              <w:left w:val="single" w:color="auto" w:sz="4" w:space="0"/>
              <w:bottom w:val="single" w:color="auto" w:sz="4" w:space="0"/>
              <w:right w:val="single" w:color="auto" w:sz="4" w:space="0"/>
            </w:tcBorders>
          </w:tcPr>
          <w:p>
            <w:pPr>
              <w:spacing w:line="240" w:lineRule="exact"/>
              <w:jc w:val="center"/>
              <w:rPr>
                <w:rFonts w:ascii="宋体" w:hAnsi="宋体" w:cs="宋体"/>
                <w:color w:val="auto"/>
                <w:sz w:val="24"/>
                <w:highlight w:val="none"/>
              </w:rPr>
            </w:pPr>
          </w:p>
        </w:tc>
      </w:tr>
      <w:tr>
        <w:tblPrEx>
          <w:tblCellMar>
            <w:top w:w="0" w:type="dxa"/>
            <w:left w:w="108" w:type="dxa"/>
            <w:bottom w:w="0" w:type="dxa"/>
            <w:right w:w="108" w:type="dxa"/>
          </w:tblCellMar>
        </w:tblPrEx>
        <w:trPr>
          <w:trHeight w:val="902" w:hRule="atLeast"/>
          <w:jc w:val="center"/>
        </w:trPr>
        <w:tc>
          <w:tcPr>
            <w:tcW w:w="1384" w:type="dxa"/>
            <w:gridSpan w:val="2"/>
            <w:vMerge w:val="restart"/>
            <w:tcBorders>
              <w:top w:val="single" w:color="auto" w:sz="4" w:space="0"/>
              <w:left w:val="single" w:color="auto" w:sz="4" w:space="0"/>
              <w:right w:val="single" w:color="auto" w:sz="4" w:space="0"/>
            </w:tcBorders>
            <w:vAlign w:val="center"/>
          </w:tcPr>
          <w:p>
            <w:pPr>
              <w:spacing w:line="240" w:lineRule="exact"/>
              <w:ind w:firstLine="120" w:firstLineChars="50"/>
              <w:jc w:val="center"/>
              <w:rPr>
                <w:rFonts w:ascii="宋体" w:hAnsi="宋体" w:cs="宋体"/>
                <w:color w:val="auto"/>
                <w:sz w:val="24"/>
                <w:highlight w:val="none"/>
              </w:rPr>
            </w:pPr>
            <w:r>
              <w:rPr>
                <w:rFonts w:hint="eastAsia" w:ascii="宋体" w:hAnsi="宋体" w:cs="宋体"/>
                <w:color w:val="auto"/>
                <w:sz w:val="24"/>
                <w:highlight w:val="none"/>
              </w:rPr>
              <w:t>会议室</w:t>
            </w:r>
          </w:p>
        </w:tc>
        <w:tc>
          <w:tcPr>
            <w:tcW w:w="1985" w:type="dxa"/>
            <w:gridSpan w:val="2"/>
            <w:tcBorders>
              <w:top w:val="single" w:color="auto" w:sz="4" w:space="0"/>
              <w:left w:val="nil"/>
              <w:right w:val="single" w:color="auto" w:sz="4" w:space="0"/>
            </w:tcBorders>
            <w:vAlign w:val="center"/>
          </w:tcPr>
          <w:p>
            <w:pPr>
              <w:spacing w:line="240" w:lineRule="exact"/>
              <w:jc w:val="center"/>
              <w:rPr>
                <w:rFonts w:ascii="宋体" w:hAnsi="宋体" w:cs="宋体"/>
                <w:color w:val="auto"/>
                <w:sz w:val="24"/>
                <w:highlight w:val="none"/>
              </w:rPr>
            </w:pPr>
            <w:r>
              <w:rPr>
                <w:rFonts w:hint="eastAsia" w:ascii="宋体" w:hAnsi="宋体" w:cs="宋体"/>
                <w:color w:val="auto"/>
                <w:sz w:val="24"/>
                <w:highlight w:val="none"/>
              </w:rPr>
              <w:t>会议桌</w:t>
            </w:r>
          </w:p>
        </w:tc>
        <w:tc>
          <w:tcPr>
            <w:tcW w:w="1984" w:type="dxa"/>
            <w:tcBorders>
              <w:top w:val="single" w:color="auto" w:sz="4" w:space="0"/>
              <w:left w:val="single" w:color="auto" w:sz="4" w:space="0"/>
              <w:right w:val="single" w:color="auto" w:sz="4" w:space="0"/>
            </w:tcBorders>
            <w:vAlign w:val="center"/>
          </w:tcPr>
          <w:p>
            <w:pPr>
              <w:spacing w:line="240" w:lineRule="exact"/>
              <w:jc w:val="center"/>
              <w:rPr>
                <w:rFonts w:ascii="宋体" w:hAnsi="宋体" w:cs="宋体"/>
                <w:color w:val="auto"/>
                <w:kern w:val="0"/>
                <w:sz w:val="24"/>
                <w:highlight w:val="none"/>
              </w:rPr>
            </w:pPr>
            <w:r>
              <w:rPr>
                <w:rFonts w:hint="eastAsia" w:ascii="宋体" w:hAnsi="宋体" w:cs="宋体"/>
                <w:color w:val="auto"/>
                <w:sz w:val="24"/>
                <w:highlight w:val="none"/>
              </w:rPr>
              <w:t>按会议桌长度每0.6米一座位每座位800元</w:t>
            </w:r>
          </w:p>
        </w:tc>
        <w:tc>
          <w:tcPr>
            <w:tcW w:w="1745" w:type="dxa"/>
            <w:tcBorders>
              <w:top w:val="single" w:color="auto" w:sz="4" w:space="0"/>
              <w:left w:val="single" w:color="auto" w:sz="4" w:space="0"/>
              <w:right w:val="single" w:color="auto" w:sz="4" w:space="0"/>
            </w:tcBorders>
            <w:vAlign w:val="center"/>
          </w:tcPr>
          <w:p>
            <w:pPr>
              <w:spacing w:line="240" w:lineRule="exact"/>
              <w:jc w:val="center"/>
              <w:rPr>
                <w:rFonts w:ascii="宋体" w:hAnsi="宋体" w:cs="宋体"/>
                <w:color w:val="auto"/>
                <w:kern w:val="0"/>
                <w:sz w:val="24"/>
                <w:highlight w:val="none"/>
              </w:rPr>
            </w:pPr>
            <w:r>
              <w:rPr>
                <w:rFonts w:hint="eastAsia" w:ascii="宋体" w:hAnsi="宋体" w:cs="宋体"/>
                <w:color w:val="auto"/>
                <w:sz w:val="24"/>
                <w:highlight w:val="none"/>
              </w:rPr>
              <w:t>1组</w:t>
            </w:r>
          </w:p>
        </w:tc>
        <w:tc>
          <w:tcPr>
            <w:tcW w:w="1170" w:type="dxa"/>
            <w:tcBorders>
              <w:top w:val="single" w:color="auto" w:sz="4" w:space="0"/>
              <w:left w:val="single" w:color="auto" w:sz="4" w:space="0"/>
              <w:right w:val="single" w:color="auto" w:sz="4" w:space="0"/>
            </w:tcBorders>
          </w:tcPr>
          <w:p>
            <w:pPr>
              <w:spacing w:line="276" w:lineRule="auto"/>
              <w:jc w:val="center"/>
              <w:rPr>
                <w:rFonts w:ascii="宋体" w:hAnsi="宋体" w:cs="宋体"/>
                <w:color w:val="auto"/>
                <w:sz w:val="24"/>
                <w:highlight w:val="none"/>
              </w:rPr>
            </w:pPr>
          </w:p>
          <w:p>
            <w:pPr>
              <w:spacing w:line="276" w:lineRule="auto"/>
              <w:jc w:val="center"/>
              <w:rPr>
                <w:rFonts w:ascii="宋体" w:hAnsi="宋体" w:cs="宋体"/>
                <w:color w:val="auto"/>
                <w:sz w:val="24"/>
                <w:highlight w:val="none"/>
              </w:rPr>
            </w:pPr>
            <w:r>
              <w:rPr>
                <w:rFonts w:hint="eastAsia" w:ascii="宋体" w:hAnsi="宋体" w:cs="宋体"/>
                <w:color w:val="auto"/>
                <w:sz w:val="24"/>
                <w:highlight w:val="none"/>
              </w:rPr>
              <w:t>15</w:t>
            </w:r>
          </w:p>
        </w:tc>
        <w:tc>
          <w:tcPr>
            <w:tcW w:w="1170" w:type="dxa"/>
            <w:vMerge w:val="continue"/>
            <w:tcBorders>
              <w:top w:val="single" w:color="auto" w:sz="4" w:space="0"/>
              <w:left w:val="single" w:color="auto" w:sz="4" w:space="0"/>
              <w:bottom w:val="single" w:color="auto" w:sz="4" w:space="0"/>
              <w:right w:val="single" w:color="auto" w:sz="4" w:space="0"/>
            </w:tcBorders>
          </w:tcPr>
          <w:p>
            <w:pPr>
              <w:spacing w:line="240" w:lineRule="exact"/>
              <w:jc w:val="center"/>
              <w:rPr>
                <w:rFonts w:ascii="宋体" w:hAnsi="宋体" w:cs="宋体"/>
                <w:color w:val="auto"/>
                <w:sz w:val="24"/>
                <w:highlight w:val="none"/>
              </w:rPr>
            </w:pPr>
          </w:p>
        </w:tc>
      </w:tr>
      <w:tr>
        <w:tblPrEx>
          <w:tblCellMar>
            <w:top w:w="0" w:type="dxa"/>
            <w:left w:w="108" w:type="dxa"/>
            <w:bottom w:w="0" w:type="dxa"/>
            <w:right w:w="108" w:type="dxa"/>
          </w:tblCellMar>
        </w:tblPrEx>
        <w:trPr>
          <w:trHeight w:val="452" w:hRule="atLeast"/>
          <w:jc w:val="center"/>
        </w:trPr>
        <w:tc>
          <w:tcPr>
            <w:tcW w:w="1384" w:type="dxa"/>
            <w:gridSpan w:val="2"/>
            <w:vMerge w:val="continue"/>
            <w:tcBorders>
              <w:left w:val="single" w:color="auto" w:sz="4" w:space="0"/>
              <w:right w:val="single" w:color="auto" w:sz="4" w:space="0"/>
            </w:tcBorders>
            <w:vAlign w:val="center"/>
          </w:tcPr>
          <w:p>
            <w:pPr>
              <w:spacing w:line="240" w:lineRule="exact"/>
              <w:ind w:firstLine="120" w:firstLineChars="50"/>
              <w:jc w:val="center"/>
              <w:rPr>
                <w:rFonts w:ascii="宋体" w:hAnsi="宋体" w:cs="宋体"/>
                <w:color w:val="auto"/>
                <w:sz w:val="24"/>
                <w:highlight w:val="none"/>
              </w:rPr>
            </w:pPr>
          </w:p>
        </w:tc>
        <w:tc>
          <w:tcPr>
            <w:tcW w:w="1985" w:type="dxa"/>
            <w:gridSpan w:val="2"/>
            <w:tcBorders>
              <w:top w:val="single" w:color="auto" w:sz="4" w:space="0"/>
              <w:left w:val="nil"/>
              <w:right w:val="single" w:color="auto" w:sz="4" w:space="0"/>
            </w:tcBorders>
            <w:vAlign w:val="center"/>
          </w:tcPr>
          <w:p>
            <w:pPr>
              <w:spacing w:line="240" w:lineRule="exact"/>
              <w:jc w:val="center"/>
              <w:rPr>
                <w:rFonts w:ascii="宋体" w:hAnsi="宋体" w:cs="宋体"/>
                <w:color w:val="auto"/>
                <w:sz w:val="24"/>
                <w:highlight w:val="none"/>
              </w:rPr>
            </w:pPr>
            <w:r>
              <w:rPr>
                <w:rFonts w:hint="eastAsia" w:ascii="宋体" w:hAnsi="宋体" w:cs="宋体"/>
                <w:color w:val="auto"/>
                <w:sz w:val="24"/>
                <w:highlight w:val="none"/>
              </w:rPr>
              <w:t>会议椅</w:t>
            </w:r>
          </w:p>
        </w:tc>
        <w:tc>
          <w:tcPr>
            <w:tcW w:w="1984" w:type="dxa"/>
            <w:tcBorders>
              <w:top w:val="single" w:color="auto" w:sz="4" w:space="0"/>
              <w:left w:val="single" w:color="auto" w:sz="4" w:space="0"/>
              <w:right w:val="single" w:color="auto" w:sz="4" w:space="0"/>
            </w:tcBorders>
            <w:vAlign w:val="center"/>
          </w:tcPr>
          <w:p>
            <w:pPr>
              <w:spacing w:line="24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500元/张</w:t>
            </w:r>
          </w:p>
        </w:tc>
        <w:tc>
          <w:tcPr>
            <w:tcW w:w="1745" w:type="dxa"/>
            <w:vMerge w:val="restart"/>
            <w:tcBorders>
              <w:top w:val="single" w:color="auto" w:sz="4" w:space="0"/>
              <w:left w:val="single" w:color="auto" w:sz="4" w:space="0"/>
              <w:right w:val="single" w:color="auto" w:sz="4" w:space="0"/>
            </w:tcBorders>
            <w:vAlign w:val="center"/>
          </w:tcPr>
          <w:p>
            <w:pPr>
              <w:spacing w:line="24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与会议桌及会议室大小匹配</w:t>
            </w:r>
          </w:p>
        </w:tc>
        <w:tc>
          <w:tcPr>
            <w:tcW w:w="1170" w:type="dxa"/>
            <w:tcBorders>
              <w:top w:val="single" w:color="auto" w:sz="4" w:space="0"/>
              <w:left w:val="single" w:color="auto" w:sz="4" w:space="0"/>
              <w:bottom w:val="single" w:color="auto" w:sz="4" w:space="0"/>
              <w:right w:val="single" w:color="auto" w:sz="4" w:space="0"/>
            </w:tcBorders>
          </w:tcPr>
          <w:p>
            <w:pPr>
              <w:spacing w:line="240" w:lineRule="exact"/>
              <w:jc w:val="center"/>
              <w:rPr>
                <w:rFonts w:ascii="宋体" w:hAnsi="宋体" w:cs="宋体"/>
                <w:color w:val="auto"/>
                <w:sz w:val="24"/>
                <w:highlight w:val="none"/>
              </w:rPr>
            </w:pPr>
          </w:p>
          <w:p>
            <w:pPr>
              <w:spacing w:line="240" w:lineRule="exact"/>
              <w:jc w:val="center"/>
              <w:rPr>
                <w:rFonts w:ascii="宋体" w:hAnsi="宋体" w:cs="宋体"/>
                <w:color w:val="auto"/>
                <w:sz w:val="24"/>
                <w:highlight w:val="none"/>
              </w:rPr>
            </w:pPr>
            <w:r>
              <w:rPr>
                <w:rFonts w:hint="eastAsia" w:ascii="宋体" w:hAnsi="宋体" w:cs="宋体"/>
                <w:color w:val="auto"/>
                <w:sz w:val="24"/>
                <w:highlight w:val="none"/>
              </w:rPr>
              <w:t>15</w:t>
            </w:r>
          </w:p>
        </w:tc>
        <w:tc>
          <w:tcPr>
            <w:tcW w:w="1170" w:type="dxa"/>
            <w:vMerge w:val="continue"/>
            <w:tcBorders>
              <w:top w:val="single" w:color="auto" w:sz="4" w:space="0"/>
              <w:left w:val="single" w:color="auto" w:sz="4" w:space="0"/>
              <w:bottom w:val="single" w:color="auto" w:sz="4" w:space="0"/>
              <w:right w:val="single" w:color="auto" w:sz="4" w:space="0"/>
            </w:tcBorders>
          </w:tcPr>
          <w:p>
            <w:pPr>
              <w:spacing w:line="240" w:lineRule="exact"/>
              <w:jc w:val="center"/>
              <w:rPr>
                <w:rFonts w:ascii="宋体" w:hAnsi="宋体" w:cs="宋体"/>
                <w:color w:val="auto"/>
                <w:sz w:val="24"/>
                <w:highlight w:val="none"/>
              </w:rPr>
            </w:pPr>
          </w:p>
        </w:tc>
      </w:tr>
      <w:tr>
        <w:tblPrEx>
          <w:tblCellMar>
            <w:top w:w="0" w:type="dxa"/>
            <w:left w:w="108" w:type="dxa"/>
            <w:bottom w:w="0" w:type="dxa"/>
            <w:right w:w="108" w:type="dxa"/>
          </w:tblCellMar>
        </w:tblPrEx>
        <w:trPr>
          <w:trHeight w:val="452" w:hRule="atLeast"/>
          <w:jc w:val="center"/>
        </w:trPr>
        <w:tc>
          <w:tcPr>
            <w:tcW w:w="1384" w:type="dxa"/>
            <w:gridSpan w:val="2"/>
            <w:vMerge w:val="continue"/>
            <w:tcBorders>
              <w:left w:val="single" w:color="auto" w:sz="4" w:space="0"/>
              <w:right w:val="single" w:color="auto" w:sz="4" w:space="0"/>
            </w:tcBorders>
            <w:vAlign w:val="center"/>
          </w:tcPr>
          <w:p>
            <w:pPr>
              <w:spacing w:line="240" w:lineRule="exact"/>
              <w:ind w:firstLine="120" w:firstLineChars="50"/>
              <w:jc w:val="center"/>
              <w:rPr>
                <w:rFonts w:ascii="宋体" w:hAnsi="宋体" w:cs="宋体"/>
                <w:color w:val="auto"/>
                <w:sz w:val="24"/>
                <w:highlight w:val="none"/>
              </w:rPr>
            </w:pPr>
          </w:p>
        </w:tc>
        <w:tc>
          <w:tcPr>
            <w:tcW w:w="1985" w:type="dxa"/>
            <w:gridSpan w:val="2"/>
            <w:tcBorders>
              <w:top w:val="single" w:color="auto" w:sz="4" w:space="0"/>
              <w:left w:val="nil"/>
              <w:right w:val="single" w:color="auto" w:sz="4" w:space="0"/>
            </w:tcBorders>
            <w:vAlign w:val="center"/>
          </w:tcPr>
          <w:p>
            <w:pPr>
              <w:spacing w:line="240" w:lineRule="exact"/>
              <w:jc w:val="center"/>
              <w:rPr>
                <w:rFonts w:ascii="宋体" w:hAnsi="宋体" w:cs="宋体"/>
                <w:color w:val="auto"/>
                <w:sz w:val="24"/>
                <w:highlight w:val="none"/>
              </w:rPr>
            </w:pPr>
            <w:r>
              <w:rPr>
                <w:rFonts w:hint="eastAsia" w:ascii="宋体" w:hAnsi="宋体" w:cs="宋体"/>
                <w:color w:val="auto"/>
                <w:sz w:val="24"/>
                <w:highlight w:val="none"/>
              </w:rPr>
              <w:t>茶水柜</w:t>
            </w:r>
          </w:p>
        </w:tc>
        <w:tc>
          <w:tcPr>
            <w:tcW w:w="1984" w:type="dxa"/>
            <w:tcBorders>
              <w:top w:val="single" w:color="auto" w:sz="4" w:space="0"/>
              <w:left w:val="single" w:color="auto" w:sz="4" w:space="0"/>
              <w:right w:val="single" w:color="auto" w:sz="4" w:space="0"/>
            </w:tcBorders>
            <w:vAlign w:val="center"/>
          </w:tcPr>
          <w:p>
            <w:pPr>
              <w:spacing w:line="24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1500元/个</w:t>
            </w:r>
          </w:p>
        </w:tc>
        <w:tc>
          <w:tcPr>
            <w:tcW w:w="1745" w:type="dxa"/>
            <w:vMerge w:val="continue"/>
            <w:tcBorders>
              <w:left w:val="single" w:color="auto" w:sz="4" w:space="0"/>
              <w:right w:val="single" w:color="auto" w:sz="4" w:space="0"/>
            </w:tcBorders>
            <w:vAlign w:val="center"/>
          </w:tcPr>
          <w:p>
            <w:pPr>
              <w:spacing w:line="240" w:lineRule="exact"/>
              <w:jc w:val="center"/>
              <w:rPr>
                <w:rFonts w:ascii="宋体" w:hAnsi="宋体" w:cs="宋体"/>
                <w:color w:val="auto"/>
                <w:kern w:val="0"/>
                <w:sz w:val="24"/>
                <w:highlight w:val="none"/>
              </w:rPr>
            </w:pPr>
          </w:p>
        </w:tc>
        <w:tc>
          <w:tcPr>
            <w:tcW w:w="1170" w:type="dxa"/>
            <w:tcBorders>
              <w:top w:val="single" w:color="auto" w:sz="4" w:space="0"/>
              <w:left w:val="single" w:color="auto" w:sz="4" w:space="0"/>
              <w:bottom w:val="single" w:color="auto" w:sz="4" w:space="0"/>
              <w:right w:val="single" w:color="auto" w:sz="4" w:space="0"/>
            </w:tcBorders>
          </w:tcPr>
          <w:p>
            <w:pPr>
              <w:spacing w:line="240" w:lineRule="exact"/>
              <w:jc w:val="center"/>
              <w:rPr>
                <w:rFonts w:ascii="宋体" w:hAnsi="宋体" w:cs="宋体"/>
                <w:color w:val="auto"/>
                <w:sz w:val="24"/>
                <w:highlight w:val="none"/>
              </w:rPr>
            </w:pPr>
            <w:r>
              <w:rPr>
                <w:rFonts w:hint="eastAsia" w:ascii="宋体" w:hAnsi="宋体" w:cs="宋体"/>
                <w:color w:val="auto"/>
                <w:sz w:val="24"/>
                <w:highlight w:val="none"/>
              </w:rPr>
              <w:t>15</w:t>
            </w:r>
          </w:p>
        </w:tc>
        <w:tc>
          <w:tcPr>
            <w:tcW w:w="1170" w:type="dxa"/>
            <w:vMerge w:val="continue"/>
            <w:tcBorders>
              <w:top w:val="single" w:color="auto" w:sz="4" w:space="0"/>
              <w:left w:val="single" w:color="auto" w:sz="4" w:space="0"/>
              <w:bottom w:val="single" w:color="auto" w:sz="4" w:space="0"/>
              <w:right w:val="single" w:color="auto" w:sz="4" w:space="0"/>
            </w:tcBorders>
          </w:tcPr>
          <w:p>
            <w:pPr>
              <w:spacing w:line="240" w:lineRule="exact"/>
              <w:jc w:val="center"/>
              <w:rPr>
                <w:rFonts w:ascii="宋体" w:hAnsi="宋体" w:cs="宋体"/>
                <w:color w:val="auto"/>
                <w:sz w:val="24"/>
                <w:highlight w:val="none"/>
              </w:rPr>
            </w:pPr>
          </w:p>
        </w:tc>
      </w:tr>
      <w:tr>
        <w:tblPrEx>
          <w:tblCellMar>
            <w:top w:w="0" w:type="dxa"/>
            <w:left w:w="108" w:type="dxa"/>
            <w:bottom w:w="0" w:type="dxa"/>
            <w:right w:w="108" w:type="dxa"/>
          </w:tblCellMar>
        </w:tblPrEx>
        <w:trPr>
          <w:trHeight w:val="982" w:hRule="atLeast"/>
          <w:jc w:val="center"/>
        </w:trPr>
        <w:tc>
          <w:tcPr>
            <w:tcW w:w="1384"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color w:val="auto"/>
                <w:sz w:val="24"/>
                <w:highlight w:val="none"/>
              </w:rPr>
            </w:pPr>
            <w:r>
              <w:rPr>
                <w:rFonts w:hint="eastAsia" w:ascii="宋体" w:hAnsi="宋体" w:cs="宋体"/>
                <w:color w:val="auto"/>
                <w:sz w:val="24"/>
                <w:highlight w:val="none"/>
              </w:rPr>
              <w:t>接待室</w:t>
            </w:r>
          </w:p>
        </w:tc>
        <w:tc>
          <w:tcPr>
            <w:tcW w:w="5714" w:type="dxa"/>
            <w:gridSpan w:val="4"/>
            <w:tcBorders>
              <w:top w:val="single" w:color="auto" w:sz="4" w:space="0"/>
              <w:left w:val="nil"/>
              <w:bottom w:val="single" w:color="auto" w:sz="4" w:space="0"/>
              <w:right w:val="single" w:color="auto" w:sz="4" w:space="0"/>
            </w:tcBorders>
            <w:vAlign w:val="center"/>
          </w:tcPr>
          <w:p>
            <w:pPr>
              <w:spacing w:line="240" w:lineRule="exact"/>
              <w:rPr>
                <w:rFonts w:ascii="宋体" w:hAnsi="宋体" w:cs="宋体"/>
                <w:color w:val="auto"/>
                <w:sz w:val="24"/>
                <w:highlight w:val="none"/>
              </w:rPr>
            </w:pPr>
            <w:r>
              <w:rPr>
                <w:rFonts w:hint="eastAsia" w:ascii="宋体" w:hAnsi="宋体" w:cs="宋体"/>
                <w:color w:val="auto"/>
                <w:kern w:val="0"/>
                <w:sz w:val="24"/>
                <w:highlight w:val="none"/>
              </w:rPr>
              <w:t>按照实际需要配置相应的沙发、茶几、桌、椅、茶水柜等办公家具，价格上限按以上标准执行。</w:t>
            </w:r>
          </w:p>
        </w:tc>
        <w:tc>
          <w:tcPr>
            <w:tcW w:w="1170" w:type="dxa"/>
            <w:tcBorders>
              <w:top w:val="single" w:color="auto" w:sz="4" w:space="0"/>
              <w:left w:val="single" w:color="auto" w:sz="4" w:space="0"/>
              <w:bottom w:val="single" w:color="auto" w:sz="4" w:space="0"/>
              <w:right w:val="single" w:color="auto" w:sz="4" w:space="0"/>
            </w:tcBorders>
          </w:tcPr>
          <w:p>
            <w:pPr>
              <w:spacing w:line="240" w:lineRule="exact"/>
              <w:jc w:val="center"/>
              <w:rPr>
                <w:rFonts w:ascii="宋体" w:hAnsi="宋体" w:cs="宋体"/>
                <w:color w:val="auto"/>
                <w:kern w:val="0"/>
                <w:sz w:val="24"/>
                <w:highlight w:val="none"/>
              </w:rPr>
            </w:pPr>
          </w:p>
          <w:p>
            <w:pPr>
              <w:spacing w:line="24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15</w:t>
            </w:r>
          </w:p>
        </w:tc>
        <w:tc>
          <w:tcPr>
            <w:tcW w:w="1170" w:type="dxa"/>
            <w:vMerge w:val="continue"/>
            <w:tcBorders>
              <w:top w:val="single" w:color="auto" w:sz="4" w:space="0"/>
              <w:left w:val="single" w:color="auto" w:sz="4" w:space="0"/>
              <w:bottom w:val="single" w:color="auto" w:sz="4" w:space="0"/>
              <w:right w:val="single" w:color="auto" w:sz="4" w:space="0"/>
            </w:tcBorders>
          </w:tcPr>
          <w:p>
            <w:pPr>
              <w:spacing w:line="240" w:lineRule="exact"/>
              <w:jc w:val="center"/>
              <w:rPr>
                <w:rFonts w:ascii="宋体" w:hAnsi="宋体" w:cs="宋体"/>
                <w:color w:val="auto"/>
                <w:kern w:val="0"/>
                <w:sz w:val="24"/>
                <w:highlight w:val="none"/>
              </w:rPr>
            </w:pPr>
          </w:p>
        </w:tc>
      </w:tr>
    </w:tbl>
    <w:p>
      <w:pPr>
        <w:rPr>
          <w:rFonts w:hint="eastAsia" w:ascii="仿宋" w:hAnsi="仿宋" w:eastAsia="仿宋" w:cs="仿宋"/>
          <w:b/>
          <w:color w:val="auto"/>
          <w:sz w:val="22"/>
          <w:szCs w:val="22"/>
          <w:highlight w:val="none"/>
        </w:rPr>
        <w:sectPr>
          <w:headerReference r:id="rId4" w:type="first"/>
          <w:footerReference r:id="rId6" w:type="first"/>
          <w:headerReference r:id="rId3" w:type="default"/>
          <w:footerReference r:id="rId5" w:type="default"/>
          <w:pgSz w:w="11906" w:h="16838"/>
          <w:pgMar w:top="1276" w:right="1418" w:bottom="1247" w:left="1418" w:header="851" w:footer="992" w:gutter="0"/>
          <w:cols w:space="720" w:num="1"/>
          <w:titlePg/>
          <w:docGrid w:linePitch="312" w:charSpace="0"/>
        </w:sectPr>
      </w:pPr>
    </w:p>
    <w:p>
      <w:pPr>
        <w:pStyle w:val="4"/>
        <w:ind w:left="0" w:firstLine="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二、招标</w:t>
      </w:r>
      <w:r>
        <w:rPr>
          <w:rFonts w:hint="eastAsia" w:asciiTheme="minorEastAsia" w:hAnsiTheme="minorEastAsia" w:eastAsiaTheme="minorEastAsia" w:cstheme="minorEastAsia"/>
          <w:color w:val="auto"/>
          <w:highlight w:val="none"/>
        </w:rPr>
        <w:t>需求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lang w:val="en-US" w:eastAsia="zh-CN"/>
        </w:rPr>
        <w:t>1、</w:t>
      </w:r>
      <w:r>
        <w:rPr>
          <w:rFonts w:hint="eastAsia" w:ascii="宋体" w:hAnsi="宋体" w:eastAsia="宋体" w:cs="宋体"/>
          <w:color w:val="auto"/>
          <w:sz w:val="24"/>
          <w:szCs w:val="32"/>
          <w:highlight w:val="none"/>
        </w:rPr>
        <w:t>技术需求：</w:t>
      </w:r>
    </w:p>
    <w:tbl>
      <w:tblPr>
        <w:tblStyle w:val="62"/>
        <w:tblW w:w="14438" w:type="dxa"/>
        <w:jc w:val="center"/>
        <w:tblLayout w:type="fixed"/>
        <w:tblCellMar>
          <w:top w:w="0" w:type="dxa"/>
          <w:left w:w="108" w:type="dxa"/>
          <w:bottom w:w="0" w:type="dxa"/>
          <w:right w:w="108" w:type="dxa"/>
        </w:tblCellMar>
      </w:tblPr>
      <w:tblGrid>
        <w:gridCol w:w="1281"/>
        <w:gridCol w:w="1007"/>
        <w:gridCol w:w="1331"/>
        <w:gridCol w:w="1369"/>
        <w:gridCol w:w="7686"/>
        <w:gridCol w:w="1011"/>
        <w:gridCol w:w="753"/>
      </w:tblGrid>
      <w:tr>
        <w:tblPrEx>
          <w:tblCellMar>
            <w:top w:w="0" w:type="dxa"/>
            <w:left w:w="108" w:type="dxa"/>
            <w:bottom w:w="0" w:type="dxa"/>
            <w:right w:w="108" w:type="dxa"/>
          </w:tblCellMar>
        </w:tblPrEx>
        <w:trPr>
          <w:jc w:val="center"/>
        </w:trPr>
        <w:tc>
          <w:tcPr>
            <w:tcW w:w="1281" w:type="dxa"/>
            <w:tcBorders>
              <w:top w:val="nil"/>
              <w:left w:val="nil"/>
              <w:bottom w:val="nil"/>
              <w:right w:val="nil"/>
            </w:tcBorders>
            <w:shd w:val="clear" w:color="auto" w:fill="auto"/>
            <w:noWrap/>
            <w:vAlign w:val="center"/>
          </w:tcPr>
          <w:p>
            <w:pPr>
              <w:snapToGrid w:val="0"/>
              <w:rPr>
                <w:rFonts w:ascii="宋体" w:hAnsi="宋体" w:cs="宋体"/>
                <w:color w:val="auto"/>
                <w:sz w:val="24"/>
                <w:highlight w:val="none"/>
              </w:rPr>
            </w:pPr>
          </w:p>
        </w:tc>
        <w:tc>
          <w:tcPr>
            <w:tcW w:w="13157" w:type="dxa"/>
            <w:gridSpan w:val="6"/>
            <w:tcBorders>
              <w:top w:val="nil"/>
              <w:left w:val="nil"/>
              <w:bottom w:val="nil"/>
              <w:right w:val="nil"/>
            </w:tcBorders>
            <w:shd w:val="clear" w:color="auto" w:fill="auto"/>
            <w:noWrap/>
            <w:vAlign w:val="center"/>
          </w:tcPr>
          <w:p>
            <w:pPr>
              <w:widowControl/>
              <w:snapToGrid w:val="0"/>
              <w:textAlignment w:val="center"/>
              <w:rPr>
                <w:rFonts w:ascii="宋体" w:hAnsi="宋体" w:cs="宋体"/>
                <w:b/>
                <w:bCs/>
                <w:color w:val="auto"/>
                <w:sz w:val="24"/>
                <w:highlight w:val="none"/>
              </w:rPr>
            </w:pPr>
          </w:p>
        </w:tc>
      </w:tr>
      <w:tr>
        <w:tblPrEx>
          <w:tblCellMar>
            <w:top w:w="0" w:type="dxa"/>
            <w:left w:w="108" w:type="dxa"/>
            <w:bottom w:w="0" w:type="dxa"/>
            <w:right w:w="108" w:type="dxa"/>
          </w:tblCellMar>
        </w:tblPrEx>
        <w:trPr>
          <w:trHeight w:val="601" w:hRule="atLeast"/>
          <w:jc w:val="center"/>
        </w:trPr>
        <w:tc>
          <w:tcPr>
            <w:tcW w:w="1281" w:type="dxa"/>
            <w:tcBorders>
              <w:top w:val="single" w:color="000000" w:sz="4" w:space="0"/>
              <w:left w:val="single" w:color="000000" w:sz="4" w:space="0"/>
              <w:bottom w:val="single" w:color="000000" w:sz="4" w:space="0"/>
              <w:right w:val="single" w:color="000000" w:sz="4" w:space="0"/>
            </w:tcBorders>
            <w:shd w:val="clear" w:color="auto" w:fill="BFBFBF"/>
            <w:vAlign w:val="center"/>
          </w:tcPr>
          <w:p>
            <w:pPr>
              <w:widowControl/>
              <w:snapToGrid w:val="0"/>
              <w:jc w:val="center"/>
              <w:textAlignment w:val="center"/>
              <w:rPr>
                <w:rFonts w:ascii="宋体" w:hAnsi="宋体" w:cs="宋体"/>
                <w:b/>
                <w:bCs/>
                <w:color w:val="auto"/>
                <w:sz w:val="24"/>
                <w:highlight w:val="none"/>
              </w:rPr>
            </w:pPr>
            <w:r>
              <w:rPr>
                <w:rFonts w:hint="eastAsia" w:ascii="宋体" w:hAnsi="宋体" w:cs="宋体"/>
                <w:b/>
                <w:bCs/>
                <w:color w:val="auto"/>
                <w:kern w:val="0"/>
                <w:sz w:val="24"/>
                <w:highlight w:val="none"/>
                <w:lang w:bidi="ar"/>
              </w:rPr>
              <w:t>序号</w:t>
            </w:r>
          </w:p>
        </w:tc>
        <w:tc>
          <w:tcPr>
            <w:tcW w:w="1007" w:type="dxa"/>
            <w:tcBorders>
              <w:top w:val="single" w:color="000000" w:sz="4" w:space="0"/>
              <w:left w:val="single" w:color="000000" w:sz="4" w:space="0"/>
              <w:bottom w:val="single" w:color="000000" w:sz="4" w:space="0"/>
              <w:right w:val="single" w:color="000000" w:sz="4" w:space="0"/>
            </w:tcBorders>
            <w:shd w:val="clear" w:color="auto" w:fill="BFBFBF"/>
            <w:vAlign w:val="center"/>
          </w:tcPr>
          <w:p>
            <w:pPr>
              <w:widowControl/>
              <w:snapToGrid w:val="0"/>
              <w:jc w:val="center"/>
              <w:textAlignment w:val="center"/>
              <w:rPr>
                <w:rFonts w:ascii="宋体" w:hAnsi="宋体" w:cs="宋体"/>
                <w:b/>
                <w:bCs/>
                <w:color w:val="auto"/>
                <w:sz w:val="24"/>
                <w:highlight w:val="none"/>
              </w:rPr>
            </w:pPr>
            <w:r>
              <w:rPr>
                <w:rFonts w:hint="eastAsia" w:ascii="宋体" w:hAnsi="宋体" w:cs="宋体"/>
                <w:b/>
                <w:bCs/>
                <w:color w:val="auto"/>
                <w:kern w:val="0"/>
                <w:sz w:val="24"/>
                <w:highlight w:val="none"/>
                <w:lang w:bidi="ar"/>
              </w:rPr>
              <w:t>名称</w:t>
            </w:r>
          </w:p>
        </w:tc>
        <w:tc>
          <w:tcPr>
            <w:tcW w:w="1331" w:type="dxa"/>
            <w:tcBorders>
              <w:top w:val="single" w:color="000000" w:sz="4" w:space="0"/>
              <w:left w:val="single" w:color="000000" w:sz="4" w:space="0"/>
              <w:bottom w:val="single" w:color="000000" w:sz="4" w:space="0"/>
              <w:right w:val="single" w:color="000000" w:sz="4" w:space="0"/>
            </w:tcBorders>
            <w:shd w:val="clear" w:color="auto" w:fill="BFBFBF"/>
            <w:vAlign w:val="center"/>
          </w:tcPr>
          <w:p>
            <w:pPr>
              <w:widowControl/>
              <w:snapToGrid w:val="0"/>
              <w:jc w:val="center"/>
              <w:textAlignment w:val="center"/>
              <w:rPr>
                <w:rFonts w:ascii="宋体" w:hAnsi="宋体" w:cs="宋体"/>
                <w:b/>
                <w:bCs/>
                <w:color w:val="auto"/>
                <w:sz w:val="24"/>
                <w:highlight w:val="none"/>
              </w:rPr>
            </w:pPr>
            <w:r>
              <w:rPr>
                <w:rFonts w:hint="eastAsia" w:ascii="宋体" w:hAnsi="宋体" w:cs="宋体"/>
                <w:b/>
                <w:bCs/>
                <w:color w:val="auto"/>
                <w:kern w:val="0"/>
                <w:sz w:val="24"/>
                <w:highlight w:val="none"/>
                <w:lang w:bidi="ar"/>
              </w:rPr>
              <w:t>规格</w:t>
            </w:r>
          </w:p>
        </w:tc>
        <w:tc>
          <w:tcPr>
            <w:tcW w:w="1369" w:type="dxa"/>
            <w:tcBorders>
              <w:top w:val="single" w:color="000000" w:sz="4" w:space="0"/>
              <w:left w:val="single" w:color="000000" w:sz="4" w:space="0"/>
              <w:bottom w:val="single" w:color="000000" w:sz="4" w:space="0"/>
              <w:right w:val="single" w:color="000000" w:sz="4" w:space="0"/>
            </w:tcBorders>
            <w:shd w:val="clear" w:color="auto" w:fill="BFBFBF"/>
            <w:vAlign w:val="center"/>
          </w:tcPr>
          <w:p>
            <w:pPr>
              <w:widowControl/>
              <w:snapToGrid w:val="0"/>
              <w:jc w:val="center"/>
              <w:textAlignment w:val="center"/>
              <w:rPr>
                <w:rFonts w:ascii="宋体" w:hAnsi="宋体" w:cs="宋体"/>
                <w:b/>
                <w:bCs/>
                <w:color w:val="auto"/>
                <w:sz w:val="24"/>
                <w:highlight w:val="none"/>
              </w:rPr>
            </w:pPr>
            <w:r>
              <w:rPr>
                <w:rFonts w:hint="eastAsia" w:ascii="宋体" w:hAnsi="宋体" w:cs="宋体"/>
                <w:b/>
                <w:bCs/>
                <w:color w:val="auto"/>
                <w:kern w:val="0"/>
                <w:sz w:val="24"/>
                <w:highlight w:val="none"/>
                <w:lang w:bidi="ar"/>
              </w:rPr>
              <w:t>图片</w:t>
            </w:r>
          </w:p>
        </w:tc>
        <w:tc>
          <w:tcPr>
            <w:tcW w:w="7686" w:type="dxa"/>
            <w:tcBorders>
              <w:top w:val="single" w:color="000000" w:sz="4" w:space="0"/>
              <w:left w:val="single" w:color="000000" w:sz="4" w:space="0"/>
              <w:bottom w:val="single" w:color="000000" w:sz="4" w:space="0"/>
              <w:right w:val="single" w:color="000000" w:sz="4" w:space="0"/>
            </w:tcBorders>
            <w:shd w:val="clear" w:color="auto" w:fill="BFBFBF"/>
            <w:vAlign w:val="center"/>
          </w:tcPr>
          <w:p>
            <w:pPr>
              <w:widowControl/>
              <w:snapToGrid w:val="0"/>
              <w:jc w:val="center"/>
              <w:textAlignment w:val="center"/>
              <w:rPr>
                <w:rFonts w:ascii="宋体" w:hAnsi="宋体" w:cs="宋体"/>
                <w:b/>
                <w:bCs/>
                <w:color w:val="auto"/>
                <w:sz w:val="24"/>
                <w:highlight w:val="none"/>
              </w:rPr>
            </w:pPr>
            <w:r>
              <w:rPr>
                <w:rFonts w:hint="eastAsia" w:ascii="宋体" w:hAnsi="宋体" w:cs="宋体"/>
                <w:b/>
                <w:bCs/>
                <w:color w:val="auto"/>
                <w:kern w:val="0"/>
                <w:sz w:val="24"/>
                <w:highlight w:val="none"/>
                <w:lang w:bidi="ar"/>
              </w:rPr>
              <w:t>材质说明</w:t>
            </w:r>
          </w:p>
        </w:tc>
        <w:tc>
          <w:tcPr>
            <w:tcW w:w="1011" w:type="dxa"/>
            <w:tcBorders>
              <w:top w:val="single" w:color="000000" w:sz="4" w:space="0"/>
              <w:left w:val="single" w:color="000000" w:sz="4" w:space="0"/>
              <w:bottom w:val="single" w:color="000000" w:sz="4" w:space="0"/>
              <w:right w:val="single" w:color="000000" w:sz="4" w:space="0"/>
            </w:tcBorders>
            <w:shd w:val="clear" w:color="auto" w:fill="BFBFBF"/>
            <w:vAlign w:val="center"/>
          </w:tcPr>
          <w:p>
            <w:pPr>
              <w:widowControl/>
              <w:snapToGrid w:val="0"/>
              <w:jc w:val="center"/>
              <w:textAlignment w:val="center"/>
              <w:rPr>
                <w:rFonts w:ascii="宋体" w:hAnsi="宋体" w:cs="宋体"/>
                <w:b/>
                <w:bCs/>
                <w:color w:val="auto"/>
                <w:sz w:val="24"/>
                <w:highlight w:val="none"/>
              </w:rPr>
            </w:pPr>
            <w:r>
              <w:rPr>
                <w:rFonts w:hint="eastAsia" w:ascii="宋体" w:hAnsi="宋体" w:cs="宋体"/>
                <w:b/>
                <w:bCs/>
                <w:color w:val="auto"/>
                <w:kern w:val="0"/>
                <w:sz w:val="24"/>
                <w:highlight w:val="none"/>
                <w:lang w:bidi="ar"/>
              </w:rPr>
              <w:t>数量</w:t>
            </w:r>
          </w:p>
        </w:tc>
        <w:tc>
          <w:tcPr>
            <w:tcW w:w="753" w:type="dxa"/>
            <w:tcBorders>
              <w:top w:val="single" w:color="000000" w:sz="4" w:space="0"/>
              <w:left w:val="single" w:color="000000" w:sz="4" w:space="0"/>
              <w:bottom w:val="single" w:color="000000" w:sz="4" w:space="0"/>
              <w:right w:val="single" w:color="000000" w:sz="4" w:space="0"/>
            </w:tcBorders>
            <w:shd w:val="clear" w:color="auto" w:fill="BFBFBF"/>
            <w:vAlign w:val="center"/>
          </w:tcPr>
          <w:p>
            <w:pPr>
              <w:widowControl/>
              <w:snapToGrid w:val="0"/>
              <w:jc w:val="center"/>
              <w:textAlignment w:val="center"/>
              <w:rPr>
                <w:rFonts w:ascii="宋体" w:hAnsi="宋体" w:cs="宋体"/>
                <w:b/>
                <w:bCs/>
                <w:color w:val="auto"/>
                <w:sz w:val="24"/>
                <w:highlight w:val="none"/>
              </w:rPr>
            </w:pPr>
            <w:r>
              <w:rPr>
                <w:rFonts w:hint="eastAsia" w:ascii="宋体" w:hAnsi="宋体" w:cs="宋体"/>
                <w:b/>
                <w:bCs/>
                <w:color w:val="auto"/>
                <w:kern w:val="0"/>
                <w:sz w:val="24"/>
                <w:highlight w:val="none"/>
                <w:lang w:bidi="ar"/>
              </w:rPr>
              <w:t>单位</w:t>
            </w:r>
          </w:p>
        </w:tc>
      </w:tr>
      <w:tr>
        <w:tblPrEx>
          <w:tblCellMar>
            <w:top w:w="0" w:type="dxa"/>
            <w:left w:w="108" w:type="dxa"/>
            <w:bottom w:w="0" w:type="dxa"/>
            <w:right w:w="108" w:type="dxa"/>
          </w:tblCellMar>
        </w:tblPrEx>
        <w:trPr>
          <w:trHeight w:val="580" w:hRule="atLeast"/>
          <w:jc w:val="center"/>
        </w:trPr>
        <w:tc>
          <w:tcPr>
            <w:tcW w:w="14438" w:type="dxa"/>
            <w:gridSpan w:val="7"/>
            <w:tcBorders>
              <w:top w:val="single" w:color="000000" w:sz="4" w:space="0"/>
              <w:left w:val="single" w:color="000000" w:sz="4" w:space="0"/>
              <w:bottom w:val="single" w:color="000000" w:sz="4" w:space="0"/>
              <w:right w:val="nil"/>
            </w:tcBorders>
            <w:shd w:val="clear" w:color="auto" w:fill="00B0F0"/>
            <w:vAlign w:val="center"/>
          </w:tcPr>
          <w:p>
            <w:pPr>
              <w:widowControl/>
              <w:snapToGrid w:val="0"/>
              <w:jc w:val="center"/>
              <w:textAlignment w:val="center"/>
              <w:rPr>
                <w:rFonts w:ascii="宋体" w:hAnsi="宋体" w:cs="宋体"/>
                <w:b/>
                <w:bCs/>
                <w:color w:val="auto"/>
                <w:sz w:val="24"/>
                <w:highlight w:val="none"/>
              </w:rPr>
            </w:pPr>
            <w:r>
              <w:rPr>
                <w:rFonts w:hint="eastAsia" w:ascii="宋体" w:hAnsi="宋体" w:cs="宋体"/>
                <w:b/>
                <w:bCs/>
                <w:color w:val="auto"/>
                <w:kern w:val="0"/>
                <w:sz w:val="24"/>
                <w:highlight w:val="none"/>
                <w:lang w:bidi="ar"/>
              </w:rPr>
              <w:t>桌台类</w:t>
            </w:r>
          </w:p>
        </w:tc>
      </w:tr>
      <w:tr>
        <w:tblPrEx>
          <w:tblCellMar>
            <w:top w:w="0" w:type="dxa"/>
            <w:left w:w="108" w:type="dxa"/>
            <w:bottom w:w="0" w:type="dxa"/>
            <w:right w:w="108" w:type="dxa"/>
          </w:tblCellMar>
        </w:tblPrEx>
        <w:trPr>
          <w:jc w:val="center"/>
        </w:trPr>
        <w:tc>
          <w:tcPr>
            <w:tcW w:w="12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办公桌</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1600*1550*750</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color w:val="auto"/>
                <w:highlight w:val="none"/>
              </w:rPr>
            </w:pPr>
            <w:r>
              <w:rPr>
                <w:rFonts w:hint="eastAsia"/>
                <w:color w:val="auto"/>
                <w:highlight w:val="none"/>
              </w:rPr>
              <w:drawing>
                <wp:inline distT="0" distB="0" distL="114300" distR="114300">
                  <wp:extent cx="786130" cy="502920"/>
                  <wp:effectExtent l="0" t="0" r="13970" b="11430"/>
                  <wp:docPr id="12" name="图片_1"/>
                  <wp:cNvGraphicFramePr/>
                  <a:graphic xmlns:a="http://schemas.openxmlformats.org/drawingml/2006/main">
                    <a:graphicData uri="http://schemas.openxmlformats.org/drawingml/2006/picture">
                      <pic:pic xmlns:pic="http://schemas.openxmlformats.org/drawingml/2006/picture">
                        <pic:nvPicPr>
                          <pic:cNvPr id="12" name="图片_1"/>
                          <pic:cNvPicPr/>
                        </pic:nvPicPr>
                        <pic:blipFill>
                          <a:blip r:embed="rId9"/>
                          <a:stretch>
                            <a:fillRect/>
                          </a:stretch>
                        </pic:blipFill>
                        <pic:spPr>
                          <a:xfrm>
                            <a:off x="0" y="0"/>
                            <a:ext cx="786130" cy="502920"/>
                          </a:xfrm>
                          <a:prstGeom prst="rect">
                            <a:avLst/>
                          </a:prstGeom>
                          <a:noFill/>
                          <a:ln>
                            <a:noFill/>
                          </a:ln>
                        </pic:spPr>
                      </pic:pic>
                    </a:graphicData>
                  </a:graphic>
                </wp:inline>
              </w:drawing>
            </w:r>
          </w:p>
        </w:tc>
        <w:tc>
          <w:tcPr>
            <w:tcW w:w="768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1)基材采用刨花板,符合GB/T4897-2015 、GB/T39600-2021、GB/T35607-2017、GB 8624-2012标准，其中甲醛释放量分级要求（气候箱法）ENF级≤0.025mg/m³；燃烧性能：平板状建筑材料及制品的燃烧性能等级和分级判据-B1-B合格；理化性能：含水率合格、2h吸水厚度膨胀率合格、静曲强度合格、弹性模量合格、内胶合强度合格、表面胶合强度合格；产品有害物质：苯、甲苯、二甲苯、总挥发性有机化合物（TVOC）均未检出；</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2)防火饰面:面材选用优质三聚氰胺浸胶工艺,使表面稳定性更好,层次感更优,耐污抗磨性更强,通过GB/T 15102浸渍胶膜纸饰面人造板表面理化性能要求;</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3)聚酯纤维板:采用聚酯纤维,硬度不低于65HW;通过Q/320507 SBJ04-2015及品质检验标准中5.3吸音板理化性能检测要求</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4)PVC封边条:符合QB/T4463-2013、GB28481-2012、GB/T35607-2017、GB/T 31402-2015、GB 20286-2006标准，其中防霉等级-大毛霉0级；燃烧性能：阻燃性能等级-阻燃1级（塑料/橡胶）合格；重金属未检出；理化性能：耐干热、耐磨性均合格；有害物质限量：甲醛释放量未检出、氯乙烯单体未检出、可迁移元素（可溶性重金属）未检出、邻苯二甲酸酯的总量未检出、多溴联苯未检出、多溴联苯醚未检出；产品有害物质：苯并[a]芘未检出；</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5)插座:采用集成插座,含插座、USB模块,符合3C认证要求</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6)滑轨:导轨符合QB/T 2454-2013、 QB/T3826-1999、 QB/T3827-1999、 QB/T3828-1999、 QB/T3832-1999、GB/T 11170-2008标准，其中功能：耐久性（8万次）合格，垂直向下静载荷200N合格、水平侧向静载荷100N合格；中性盐雾18h达10级；乙酸盐雾18h达10级；铜盐加速乙酸盐雾18h达10级；化学成分（Cr、Si、Mn、P、S）合格。</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7)钢脚:表面耐腐蚀中性盐雾测试100h后无锈蚀、剥落、起皱;表面附着力不低于2级;升降/折叠/伸缩耐久性测定20000次后,零部件无断裂、变形、磨损;通过《GB/T 3325-2017金属家具通用技术条件》理化性能检测要求</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8)包覆抽屉:表面胶合强度≥0.4Mpa;表面耐磨性能80r;耐剥离力45N±5N;耐划痕性能≥1.5N</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9)塑粉:环氧聚酯型粉末涂料,表面性能突出,环保无污染,具有优异的耐候、耐热、耐冲击性能,符合HG/T 2006-2006(2015)热固性粉末涂料性能要求</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10）办公桌：符合GB/T3325-2017、QB/T 1951.2-2013、GB/T39600-2021、GB/T35607-2017、QB/T3826-1999、QB/T3827-1999、QB/T3828-1999、GB8624-2012标准，其中甲醛释放量分级要求（气候箱法）ENF级≤0.025mg/m³；燃烧性能：燃烧性能等级-硬质家具B1合格；耐腐蚀试验：中性盐雾试验（连续喷雾18h）10级，乙酸盐雾试验（连续喷雾18h）10级，铜盐加速乙酸盐雾试验（连续喷雾18h）10级；产品寿命-桌类：桌面水平耐久性（6万次）合格；产品有害物质：苯、甲苯、二甲苯，总挥发性有机化合物（TVOC）均未检出；结构安全合格；理化性能要求：金属喷漆（塑）涂层-硬度4H、冲击强度合格、耐腐蚀合格、附着力0级，木制件表面贴面层-耐冷热循环合格、耐干热5级、耐湿热5级、耐划痕合格、耐污染性能5级、表面耐磨性（素色）合格、抗冲击1级。</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3</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张</w:t>
            </w:r>
          </w:p>
        </w:tc>
      </w:tr>
      <w:tr>
        <w:tblPrEx>
          <w:tblCellMar>
            <w:top w:w="0" w:type="dxa"/>
            <w:left w:w="108" w:type="dxa"/>
            <w:bottom w:w="0" w:type="dxa"/>
            <w:right w:w="108" w:type="dxa"/>
          </w:tblCellMar>
        </w:tblPrEx>
        <w:trPr>
          <w:jc w:val="center"/>
        </w:trPr>
        <w:tc>
          <w:tcPr>
            <w:tcW w:w="12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2</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办公桌</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1800*1550*750</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color w:val="auto"/>
                <w:highlight w:val="none"/>
              </w:rPr>
            </w:pPr>
            <w:r>
              <w:rPr>
                <w:rFonts w:hint="eastAsia"/>
                <w:color w:val="auto"/>
                <w:highlight w:val="none"/>
              </w:rPr>
              <w:drawing>
                <wp:inline distT="0" distB="0" distL="114300" distR="114300">
                  <wp:extent cx="762635" cy="492760"/>
                  <wp:effectExtent l="0" t="0" r="18415" b="2540"/>
                  <wp:docPr id="6" name="图片_37"/>
                  <wp:cNvGraphicFramePr/>
                  <a:graphic xmlns:a="http://schemas.openxmlformats.org/drawingml/2006/main">
                    <a:graphicData uri="http://schemas.openxmlformats.org/drawingml/2006/picture">
                      <pic:pic xmlns:pic="http://schemas.openxmlformats.org/drawingml/2006/picture">
                        <pic:nvPicPr>
                          <pic:cNvPr id="6" name="图片_37"/>
                          <pic:cNvPicPr/>
                        </pic:nvPicPr>
                        <pic:blipFill>
                          <a:blip r:embed="rId10"/>
                          <a:stretch>
                            <a:fillRect/>
                          </a:stretch>
                        </pic:blipFill>
                        <pic:spPr>
                          <a:xfrm>
                            <a:off x="0" y="0"/>
                            <a:ext cx="762635" cy="492760"/>
                          </a:xfrm>
                          <a:prstGeom prst="rect">
                            <a:avLst/>
                          </a:prstGeom>
                          <a:noFill/>
                          <a:ln>
                            <a:noFill/>
                          </a:ln>
                        </pic:spPr>
                      </pic:pic>
                    </a:graphicData>
                  </a:graphic>
                </wp:inline>
              </w:drawing>
            </w:r>
          </w:p>
        </w:tc>
        <w:tc>
          <w:tcPr>
            <w:tcW w:w="76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left"/>
              <w:rPr>
                <w:rFonts w:ascii="宋体" w:hAnsi="宋体" w:cs="宋体"/>
                <w:color w:val="auto"/>
                <w:szCs w:val="21"/>
                <w:highlight w:val="none"/>
              </w:rPr>
            </w:pP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张</w:t>
            </w:r>
          </w:p>
        </w:tc>
      </w:tr>
      <w:tr>
        <w:tblPrEx>
          <w:tblCellMar>
            <w:top w:w="0" w:type="dxa"/>
            <w:left w:w="108" w:type="dxa"/>
            <w:bottom w:w="0" w:type="dxa"/>
            <w:right w:w="108" w:type="dxa"/>
          </w:tblCellMar>
        </w:tblPrEx>
        <w:trPr>
          <w:jc w:val="center"/>
        </w:trPr>
        <w:tc>
          <w:tcPr>
            <w:tcW w:w="12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★3</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办公桌</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1500*700*750</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color w:val="auto"/>
                <w:highlight w:val="none"/>
              </w:rPr>
            </w:pPr>
            <w:r>
              <w:rPr>
                <w:rFonts w:hint="eastAsia"/>
                <w:color w:val="auto"/>
                <w:highlight w:val="none"/>
              </w:rPr>
              <w:drawing>
                <wp:inline distT="0" distB="0" distL="114300" distR="114300">
                  <wp:extent cx="809625" cy="631825"/>
                  <wp:effectExtent l="0" t="0" r="9525" b="15875"/>
                  <wp:docPr id="5" name="图片_2"/>
                  <wp:cNvGraphicFramePr/>
                  <a:graphic xmlns:a="http://schemas.openxmlformats.org/drawingml/2006/main">
                    <a:graphicData uri="http://schemas.openxmlformats.org/drawingml/2006/picture">
                      <pic:pic xmlns:pic="http://schemas.openxmlformats.org/drawingml/2006/picture">
                        <pic:nvPicPr>
                          <pic:cNvPr id="5" name="图片_2"/>
                          <pic:cNvPicPr/>
                        </pic:nvPicPr>
                        <pic:blipFill>
                          <a:blip r:embed="rId11"/>
                          <a:stretch>
                            <a:fillRect/>
                          </a:stretch>
                        </pic:blipFill>
                        <pic:spPr>
                          <a:xfrm>
                            <a:off x="0" y="0"/>
                            <a:ext cx="809625" cy="631825"/>
                          </a:xfrm>
                          <a:prstGeom prst="rect">
                            <a:avLst/>
                          </a:prstGeom>
                          <a:noFill/>
                          <a:ln>
                            <a:noFill/>
                          </a:ln>
                        </pic:spPr>
                      </pic:pic>
                    </a:graphicData>
                  </a:graphic>
                </wp:inline>
              </w:drawing>
            </w:r>
          </w:p>
        </w:tc>
        <w:tc>
          <w:tcPr>
            <w:tcW w:w="768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1)◆基材采用刨花板,符合GB/T4897-2015 、GB/T39600-2021、GB/T35607-2017、GB 8624-2012标准，其中甲醛释放量分级要求（气候箱法）ENF级≤0.025mg/m³；燃烧性能：平板状建筑材料及制品的燃烧性能等级和分级判据-B1-B合格；理化性能：含水率合格、2h吸水厚度膨胀率合格、静曲强度合格、弹性模量合格、内胶合强度合格、表面胶合强度合格；产品有害物质：苯、甲苯、二甲苯、总挥发性有机化合物（TVOC）均未检出；</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2)防火饰面:面材选用优质三聚氰胺浸胶工艺,使表面稳定性更好,层次感更优,耐污抗磨性更强,通过GB/T 15102浸渍胶膜纸饰面人造板表面理化性能要求;</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3)◆PVC封边条:符合QB/T4463-2013、GB28481-2012、GB/T35607-2017、GB/T 31402-2015、GB 20286-2006标准，其中防霉等级-大毛霉0级；燃烧性能：阻燃性能等级-阻燃1级（塑料/橡胶）合格；重金属未检出；理化性能：耐干热、耐磨性均合格；有害物质限量：甲醛释放量未检出、氯乙烯单体未检出、可迁移元素（可溶性重金属）未检出、邻苯二甲酸酯的总量未检出、多溴联苯未检出、多溴联苯醚未检出；产品有害物质：苯并[a]芘未检出；</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4)塑胶件:符合GB/T 3325-2017金属家具通用技术条件中5.5.2产品部件材质理化性能,耐老化性能,户外使用的产品塑料件耐老化试验时间500h,试验后拉伸强度、断裂伸长率、冲击强度的保持率不小于60%;外观颜色变色评级不小于3级</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5)喷涂五金:采用AISI 1020冷轧钢,经冲压成型后表面静电粉末喷涂,符合GB/T 3325-2017金属家具通用技术条件中5.5理化性能要求</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6)◆滑轨:导轨符合QB/T 2454-2013、 QB/T3826-1999、 QB/T3827-1999、 QB/T3828-1999、 QB/T3832-1999、GB/T 11170-2008标准，其中功能：耐久性（8万次）合格，垂直向下静载荷200N合格、水平侧向静载荷100N合格；中性盐雾18h达10级；乙酸盐雾18h达10级；铜盐加速乙酸盐雾18h达10级；化学成分（Cr、Si、Mn、P、S）合格。</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7)◆锁具：符合QB/ T1621-2015、GB/T35607-2017、QB/T 3832-1999 、QB/T 3826-1999、QB/T 3827-1999、QB/T3828-1999标准，其中保密度：锁舌伸出长度合格；牢固度：锁头固定连接静拉力、锁头固定连接扭矩均合格；灵活度：钥匙插拔、旋转、钥匙拔出静拉力、钥匙开启扭矩均合格；家具涂层可迁移元素8个均合格；中性盐雾18h达10级；乙酸盐雾18h达10级；铜盐加速乙酸盐雾18h达10级；</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19</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张</w:t>
            </w:r>
          </w:p>
        </w:tc>
      </w:tr>
      <w:tr>
        <w:tblPrEx>
          <w:tblCellMar>
            <w:top w:w="0" w:type="dxa"/>
            <w:left w:w="108" w:type="dxa"/>
            <w:bottom w:w="0" w:type="dxa"/>
            <w:right w:w="108" w:type="dxa"/>
          </w:tblCellMar>
        </w:tblPrEx>
        <w:trPr>
          <w:jc w:val="center"/>
        </w:trPr>
        <w:tc>
          <w:tcPr>
            <w:tcW w:w="12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4</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办公桌</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1400*700*750</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color w:val="auto"/>
                <w:highlight w:val="none"/>
              </w:rPr>
            </w:pPr>
            <w:r>
              <w:rPr>
                <w:rFonts w:hint="eastAsia"/>
                <w:color w:val="auto"/>
                <w:highlight w:val="none"/>
              </w:rPr>
              <w:drawing>
                <wp:inline distT="0" distB="0" distL="114300" distR="114300">
                  <wp:extent cx="782320" cy="610870"/>
                  <wp:effectExtent l="0" t="0" r="17780" b="17780"/>
                  <wp:docPr id="1" name="图片_36"/>
                  <wp:cNvGraphicFramePr/>
                  <a:graphic xmlns:a="http://schemas.openxmlformats.org/drawingml/2006/main">
                    <a:graphicData uri="http://schemas.openxmlformats.org/drawingml/2006/picture">
                      <pic:pic xmlns:pic="http://schemas.openxmlformats.org/drawingml/2006/picture">
                        <pic:nvPicPr>
                          <pic:cNvPr id="1" name="图片_36"/>
                          <pic:cNvPicPr/>
                        </pic:nvPicPr>
                        <pic:blipFill>
                          <a:blip r:embed="rId12"/>
                          <a:stretch>
                            <a:fillRect/>
                          </a:stretch>
                        </pic:blipFill>
                        <pic:spPr>
                          <a:xfrm>
                            <a:off x="0" y="0"/>
                            <a:ext cx="782320" cy="610870"/>
                          </a:xfrm>
                          <a:prstGeom prst="rect">
                            <a:avLst/>
                          </a:prstGeom>
                          <a:noFill/>
                          <a:ln>
                            <a:noFill/>
                          </a:ln>
                        </pic:spPr>
                      </pic:pic>
                    </a:graphicData>
                  </a:graphic>
                </wp:inline>
              </w:drawing>
            </w:r>
          </w:p>
        </w:tc>
        <w:tc>
          <w:tcPr>
            <w:tcW w:w="76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left"/>
              <w:rPr>
                <w:rFonts w:ascii="宋体" w:hAnsi="宋体" w:cs="宋体"/>
                <w:color w:val="auto"/>
                <w:szCs w:val="21"/>
                <w:highlight w:val="none"/>
              </w:rPr>
            </w:pP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3</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张</w:t>
            </w:r>
          </w:p>
        </w:tc>
      </w:tr>
      <w:tr>
        <w:tblPrEx>
          <w:tblCellMar>
            <w:top w:w="0" w:type="dxa"/>
            <w:left w:w="108" w:type="dxa"/>
            <w:bottom w:w="0" w:type="dxa"/>
            <w:right w:w="108" w:type="dxa"/>
          </w:tblCellMar>
        </w:tblPrEx>
        <w:trPr>
          <w:jc w:val="center"/>
        </w:trPr>
        <w:tc>
          <w:tcPr>
            <w:tcW w:w="12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5</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办公桌</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2560*2200*760</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color w:val="auto"/>
                <w:highlight w:val="none"/>
              </w:rPr>
            </w:pPr>
            <w:r>
              <w:rPr>
                <w:rFonts w:hint="eastAsia"/>
                <w:color w:val="auto"/>
                <w:highlight w:val="none"/>
              </w:rPr>
              <w:drawing>
                <wp:inline distT="0" distB="0" distL="114300" distR="114300">
                  <wp:extent cx="739140" cy="491490"/>
                  <wp:effectExtent l="0" t="0" r="3810" b="3810"/>
                  <wp:docPr id="11" name="图片_4"/>
                  <wp:cNvGraphicFramePr/>
                  <a:graphic xmlns:a="http://schemas.openxmlformats.org/drawingml/2006/main">
                    <a:graphicData uri="http://schemas.openxmlformats.org/drawingml/2006/picture">
                      <pic:pic xmlns:pic="http://schemas.openxmlformats.org/drawingml/2006/picture">
                        <pic:nvPicPr>
                          <pic:cNvPr id="11" name="图片_4"/>
                          <pic:cNvPicPr/>
                        </pic:nvPicPr>
                        <pic:blipFill>
                          <a:blip r:embed="rId13"/>
                          <a:stretch>
                            <a:fillRect/>
                          </a:stretch>
                        </pic:blipFill>
                        <pic:spPr>
                          <a:xfrm>
                            <a:off x="0" y="0"/>
                            <a:ext cx="739140" cy="491490"/>
                          </a:xfrm>
                          <a:prstGeom prst="rect">
                            <a:avLst/>
                          </a:prstGeom>
                          <a:noFill/>
                          <a:ln>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1)基材采用刨花板,符合GB/T4897-2015 、GB/T39600-2021、GB/T35607-2017、GB 8624-2012标准，其中甲醛释放量分级要求（气候箱法）ENF级≤0.025mg/m³；燃烧性能：平板状建筑材料及制品的燃烧性能等级和分级判据-B1-B合格；理化性能：含水率合格、2h吸水厚度膨胀率合格、静曲强度合格、弹性模量合格、内胶合强度合格、表面胶合强度合格；产品有害物质：苯、甲苯、二甲苯、总挥发性有机化合物（TVOC）均未检出；</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2)防火饰面:面材选用优质三聚氰胺浸胶工艺,使表面稳定性更好,层次感更优,耐污抗磨性更强,通过GB/T 15102浸渍胶膜纸饰面人造板表面理化性能要求;</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3)PVC封边条:符合QB/T4463-2013、GB28481-2012、GB/T35607-2017、GB/T 31402-2015、GB 20286-2006标准，其中防霉等级-大毛霉0级；燃烧性能：阻燃性能等级-阻燃1级（塑料/橡胶）合格；重金属未检出；理化性能：耐干热、耐磨性均合格；有害物质限量：甲醛释放量未检出、氯乙烯单体未检出、可迁移元素（可溶性重金属）未检出、邻苯二甲酸酯的总量未检出、多溴联苯未检出、多溴联苯醚未检出；产品有害物质：苯并[a]芘未检出；</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4)塑胶件:符合GB/T 3325-2017金属家具通用技术条件中5.5.2产品部件材质理化性能,耐老化性能,户外使用的产品塑料件耐老化试验时间500h,试验后拉伸强度、断裂伸长率、冲击强度的保持率不小于60%;外观颜色变色评级不小于3级</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5)喷涂五金:采用AISI 1020冷轧钢,经冲压成型后表面静电粉末喷涂,符合GB/T 3325-2017金属家具通用技术条件中5.5理化性能要求</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6)滑轨:导轨符合QB/T 2454-2013、 QB/T3826-1999、 QB/T3827-1999、 QB/T3828-1999、 QB/T3832-1999、GB/T 11170-2008标准，其中功能：耐久性（8万次）合格，垂直向下静载荷200N合格、水平侧向静载荷100N合格；中性盐雾18h达10级；乙酸盐雾18h达10级；铜盐加速乙酸盐雾18h达10级；化学成分（Cr、Si、Mn、P、S）合格。</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7）锁具：符合QB/ T1621-2015、GB/T35607-2017、QB/T 3832-1999 、QB/T 3826-1999、QB/T 3827-1999、QB/T3828-1999标准，其中保密度：锁舌伸出长度合格；牢固度：锁头固定连接静拉力、锁头固定连接扭矩均合格；灵活度：钥匙插拔、旋转、钥匙拔出静拉力、钥匙开启扭矩均合格；家具涂层可迁移元素8个均合格；中性盐雾18h达10级；乙酸盐雾18h达10级；铜盐加速乙酸盐雾18h达10级；</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8)铰链:符合QB/T 2189-2013 、QB/T 3832-1999 、QB/T 3826-1999、QB/T 3827-1999、QB/T3828-1999、GB/T 11170-2008标准，其中功能：耐久性（8万次）合格、垂直静载荷20kg合格、水平静载荷40N合格；中性盐雾18h达10级；乙酸盐雾18h达10级；铜盐加速乙酸盐雾18h达10级；化学成分（Cr、Si、Mn、P、S）合格；</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2</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张</w:t>
            </w:r>
          </w:p>
        </w:tc>
      </w:tr>
      <w:tr>
        <w:tblPrEx>
          <w:tblCellMar>
            <w:top w:w="0" w:type="dxa"/>
            <w:left w:w="108" w:type="dxa"/>
            <w:bottom w:w="0" w:type="dxa"/>
            <w:right w:w="108" w:type="dxa"/>
          </w:tblCellMar>
        </w:tblPrEx>
        <w:trPr>
          <w:jc w:val="center"/>
        </w:trPr>
        <w:tc>
          <w:tcPr>
            <w:tcW w:w="12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6</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办公桌</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1500*700*750</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color w:val="auto"/>
                <w:highlight w:val="none"/>
              </w:rPr>
            </w:pPr>
            <w:r>
              <w:rPr>
                <w:rFonts w:hint="eastAsia"/>
                <w:color w:val="auto"/>
                <w:highlight w:val="none"/>
              </w:rPr>
              <w:drawing>
                <wp:inline distT="0" distB="0" distL="114300" distR="114300">
                  <wp:extent cx="852805" cy="630555"/>
                  <wp:effectExtent l="0" t="0" r="4445" b="17145"/>
                  <wp:docPr id="13" name="图片_3"/>
                  <wp:cNvGraphicFramePr/>
                  <a:graphic xmlns:a="http://schemas.openxmlformats.org/drawingml/2006/main">
                    <a:graphicData uri="http://schemas.openxmlformats.org/drawingml/2006/picture">
                      <pic:pic xmlns:pic="http://schemas.openxmlformats.org/drawingml/2006/picture">
                        <pic:nvPicPr>
                          <pic:cNvPr id="13" name="图片_3"/>
                          <pic:cNvPicPr/>
                        </pic:nvPicPr>
                        <pic:blipFill>
                          <a:blip r:embed="rId14"/>
                          <a:stretch>
                            <a:fillRect/>
                          </a:stretch>
                        </pic:blipFill>
                        <pic:spPr>
                          <a:xfrm>
                            <a:off x="0" y="0"/>
                            <a:ext cx="852805" cy="630555"/>
                          </a:xfrm>
                          <a:prstGeom prst="rect">
                            <a:avLst/>
                          </a:prstGeom>
                          <a:noFill/>
                          <a:ln>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1)基材采用刨花板,符合GB/T4897-2015 、GB/T39600-2021、GB/T35607-2017、GB 8624-2012标准，其中甲醛释放量分级要求（气候箱法）ENF级≤0.025mg/m³；燃烧性能：平板状建筑材料及制品的燃烧性能等级和分级判据-B1-B合格；理化性能：含水率合格、2h吸水厚度膨胀率合格、静曲强度合格、弹性模量合格、内胶合强度合格、表面胶合强度合格；产品有害物质：苯、甲苯、二甲苯、总挥发性有机化合物（TVOC）均未检出；</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2)防火饰面:面材选用优质三聚氰胺浸胶工艺,使表面稳定性更好,层次感更优,耐污抗磨性更强,通过GB/T 15102浸渍胶膜纸饰面人造板表面理化性能要求;</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3)PVC封边条:符合QB/T4463-2013、GB28481-2012、GB/T35607-2017、GB/T 31402-2015、GB 20286-2006标准，其中防霉等级-大毛霉0级；燃烧性能：阻燃性能等级-阻燃1级（塑料/橡胶）合格；重金属未检出；理化性能：耐干热、耐磨性均合格；有害物质限量：甲醛释放量未检出、氯乙烯单体未检出、可迁移元素（可溶性重金属）未检出、邻苯二甲酸酯的总量未检出、多溴联苯未检出、多溴联苯醚未检出；产品有害物质：苯并[a]芘未检出；</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4)塑胶件:符合GB/T 3325-2017金属家具通用技术条件中5.5.2产品部件材质理化性能,耐老化性能,户外使用的产品塑料件耐老化试验时间500h,试验后拉伸强度、断裂伸长率、冲击强度的保持率不小于60%;外观颜色变色评级不小于3级</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5)喷涂五金:采用AISI 1020冷轧钢,经冲压成型后表面静电粉末喷涂,符合GB/T 3325-2017金属家具通用技术条件中5.5理化性能要求</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6)滑轨:导轨符合QB/T 2454-2013、 QB/T3826-1999、 QB/T3827-1999、 QB/T3828-1999、 QB/T3832-1999、GB/T 11170-2008标准，其中功能：耐久性（8万次）合格，垂直向下静载荷200N合格、水平侧向静载荷100N合格；中性盐雾18h达10级；乙酸盐雾18h达10级；铜盐加速乙酸盐雾18h达10级；化学成分（Cr、Si、Mn、P、S）合格。</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7）锁具：符合QB/ T1621-2015、GB/T35607-2017、QB/T 3832-1999 、QB/T 3826-1999、QB/T 3827-1999、QB/T3828-1999标准，其中保密度：锁舌伸出长度合格；牢固度：锁头固定连接静拉力、锁头固定连接扭矩均合格；灵活度：钥匙插拔、旋转、钥匙拔出静拉力、钥匙开启扭矩均合格；家具涂层可迁移元素8个均合格；中性盐雾18h达10级；乙酸盐雾18h达10级；铜盐加速乙酸盐雾18h达10级；</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12</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张</w:t>
            </w:r>
          </w:p>
        </w:tc>
      </w:tr>
      <w:tr>
        <w:tblPrEx>
          <w:tblCellMar>
            <w:top w:w="0" w:type="dxa"/>
            <w:left w:w="108" w:type="dxa"/>
            <w:bottom w:w="0" w:type="dxa"/>
            <w:right w:w="108" w:type="dxa"/>
          </w:tblCellMar>
        </w:tblPrEx>
        <w:trPr>
          <w:jc w:val="center"/>
        </w:trPr>
        <w:tc>
          <w:tcPr>
            <w:tcW w:w="12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7</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办公桌</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1400*1400*750</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color w:val="auto"/>
                <w:highlight w:val="none"/>
              </w:rPr>
            </w:pPr>
            <w:r>
              <w:rPr>
                <w:rFonts w:hint="eastAsia"/>
                <w:color w:val="auto"/>
                <w:highlight w:val="none"/>
              </w:rPr>
              <w:drawing>
                <wp:inline distT="0" distB="0" distL="114300" distR="114300">
                  <wp:extent cx="869950" cy="577215"/>
                  <wp:effectExtent l="0" t="0" r="6350" b="13335"/>
                  <wp:docPr id="7" name="图片_38"/>
                  <wp:cNvGraphicFramePr/>
                  <a:graphic xmlns:a="http://schemas.openxmlformats.org/drawingml/2006/main">
                    <a:graphicData uri="http://schemas.openxmlformats.org/drawingml/2006/picture">
                      <pic:pic xmlns:pic="http://schemas.openxmlformats.org/drawingml/2006/picture">
                        <pic:nvPicPr>
                          <pic:cNvPr id="7" name="图片_38"/>
                          <pic:cNvPicPr/>
                        </pic:nvPicPr>
                        <pic:blipFill>
                          <a:blip r:embed="rId15"/>
                          <a:stretch>
                            <a:fillRect/>
                          </a:stretch>
                        </pic:blipFill>
                        <pic:spPr>
                          <a:xfrm>
                            <a:off x="0" y="0"/>
                            <a:ext cx="869950" cy="577215"/>
                          </a:xfrm>
                          <a:prstGeom prst="rect">
                            <a:avLst/>
                          </a:prstGeom>
                          <a:noFill/>
                          <a:ln>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1)基材采用刨花板,符合GB/T4897-2015 、GB/T39600-2021、GB/T35607-2017、GB 8624-2012标准，其中甲醛释放量分级要求（气候箱法）ENF级≤0.025mg/m³；燃烧性能：平板状建筑材料及制品的燃烧性能等级和分级判据-B1-B合格；理化性能：含水率合格、2h吸水厚度膨胀率合格、静曲强度合格、弹性模量合格、内胶合强度合格、表面胶合强度合格；产品有害物质：苯、甲苯、二甲苯、总挥发性有机化合物（TVOC）均未检出；</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2)防火饰面:面材选用优质三聚氰胺浸胶工艺,使表面稳定性更好,层次感更优,耐污抗磨性更强,通过GB/T 15102浸渍胶膜纸饰面人造板表面理化性能要求;</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3)聚酯纤维板:采用聚酯纤维,硬度不低于65HW;通过Q/320507 SBJ04-2015及品质检验标准中5.3吸音板理化性能检测要求</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4)PVC封边条:符合QB/T4463-2013、GB28481-2012、GB/T35607-2017、GB/T 31402-2015、GB 20286-2006标准，其中防霉等级-大毛霉0级；燃烧性能：阻燃性能等级-阻燃1级（塑料/橡胶）合格；重金属未检出；理化性能：耐干热、耐磨性均合格；有害物质限量：甲醛释放量未检出、氯乙烯单体未检出、可迁移元素（可溶性重金属）未检出、邻苯二甲酸酯的总量未检出、多溴联苯未检出、多溴联苯醚未检出；产品有害物质：苯并[a]芘未检出；</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5)插座:采用集成插座,含插座、USB模块,符合3C认证要求</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6)滑轨:导轨符合QB/T 2454-2013、 QB/T3826-1999、 QB/T3827-1999、 QB/T3828-1999、 QB/T3832-1999、GB/T 11170-2008标准，其中功能：耐久性（8万次）合格，垂直向下静载荷200N合格、水平侧向静载荷100N合格；中性盐雾18h达10级；乙酸盐雾18h达10级；铜盐加速乙酸盐雾18h达10级；化学成分（Cr、Si、Mn、P、S）合格。</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7)钢脚:表面耐腐蚀中性盐雾测试100h后无锈蚀、剥落、起皱;表面附着力不低于2级;升降/折叠/伸缩耐久性测定20000次后,零部件无断裂、变形、磨损;通过《GB/T 3325-2017金属家具通用技术条件》理化性能检测要求</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8)包覆抽屉:表面胶合强度≥0.4Mpa;表面耐磨性能80r;耐剥离力45N±5N;耐划痕性能≥1.5N</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9)塑粉:环氧聚酯型粉末涂料,表面性能突出,环保无污染,具有优异的耐候、耐热、耐冲击性能,符合HG/T 2006-2006(2015)热固性粉末涂料性能要求</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21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张</w:t>
            </w:r>
          </w:p>
        </w:tc>
      </w:tr>
      <w:tr>
        <w:tblPrEx>
          <w:tblCellMar>
            <w:top w:w="0" w:type="dxa"/>
            <w:left w:w="108" w:type="dxa"/>
            <w:bottom w:w="0" w:type="dxa"/>
            <w:right w:w="108" w:type="dxa"/>
          </w:tblCellMar>
        </w:tblPrEx>
        <w:trPr>
          <w:jc w:val="center"/>
        </w:trPr>
        <w:tc>
          <w:tcPr>
            <w:tcW w:w="12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8</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会议桌</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3600*1400*750</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color w:val="auto"/>
                <w:highlight w:val="none"/>
              </w:rPr>
            </w:pPr>
            <w:r>
              <w:rPr>
                <w:rFonts w:hint="eastAsia"/>
                <w:color w:val="auto"/>
                <w:highlight w:val="none"/>
              </w:rPr>
              <w:drawing>
                <wp:inline distT="0" distB="0" distL="114300" distR="114300">
                  <wp:extent cx="813435" cy="428625"/>
                  <wp:effectExtent l="0" t="0" r="5715" b="9525"/>
                  <wp:docPr id="14" name="图片_5"/>
                  <wp:cNvGraphicFramePr/>
                  <a:graphic xmlns:a="http://schemas.openxmlformats.org/drawingml/2006/main">
                    <a:graphicData uri="http://schemas.openxmlformats.org/drawingml/2006/picture">
                      <pic:pic xmlns:pic="http://schemas.openxmlformats.org/drawingml/2006/picture">
                        <pic:nvPicPr>
                          <pic:cNvPr id="14" name="图片_5"/>
                          <pic:cNvPicPr/>
                        </pic:nvPicPr>
                        <pic:blipFill>
                          <a:blip r:embed="rId16"/>
                          <a:stretch>
                            <a:fillRect/>
                          </a:stretch>
                        </pic:blipFill>
                        <pic:spPr>
                          <a:xfrm>
                            <a:off x="0" y="0"/>
                            <a:ext cx="813435" cy="428625"/>
                          </a:xfrm>
                          <a:prstGeom prst="rect">
                            <a:avLst/>
                          </a:prstGeom>
                          <a:noFill/>
                          <a:ln>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1)基材采用刨花板,符合GB/T4897-2015 、GB/T39600-2021、GB/T35607-2017、GB 8624-2012标准，其中甲醛释放量分级要求（气候箱法）ENF级≤0.025mg/m³；燃烧性能：平板状建筑材料及制品的燃烧性能等级和分级判据-B1-B合格；理化性能：含水率合格、2h吸水厚度膨胀率合格、静曲强度合格、弹性模量合格、内胶合强度合格、表面胶合强度合格；产品有害物质：苯、甲苯、二甲苯、总挥发性有机化合物（TVOC）均未检出；</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2)防火饰面:面材选用优质三聚氰胺浸胶工艺,使表面稳定性更好,层次感更优,耐污抗磨性更强,通过GB/T 15102浸渍胶膜纸饰面人造板表面理化性能要求;</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3)线盒:表面耐腐蚀中性盐雾测试100h后无锈蚀、剥落、起皱;表面附着力≥2级;通过《GB/T 3325-2017金属家具通用技术条件》理化性能检测要求</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4)塑胶件:符合(GB/T 3325-2017金属家具通用技术条件)中5.5.2产品部件材质理化性能,耐老化性能,户外使用的产品塑料件耐老化试验时间500h,试验后拉伸强度、断裂伸长率、冲击强度的保持率不小于60%;外观颜色变色评级不小于3级</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5)钢脚:表面耐腐蚀中性盐雾测试100h后无锈蚀、剥落、起皱;表面附着力不低于2级;升降/折叠/伸缩耐久性测定20000次后,零部件无断裂、变形、磨损;通过《GB/T 3325-2017金属家具通用技术条件》理化性能检测要求</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6)氧化铝材:采用AL6063-T5铝合金,型材截面厚度1mm~1.5mm,满足GB/T 5237.1-2017 铝合金建筑型材 第1部分:基材（包装、尺寸、装配要求）;表面处理:碱式氧化,符合GB/T 5237.2-2017 铝合金建筑型材 第2部分:阳极氧化型材中耐盐雾腐蚀性。</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7)塑粉:环氧聚酯型粉末涂料,表面性能突出,环保无污染,具有优异的耐候、耐热、耐冲击性能,符合HG/T 2006-2006(2015)热固性粉末涂料性能要求</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8)PVC封边条:符合QB/T4463-2013、GB28481-2012、GB/T35607-2017、GB/T 31402-2015、GB 20286-2006标准，其中防霉等级-大毛霉0级；燃烧性能：阻燃性能等级-阻燃1级（塑料/橡胶）合格；重金属未检出；理化性能：耐干热、耐磨性均合格；有害物质限量：甲醛释放量未检出、氯乙烯单体未检出、可迁移元素（可溶性重金属）未检出、邻苯二甲酸酯的总量未检出、多溴联苯未检出、多溴联苯醚未检出；产品有害物质：苯并[a]芘未检出；</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张</w:t>
            </w:r>
          </w:p>
        </w:tc>
      </w:tr>
      <w:tr>
        <w:tblPrEx>
          <w:tblCellMar>
            <w:top w:w="0" w:type="dxa"/>
            <w:left w:w="108" w:type="dxa"/>
            <w:bottom w:w="0" w:type="dxa"/>
            <w:right w:w="108" w:type="dxa"/>
          </w:tblCellMar>
        </w:tblPrEx>
        <w:trPr>
          <w:jc w:val="center"/>
        </w:trPr>
        <w:tc>
          <w:tcPr>
            <w:tcW w:w="12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9</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调解桌</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2000*1000*750</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color w:val="auto"/>
                <w:highlight w:val="none"/>
              </w:rPr>
            </w:pPr>
            <w:r>
              <w:rPr>
                <w:rFonts w:hint="eastAsia"/>
                <w:color w:val="auto"/>
                <w:highlight w:val="none"/>
              </w:rPr>
              <w:drawing>
                <wp:inline distT="0" distB="0" distL="114300" distR="114300">
                  <wp:extent cx="741680" cy="520700"/>
                  <wp:effectExtent l="0" t="0" r="1270" b="12700"/>
                  <wp:docPr id="8" name="图片_6"/>
                  <wp:cNvGraphicFramePr/>
                  <a:graphic xmlns:a="http://schemas.openxmlformats.org/drawingml/2006/main">
                    <a:graphicData uri="http://schemas.openxmlformats.org/drawingml/2006/picture">
                      <pic:pic xmlns:pic="http://schemas.openxmlformats.org/drawingml/2006/picture">
                        <pic:nvPicPr>
                          <pic:cNvPr id="8" name="图片_6"/>
                          <pic:cNvPicPr/>
                        </pic:nvPicPr>
                        <pic:blipFill>
                          <a:blip r:embed="rId17"/>
                          <a:stretch>
                            <a:fillRect/>
                          </a:stretch>
                        </pic:blipFill>
                        <pic:spPr>
                          <a:xfrm>
                            <a:off x="0" y="0"/>
                            <a:ext cx="741680" cy="520700"/>
                          </a:xfrm>
                          <a:prstGeom prst="rect">
                            <a:avLst/>
                          </a:prstGeom>
                          <a:noFill/>
                          <a:ln>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1)基材采用刨花板,符合GB/T4897-2015 、GB/T39600-2021、GB/T35607-2017、GB 8624-2012标准，其中甲醛释放量分级要求（气候箱法）ENF级≤0.025mg/m³；燃烧性能：平板状建筑材料及制品的燃烧性能等级和分级判据-B1-B合格；理化性能：含水率合格、2h吸水厚度膨胀率合格、静曲强度合格、弹性模量合格、内胶合强度合格、表面胶合强度合格；产品有害物质：苯、甲苯、二甲苯、总挥发性有机化合物（TVOC）均未检出；</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2)防火饰面:面材选用优质三聚氰胺浸胶工艺,使表面稳定性更好,层次感更优,耐污抗磨性更强,通过GB/T 15102浸渍胶膜纸饰面人造板表面理化性能要求;</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3)线盒:表面耐腐蚀中性盐雾测试100h后无锈蚀、剥落、起皱;表面附着力≥2级;通过《GB/T 3325-2017金属家具通用技术条件》理化性能检测要求</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4)塑胶件:符合GB/T 3325-2017金属家具通用技术条件中5.5.2产品部件材质理化性能,耐老化性能,户外使用的产品塑料件耐老化试验时间500h,试验后拉伸强度、断裂伸长率、冲击强度的保持率不小于60%;外观颜色变色评级不小于3级</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5)钢脚:表面耐腐蚀中性盐雾测试100h后无锈蚀、剥落、起皱;表面附着力不低于2级;升降/折叠/伸缩耐久性测定20000次后,零部件无断裂、变形、磨损;通过《GB/T 3325-2017金属家具通用技术条件》理化性能检测要求</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6)氧化铝材:采用AL6063-T5铝合金,型材截面厚度1mm~1.5mm,满足GB/T 5237.1-2017 铝合金建筑型材 第1部分:基材（包装、尺寸、装配要求）;表面处理:碱式氧化,符合GB/T 5237.2-2017 铝合金建筑型材 第2部分:阳极氧化型材中耐盐雾腐蚀性。</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7)塑粉:环氧聚酯型粉末涂料,表面性能突出,环保无污染,具有优异的耐候、耐热、耐冲击性能,符合HG/T 2006-2006(2015)  热固性粉末涂料性能要求</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8)PVC封边条:符合QB/T4463-2013、GB28481-2012、GB/T35607-2017、GB/T 31402-2015、GB 20286-2006标准，其中防霉等级-大毛霉0级；燃烧性能：阻燃性能等级-阻燃1级（塑料/橡胶）合格；重金属未检出；理化性能：耐干热、耐磨性均合格；有害物质限量：甲醛释放量未检出、氯乙烯单体未检出、可迁移元素（可溶性重金属）未检出、邻苯二甲酸酯的总量未检出、多溴联苯未检出、多溴联苯醚未检出；产品有害物质：苯并[a]芘未检出；</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2</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张</w:t>
            </w:r>
          </w:p>
        </w:tc>
      </w:tr>
      <w:tr>
        <w:tblPrEx>
          <w:tblCellMar>
            <w:top w:w="0" w:type="dxa"/>
            <w:left w:w="108" w:type="dxa"/>
            <w:bottom w:w="0" w:type="dxa"/>
            <w:right w:w="108" w:type="dxa"/>
          </w:tblCellMar>
        </w:tblPrEx>
        <w:trPr>
          <w:trHeight w:val="551" w:hRule="atLeast"/>
          <w:jc w:val="center"/>
        </w:trPr>
        <w:tc>
          <w:tcPr>
            <w:tcW w:w="12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10</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条桌</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1200*450*750</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color w:val="auto"/>
                <w:highlight w:val="none"/>
              </w:rPr>
            </w:pPr>
            <w:r>
              <w:rPr>
                <w:rFonts w:hint="eastAsia"/>
                <w:color w:val="auto"/>
                <w:highlight w:val="none"/>
              </w:rPr>
              <w:drawing>
                <wp:inline distT="0" distB="0" distL="114300" distR="114300">
                  <wp:extent cx="885190" cy="553085"/>
                  <wp:effectExtent l="0" t="0" r="10160" b="18415"/>
                  <wp:docPr id="9" name="图片_7"/>
                  <wp:cNvGraphicFramePr/>
                  <a:graphic xmlns:a="http://schemas.openxmlformats.org/drawingml/2006/main">
                    <a:graphicData uri="http://schemas.openxmlformats.org/drawingml/2006/picture">
                      <pic:pic xmlns:pic="http://schemas.openxmlformats.org/drawingml/2006/picture">
                        <pic:nvPicPr>
                          <pic:cNvPr id="9" name="图片_7"/>
                          <pic:cNvPicPr/>
                        </pic:nvPicPr>
                        <pic:blipFill>
                          <a:blip r:embed="rId18"/>
                          <a:stretch>
                            <a:fillRect/>
                          </a:stretch>
                        </pic:blipFill>
                        <pic:spPr>
                          <a:xfrm>
                            <a:off x="0" y="0"/>
                            <a:ext cx="885190" cy="553085"/>
                          </a:xfrm>
                          <a:prstGeom prst="rect">
                            <a:avLst/>
                          </a:prstGeom>
                          <a:noFill/>
                          <a:ln>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1)基材采用刨花板,符合GB/T4897-2015 、GB/T39600-2021、GB/T35607-2017、GB 8624-2012标准，其中甲醛释放量分级要求（气候箱法）ENF级≤0.025mg/m³；燃烧性能：平板状建筑材料及制品的燃烧性能等级和分级判据-B1-B合格；理化性能：含水率合格、2h吸水厚度膨胀率合格、静曲强度合格、弹性模量合格、内胶合强度合格、表面胶合强度合格；产品有害物质：苯、甲苯、二甲苯、总挥发性有机化合物（TVOC）均未检出；</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2)防火饰面:面材选用优质三聚氰胺浸胶工艺,使表面稳定性更好,层次感更优,耐污抗磨性更强,通过GB/T 15102浸渍胶膜纸饰面人造板表面理化性能要求;</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3)PVC封边条:符合QB/T4463-2013、GB28481-2012、GB/T35607-2017、GB/T 31402-2015、GB 20286-2006标准，其中防霉等级-大毛霉0级；燃烧性能：阻燃性能等级-阻燃1级（塑料/橡胶）合格；重金属未检出；理化性能：耐干热、耐磨性均合格；有害物质限量：甲醛释放量未检出、氯乙烯单体未检出、可迁移元素（可溶性重金属）未检出、邻苯二甲酸酯的总量未检出、多溴联苯未检出、多溴联苯醚未检出；产品有害物质：苯并[a]芘未检出；</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4）钢架：采用优质钢管，中性盐雾连续喷雾≥100小时，镀层对基体的保护等级达到10级，镀层本身的耐腐蚀等级达到10级，符合QB/T 3826-1999《轻工产品金属镀层和化学处理层的耐腐蚀试验方法中性盐雾试验(NSS）法》标准。配四个万向轮，带刹车。</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30</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张</w:t>
            </w:r>
          </w:p>
        </w:tc>
      </w:tr>
      <w:tr>
        <w:tblPrEx>
          <w:tblCellMar>
            <w:top w:w="0" w:type="dxa"/>
            <w:left w:w="108" w:type="dxa"/>
            <w:bottom w:w="0" w:type="dxa"/>
            <w:right w:w="108" w:type="dxa"/>
          </w:tblCellMar>
        </w:tblPrEx>
        <w:trPr>
          <w:jc w:val="center"/>
        </w:trPr>
        <w:tc>
          <w:tcPr>
            <w:tcW w:w="12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11</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会议桌</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6400*1800*750</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color w:val="auto"/>
                <w:highlight w:val="none"/>
              </w:rPr>
            </w:pPr>
            <w:r>
              <w:rPr>
                <w:rFonts w:hint="eastAsia"/>
                <w:color w:val="auto"/>
                <w:highlight w:val="none"/>
              </w:rPr>
              <w:drawing>
                <wp:inline distT="0" distB="0" distL="114300" distR="114300">
                  <wp:extent cx="751840" cy="391160"/>
                  <wp:effectExtent l="0" t="0" r="10160" b="8890"/>
                  <wp:docPr id="10" name="图片_8"/>
                  <wp:cNvGraphicFramePr/>
                  <a:graphic xmlns:a="http://schemas.openxmlformats.org/drawingml/2006/main">
                    <a:graphicData uri="http://schemas.openxmlformats.org/drawingml/2006/picture">
                      <pic:pic xmlns:pic="http://schemas.openxmlformats.org/drawingml/2006/picture">
                        <pic:nvPicPr>
                          <pic:cNvPr id="10" name="图片_8"/>
                          <pic:cNvPicPr/>
                        </pic:nvPicPr>
                        <pic:blipFill>
                          <a:blip r:embed="rId19"/>
                          <a:stretch>
                            <a:fillRect/>
                          </a:stretch>
                        </pic:blipFill>
                        <pic:spPr>
                          <a:xfrm>
                            <a:off x="0" y="0"/>
                            <a:ext cx="751840" cy="391160"/>
                          </a:xfrm>
                          <a:prstGeom prst="rect">
                            <a:avLst/>
                          </a:prstGeom>
                          <a:noFill/>
                          <a:ln>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1)基材采用刨花板,符合GB/T4897-2015 、GB/T39600-2021、GB/T35607-2017、GB 8624-2012标准，其中甲醛释放量分级要求（气候箱法）ENF级≤0.025mg/m³；燃烧性能：平板状建筑材料及制品的燃烧性能等级和分级判据-B1-B合格；理化性能：含水率合格、2h吸水厚度膨胀率合格、静曲强度合格、弹性模量合格、内胶合强度合格、表面胶合强度合格；产品有害物质：苯、甲苯、二甲苯、总挥发性有机化合物（TVOC）均未检出；</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2)防火饰面:面材选用优质三聚氰胺浸胶工艺,使表面稳定性更好,层次感更优,耐污抗磨性更强,通过GB/T 15102浸渍胶膜纸饰面人造板表面理化性能要求;</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3)PVC封边条:符合QB/T4463-2013、GB28481-2012、GB/T35607-2017、GB/T 31402-2015、GB 20286-2006标准，其中防霉等级-大毛霉0级；燃烧性能：阻燃性能等级-阻燃1级（塑料/橡胶）合格；重金属未检出；理化性能：耐干热、耐磨性均合格；有害物质限量：甲醛释放量未检出、氯乙烯单体未检出、可迁移元素（可溶性重金属）未检出、邻苯二甲酸酯的总量未检出、多溴联苯未检出、多溴联苯醚未检出；产品有害物质：苯并[a]芘未检出；</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4)喷涂铝材:采用AL6063-T5铝合金,型材截面厚度1mm~1.5mm,满足GB/T 5237.1-2017 铝合金建筑型材 第1部分:基材（包装、尺寸、装配要求）;表面处理:静电粉末喷涂,漆膜的划格试验涂层附着力满足GB/T 9286-1998 色漆和清漆要求;符合QB/T 1950-2013 家具表面漆膜耐盐浴测定法</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5)线盒:表面耐腐蚀中性盐雾测试100h后无锈蚀、剥落、起皱;表面附着力≥2级;通过《GB/T 3325-2017金属家具通用技术条件》理化性能检测要求</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6)黑超纤皮:符合GB/T16799《家具用皮革》标准要求,PH值按QB/T 4045《聚氨酯家居用合成革安全技术条件》Ⅱ级标准要求。</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2</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张</w:t>
            </w:r>
          </w:p>
        </w:tc>
      </w:tr>
      <w:tr>
        <w:tblPrEx>
          <w:tblCellMar>
            <w:top w:w="0" w:type="dxa"/>
            <w:left w:w="108" w:type="dxa"/>
            <w:bottom w:w="0" w:type="dxa"/>
            <w:right w:w="108" w:type="dxa"/>
          </w:tblCellMar>
        </w:tblPrEx>
        <w:trPr>
          <w:jc w:val="center"/>
        </w:trPr>
        <w:tc>
          <w:tcPr>
            <w:tcW w:w="12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12</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茶几</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1200*590*420</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color w:val="auto"/>
                <w:highlight w:val="none"/>
              </w:rPr>
            </w:pPr>
            <w:r>
              <w:rPr>
                <w:rFonts w:hint="eastAsia"/>
                <w:color w:val="auto"/>
                <w:highlight w:val="none"/>
              </w:rPr>
              <w:drawing>
                <wp:inline distT="0" distB="0" distL="114300" distR="114300">
                  <wp:extent cx="692150" cy="600075"/>
                  <wp:effectExtent l="0" t="0" r="12700" b="9525"/>
                  <wp:docPr id="2" name="图片_9"/>
                  <wp:cNvGraphicFramePr/>
                  <a:graphic xmlns:a="http://schemas.openxmlformats.org/drawingml/2006/main">
                    <a:graphicData uri="http://schemas.openxmlformats.org/drawingml/2006/picture">
                      <pic:pic xmlns:pic="http://schemas.openxmlformats.org/drawingml/2006/picture">
                        <pic:nvPicPr>
                          <pic:cNvPr id="2" name="图片_9"/>
                          <pic:cNvPicPr/>
                        </pic:nvPicPr>
                        <pic:blipFill>
                          <a:blip r:embed="rId20"/>
                          <a:stretch>
                            <a:fillRect/>
                          </a:stretch>
                        </pic:blipFill>
                        <pic:spPr>
                          <a:xfrm>
                            <a:off x="0" y="0"/>
                            <a:ext cx="692150" cy="600075"/>
                          </a:xfrm>
                          <a:prstGeom prst="rect">
                            <a:avLst/>
                          </a:prstGeom>
                          <a:noFill/>
                          <a:ln>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1)基材采用刨花板,符合GB/T4897-2015 、GB/T39600-2021、GB/T35607-2017、GB 8624-2012标准，其中甲醛释放量分级要求（气候箱法）ENF级≤0.025mg/m³；燃烧性能：平板状建筑材料及制品的燃烧性能等级和分级判据-B1-B合格；理化性能：含水率合格、2h吸水厚度膨胀率合格、静曲强度合格、弹性模量合格、内胶合强度合格、表面胶合强度合格；产品有害物质：苯、甲苯、二甲苯、总挥发性有机化合物（TVOC）均未检出；</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2)防火饰面:面材选用优质三聚氰胺浸胶工艺,使表面稳定性更好,层次感更优,耐污抗磨性更强,通过GB/T 15102浸渍胶膜纸饰面人造板表面理化性能要求;</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3)PVC封边条:符合QB/T4463-2013、GB28481-2012、GB/T35607-2017、GB/T 31402-2015、GB 20286-2006标准，其中防霉等级-大毛霉0级；燃烧性能：阻燃性能等级-阻燃1级（塑料/橡胶）合格；重金属未检出；理化性能：耐干热、耐磨性均合格；有害物质限量：甲醛释放量未检出、氯乙烯单体未检出、可迁移元素（可溶性重金属）未检出、邻苯二甲酸酯的总量未检出、多溴联苯未检出、多溴联苯醚未检出；产品有害物质：苯并[a]芘未检出；</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4)钢架:表面耐腐蚀中性盐雾测试100h后无锈蚀、剥落、起皱;表面附着力≥2级;升降/折叠/伸缩耐久性测定20000次后,零部件无断裂、变形、磨损;通过《GB/T 3325-2017金属家具通用技术条件》理化性能检测要求</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只</w:t>
            </w:r>
          </w:p>
        </w:tc>
      </w:tr>
      <w:tr>
        <w:tblPrEx>
          <w:tblCellMar>
            <w:top w:w="0" w:type="dxa"/>
            <w:left w:w="108" w:type="dxa"/>
            <w:bottom w:w="0" w:type="dxa"/>
            <w:right w:w="108" w:type="dxa"/>
          </w:tblCellMar>
        </w:tblPrEx>
        <w:trPr>
          <w:jc w:val="center"/>
        </w:trPr>
        <w:tc>
          <w:tcPr>
            <w:tcW w:w="12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13</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茶几</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590*590*420</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color w:val="auto"/>
                <w:highlight w:val="none"/>
              </w:rPr>
            </w:pPr>
            <w:r>
              <w:rPr>
                <w:rFonts w:hint="eastAsia"/>
                <w:color w:val="auto"/>
                <w:highlight w:val="none"/>
              </w:rPr>
              <w:drawing>
                <wp:inline distT="0" distB="0" distL="114300" distR="114300">
                  <wp:extent cx="692785" cy="646430"/>
                  <wp:effectExtent l="0" t="0" r="12065" b="1270"/>
                  <wp:docPr id="15" name="图片_10"/>
                  <wp:cNvGraphicFramePr/>
                  <a:graphic xmlns:a="http://schemas.openxmlformats.org/drawingml/2006/main">
                    <a:graphicData uri="http://schemas.openxmlformats.org/drawingml/2006/picture">
                      <pic:pic xmlns:pic="http://schemas.openxmlformats.org/drawingml/2006/picture">
                        <pic:nvPicPr>
                          <pic:cNvPr id="15" name="图片_10"/>
                          <pic:cNvPicPr/>
                        </pic:nvPicPr>
                        <pic:blipFill>
                          <a:blip r:embed="rId21"/>
                          <a:stretch>
                            <a:fillRect/>
                          </a:stretch>
                        </pic:blipFill>
                        <pic:spPr>
                          <a:xfrm>
                            <a:off x="0" y="0"/>
                            <a:ext cx="692785" cy="646430"/>
                          </a:xfrm>
                          <a:prstGeom prst="rect">
                            <a:avLst/>
                          </a:prstGeom>
                          <a:noFill/>
                          <a:ln>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1)基材采用刨花板,符合GB/T4897-2015 、GB/T39600-2021、GB/T35607-2017、GB 8624-2012标准，其中甲醛释放量分级要求（气候箱法）ENF级≤0.025mg/m³；燃烧性能：平板状建筑材料及制品的燃烧性能等级和分级判据-B1-B合格；理化性能：含水率合格、2h吸水厚度膨胀率合格、静曲强度合格、弹性模量合格、内胶合强度合格、表面胶合强度合格；产品有害物质：苯、甲苯、二甲苯、总挥发性有机化合物（TVOC）均未检出；</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2)防火饰面:面材选用优质三聚氰胺浸胶工艺,使表面稳定性更好,层次感更优,耐污抗磨性更强,通过GB/T 15102浸渍胶膜纸饰面人造板表面理化性能要求;</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3)PVC封边条:符合QB/T4463-2013、GB28481-2012、GB/T35607-2017、GB/T 31402-2015、GB 20286-2006标准，其中防霉等级-大毛霉0级；燃烧性能：阻燃性能等级-阻燃1级（塑料/橡胶）合格；重金属未检出；理化性能：耐干热、耐磨性均合格；有害物质限量：甲醛释放量未检出、氯乙烯单体未检出、可迁移元素（可溶性重金属）未检出、邻苯二甲酸酯的总量未检出、多溴联苯未检出、多溴联苯醚未检出；产品有害物质：苯并[a]芘未检出；</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4)钢架:表面耐腐蚀中性盐雾测试100h后无锈蚀、剥落、起皱;表面附着力≥2级;升降/折叠/伸缩耐久性测定20000次后,零部件无断裂、变形、磨损;通过《GB/T 3325-2017金属家具通用技术条件》理化性能检测要求</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2</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只</w:t>
            </w:r>
          </w:p>
        </w:tc>
      </w:tr>
      <w:tr>
        <w:tblPrEx>
          <w:tblCellMar>
            <w:top w:w="0" w:type="dxa"/>
            <w:left w:w="108" w:type="dxa"/>
            <w:bottom w:w="0" w:type="dxa"/>
            <w:right w:w="108" w:type="dxa"/>
          </w:tblCellMar>
        </w:tblPrEx>
        <w:trPr>
          <w:jc w:val="center"/>
        </w:trPr>
        <w:tc>
          <w:tcPr>
            <w:tcW w:w="12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14</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茶几</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1200*590*420</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color w:val="auto"/>
                <w:highlight w:val="none"/>
              </w:rPr>
            </w:pPr>
            <w:r>
              <w:rPr>
                <w:rFonts w:hint="eastAsia"/>
                <w:color w:val="auto"/>
                <w:highlight w:val="none"/>
              </w:rPr>
              <w:drawing>
                <wp:inline distT="0" distB="0" distL="114300" distR="114300">
                  <wp:extent cx="852805" cy="648970"/>
                  <wp:effectExtent l="0" t="0" r="4445" b="17780"/>
                  <wp:docPr id="16" name="图片_12"/>
                  <wp:cNvGraphicFramePr/>
                  <a:graphic xmlns:a="http://schemas.openxmlformats.org/drawingml/2006/main">
                    <a:graphicData uri="http://schemas.openxmlformats.org/drawingml/2006/picture">
                      <pic:pic xmlns:pic="http://schemas.openxmlformats.org/drawingml/2006/picture">
                        <pic:nvPicPr>
                          <pic:cNvPr id="16" name="图片_12"/>
                          <pic:cNvPicPr/>
                        </pic:nvPicPr>
                        <pic:blipFill>
                          <a:blip r:embed="rId22"/>
                          <a:stretch>
                            <a:fillRect/>
                          </a:stretch>
                        </pic:blipFill>
                        <pic:spPr>
                          <a:xfrm>
                            <a:off x="0" y="0"/>
                            <a:ext cx="852805" cy="648970"/>
                          </a:xfrm>
                          <a:prstGeom prst="rect">
                            <a:avLst/>
                          </a:prstGeom>
                          <a:noFill/>
                          <a:ln>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1)基材采用刨花板,符合GB/T4897-2015 、GB/T39600-2021、GB/T35607-2017、GB 8624-2012标准，其中甲醛释放量分级要求（气候箱法）ENF级≤0.025mg/m³；燃烧性能：平板状建筑材料及制品的燃烧性能等级和分级判据-B1-B合格；理化性能：含水率合格、2h吸水厚度膨胀率合格、静曲强度合格、弹性模量合格、内胶合强度合格、表面胶合强度合格；产品有害物质：苯、甲苯、二甲苯、总挥发性有机化合物（TVOC）均未检出；</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2)防火饰面:面材选用优质三聚氰胺浸胶工艺,使表面稳定性更好,层次感更优,耐污抗磨性更强,通过GB/T 15102浸渍胶膜纸饰面人造板表面理化性能要求;</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3)PVC封边条:符合QB/T4463-2013、GB28481-2012、GB/T35607-2017、GB/T 31402-2015、GB 20286-2006标准，其中防霉等级-大毛霉0级；燃烧性能：阻燃性能等级-阻燃1级（塑料/橡胶）合格；重金属未检出；理化性能：耐干热、耐磨性均合格；有害物质限量：甲醛释放量未检出、氯乙烯单体未检出、可迁移元素（可溶性重金属）未检出、邻苯二甲酸酯的总量未检出、多溴联苯未检出、多溴联苯醚未检出；产品有害物质：苯并[a]芘未检出；</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4)钢架:表面耐腐蚀中性盐雾测试100h后无锈蚀、剥落、起皱;表面附着力≥2级;升降/折叠/伸缩耐久性测定20000次后,零部件无断裂、变形、磨损;通过《GB/T 3325-2017金属家具通用技术条件》理化性能检测要求</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只</w:t>
            </w:r>
          </w:p>
        </w:tc>
      </w:tr>
      <w:tr>
        <w:tblPrEx>
          <w:tblCellMar>
            <w:top w:w="0" w:type="dxa"/>
            <w:left w:w="108" w:type="dxa"/>
            <w:bottom w:w="0" w:type="dxa"/>
            <w:right w:w="108" w:type="dxa"/>
          </w:tblCellMar>
        </w:tblPrEx>
        <w:trPr>
          <w:jc w:val="center"/>
        </w:trPr>
        <w:tc>
          <w:tcPr>
            <w:tcW w:w="12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15</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茶几</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1200*600*420</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color w:val="auto"/>
                <w:highlight w:val="none"/>
              </w:rPr>
            </w:pPr>
            <w:r>
              <w:rPr>
                <w:rFonts w:hint="eastAsia"/>
                <w:color w:val="auto"/>
                <w:highlight w:val="none"/>
              </w:rPr>
              <w:drawing>
                <wp:inline distT="0" distB="0" distL="114300" distR="114300">
                  <wp:extent cx="751205" cy="499745"/>
                  <wp:effectExtent l="0" t="0" r="10795" b="14605"/>
                  <wp:docPr id="17" name="图片_11"/>
                  <wp:cNvGraphicFramePr/>
                  <a:graphic xmlns:a="http://schemas.openxmlformats.org/drawingml/2006/main">
                    <a:graphicData uri="http://schemas.openxmlformats.org/drawingml/2006/picture">
                      <pic:pic xmlns:pic="http://schemas.openxmlformats.org/drawingml/2006/picture">
                        <pic:nvPicPr>
                          <pic:cNvPr id="17" name="图片_11"/>
                          <pic:cNvPicPr/>
                        </pic:nvPicPr>
                        <pic:blipFill>
                          <a:blip r:embed="rId23"/>
                          <a:stretch>
                            <a:fillRect/>
                          </a:stretch>
                        </pic:blipFill>
                        <pic:spPr>
                          <a:xfrm>
                            <a:off x="0" y="0"/>
                            <a:ext cx="751205" cy="499745"/>
                          </a:xfrm>
                          <a:prstGeom prst="rect">
                            <a:avLst/>
                          </a:prstGeom>
                          <a:noFill/>
                          <a:ln>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1)基材采用刨花板,符合GB/T4897-2015 、GB/T39600-2021、GB/T35607-2017、GB 8624-2012标准，其中甲醛释放量分级要求（气候箱法）ENF级≤0.025mg/m³；燃烧性能：平板状建筑材料及制品的燃烧性能等级和分级判据-B1-B合格；理化性能：含水率合格、2h吸水厚度膨胀率合格、静曲强度合格、弹性模量合格、内胶合强度合格、表面胶合强度合格；产品有害物质：苯、甲苯、二甲苯、总挥发性有机化合物（TVOC）均未检出；</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2)防火饰面:面材选用优质三聚氰胺浸胶工艺,使表面稳定性更好,层次感更优,耐污抗磨性更强,通过GB/T 15102浸渍胶膜纸饰面人造板表面理化性能要求;</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3)PVC封边条:符合QB/T4463-2013、GB28481-2012、GB/T35607-2017、GB/T 31402-2015、GB 20286-2006标准，其中防霉等级-大毛霉0级；燃烧性能：阻燃性能等级-阻燃1级（塑料/橡胶）合格；重金属未检出；理化性能：耐干热、耐磨性均合格；有害物质限量：甲醛释放量未检出、氯乙烯单体未检出、可迁移元素（可溶性重金属）未检出、邻苯二甲酸酯的总量未检出、多溴联苯未检出、多溴联苯醚未检出；产品有害物质：苯并[a]芘未检出；</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4)钢架:表面耐腐蚀中性盐雾测试100h后无锈蚀、剥落、起皱;表面附着力≥2级;升降/折叠/伸缩耐久性测定20000次后,零部件无断裂、变形、磨损;通过《GB/T 3325-2017金属家具通用技术条件》理化性能检测要求</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只</w:t>
            </w:r>
          </w:p>
        </w:tc>
      </w:tr>
      <w:tr>
        <w:tblPrEx>
          <w:tblCellMar>
            <w:top w:w="0" w:type="dxa"/>
            <w:left w:w="108" w:type="dxa"/>
            <w:bottom w:w="0" w:type="dxa"/>
            <w:right w:w="108" w:type="dxa"/>
          </w:tblCellMar>
        </w:tblPrEx>
        <w:trPr>
          <w:jc w:val="center"/>
        </w:trPr>
        <w:tc>
          <w:tcPr>
            <w:tcW w:w="12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16</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茶几</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700*450*500</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color w:val="auto"/>
                <w:highlight w:val="none"/>
              </w:rPr>
            </w:pPr>
            <w:r>
              <w:rPr>
                <w:rFonts w:hint="eastAsia"/>
                <w:color w:val="auto"/>
                <w:highlight w:val="none"/>
              </w:rPr>
              <w:drawing>
                <wp:inline distT="0" distB="0" distL="114300" distR="114300">
                  <wp:extent cx="711200" cy="577215"/>
                  <wp:effectExtent l="0" t="0" r="12700" b="13335"/>
                  <wp:docPr id="34" name="图片_41"/>
                  <wp:cNvGraphicFramePr/>
                  <a:graphic xmlns:a="http://schemas.openxmlformats.org/drawingml/2006/main">
                    <a:graphicData uri="http://schemas.openxmlformats.org/drawingml/2006/picture">
                      <pic:pic xmlns:pic="http://schemas.openxmlformats.org/drawingml/2006/picture">
                        <pic:nvPicPr>
                          <pic:cNvPr id="34" name="图片_41"/>
                          <pic:cNvPicPr/>
                        </pic:nvPicPr>
                        <pic:blipFill>
                          <a:blip r:embed="rId24"/>
                          <a:stretch>
                            <a:fillRect/>
                          </a:stretch>
                        </pic:blipFill>
                        <pic:spPr>
                          <a:xfrm>
                            <a:off x="0" y="0"/>
                            <a:ext cx="711200" cy="577215"/>
                          </a:xfrm>
                          <a:prstGeom prst="rect">
                            <a:avLst/>
                          </a:prstGeom>
                          <a:noFill/>
                          <a:ln>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1)中密度纤维板:符合GB/T11718-2021、GB/T39600-2021、GB/T35607-2017、GB 8624-2012标准，其中甲醛释放量分级要求（气候箱法）ENF级≤0.025mg/m³；燃烧性能：燃烧性能等级-B1（B）合格；产品有害物质：苯、甲苯、二甲苯、TVOC均未检出</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2)油漆:采用水性环保油漆,满足GB/T 23999-2009 室内装饰装修用水性木器涂料，GB/T 18581-2020 木器涂料中有害物质限量要求,游离甲醛含量≤100mg/Kg,挥发性有机化合物含量≤300g/L,可溶性重金属含量≤90mg/kg</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3</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只</w:t>
            </w:r>
          </w:p>
        </w:tc>
      </w:tr>
      <w:tr>
        <w:tblPrEx>
          <w:tblCellMar>
            <w:top w:w="0" w:type="dxa"/>
            <w:left w:w="108" w:type="dxa"/>
            <w:bottom w:w="0" w:type="dxa"/>
            <w:right w:w="108" w:type="dxa"/>
          </w:tblCellMar>
        </w:tblPrEx>
        <w:trPr>
          <w:jc w:val="center"/>
        </w:trPr>
        <w:tc>
          <w:tcPr>
            <w:tcW w:w="12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17</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茶几</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 xml:space="preserve">800*500*420 </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color w:val="auto"/>
                <w:highlight w:val="none"/>
              </w:rPr>
            </w:pPr>
            <w:r>
              <w:rPr>
                <w:rFonts w:hint="eastAsia"/>
                <w:color w:val="auto"/>
                <w:highlight w:val="none"/>
              </w:rPr>
              <w:drawing>
                <wp:inline distT="0" distB="0" distL="114300" distR="114300">
                  <wp:extent cx="772795" cy="459740"/>
                  <wp:effectExtent l="0" t="0" r="8255" b="16510"/>
                  <wp:docPr id="18" name="图片_39"/>
                  <wp:cNvGraphicFramePr/>
                  <a:graphic xmlns:a="http://schemas.openxmlformats.org/drawingml/2006/main">
                    <a:graphicData uri="http://schemas.openxmlformats.org/drawingml/2006/picture">
                      <pic:pic xmlns:pic="http://schemas.openxmlformats.org/drawingml/2006/picture">
                        <pic:nvPicPr>
                          <pic:cNvPr id="18" name="图片_39"/>
                          <pic:cNvPicPr/>
                        </pic:nvPicPr>
                        <pic:blipFill>
                          <a:blip r:embed="rId25"/>
                          <a:stretch>
                            <a:fillRect/>
                          </a:stretch>
                        </pic:blipFill>
                        <pic:spPr>
                          <a:xfrm>
                            <a:off x="0" y="0"/>
                            <a:ext cx="772795" cy="459740"/>
                          </a:xfrm>
                          <a:prstGeom prst="rect">
                            <a:avLst/>
                          </a:prstGeom>
                          <a:noFill/>
                          <a:ln>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1)基材采用刨花板,符合GB/T4897-2015 、GB/T39600-2021、GB/T35607-2017、GB 8624-2012标准，其中甲醛释放量分级要求（气候箱法）ENF级≤0.025mg/m³；燃烧性能：平板状建筑材料及制品的燃烧性能等级和分级判据-B1-B合格；理化性能：含水率合格、2h吸水厚度膨胀率合格、静曲强度合格、弹性模量合格、内胶合强度合格、表面胶合强度合格；产品有害物质：苯、甲苯、二甲苯、总挥发性有机化合物（TVOC）均未检出；</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2)防火饰面:面材选用优质三聚氰胺浸胶工艺,使表面稳定性更好,层次感更优,耐污抗磨性更强,通过GB/T 15102浸渍胶膜纸饰面人造板表面理化性能要求;</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3)PVC封边条:符合QB/T4463-2013、GB28481-2012、GB/T35607-2017、GB/T 31402-2015、GB 20286-2006标准，其中防霉等级-大毛霉0级；燃烧性能：阻燃性能等级-阻燃1级（塑料/橡胶）合格；重金属未检出；理化性能：耐干热、耐磨性均合格；有害物质限量：甲醛释放量未检出、氯乙烯单体未检出、可迁移元素（可溶性重金属）未检出、邻苯二甲酸酯的总量未检出、多溴联苯未检出、多溴联苯醚未检出；产品有害物质：苯并[a]芘未检出；</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4)钢架:表面耐腐蚀中性盐雾测试100h后无锈蚀、剥落、起皱;表面附着力≥2级;升降/折叠/伸缩耐久性测定20000次后,零部件无断裂、变形、磨损;通过《GB/T 3325-2017金属家具通用技术条件》理化性能检测要求</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只</w:t>
            </w:r>
          </w:p>
        </w:tc>
      </w:tr>
      <w:tr>
        <w:tblPrEx>
          <w:tblCellMar>
            <w:top w:w="0" w:type="dxa"/>
            <w:left w:w="108" w:type="dxa"/>
            <w:bottom w:w="0" w:type="dxa"/>
            <w:right w:w="108" w:type="dxa"/>
          </w:tblCellMar>
        </w:tblPrEx>
        <w:trPr>
          <w:jc w:val="center"/>
        </w:trPr>
        <w:tc>
          <w:tcPr>
            <w:tcW w:w="12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18</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洽谈桌</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Style w:val="963"/>
                <w:rFonts w:hint="eastAsia" w:ascii="宋体" w:hAnsi="宋体" w:cs="宋体"/>
                <w:color w:val="auto"/>
                <w:highlight w:val="none"/>
                <w:lang w:bidi="ar"/>
              </w:rPr>
              <w:t>ø</w:t>
            </w:r>
            <w:r>
              <w:rPr>
                <w:rStyle w:val="203"/>
                <w:rFonts w:hint="default" w:ascii="宋体" w:hAnsi="宋体" w:eastAsia="宋体" w:cs="宋体"/>
                <w:color w:val="auto"/>
                <w:sz w:val="24"/>
                <w:szCs w:val="24"/>
                <w:highlight w:val="none"/>
                <w:lang w:bidi="ar"/>
              </w:rPr>
              <w:t>800*750</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color w:val="auto"/>
                <w:highlight w:val="none"/>
              </w:rPr>
            </w:pPr>
            <w:r>
              <w:rPr>
                <w:rFonts w:hint="eastAsia"/>
                <w:color w:val="auto"/>
                <w:highlight w:val="none"/>
              </w:rPr>
              <w:drawing>
                <wp:inline distT="0" distB="0" distL="114300" distR="114300">
                  <wp:extent cx="715010" cy="836930"/>
                  <wp:effectExtent l="0" t="0" r="8890" b="1270"/>
                  <wp:docPr id="41" name="图片_40"/>
                  <wp:cNvGraphicFramePr/>
                  <a:graphic xmlns:a="http://schemas.openxmlformats.org/drawingml/2006/main">
                    <a:graphicData uri="http://schemas.openxmlformats.org/drawingml/2006/picture">
                      <pic:pic xmlns:pic="http://schemas.openxmlformats.org/drawingml/2006/picture">
                        <pic:nvPicPr>
                          <pic:cNvPr id="41" name="图片_40"/>
                          <pic:cNvPicPr/>
                        </pic:nvPicPr>
                        <pic:blipFill>
                          <a:blip r:embed="rId26"/>
                          <a:stretch>
                            <a:fillRect/>
                          </a:stretch>
                        </pic:blipFill>
                        <pic:spPr>
                          <a:xfrm>
                            <a:off x="0" y="0"/>
                            <a:ext cx="715010" cy="836930"/>
                          </a:xfrm>
                          <a:prstGeom prst="rect">
                            <a:avLst/>
                          </a:prstGeom>
                          <a:noFill/>
                          <a:ln>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1)基材采用刨花板,符合GB/T4897-2015 、GB/T39600-2021、GB/T35607-2017、GB 8624-2012标准，其中甲醛释放量分级要求（气候箱法）ENF级≤0.025mg/m³；燃烧性能：平板状建筑材料及制品的燃烧性能等级和分级判据-B1-B合格；理化性能：含水率合格、2h吸水厚度膨胀率合格、静曲强度合格、弹性模量合格、内胶合强度合格、表面胶合强度合格；产品有害物质：苯、甲苯、二甲苯、总挥发性有机化合物（TVOC）均未检出；</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2)防火饰面:面材选用优质三聚氰胺浸胶工艺,使表面稳定性更好,层次感更优,耐污抗磨性更强,通过GB/T 15102浸渍胶膜纸饰面人造板表面理化性能要求;</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3)PVC封边条:符合QB/T4463-2013、GB28481-2012、GB/T35607-2017、GB/T 31402-2015、GB 20286-2006标准，其中防霉等级-大毛霉0级；燃烧性能：阻燃性能等级-阻燃1级（塑料/橡胶）合格；重金属未检出；理化性能：耐干热、耐磨性均合格；有害物质限量：甲醛释放量未检出、氯乙烯单体未检出、可迁移元素（可溶性重金属）未检出、邻苯二甲酸酯的总量未检出、多溴联苯未检出、多溴联苯醚未检出；产品有害物质：苯并[a]芘未检出；</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4)钢架:表面耐腐蚀中性盐雾测试100h后无锈蚀、剥落、起皱;表面附着力≥2级;升降/折叠/伸缩耐久性测定20000次后,零部件无断裂、变形、磨损;通过《GB/T 3325-2017金属家具通用技术条件》理化性能检测要求</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2</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张</w:t>
            </w:r>
          </w:p>
        </w:tc>
      </w:tr>
      <w:tr>
        <w:tblPrEx>
          <w:tblCellMar>
            <w:top w:w="0" w:type="dxa"/>
            <w:left w:w="108" w:type="dxa"/>
            <w:bottom w:w="0" w:type="dxa"/>
            <w:right w:w="108" w:type="dxa"/>
          </w:tblCellMar>
        </w:tblPrEx>
        <w:trPr>
          <w:trHeight w:val="605" w:hRule="atLeast"/>
          <w:jc w:val="center"/>
        </w:trPr>
        <w:tc>
          <w:tcPr>
            <w:tcW w:w="14438" w:type="dxa"/>
            <w:gridSpan w:val="7"/>
            <w:tcBorders>
              <w:top w:val="single" w:color="000000" w:sz="4" w:space="0"/>
              <w:left w:val="single" w:color="000000" w:sz="4" w:space="0"/>
              <w:bottom w:val="single" w:color="000000" w:sz="4" w:space="0"/>
              <w:right w:val="nil"/>
            </w:tcBorders>
            <w:shd w:val="clear" w:color="auto" w:fill="00B0F0"/>
            <w:vAlign w:val="center"/>
          </w:tcPr>
          <w:p>
            <w:pPr>
              <w:snapToGrid w:val="0"/>
              <w:jc w:val="center"/>
              <w:rPr>
                <w:color w:val="auto"/>
                <w:szCs w:val="21"/>
                <w:highlight w:val="none"/>
              </w:rPr>
            </w:pPr>
            <w:r>
              <w:rPr>
                <w:rFonts w:hint="eastAsia"/>
                <w:b/>
                <w:bCs/>
                <w:color w:val="auto"/>
                <w:szCs w:val="21"/>
                <w:highlight w:val="none"/>
              </w:rPr>
              <w:t>椅凳类</w:t>
            </w:r>
          </w:p>
        </w:tc>
      </w:tr>
      <w:tr>
        <w:tblPrEx>
          <w:tblCellMar>
            <w:top w:w="0" w:type="dxa"/>
            <w:left w:w="108" w:type="dxa"/>
            <w:bottom w:w="0" w:type="dxa"/>
            <w:right w:w="108" w:type="dxa"/>
          </w:tblCellMar>
        </w:tblPrEx>
        <w:trPr>
          <w:jc w:val="center"/>
        </w:trPr>
        <w:tc>
          <w:tcPr>
            <w:tcW w:w="12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19</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办公椅</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常规</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color w:val="auto"/>
                <w:highlight w:val="none"/>
              </w:rPr>
            </w:pPr>
            <w:r>
              <w:rPr>
                <w:rFonts w:hint="eastAsia"/>
                <w:color w:val="auto"/>
                <w:highlight w:val="none"/>
              </w:rPr>
              <w:drawing>
                <wp:inline distT="0" distB="0" distL="114300" distR="114300">
                  <wp:extent cx="791845" cy="1089660"/>
                  <wp:effectExtent l="0" t="0" r="8255" b="15240"/>
                  <wp:docPr id="19" name="图片_14"/>
                  <wp:cNvGraphicFramePr/>
                  <a:graphic xmlns:a="http://schemas.openxmlformats.org/drawingml/2006/main">
                    <a:graphicData uri="http://schemas.openxmlformats.org/drawingml/2006/picture">
                      <pic:pic xmlns:pic="http://schemas.openxmlformats.org/drawingml/2006/picture">
                        <pic:nvPicPr>
                          <pic:cNvPr id="19" name="图片_14"/>
                          <pic:cNvPicPr/>
                        </pic:nvPicPr>
                        <pic:blipFill>
                          <a:blip r:embed="rId27"/>
                          <a:stretch>
                            <a:fillRect/>
                          </a:stretch>
                        </pic:blipFill>
                        <pic:spPr>
                          <a:xfrm>
                            <a:off x="0" y="0"/>
                            <a:ext cx="791845" cy="1089660"/>
                          </a:xfrm>
                          <a:prstGeom prst="rect">
                            <a:avLst/>
                          </a:prstGeom>
                          <a:noFill/>
                          <a:ln>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1)面料:优质网布面料,符合GB18401-2010、GB/T18885-2020、GB/T35607-2017；甲醛含量未检出，可分解芳香胺染料未检出，耐水色牢度、耐酸汗渍、耐碱汗渍、耐干摩擦、耐唾液均≥5级，可萃取重金属未检出；</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2)背框:尼龙+30%玻纤,可承受801N载荷强度试验,可在座面载荷109kg时,施加356N的力于背架上,执行120000次往复循环</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3)海绵:符合GB/T10802-2006、 QB/T2280-2016、 QB/T1952.1-2012、 GB17927.1-2011、 HJ 2547-2016标准，其中回弹率≥45%；伸长率≥140%；撕裂强度≥3.4N/cm；TVOC≤0.05mg/㎡h；泡沫塑料：表观密度（座面）≥40kg/m³；阻燃I级，通过香烟抗引燃特性试验；游离甲醛未检出；</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4)曲木板:E1级成型胶合板,甲醛释放量≤0.124mg/m³</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5)扶手:固定PP扶手,符合GB 28481-2012标准，其中邻苯二甲酸酯未检出，重金属未检出，多环芳烃未检出，多溴联苯未检出，多溴二苯醚未检出；</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6)底盘:优质底盘,底座钢板厚度＞2mm,可承受每分钟10至30次共计300000次倾仰</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7)气杆:三级气杆,行程92±2mm,升降平稳,无漏声、噪声,可在5次/min—15次/min回旋频率下进行12万次升降</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8)五星脚:尼龙五星脚,可承受垂直方向施力7560N持续1分钟</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9)椅轮:PA轮,载荷122kg在无障碍平台进行98000次,有障碍物平台进行2000次往返无破损</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3</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把</w:t>
            </w:r>
          </w:p>
        </w:tc>
      </w:tr>
      <w:tr>
        <w:tblPrEx>
          <w:tblCellMar>
            <w:top w:w="0" w:type="dxa"/>
            <w:left w:w="108" w:type="dxa"/>
            <w:bottom w:w="0" w:type="dxa"/>
            <w:right w:w="108" w:type="dxa"/>
          </w:tblCellMar>
        </w:tblPrEx>
        <w:trPr>
          <w:jc w:val="center"/>
        </w:trPr>
        <w:tc>
          <w:tcPr>
            <w:tcW w:w="12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20</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kern w:val="0"/>
                <w:sz w:val="24"/>
                <w:highlight w:val="none"/>
                <w:lang w:bidi="ar"/>
              </w:rPr>
            </w:pPr>
            <w:r>
              <w:rPr>
                <w:rFonts w:hint="eastAsia" w:ascii="宋体" w:hAnsi="宋体" w:cs="宋体"/>
                <w:color w:val="auto"/>
                <w:kern w:val="0"/>
                <w:sz w:val="24"/>
                <w:highlight w:val="none"/>
                <w:lang w:bidi="ar"/>
              </w:rPr>
              <w:t>会议椅</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kern w:val="0"/>
                <w:sz w:val="24"/>
                <w:highlight w:val="none"/>
                <w:lang w:bidi="ar"/>
              </w:rPr>
            </w:pPr>
            <w:r>
              <w:rPr>
                <w:rFonts w:hint="eastAsia" w:ascii="宋体" w:hAnsi="宋体" w:cs="宋体"/>
                <w:color w:val="auto"/>
                <w:kern w:val="0"/>
                <w:sz w:val="24"/>
                <w:highlight w:val="none"/>
                <w:lang w:bidi="ar"/>
              </w:rPr>
              <w:t>630 mm (L)</w:t>
            </w:r>
          </w:p>
          <w:p>
            <w:pPr>
              <w:widowControl/>
              <w:snapToGrid w:val="0"/>
              <w:jc w:val="center"/>
              <w:textAlignment w:val="center"/>
              <w:rPr>
                <w:rFonts w:ascii="宋体" w:hAnsi="宋体" w:cs="宋体"/>
                <w:color w:val="auto"/>
                <w:kern w:val="0"/>
                <w:sz w:val="24"/>
                <w:highlight w:val="none"/>
                <w:lang w:bidi="ar"/>
              </w:rPr>
            </w:pPr>
            <w:r>
              <w:rPr>
                <w:rFonts w:hint="eastAsia" w:ascii="宋体" w:hAnsi="宋体" w:cs="宋体"/>
                <w:color w:val="auto"/>
                <w:kern w:val="0"/>
                <w:sz w:val="24"/>
                <w:highlight w:val="none"/>
                <w:lang w:bidi="ar"/>
              </w:rPr>
              <w:t>600 mm (W)</w:t>
            </w:r>
          </w:p>
          <w:p>
            <w:pPr>
              <w:widowControl/>
              <w:snapToGrid w:val="0"/>
              <w:jc w:val="center"/>
              <w:textAlignment w:val="center"/>
              <w:rPr>
                <w:rFonts w:ascii="宋体" w:hAnsi="宋体" w:cs="宋体"/>
                <w:color w:val="auto"/>
                <w:kern w:val="0"/>
                <w:sz w:val="24"/>
                <w:highlight w:val="none"/>
                <w:lang w:bidi="ar"/>
              </w:rPr>
            </w:pPr>
            <w:r>
              <w:rPr>
                <w:rFonts w:hint="eastAsia" w:ascii="宋体" w:hAnsi="宋体" w:cs="宋体"/>
                <w:color w:val="auto"/>
                <w:kern w:val="0"/>
                <w:sz w:val="24"/>
                <w:highlight w:val="none"/>
                <w:lang w:bidi="ar"/>
              </w:rPr>
              <w:t>935 mm (H)</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color w:val="auto"/>
                <w:highlight w:val="none"/>
              </w:rPr>
            </w:pPr>
            <w:r>
              <w:rPr>
                <w:color w:val="auto"/>
                <w:highlight w:val="none"/>
              </w:rPr>
              <w:drawing>
                <wp:inline distT="0" distB="0" distL="114300" distR="114300">
                  <wp:extent cx="730885" cy="795655"/>
                  <wp:effectExtent l="0" t="0" r="12065" b="4445"/>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28"/>
                          <a:stretch>
                            <a:fillRect/>
                          </a:stretch>
                        </pic:blipFill>
                        <pic:spPr>
                          <a:xfrm>
                            <a:off x="0" y="0"/>
                            <a:ext cx="730885" cy="795655"/>
                          </a:xfrm>
                          <a:prstGeom prst="rect">
                            <a:avLst/>
                          </a:prstGeom>
                          <a:noFill/>
                          <a:ln>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1)面料:优质网布面料,符合GB18401-2010、GB/T18885-2020、GB/T35607-2017；甲醛含量未检出，可分解芳香胺染料未检出，耐水色牢度、耐酸汗渍、耐碱汗渍、耐干摩擦、耐唾液均≥5级，可萃取重金属未检出；</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2)背框:尼龙+30%玻纤,可承受801N载荷强度试验,可在座面载荷109kg时,施加356N的力于背架上,执行120000次往复循环</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3)海绵:符合GB/T10802-2006、 QB/T2280-2016、 QB/T1952.1-2012、 GB17927.1-2011、 HJ 2547-2016标准，其中回弹率≥45%；伸长率≥140%；撕裂强度≥3.4N/cm；TVOC≤0.05mg/㎡h；泡沫塑料：表观密度（座面）≥40kg/m³；阻燃I级，通过香烟抗引燃特性试验；游离甲醛未检出；</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4)曲木板:E1级成型胶合板,甲醛释放量≤0.124mg/m³</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5)扶手: 一点式扶手，扶手由玻璃纤维增强食品接触级原生聚丙烯（PP+GF）注塑而成，符合GB 28481-2012标准，其中邻苯二甲酸酯未检出，重金属未检出，多环芳烃未检出，多溴联苯未检出，多溴二苯醚未检出；</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6）脚架：弓形架由厚度2.5mm钢管弯制而成，用高精度弯管机按设计的形状尺寸一次成型，CNC机器人全自动焊接，360°抛光，精准工艺，牢固耐用，不易变形，铁架表面喷漆，长期使用不生锈。</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66</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把</w:t>
            </w:r>
          </w:p>
        </w:tc>
      </w:tr>
      <w:tr>
        <w:tblPrEx>
          <w:tblCellMar>
            <w:top w:w="0" w:type="dxa"/>
            <w:left w:w="108" w:type="dxa"/>
            <w:bottom w:w="0" w:type="dxa"/>
            <w:right w:w="108" w:type="dxa"/>
          </w:tblCellMar>
        </w:tblPrEx>
        <w:trPr>
          <w:jc w:val="center"/>
        </w:trPr>
        <w:tc>
          <w:tcPr>
            <w:tcW w:w="12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★21</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b/>
                <w:bCs/>
                <w:color w:val="auto"/>
                <w:kern w:val="0"/>
                <w:sz w:val="24"/>
                <w:highlight w:val="none"/>
                <w:lang w:bidi="ar"/>
              </w:rPr>
            </w:pPr>
            <w:r>
              <w:rPr>
                <w:rFonts w:hint="eastAsia" w:ascii="宋体" w:hAnsi="宋体" w:cs="宋体"/>
                <w:b/>
                <w:bCs/>
                <w:color w:val="auto"/>
                <w:kern w:val="0"/>
                <w:sz w:val="24"/>
                <w:highlight w:val="none"/>
                <w:lang w:bidi="ar"/>
              </w:rPr>
              <w:t>办公椅</w:t>
            </w:r>
          </w:p>
          <w:p>
            <w:pPr>
              <w:widowControl/>
              <w:snapToGrid w:val="0"/>
              <w:jc w:val="center"/>
              <w:textAlignment w:val="center"/>
              <w:rPr>
                <w:color w:val="auto"/>
                <w:highlight w:val="none"/>
                <w:lang w:bidi="ar"/>
              </w:rPr>
            </w:pPr>
            <w:r>
              <w:rPr>
                <w:rFonts w:hint="eastAsia" w:ascii="宋体" w:hAnsi="宋体" w:cs="宋体"/>
                <w:b/>
                <w:bCs/>
                <w:color w:val="auto"/>
                <w:kern w:val="0"/>
                <w:sz w:val="24"/>
                <w:highlight w:val="none"/>
                <w:lang w:bidi="ar"/>
              </w:rPr>
              <w:t>（提供样品）</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
              <w:rPr>
                <w:rFonts w:ascii="宋体" w:hAnsi="宋体" w:eastAsia="宋体" w:cs="宋体"/>
                <w:b w:val="0"/>
                <w:bCs w:val="0"/>
                <w:color w:val="auto"/>
                <w:kern w:val="0"/>
                <w:sz w:val="24"/>
                <w:szCs w:val="24"/>
                <w:highlight w:val="none"/>
                <w:lang w:val="en-US" w:bidi="ar"/>
              </w:rPr>
            </w:pPr>
            <w:r>
              <w:rPr>
                <w:rFonts w:ascii="宋体" w:hAnsi="宋体" w:eastAsia="宋体" w:cs="宋体"/>
                <w:b w:val="0"/>
                <w:bCs w:val="0"/>
                <w:color w:val="auto"/>
                <w:kern w:val="0"/>
                <w:sz w:val="24"/>
                <w:szCs w:val="24"/>
                <w:highlight w:val="none"/>
                <w:lang w:val="en-US" w:bidi="ar"/>
              </w:rPr>
              <w:t>650 mm (L)</w:t>
            </w:r>
          </w:p>
          <w:p>
            <w:pPr>
              <w:pStyle w:val="4"/>
              <w:rPr>
                <w:rFonts w:ascii="宋体" w:hAnsi="宋体" w:eastAsia="宋体" w:cs="宋体"/>
                <w:b w:val="0"/>
                <w:bCs w:val="0"/>
                <w:color w:val="auto"/>
                <w:kern w:val="0"/>
                <w:sz w:val="24"/>
                <w:szCs w:val="24"/>
                <w:highlight w:val="none"/>
                <w:lang w:val="en-US" w:bidi="ar"/>
              </w:rPr>
            </w:pPr>
            <w:r>
              <w:rPr>
                <w:rFonts w:ascii="宋体" w:hAnsi="宋体" w:eastAsia="宋体" w:cs="宋体"/>
                <w:b w:val="0"/>
                <w:bCs w:val="0"/>
                <w:color w:val="auto"/>
                <w:kern w:val="0"/>
                <w:sz w:val="24"/>
                <w:szCs w:val="24"/>
                <w:highlight w:val="none"/>
                <w:lang w:val="en-US" w:bidi="ar"/>
              </w:rPr>
              <w:t>625 mm (W)</w:t>
            </w:r>
          </w:p>
          <w:p>
            <w:pPr>
              <w:pStyle w:val="4"/>
              <w:rPr>
                <w:rFonts w:ascii="宋体" w:hAnsi="宋体" w:eastAsia="宋体" w:cs="宋体"/>
                <w:b w:val="0"/>
                <w:bCs w:val="0"/>
                <w:color w:val="auto"/>
                <w:kern w:val="0"/>
                <w:sz w:val="24"/>
                <w:szCs w:val="24"/>
                <w:highlight w:val="none"/>
                <w:lang w:val="en-US" w:bidi="ar"/>
              </w:rPr>
            </w:pPr>
            <w:r>
              <w:rPr>
                <w:rFonts w:ascii="宋体" w:hAnsi="宋体" w:eastAsia="宋体" w:cs="宋体"/>
                <w:b w:val="0"/>
                <w:bCs w:val="0"/>
                <w:color w:val="auto"/>
                <w:kern w:val="0"/>
                <w:sz w:val="24"/>
                <w:szCs w:val="24"/>
                <w:highlight w:val="none"/>
                <w:lang w:val="en-US" w:bidi="ar"/>
              </w:rPr>
              <w:t>915mm</w:t>
            </w:r>
          </w:p>
          <w:p>
            <w:pPr>
              <w:pStyle w:val="4"/>
              <w:rPr>
                <w:rFonts w:ascii="宋体" w:hAnsi="宋体" w:eastAsia="宋体" w:cs="宋体"/>
                <w:b w:val="0"/>
                <w:bCs w:val="0"/>
                <w:color w:val="auto"/>
                <w:kern w:val="0"/>
                <w:sz w:val="24"/>
                <w:szCs w:val="24"/>
                <w:highlight w:val="none"/>
                <w:lang w:val="en-US" w:bidi="ar"/>
              </w:rPr>
            </w:pPr>
            <w:r>
              <w:rPr>
                <w:rFonts w:ascii="宋体" w:hAnsi="宋体" w:eastAsia="宋体" w:cs="宋体"/>
                <w:b w:val="0"/>
                <w:bCs w:val="0"/>
                <w:color w:val="auto"/>
                <w:kern w:val="0"/>
                <w:sz w:val="24"/>
                <w:szCs w:val="24"/>
                <w:highlight w:val="none"/>
                <w:lang w:val="en-US" w:bidi="ar"/>
              </w:rPr>
              <w:t>~1010 mm (H)</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color w:val="auto"/>
                <w:highlight w:val="none"/>
              </w:rPr>
            </w:pPr>
            <w:r>
              <w:rPr>
                <w:color w:val="auto"/>
                <w:highlight w:val="none"/>
              </w:rPr>
              <w:drawing>
                <wp:inline distT="0" distB="0" distL="0" distR="0">
                  <wp:extent cx="640715" cy="800100"/>
                  <wp:effectExtent l="0" t="0" r="6985" b="0"/>
                  <wp:docPr id="3037627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762724" name="图片 1"/>
                          <pic:cNvPicPr>
                            <a:picLocks noChangeAspect="1"/>
                          </pic:cNvPicPr>
                        </pic:nvPicPr>
                        <pic:blipFill>
                          <a:blip r:embed="rId29"/>
                          <a:stretch>
                            <a:fillRect/>
                          </a:stretch>
                        </pic:blipFill>
                        <pic:spPr>
                          <a:xfrm>
                            <a:off x="0" y="0"/>
                            <a:ext cx="642617" cy="802017"/>
                          </a:xfrm>
                          <a:prstGeom prst="rect">
                            <a:avLst/>
                          </a:prstGeom>
                        </pic:spPr>
                      </pic:pic>
                    </a:graphicData>
                  </a:graphic>
                </wp:inline>
              </w:drawing>
            </w:r>
          </w:p>
          <w:p>
            <w:pPr>
              <w:snapToGrid w:val="0"/>
              <w:jc w:val="center"/>
              <w:rPr>
                <w:rFonts w:hint="eastAsia"/>
                <w:color w:val="auto"/>
                <w:highlight w:val="none"/>
              </w:rPr>
            </w:pPr>
          </w:p>
          <w:p>
            <w:pPr>
              <w:snapToGrid w:val="0"/>
              <w:jc w:val="center"/>
              <w:rPr>
                <w:color w:val="auto"/>
                <w:highlight w:val="none"/>
              </w:rPr>
            </w:pPr>
            <w:r>
              <w:rPr>
                <w:rFonts w:hint="eastAsia"/>
                <w:color w:val="auto"/>
                <w:highlight w:val="none"/>
              </w:rPr>
              <w:t>（参考图片）</w:t>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1)◆面料:优质网布面料,符合GB18401-2010、GB/T18885-2020、GB/T35607-2017；甲醛含量未检出，可分解芳香胺染料未检出，耐水色牢度、耐酸汗渍、耐碱汗渍、耐干摩擦、耐唾液均≥5级，可萃取重金属未检出；</w:t>
            </w:r>
          </w:p>
          <w:p>
            <w:pPr>
              <w:widowControl/>
              <w:jc w:val="left"/>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2)背框:尼龙+30%玻纤,可承受801N载荷强度试验,可在座面载荷109kg时,施加356N的力于背架上,执行120000次往复循环</w:t>
            </w:r>
          </w:p>
          <w:p>
            <w:pPr>
              <w:widowControl/>
              <w:jc w:val="left"/>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3)◆海绵:符合GB/T10802-2006、 QB/T2280-2016、 QB/T1952.1-2012、 GB17927.1-2011、 HJ 2547-2016标准，其中回弹率≥45%；伸长率≥140%；撕裂强度≥3.4N/cm；TVOC≤0.05mg/㎡h；泡沫塑料：表观密度（座面）≥40kg/m³；阻燃I级，通过香烟抗引燃特性试验；游离甲醛未检出；</w:t>
            </w:r>
          </w:p>
          <w:p>
            <w:pPr>
              <w:widowControl/>
              <w:jc w:val="left"/>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4)曲木板:E1级成型胶合板,甲醛释放量≤0.124mg/m³</w:t>
            </w:r>
          </w:p>
          <w:p>
            <w:pPr>
              <w:widowControl/>
              <w:jc w:val="left"/>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5)◆扶手: 正面7字型一体成形扶手，扶手由原生聚丙烯（PP+GF）注塑而成，符合GB 28481-2012标准，其中邻苯二甲酸酯未检出，重金属未检出，多环芳烃未检出，多溴联苯未检出，多溴二苯醚未检出；</w:t>
            </w:r>
          </w:p>
          <w:p>
            <w:pPr>
              <w:widowControl/>
              <w:jc w:val="left"/>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6)定制座垫:80mm厚直边定型海绵</w:t>
            </w:r>
          </w:p>
          <w:p>
            <w:pPr>
              <w:widowControl/>
              <w:jc w:val="left"/>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7)定制底盘:优质底盘,底座钢板厚度＞2mm,固定靠背。</w:t>
            </w:r>
          </w:p>
          <w:p>
            <w:pPr>
              <w:widowControl/>
              <w:jc w:val="left"/>
              <w:textAlignment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8）办公椅需符合采购需求工作场景要求，设计美观、用材良好，具有设计感。其中扶手、靠背、坐垫、滑轮等核心部件的设计需体现供应商的设计能力和制作工艺。</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66</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把</w:t>
            </w:r>
          </w:p>
        </w:tc>
      </w:tr>
      <w:tr>
        <w:tblPrEx>
          <w:tblCellMar>
            <w:top w:w="0" w:type="dxa"/>
            <w:left w:w="108" w:type="dxa"/>
            <w:bottom w:w="0" w:type="dxa"/>
            <w:right w:w="108" w:type="dxa"/>
          </w:tblCellMar>
        </w:tblPrEx>
        <w:trPr>
          <w:jc w:val="center"/>
        </w:trPr>
        <w:tc>
          <w:tcPr>
            <w:tcW w:w="12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22</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接待吧椅</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常规</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color w:val="auto"/>
                <w:highlight w:val="none"/>
              </w:rPr>
            </w:pPr>
            <w:r>
              <w:rPr>
                <w:rFonts w:hint="eastAsia"/>
                <w:color w:val="auto"/>
                <w:highlight w:val="none"/>
              </w:rPr>
              <w:drawing>
                <wp:inline distT="0" distB="0" distL="114300" distR="114300">
                  <wp:extent cx="701675" cy="692150"/>
                  <wp:effectExtent l="0" t="0" r="3175" b="12700"/>
                  <wp:docPr id="20" name="图片_16"/>
                  <wp:cNvGraphicFramePr/>
                  <a:graphic xmlns:a="http://schemas.openxmlformats.org/drawingml/2006/main">
                    <a:graphicData uri="http://schemas.openxmlformats.org/drawingml/2006/picture">
                      <pic:pic xmlns:pic="http://schemas.openxmlformats.org/drawingml/2006/picture">
                        <pic:nvPicPr>
                          <pic:cNvPr id="20" name="图片_16"/>
                          <pic:cNvPicPr/>
                        </pic:nvPicPr>
                        <pic:blipFill>
                          <a:blip r:embed="rId30"/>
                          <a:stretch>
                            <a:fillRect/>
                          </a:stretch>
                        </pic:blipFill>
                        <pic:spPr>
                          <a:xfrm>
                            <a:off x="0" y="0"/>
                            <a:ext cx="701675" cy="692150"/>
                          </a:xfrm>
                          <a:prstGeom prst="rect">
                            <a:avLst/>
                          </a:prstGeom>
                          <a:noFill/>
                          <a:ln>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坐垫面：表皮半PU缝制;</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填充：一体成型高回弹海绵;</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托盘：环形手柄，360度全方位可控制;</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气杆：二级气杆，140#行程;</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底盘：304不锈钢，内嵌45#钢板;</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11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把</w:t>
            </w:r>
          </w:p>
        </w:tc>
      </w:tr>
      <w:tr>
        <w:tblPrEx>
          <w:tblCellMar>
            <w:top w:w="0" w:type="dxa"/>
            <w:left w:w="108" w:type="dxa"/>
            <w:bottom w:w="0" w:type="dxa"/>
            <w:right w:w="108" w:type="dxa"/>
          </w:tblCellMar>
        </w:tblPrEx>
        <w:trPr>
          <w:jc w:val="center"/>
        </w:trPr>
        <w:tc>
          <w:tcPr>
            <w:tcW w:w="12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23</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等候椅</w:t>
            </w: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三人位</w:t>
            </w:r>
          </w:p>
        </w:tc>
        <w:tc>
          <w:tcPr>
            <w:tcW w:w="13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snapToGrid w:val="0"/>
              <w:jc w:val="center"/>
              <w:rPr>
                <w:color w:val="auto"/>
                <w:highlight w:val="none"/>
              </w:rPr>
            </w:pPr>
            <w:r>
              <w:rPr>
                <w:rFonts w:hint="eastAsia"/>
                <w:color w:val="auto"/>
                <w:highlight w:val="none"/>
              </w:rPr>
              <w:drawing>
                <wp:inline distT="0" distB="0" distL="114300" distR="114300">
                  <wp:extent cx="828040" cy="590550"/>
                  <wp:effectExtent l="0" t="0" r="10160" b="0"/>
                  <wp:docPr id="21" name="图片_17"/>
                  <wp:cNvGraphicFramePr/>
                  <a:graphic xmlns:a="http://schemas.openxmlformats.org/drawingml/2006/main">
                    <a:graphicData uri="http://schemas.openxmlformats.org/drawingml/2006/picture">
                      <pic:pic xmlns:pic="http://schemas.openxmlformats.org/drawingml/2006/picture">
                        <pic:nvPicPr>
                          <pic:cNvPr id="21" name="图片_17"/>
                          <pic:cNvPicPr/>
                        </pic:nvPicPr>
                        <pic:blipFill>
                          <a:blip r:embed="rId31"/>
                          <a:stretch>
                            <a:fillRect/>
                          </a:stretch>
                        </pic:blipFill>
                        <pic:spPr>
                          <a:xfrm>
                            <a:off x="0" y="0"/>
                            <a:ext cx="828040" cy="590550"/>
                          </a:xfrm>
                          <a:prstGeom prst="rect">
                            <a:avLst/>
                          </a:prstGeom>
                          <a:noFill/>
                          <a:ln>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 座椅生产引进新技术，采用 PU 材料与钢架在模具中进行  “二合一”发泡成型。座椅根据人体工程学原理设计制造，靠背与座垫均采用贴合人体曲线设计，有效承托人体背部、臀部，坐姿时整体受力科学。</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2. 材质为：高分子化合物和 PU注压成型。防锈防蚀，椅面、椅腿、手、座托架能耐受常规医用消毒药水和酸碱液汁腐蚀。</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3. 负重连接横梁：采用特殊的三角造型，由冷轧钢管一体拉伸成型，结构科学，承重可达 600公斤以上；经酸洗磷化、表面静电粉末喷涂保护，耐腐蚀、耐氧化；与支脚、支托的拼装采用通用螺丝紧固，安装快捷方便，坚固耐用，不易变形。</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12</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张</w:t>
            </w:r>
          </w:p>
        </w:tc>
      </w:tr>
      <w:tr>
        <w:tblPrEx>
          <w:tblCellMar>
            <w:top w:w="0" w:type="dxa"/>
            <w:left w:w="108" w:type="dxa"/>
            <w:bottom w:w="0" w:type="dxa"/>
            <w:right w:w="108" w:type="dxa"/>
          </w:tblCellMar>
        </w:tblPrEx>
        <w:trPr>
          <w:jc w:val="center"/>
        </w:trPr>
        <w:tc>
          <w:tcPr>
            <w:tcW w:w="12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24</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办公椅</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常规</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color w:val="auto"/>
                <w:highlight w:val="none"/>
              </w:rPr>
            </w:pPr>
            <w:r>
              <w:rPr>
                <w:rFonts w:hint="eastAsia"/>
                <w:color w:val="auto"/>
                <w:highlight w:val="none"/>
              </w:rPr>
              <w:drawing>
                <wp:inline distT="0" distB="0" distL="114300" distR="114300">
                  <wp:extent cx="704850" cy="1142365"/>
                  <wp:effectExtent l="0" t="0" r="0" b="635"/>
                  <wp:docPr id="36" name="图片_18"/>
                  <wp:cNvGraphicFramePr/>
                  <a:graphic xmlns:a="http://schemas.openxmlformats.org/drawingml/2006/main">
                    <a:graphicData uri="http://schemas.openxmlformats.org/drawingml/2006/picture">
                      <pic:pic xmlns:pic="http://schemas.openxmlformats.org/drawingml/2006/picture">
                        <pic:nvPicPr>
                          <pic:cNvPr id="36" name="图片_18"/>
                          <pic:cNvPicPr/>
                        </pic:nvPicPr>
                        <pic:blipFill>
                          <a:blip r:embed="rId32"/>
                          <a:stretch>
                            <a:fillRect/>
                          </a:stretch>
                        </pic:blipFill>
                        <pic:spPr>
                          <a:xfrm>
                            <a:off x="0" y="0"/>
                            <a:ext cx="704850" cy="1142365"/>
                          </a:xfrm>
                          <a:prstGeom prst="rect">
                            <a:avLst/>
                          </a:prstGeom>
                          <a:noFill/>
                          <a:ln>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1)水性皮:采用水性皮（pvc仿皮），符合GB/T 16799-2018、GB/T35607-2017标准，其中产品有害物质：皮革中五氯苯酚（PCP）-其他未检出；理化性能：撕裂力≥90N、禁用偶氮染料未检出、游离甲醛未检出、挥发性有机物（VOC）未检出、可萃取重金属（铅、镉）未检出；</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2)曲木板:E1级成型胶合板,甲醛释放量≤0.124mg/m³</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3)海绵:符合GB/T10802-2006、 QB/T2280-2016、 QB/T1952.1-2012、 GB17927.1-2011、 HJ 2547-2016标准，其中回弹率≥45%；伸长率≥140%；撕裂强度≥3.4N/cm；TVOC≤0.05mg/㎡h；泡沫塑料：表观密度（座面）≥40kg/m³；阻燃I级，通过香烟抗引燃特性试验；游离甲醛未检出；</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4)扶手:铝合金精抛,可承受水平方向667N加载持续15s,垂直方向1125N加载持续15s,10±1°施力400N执行60000次循环</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5)底盘:优质底盘,底座钢板厚度＞2mm,可承受每分钟10至30次共计300000次倾仰</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6)气杆:三级气杆,行程80±2mm,升降平稳,无漏声、噪声,可在5次/min—15次/min回旋频率下进行12万次升降</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7)五星脚:抛光铝合金五星脚,可承受垂直方向施力11120N持续1分钟</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8)椅轮:PA轮,载荷122kg在无障碍平台进行98000次,有障碍物平台进行2000次往返无破损</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2</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把</w:t>
            </w:r>
          </w:p>
        </w:tc>
      </w:tr>
      <w:tr>
        <w:tblPrEx>
          <w:tblCellMar>
            <w:top w:w="0" w:type="dxa"/>
            <w:left w:w="108" w:type="dxa"/>
            <w:bottom w:w="0" w:type="dxa"/>
            <w:right w:w="108" w:type="dxa"/>
          </w:tblCellMar>
        </w:tblPrEx>
        <w:trPr>
          <w:jc w:val="center"/>
        </w:trPr>
        <w:tc>
          <w:tcPr>
            <w:tcW w:w="12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25</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会议椅</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常规</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color w:val="auto"/>
                <w:highlight w:val="none"/>
              </w:rPr>
            </w:pPr>
            <w:r>
              <w:rPr>
                <w:rFonts w:hint="eastAsia"/>
                <w:color w:val="auto"/>
                <w:highlight w:val="none"/>
              </w:rPr>
              <w:drawing>
                <wp:inline distT="0" distB="0" distL="114300" distR="114300">
                  <wp:extent cx="706755" cy="906780"/>
                  <wp:effectExtent l="0" t="0" r="17145" b="7620"/>
                  <wp:docPr id="38" name="图片_19"/>
                  <wp:cNvGraphicFramePr/>
                  <a:graphic xmlns:a="http://schemas.openxmlformats.org/drawingml/2006/main">
                    <a:graphicData uri="http://schemas.openxmlformats.org/drawingml/2006/picture">
                      <pic:pic xmlns:pic="http://schemas.openxmlformats.org/drawingml/2006/picture">
                        <pic:nvPicPr>
                          <pic:cNvPr id="38" name="图片_19"/>
                          <pic:cNvPicPr/>
                        </pic:nvPicPr>
                        <pic:blipFill>
                          <a:blip r:embed="rId33"/>
                          <a:stretch>
                            <a:fillRect/>
                          </a:stretch>
                        </pic:blipFill>
                        <pic:spPr>
                          <a:xfrm>
                            <a:off x="0" y="0"/>
                            <a:ext cx="706755" cy="906780"/>
                          </a:xfrm>
                          <a:prstGeom prst="rect">
                            <a:avLst/>
                          </a:prstGeom>
                          <a:noFill/>
                          <a:ln>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1)水性皮:采用水性皮（pvc仿皮），符合GB/T 16799-2018、GB/T35607-2017标准，其中产品有害物质：皮革中五氯苯酚（PCP）-其他未检出；理化性能：撕裂力≥90N、禁用偶氮染料未检出、游离甲醛未检出、挥发性有机物（VOC）未检出、可萃取重金属（铅、镉）未检出</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2)曲木板:E1级成型胶合板,甲醛释放量≤0.124mg/m³</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3)海绵:符合GB/T10802-2006、 QB/T2280-2016、 QB/T1952.1-2012、 GB17927.1-2011、 HJ 2547-2016标准，其中回弹率≥45%；伸长率≥140%；撕裂强度≥3.4N/cm；TVOC≤0.05mg/㎡h；泡沫塑料：表观密度（座面）≥40kg/m³；阻燃I级，通过香烟抗引燃特性试验；游离甲醛未检出；</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4)椅架:壁厚1.8mm,镀层耐盐雾18h,可承受136kg冲击及57kg耐久100000次冲击</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4</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把</w:t>
            </w:r>
          </w:p>
        </w:tc>
      </w:tr>
      <w:tr>
        <w:tblPrEx>
          <w:tblCellMar>
            <w:top w:w="0" w:type="dxa"/>
            <w:left w:w="108" w:type="dxa"/>
            <w:bottom w:w="0" w:type="dxa"/>
            <w:right w:w="108" w:type="dxa"/>
          </w:tblCellMar>
        </w:tblPrEx>
        <w:trPr>
          <w:jc w:val="center"/>
        </w:trPr>
        <w:tc>
          <w:tcPr>
            <w:tcW w:w="12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26</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kern w:val="0"/>
                <w:sz w:val="24"/>
                <w:highlight w:val="none"/>
                <w:lang w:bidi="ar"/>
              </w:rPr>
            </w:pPr>
            <w:r>
              <w:rPr>
                <w:rFonts w:hint="eastAsia" w:ascii="宋体" w:hAnsi="宋体" w:cs="宋体"/>
                <w:color w:val="auto"/>
                <w:kern w:val="0"/>
                <w:sz w:val="24"/>
                <w:highlight w:val="none"/>
                <w:lang w:bidi="ar"/>
              </w:rPr>
              <w:t>办公椅</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kern w:val="0"/>
                <w:sz w:val="24"/>
                <w:highlight w:val="none"/>
                <w:lang w:bidi="ar"/>
              </w:rPr>
            </w:pPr>
            <w:r>
              <w:rPr>
                <w:rFonts w:ascii="宋体" w:hAnsi="宋体" w:cs="宋体"/>
                <w:color w:val="auto"/>
                <w:kern w:val="0"/>
                <w:sz w:val="24"/>
                <w:highlight w:val="none"/>
                <w:lang w:bidi="ar"/>
              </w:rPr>
              <w:t>695</w:t>
            </w:r>
            <w:r>
              <w:rPr>
                <w:rFonts w:hint="eastAsia" w:ascii="宋体" w:hAnsi="宋体" w:cs="宋体"/>
                <w:color w:val="auto"/>
                <w:kern w:val="0"/>
                <w:sz w:val="24"/>
                <w:highlight w:val="none"/>
                <w:lang w:bidi="ar"/>
              </w:rPr>
              <w:t>*</w:t>
            </w:r>
            <w:r>
              <w:rPr>
                <w:rFonts w:ascii="宋体" w:hAnsi="宋体" w:cs="宋体"/>
                <w:color w:val="auto"/>
                <w:kern w:val="0"/>
                <w:sz w:val="24"/>
                <w:highlight w:val="none"/>
                <w:lang w:bidi="ar"/>
              </w:rPr>
              <w:t>64</w:t>
            </w:r>
            <w:r>
              <w:rPr>
                <w:rFonts w:hint="eastAsia" w:ascii="宋体" w:hAnsi="宋体" w:cs="宋体"/>
                <w:color w:val="auto"/>
                <w:kern w:val="0"/>
                <w:sz w:val="24"/>
                <w:highlight w:val="none"/>
                <w:lang w:bidi="ar"/>
              </w:rPr>
              <w:t>0*1140-1</w:t>
            </w:r>
            <w:r>
              <w:rPr>
                <w:rFonts w:ascii="宋体" w:hAnsi="宋体" w:cs="宋体"/>
                <w:color w:val="auto"/>
                <w:kern w:val="0"/>
                <w:sz w:val="24"/>
                <w:highlight w:val="none"/>
                <w:lang w:bidi="ar"/>
              </w:rPr>
              <w:t>190</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color w:val="auto"/>
                <w:highlight w:val="none"/>
              </w:rPr>
            </w:pPr>
            <w:r>
              <w:rPr>
                <w:rFonts w:hint="eastAsia"/>
                <w:color w:val="auto"/>
                <w:highlight w:val="none"/>
              </w:rPr>
              <w:drawing>
                <wp:inline distT="0" distB="0" distL="114300" distR="114300">
                  <wp:extent cx="780415" cy="972820"/>
                  <wp:effectExtent l="0" t="0" r="635" b="17780"/>
                  <wp:docPr id="31" name="ID_87936180DA374A24B0ED1CBD74252D5B"/>
                  <wp:cNvGraphicFramePr/>
                  <a:graphic xmlns:a="http://schemas.openxmlformats.org/drawingml/2006/main">
                    <a:graphicData uri="http://schemas.openxmlformats.org/drawingml/2006/picture">
                      <pic:pic xmlns:pic="http://schemas.openxmlformats.org/drawingml/2006/picture">
                        <pic:nvPicPr>
                          <pic:cNvPr id="31" name="ID_87936180DA374A24B0ED1CBD74252D5B"/>
                          <pic:cNvPicPr/>
                        </pic:nvPicPr>
                        <pic:blipFill>
                          <a:blip r:embed="rId34"/>
                          <a:stretch>
                            <a:fillRect/>
                          </a:stretch>
                        </pic:blipFill>
                        <pic:spPr>
                          <a:xfrm>
                            <a:off x="0" y="0"/>
                            <a:ext cx="780415" cy="972820"/>
                          </a:xfrm>
                          <a:prstGeom prst="rect">
                            <a:avLst/>
                          </a:prstGeom>
                          <a:noFill/>
                          <a:ln>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面料：靠背采用环保优质高弹性特网，透气耐磨，亲肤舒适，阻燃、撕裂和拉伸性能均符合国家标准；座垫优质环保针织布料，透气耐磨，亲肤舒适，阻燃、撕裂和拉伸性能均符合国家标准；</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头枕：头枕骨架采用PA材质加高强度玻璃纤维，面料为环保透气优质高弹性特种网布，头枕强度符合QB2280标准，阻燃性能符合国家标准。</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椅背：靠背骨架采用PA材质加高强度玻璃纤维，面料为环保透气优质高弹性特种网布，靠背强度符合QB2280标准，阻燃性能符合国家标准。</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腰靠：旋转式四维调节定型棉-升降、前后动态旋转。</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 xml:space="preserve">扶手：扶手主体采用高强度PA加玻璃纤维材质加PU面，1D扶手升降功能，垂直测试115公斤，水平测试68公斤，强度符合BIFMA和QB2280标准。                                       </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座垫：坐垫骨架采用9层13毫米高强度层压胶合板，填充物高密度海绵组合，面料为环保透气布料，座垫强度符合QB2280标准，阻燃性能符合国家标准。</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 xml:space="preserve">底盘：采用同步倾仰底盘，三档倾仰锁定调节,采用2.5MM加厚钢板，材质Q235,倾仰角度25度，倾仰机构底盘，承载109公斤30万次倾斜耐久测试，机构运动无干涉，无噪音，符合QB2280标准。    </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气杆：气杆棒芯采用2.5MM的优质无缝钢管，3级气杆标准，通过施加载荷循环测试 10 万次旋转、升降测试，符合BIFMA和QB2280标准。</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椅脚：采用PA+30%玻璃纤维材料，注塑一体成型，椅脚直径700mm；静压测试1136kg 、冲击测试136公斤，符合QB2280标准。</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脚轮：采用PA+30%玻璃纤维材料，组装后经过高温热处理，轮片直径50mm。经10万次行走循环测试和136公斤冲击测试，符合QB2280标准，通过负16度低温测试。</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把</w:t>
            </w:r>
          </w:p>
        </w:tc>
      </w:tr>
      <w:tr>
        <w:tblPrEx>
          <w:tblCellMar>
            <w:top w:w="0" w:type="dxa"/>
            <w:left w:w="108" w:type="dxa"/>
            <w:bottom w:w="0" w:type="dxa"/>
            <w:right w:w="108" w:type="dxa"/>
          </w:tblCellMar>
        </w:tblPrEx>
        <w:trPr>
          <w:jc w:val="center"/>
        </w:trPr>
        <w:tc>
          <w:tcPr>
            <w:tcW w:w="12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27</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b/>
                <w:bCs/>
                <w:color w:val="auto"/>
                <w:kern w:val="0"/>
                <w:sz w:val="24"/>
                <w:highlight w:val="none"/>
                <w:lang w:bidi="ar"/>
              </w:rPr>
            </w:pPr>
            <w:r>
              <w:rPr>
                <w:rFonts w:hint="eastAsia" w:ascii="宋体" w:hAnsi="宋体" w:cs="宋体"/>
                <w:color w:val="auto"/>
                <w:kern w:val="0"/>
                <w:sz w:val="24"/>
                <w:highlight w:val="none"/>
                <w:lang w:bidi="ar"/>
              </w:rPr>
              <w:t>会议椅</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kern w:val="0"/>
                <w:sz w:val="24"/>
                <w:highlight w:val="none"/>
                <w:lang w:bidi="ar"/>
              </w:rPr>
            </w:pPr>
            <w:r>
              <w:rPr>
                <w:rFonts w:hint="eastAsia" w:ascii="宋体" w:hAnsi="宋体" w:cs="宋体"/>
                <w:color w:val="auto"/>
                <w:kern w:val="0"/>
                <w:sz w:val="24"/>
                <w:highlight w:val="none"/>
                <w:lang w:bidi="ar"/>
              </w:rPr>
              <w:t>620*630*1055</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color w:val="auto"/>
                <w:highlight w:val="none"/>
              </w:rPr>
            </w:pPr>
            <w:r>
              <w:rPr>
                <w:rFonts w:hint="eastAsia"/>
                <w:color w:val="auto"/>
                <w:highlight w:val="none"/>
              </w:rPr>
              <w:drawing>
                <wp:inline distT="0" distB="0" distL="114300" distR="114300">
                  <wp:extent cx="753745" cy="974725"/>
                  <wp:effectExtent l="0" t="0" r="8255" b="15875"/>
                  <wp:docPr id="24" name="ID_EC5600D036C14C53BD93813C604BB24B"/>
                  <wp:cNvGraphicFramePr/>
                  <a:graphic xmlns:a="http://schemas.openxmlformats.org/drawingml/2006/main">
                    <a:graphicData uri="http://schemas.openxmlformats.org/drawingml/2006/picture">
                      <pic:pic xmlns:pic="http://schemas.openxmlformats.org/drawingml/2006/picture">
                        <pic:nvPicPr>
                          <pic:cNvPr id="24" name="ID_EC5600D036C14C53BD93813C604BB24B"/>
                          <pic:cNvPicPr/>
                        </pic:nvPicPr>
                        <pic:blipFill>
                          <a:blip r:embed="rId35"/>
                          <a:stretch>
                            <a:fillRect/>
                          </a:stretch>
                        </pic:blipFill>
                        <pic:spPr>
                          <a:xfrm>
                            <a:off x="0" y="0"/>
                            <a:ext cx="753745" cy="974725"/>
                          </a:xfrm>
                          <a:prstGeom prst="rect">
                            <a:avLst/>
                          </a:prstGeom>
                          <a:noFill/>
                          <a:ln>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面料：靠背采用环保优质高弹性特网，透气耐磨，亲肤舒适，阻燃、撕裂和拉伸性能均符合国家标准；座垫优质环保针织布料，透气耐磨，亲肤舒适，阻燃、撕裂和拉伸性能均符合国家标准；</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椅背：靠背骨架采用PA材质加高强度玻璃纤维，面料为环保透气优质高弹性特种网布，靠背强度符合QB2280标准，阻燃性能符合国家标准。</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腰靠：旋转式四维调节定型棉-升降、前后动态旋转。</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 xml:space="preserve">扶手：固定扶手主体采用高强度PA加玻璃纤维材质，垂直测试115公斤，水平测试68公斤，强度符合QB2280标准。                                       </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座垫：坐垫骨架采用9层13毫米高强度层压胶合板，填充物高密度海绵组合，面料为环保透气布料，座垫强度符合QB2280标准，阻燃性能符合国家标准。</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椅架：采用Q195钢管制成，壁厚1.8mm，喷塑金属脚架；</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2</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把</w:t>
            </w:r>
          </w:p>
        </w:tc>
      </w:tr>
      <w:tr>
        <w:tblPrEx>
          <w:tblCellMar>
            <w:top w:w="0" w:type="dxa"/>
            <w:left w:w="108" w:type="dxa"/>
            <w:bottom w:w="0" w:type="dxa"/>
            <w:right w:w="108" w:type="dxa"/>
          </w:tblCellMar>
        </w:tblPrEx>
        <w:trPr>
          <w:jc w:val="center"/>
        </w:trPr>
        <w:tc>
          <w:tcPr>
            <w:tcW w:w="12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28</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调解椅</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kern w:val="0"/>
                <w:sz w:val="24"/>
                <w:highlight w:val="none"/>
                <w:lang w:bidi="ar"/>
              </w:rPr>
            </w:pPr>
            <w:r>
              <w:rPr>
                <w:rFonts w:hint="eastAsia" w:ascii="宋体" w:hAnsi="宋体" w:cs="宋体"/>
                <w:color w:val="auto"/>
                <w:kern w:val="0"/>
                <w:sz w:val="24"/>
                <w:highlight w:val="none"/>
                <w:lang w:bidi="ar"/>
              </w:rPr>
              <w:t>常规</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color w:val="auto"/>
                <w:highlight w:val="none"/>
              </w:rPr>
            </w:pPr>
            <w:r>
              <w:rPr>
                <w:rFonts w:hint="eastAsia"/>
                <w:color w:val="auto"/>
                <w:highlight w:val="none"/>
              </w:rPr>
              <w:drawing>
                <wp:inline distT="0" distB="0" distL="114300" distR="114300">
                  <wp:extent cx="801370" cy="929005"/>
                  <wp:effectExtent l="0" t="0" r="17780" b="4445"/>
                  <wp:docPr id="30" name="图片_20"/>
                  <wp:cNvGraphicFramePr/>
                  <a:graphic xmlns:a="http://schemas.openxmlformats.org/drawingml/2006/main">
                    <a:graphicData uri="http://schemas.openxmlformats.org/drawingml/2006/picture">
                      <pic:pic xmlns:pic="http://schemas.openxmlformats.org/drawingml/2006/picture">
                        <pic:nvPicPr>
                          <pic:cNvPr id="30" name="图片_20"/>
                          <pic:cNvPicPr/>
                        </pic:nvPicPr>
                        <pic:blipFill>
                          <a:blip r:embed="rId36"/>
                          <a:stretch>
                            <a:fillRect/>
                          </a:stretch>
                        </pic:blipFill>
                        <pic:spPr>
                          <a:xfrm>
                            <a:off x="0" y="0"/>
                            <a:ext cx="801370" cy="929005"/>
                          </a:xfrm>
                          <a:prstGeom prst="rect">
                            <a:avLst/>
                          </a:prstGeom>
                          <a:noFill/>
                          <a:ln>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1)背框:尼龙+20%玻纤,可承受1001N载荷强度试验,可在座面载荷109kg时,施加445N的力于背架上,执行120000次往复循环;</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2)椅架:壁厚1.8mm,镀层耐盐雾18h,可承受136kg冲击及57kg耐久100000次冲击</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80</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把</w:t>
            </w:r>
          </w:p>
        </w:tc>
      </w:tr>
      <w:tr>
        <w:tblPrEx>
          <w:tblCellMar>
            <w:top w:w="0" w:type="dxa"/>
            <w:left w:w="108" w:type="dxa"/>
            <w:bottom w:w="0" w:type="dxa"/>
            <w:right w:w="108" w:type="dxa"/>
          </w:tblCellMar>
        </w:tblPrEx>
        <w:trPr>
          <w:trHeight w:val="712" w:hRule="atLeast"/>
          <w:jc w:val="center"/>
        </w:trPr>
        <w:tc>
          <w:tcPr>
            <w:tcW w:w="14438" w:type="dxa"/>
            <w:gridSpan w:val="7"/>
            <w:tcBorders>
              <w:top w:val="single" w:color="000000" w:sz="4" w:space="0"/>
              <w:left w:val="single" w:color="000000" w:sz="4" w:space="0"/>
              <w:bottom w:val="single" w:color="000000" w:sz="4" w:space="0"/>
              <w:right w:val="nil"/>
            </w:tcBorders>
            <w:shd w:val="clear" w:color="auto" w:fill="00B0F0"/>
            <w:vAlign w:val="center"/>
          </w:tcPr>
          <w:p>
            <w:pPr>
              <w:snapToGrid w:val="0"/>
              <w:jc w:val="center"/>
              <w:rPr>
                <w:color w:val="auto"/>
                <w:szCs w:val="21"/>
                <w:highlight w:val="none"/>
              </w:rPr>
            </w:pPr>
            <w:r>
              <w:rPr>
                <w:rFonts w:hint="eastAsia"/>
                <w:b/>
                <w:bCs/>
                <w:color w:val="auto"/>
                <w:szCs w:val="21"/>
                <w:highlight w:val="none"/>
              </w:rPr>
              <w:t>其他柜类</w:t>
            </w:r>
          </w:p>
        </w:tc>
      </w:tr>
      <w:tr>
        <w:tblPrEx>
          <w:tblCellMar>
            <w:top w:w="0" w:type="dxa"/>
            <w:left w:w="108" w:type="dxa"/>
            <w:bottom w:w="0" w:type="dxa"/>
            <w:right w:w="108" w:type="dxa"/>
          </w:tblCellMar>
        </w:tblPrEx>
        <w:trPr>
          <w:jc w:val="center"/>
        </w:trPr>
        <w:tc>
          <w:tcPr>
            <w:tcW w:w="12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★29</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文件柜</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800*400*1966</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color w:val="auto"/>
                <w:highlight w:val="none"/>
              </w:rPr>
            </w:pPr>
            <w:r>
              <w:rPr>
                <w:rFonts w:hint="eastAsia"/>
                <w:color w:val="auto"/>
                <w:highlight w:val="none"/>
              </w:rPr>
              <w:drawing>
                <wp:inline distT="0" distB="0" distL="114300" distR="114300">
                  <wp:extent cx="1051560" cy="1228090"/>
                  <wp:effectExtent l="0" t="0" r="15240" b="10160"/>
                  <wp:docPr id="22" name="图片_23"/>
                  <wp:cNvGraphicFramePr/>
                  <a:graphic xmlns:a="http://schemas.openxmlformats.org/drawingml/2006/main">
                    <a:graphicData uri="http://schemas.openxmlformats.org/drawingml/2006/picture">
                      <pic:pic xmlns:pic="http://schemas.openxmlformats.org/drawingml/2006/picture">
                        <pic:nvPicPr>
                          <pic:cNvPr id="22" name="图片_23"/>
                          <pic:cNvPicPr/>
                        </pic:nvPicPr>
                        <pic:blipFill>
                          <a:blip r:embed="rId37"/>
                          <a:stretch>
                            <a:fillRect/>
                          </a:stretch>
                        </pic:blipFill>
                        <pic:spPr>
                          <a:xfrm>
                            <a:off x="0" y="0"/>
                            <a:ext cx="1051560" cy="1228090"/>
                          </a:xfrm>
                          <a:prstGeom prst="rect">
                            <a:avLst/>
                          </a:prstGeom>
                          <a:noFill/>
                          <a:ln>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1)基材采用刨花板,符合GB/T4897-2015 、GB/T39600-2021、GB/T35607-2017、GB 8624-2012标准，其中甲醛释放量分级要求（气候箱法）ENF级≤0.025mg/m³；燃烧性能：平板状建筑材料及制品的燃烧性能等级和分级判据-B1-B合格；理化性能：含水率合格、2h吸水厚度膨胀率合格、静曲强度合格、弹性模量合格、内胶合强度合格、表面胶合强度合格；产品有害物质：苯、甲苯、二甲苯、总挥发性有机化合物（TVOC）均未检出；</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2)防火饰面:面材选用优质三聚氰胺浸胶工艺,使表面稳定性更好,层次感更优,耐污抗磨性更强,通过GB/T 15102浸渍胶膜纸饰面人造板表面理化性能要求;</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3)PVC封边条:符合QB/T4463-2013、GB28481-2012、GB/T35607-2017、GB/T 31402-2015、GB 20286-2006标准，其中防霉等级-大毛霉0级；燃烧性能：阻燃性能等级-阻燃1级（塑料/橡胶）合格；重金属未检出；理化性能：耐干热、耐磨性均合格；有害物质限量：甲醛释放量未检出、氯乙烯单体未检出、可迁移元素（可溶性重金属）未检出、邻苯二甲酸酯的总量未检出、多溴联苯未检出、多溴联苯醚未检出产品有害物质：苯并[a]芘未检出；</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4)塑胶件:符合(GB/T 3325-2017金属家具通用技术条件)中5.5.2产品部件材质理化性能,耐老化性能,户外使用的产品塑料件耐老化试验时间500h,试验后拉伸强度、断裂伸长率、冲击强度的保持率不小于60%;外观颜色变色评级不小于3级</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5)◆铰链:符合QB/T 2189-2013 、QB/T 3832-1999 、QB/T 3826-1999、QB/T 3827-1999、QB/T3828-1999、GB/T 11170-2008标准，其中功能：耐久性（8万次）合格、垂直静载荷20kg合格、水平静载荷40N合格；中性盐雾18h达10级；乙酸盐雾18h达10级；铜盐加速乙酸盐雾18h达10级；化学成分（Cr、Si、Mn、P、S）合格；</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6）玻璃:通过GB/T 9963-1998 玻璃耐热、耐冲击强度检测要求</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31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组</w:t>
            </w:r>
          </w:p>
        </w:tc>
      </w:tr>
      <w:tr>
        <w:tblPrEx>
          <w:tblCellMar>
            <w:top w:w="0" w:type="dxa"/>
            <w:left w:w="108" w:type="dxa"/>
            <w:bottom w:w="0" w:type="dxa"/>
            <w:right w:w="108" w:type="dxa"/>
          </w:tblCellMar>
        </w:tblPrEx>
        <w:trPr>
          <w:jc w:val="center"/>
        </w:trPr>
        <w:tc>
          <w:tcPr>
            <w:tcW w:w="12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30</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茶水柜</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816*400*808</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color w:val="auto"/>
                <w:highlight w:val="none"/>
              </w:rPr>
            </w:pPr>
            <w:r>
              <w:rPr>
                <w:rFonts w:hint="eastAsia"/>
                <w:color w:val="auto"/>
                <w:highlight w:val="none"/>
              </w:rPr>
              <w:drawing>
                <wp:inline distT="0" distB="0" distL="114300" distR="114300">
                  <wp:extent cx="859155" cy="833755"/>
                  <wp:effectExtent l="0" t="0" r="17145" b="4445"/>
                  <wp:docPr id="28" name="图片_24"/>
                  <wp:cNvGraphicFramePr/>
                  <a:graphic xmlns:a="http://schemas.openxmlformats.org/drawingml/2006/main">
                    <a:graphicData uri="http://schemas.openxmlformats.org/drawingml/2006/picture">
                      <pic:pic xmlns:pic="http://schemas.openxmlformats.org/drawingml/2006/picture">
                        <pic:nvPicPr>
                          <pic:cNvPr id="28" name="图片_24"/>
                          <pic:cNvPicPr/>
                        </pic:nvPicPr>
                        <pic:blipFill>
                          <a:blip r:embed="rId38"/>
                          <a:stretch>
                            <a:fillRect/>
                          </a:stretch>
                        </pic:blipFill>
                        <pic:spPr>
                          <a:xfrm>
                            <a:off x="0" y="0"/>
                            <a:ext cx="859155" cy="833755"/>
                          </a:xfrm>
                          <a:prstGeom prst="rect">
                            <a:avLst/>
                          </a:prstGeom>
                          <a:noFill/>
                          <a:ln>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1)基材采用刨花板,符合GB/T4897-2015 、GB/T39600-2021、GB/T35607-2017、GB 8624-2012标准，其中甲醛释放量分级要求（气候箱法）ENF级≤0.025mg/m³；燃烧性能：平板状建筑材料及制品的燃烧性能等级和分级判据-B1-B合格；理化性能：含水率合格、2h吸水厚度膨胀率合格、静曲强度合格、弹性模量合格、内胶合强度合格、表面胶合强度合格；产品有害物质：苯、甲苯、二甲苯、总挥发性有机化合物（TVOC）均未检出；</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2)防火饰面:面材选用优质三聚氰胺浸胶工艺,使表面稳定性更好,层次感更优,耐污抗磨性更强,通过GB/T 15102浸渍胶膜纸饰面人造板表面理化性能要求;</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3)PVC封边条:符合QB/T4463-2013、GB28481-2012、GB/T35607-2017、GB/T 31402-2015、GB 20286-2006标准，其中防霉等级-大毛霉0级；燃烧性能：阻燃性能等级-阻燃1级（塑料/橡胶）合格；重金属未检出；理化性能：耐干热、耐磨性均合格；有害物质限量：甲醛释放量未检出、氯乙烯单体未检出、可迁移元素（可溶性重金属）未检出、邻苯二甲酸酯的总量未检出、多溴联苯未检出、多溴联苯醚未检出；产品有害物质：苯并[a]芘未检出；</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4)塑胶件:符合GB/T 3325-2017金属家具通用技术条件中5.5.2产品部件材质理化性能,耐老化性能,户外使用的产品塑料件耐老化试验时间500h,试验后拉伸强度、断裂伸长率、冲击强度的保持率不小于60%;外观颜色变色评级不小于3级</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5)滑轨:导轨符合QB/T 2454-2013、 QB/T3826-1999、 QB/T3827-1999、 QB/T3828-1999、 QB/T3832-1999、GB/T 11170-2008标准，其中功能：耐久性（8万次）合格，垂直向下静载荷200N合格、水平侧向静载荷100N合格；中性盐雾18h达10级；乙酸盐雾18h达10级；铜盐加速乙酸盐雾18h达10级；化学成分（Cr、Si、Mn、P、S）合格。</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6)铰链:符合QB/T 2189-2013 、QB/T 3832-1999 、QB/T 3826-1999、QB/T 3827-1999、QB/T3828-1999、GB/T 11170-2008标准，其中功能：耐久性（8万次）合格、垂直静载荷20kg合格、水平静载荷40N合格；中性盐雾18h达10级；乙酸盐雾18h达10级；铜盐加速乙酸盐雾18h达10级；化学成分（Cr、Si、Mn、P、S）合格；</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15</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组</w:t>
            </w:r>
          </w:p>
        </w:tc>
      </w:tr>
      <w:tr>
        <w:tblPrEx>
          <w:tblCellMar>
            <w:top w:w="0" w:type="dxa"/>
            <w:left w:w="108" w:type="dxa"/>
            <w:bottom w:w="0" w:type="dxa"/>
            <w:right w:w="108" w:type="dxa"/>
          </w:tblCellMar>
        </w:tblPrEx>
        <w:trPr>
          <w:jc w:val="center"/>
        </w:trPr>
        <w:tc>
          <w:tcPr>
            <w:tcW w:w="12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31</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开门柜</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800*400*1200</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color w:val="auto"/>
                <w:highlight w:val="none"/>
              </w:rPr>
            </w:pPr>
            <w:r>
              <w:rPr>
                <w:rFonts w:hint="eastAsia"/>
                <w:color w:val="auto"/>
                <w:highlight w:val="none"/>
              </w:rPr>
              <w:drawing>
                <wp:inline distT="0" distB="0" distL="114300" distR="114300">
                  <wp:extent cx="807085" cy="1044575"/>
                  <wp:effectExtent l="0" t="0" r="12065" b="3175"/>
                  <wp:docPr id="39" name="图片_25"/>
                  <wp:cNvGraphicFramePr/>
                  <a:graphic xmlns:a="http://schemas.openxmlformats.org/drawingml/2006/main">
                    <a:graphicData uri="http://schemas.openxmlformats.org/drawingml/2006/picture">
                      <pic:pic xmlns:pic="http://schemas.openxmlformats.org/drawingml/2006/picture">
                        <pic:nvPicPr>
                          <pic:cNvPr id="39" name="图片_25"/>
                          <pic:cNvPicPr/>
                        </pic:nvPicPr>
                        <pic:blipFill>
                          <a:blip r:embed="rId39"/>
                          <a:stretch>
                            <a:fillRect/>
                          </a:stretch>
                        </pic:blipFill>
                        <pic:spPr>
                          <a:xfrm>
                            <a:off x="0" y="0"/>
                            <a:ext cx="807085" cy="1044575"/>
                          </a:xfrm>
                          <a:prstGeom prst="rect">
                            <a:avLst/>
                          </a:prstGeom>
                          <a:noFill/>
                          <a:ln>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1)基材采用刨花板,符合GB/T4897-2015 、GB/T39600-2021、GB/T35607-2017、GB 8624-2012标准，其中甲醛释放量分级要求（气候箱法）ENF级≤0.025mg/m³；燃烧性能：平板状建筑材料及制品的燃烧性能等级和分级判据-B1-B合格；理化性能：含水率合格、2h吸水厚度膨胀率合格、静曲强度合格、弹性模量合格、内胶合强度合格、表面胶合强度合格；产品有害物质：苯、甲苯、二甲苯、总挥发性有机化合物（TVOC）均未检出；</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2)防火饰面:面材选用优质三聚氰胺浸胶工艺,使表面稳定性更好,层次感更优,耐污抗磨性更强,通过GB/T 15102浸渍胶膜纸饰面人造板表面理化性能要求;</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3)PVC封边条:符合QB/T4463-2013、GB28481-2012、GB/T35607-2017、GB/T 31402-2015、GB 20286-2006标准，其中防霉等级-大毛霉0级；燃烧性能：阻燃性能等级-阻燃1级（塑料/橡胶）合格；重金属未检出；理化性能：耐干热、耐磨性均合格；有害物质限量：甲醛释放量未检出、氯乙烯单体未检出、可迁移元素（可溶性重金属）未检出、邻苯二甲酸酯的总量未检出、多溴联苯未检出、多溴联苯醚未检出；产品有害物质：苯并[a]芘未检出；</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4)塑胶件:符合(GB/T 3325-2017金属家具通用技术条件)中5.5.2产品部件材质理化性能,耐老化性能,户外使用的产品塑料件耐老化试验时间500h,试验后拉伸强度、断裂伸长率、冲击强度的保持率不小于60%;外观颜色变色评级不小于3级</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5)铰链:符合QB/T 2189-2013 、QB/T 3832-1999 、QB/T 3826-1999、QB/T 3827-1999、QB/T3828-1999、GB/T 11170-2008标准，其中功能：耐久性（8万次）合格、垂直静载荷20kg合格、水平静载荷40N合格；中性盐雾18h达10级；乙酸盐雾18h达10级；铜盐加速乙酸盐雾18h达10级；化学成分（Cr、Si、Mn、P、S）合格；</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5</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组</w:t>
            </w:r>
          </w:p>
        </w:tc>
      </w:tr>
      <w:tr>
        <w:tblPrEx>
          <w:tblCellMar>
            <w:top w:w="0" w:type="dxa"/>
            <w:left w:w="108" w:type="dxa"/>
            <w:bottom w:w="0" w:type="dxa"/>
            <w:right w:w="108" w:type="dxa"/>
          </w:tblCellMar>
        </w:tblPrEx>
        <w:trPr>
          <w:jc w:val="center"/>
        </w:trPr>
        <w:tc>
          <w:tcPr>
            <w:tcW w:w="12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32</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保密柜</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900*400*1850</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color w:val="auto"/>
                <w:highlight w:val="none"/>
              </w:rPr>
            </w:pPr>
            <w:r>
              <w:rPr>
                <w:rFonts w:hint="eastAsia"/>
                <w:color w:val="auto"/>
                <w:highlight w:val="none"/>
              </w:rPr>
              <w:drawing>
                <wp:inline distT="0" distB="0" distL="114300" distR="114300">
                  <wp:extent cx="830580" cy="1447800"/>
                  <wp:effectExtent l="0" t="0" r="7620" b="0"/>
                  <wp:docPr id="23" name="图片_26"/>
                  <wp:cNvGraphicFramePr/>
                  <a:graphic xmlns:a="http://schemas.openxmlformats.org/drawingml/2006/main">
                    <a:graphicData uri="http://schemas.openxmlformats.org/drawingml/2006/picture">
                      <pic:pic xmlns:pic="http://schemas.openxmlformats.org/drawingml/2006/picture">
                        <pic:nvPicPr>
                          <pic:cNvPr id="23" name="图片_26"/>
                          <pic:cNvPicPr/>
                        </pic:nvPicPr>
                        <pic:blipFill>
                          <a:blip r:embed="rId40"/>
                          <a:stretch>
                            <a:fillRect/>
                          </a:stretch>
                        </pic:blipFill>
                        <pic:spPr>
                          <a:xfrm>
                            <a:off x="0" y="0"/>
                            <a:ext cx="830580" cy="1447800"/>
                          </a:xfrm>
                          <a:prstGeom prst="rect">
                            <a:avLst/>
                          </a:prstGeom>
                          <a:noFill/>
                          <a:ln>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钢板：国产优质一级冷轧钢板制，柜体钢板厚度0.7mm，表面需经去油除锈、酸洗磷化处理后高压静电粉末喷涂处理，冷轧钢板符合GB/T3325-2017、QB/T3826-1999、QB/T3827-1999、QB/T3832-1999、QB/T4767-2014、GB/T232-2010标准，要求其中涂层厚度合格；中型盐雾试验24h达10级；乙酸盐雾试验220h达10级；理化性能要求：金属喷漆（塑）涂层-硬度合格、冲击强度合格、耐腐蚀合格、附着力0级；弯曲试验合格。</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工艺：采用全自动数控设备进行剪裁、冲切、数控折弯等工艺后再进行无痕点焊机焊接成型；层板板边采用开口四折弯结构，中间用加强筋焊接结构，筋平面冲凹沟，提高层板承重性；采用脉冲焊接先进工艺，焊点牢固，平整度高；经酸洗磷化处理后,采用全自动喷涂设备，进口塑粉(无毒、无味、防烫)喷涂而成；漆膜坚固，附着力强；涂层厚度值达70-80μm。</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17</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组</w:t>
            </w:r>
          </w:p>
        </w:tc>
      </w:tr>
      <w:tr>
        <w:tblPrEx>
          <w:tblCellMar>
            <w:top w:w="0" w:type="dxa"/>
            <w:left w:w="108" w:type="dxa"/>
            <w:bottom w:w="0" w:type="dxa"/>
            <w:right w:w="108" w:type="dxa"/>
          </w:tblCellMar>
        </w:tblPrEx>
        <w:trPr>
          <w:jc w:val="center"/>
        </w:trPr>
        <w:tc>
          <w:tcPr>
            <w:tcW w:w="12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33</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定制背景柜</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4200*400*2000</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color w:val="auto"/>
                <w:highlight w:val="none"/>
              </w:rPr>
            </w:pPr>
            <w:r>
              <w:rPr>
                <w:rFonts w:hint="eastAsia"/>
                <w:color w:val="auto"/>
                <w:highlight w:val="none"/>
              </w:rPr>
              <w:drawing>
                <wp:inline distT="0" distB="0" distL="114300" distR="114300">
                  <wp:extent cx="789940" cy="523875"/>
                  <wp:effectExtent l="0" t="0" r="10160" b="9525"/>
                  <wp:docPr id="29" name="图片_30"/>
                  <wp:cNvGraphicFramePr/>
                  <a:graphic xmlns:a="http://schemas.openxmlformats.org/drawingml/2006/main">
                    <a:graphicData uri="http://schemas.openxmlformats.org/drawingml/2006/picture">
                      <pic:pic xmlns:pic="http://schemas.openxmlformats.org/drawingml/2006/picture">
                        <pic:nvPicPr>
                          <pic:cNvPr id="29" name="图片_30"/>
                          <pic:cNvPicPr/>
                        </pic:nvPicPr>
                        <pic:blipFill>
                          <a:blip r:embed="rId41"/>
                          <a:stretch>
                            <a:fillRect/>
                          </a:stretch>
                        </pic:blipFill>
                        <pic:spPr>
                          <a:xfrm>
                            <a:off x="0" y="0"/>
                            <a:ext cx="789940" cy="523875"/>
                          </a:xfrm>
                          <a:prstGeom prst="rect">
                            <a:avLst/>
                          </a:prstGeom>
                          <a:noFill/>
                          <a:ln>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1)基材采用刨花板,符合GB/T4897-2015 、GB/T39600-2021、GB/T35607-2017、GB 8624-2012标准，其中甲醛释放量分级要求（气候箱法）ENF级≤0.025mg/m³；燃烧性能：平板状建筑材料及制品的燃烧性能等级和分级判据-B1-B合格；理化性能：含水率合格、2h吸水厚度膨胀率合格、静曲强度合格、弹性模量合格、内胶合强度合格、表面胶合强度合格；产品有害物质：苯、甲苯、二甲苯、总挥发性有机化合物（TVOC）均未检出；</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2)防火饰面:面材选用优质三聚氰胺浸胶工艺,使表面稳定性更好,层次感更优,耐污抗磨性更强,通过GB/T 15102浸渍胶膜纸饰面人造板表面理化性能要求;</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3)PVC封边条:符合QB/T4463-2013、GB28481-2012、GB/T35607-2017、GB/T 31402-2015、GB 20286-2006标准，其中防霉等级-大毛霉0级；燃烧性能：阻燃性能等级-阻燃1级（塑料/橡胶）合格；重金属未检出；理化性能：耐干热、耐磨性均合格；有害物质限量：甲醛释放量未检出、氯乙烯单体未检出、可迁移元素（可溶性重金属）未检出、邻苯二甲酸酯的总量未检出、多溴联苯未检出、多溴联苯醚未检出；产品有害物质：苯并[a]芘未检出；</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4)喷涂铝材:采用AL6063-T5铝合金,型材截面厚度1mm~1.5mm,满足GB/T 5237.1-2017 铝合金建筑型材 第1部分:基材（包装、尺寸、装配要求）;表面处理:静电粉末喷涂,漆膜的划格试验涂层附着力满足GB/T 9286-1998 色漆和清漆要求;符合(QB/T 1950-2013 家具表面漆膜耐盐浴测定法)</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5)铰链:符合QB/T 2189-2013 、QB/T 3832-1999 、QB/T 3826-1999、QB/T 3827-1999、QB/T3828-1999、GB/T 11170-2008标准，其中功能：耐久性（8万次）合格、垂直静载荷20kg合格、水平静载荷40N合格；中性盐雾18h达10级；乙酸盐雾18h达10级；铜盐加速乙酸盐雾18h达10级；化学成分（Cr、Si、Mn、P、S）合格；</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6)玻璃:采用4mm透明玻璃,符合GB 11614-2009 平板玻璃要求</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2</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组</w:t>
            </w:r>
          </w:p>
        </w:tc>
      </w:tr>
      <w:tr>
        <w:tblPrEx>
          <w:tblCellMar>
            <w:top w:w="0" w:type="dxa"/>
            <w:left w:w="108" w:type="dxa"/>
            <w:bottom w:w="0" w:type="dxa"/>
            <w:right w:w="108" w:type="dxa"/>
          </w:tblCellMar>
        </w:tblPrEx>
        <w:trPr>
          <w:jc w:val="center"/>
        </w:trPr>
        <w:tc>
          <w:tcPr>
            <w:tcW w:w="12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34</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茶水柜</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816*400*808</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color w:val="auto"/>
                <w:highlight w:val="none"/>
              </w:rPr>
            </w:pPr>
            <w:r>
              <w:rPr>
                <w:rFonts w:hint="eastAsia"/>
                <w:color w:val="auto"/>
                <w:highlight w:val="none"/>
              </w:rPr>
              <w:drawing>
                <wp:inline distT="0" distB="0" distL="114300" distR="114300">
                  <wp:extent cx="874395" cy="742950"/>
                  <wp:effectExtent l="0" t="0" r="1905" b="0"/>
                  <wp:docPr id="46" name="图片_31"/>
                  <wp:cNvGraphicFramePr/>
                  <a:graphic xmlns:a="http://schemas.openxmlformats.org/drawingml/2006/main">
                    <a:graphicData uri="http://schemas.openxmlformats.org/drawingml/2006/picture">
                      <pic:pic xmlns:pic="http://schemas.openxmlformats.org/drawingml/2006/picture">
                        <pic:nvPicPr>
                          <pic:cNvPr id="46" name="图片_31"/>
                          <pic:cNvPicPr/>
                        </pic:nvPicPr>
                        <pic:blipFill>
                          <a:blip r:embed="rId42"/>
                          <a:stretch>
                            <a:fillRect/>
                          </a:stretch>
                        </pic:blipFill>
                        <pic:spPr>
                          <a:xfrm>
                            <a:off x="0" y="0"/>
                            <a:ext cx="874395" cy="742950"/>
                          </a:xfrm>
                          <a:prstGeom prst="rect">
                            <a:avLst/>
                          </a:prstGeom>
                          <a:noFill/>
                          <a:ln>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1)基材采用刨花板,符合GB/T4897-2015 、GB/T39600-2021、GB/T35607-2017、GB 8624-2012标准，其中甲醛释放量分级要求（气候箱法）ENF级≤0.025mg/m³；燃烧性能：平板状建筑材料及制品的燃烧性能等级和分级判据-B1-B合格；理化性能：含水率合格、2h吸水厚度膨胀率合格、静曲强度合格、弹性模量合格、内胶合强度合格、表面胶合强度合格；产品有害物质：苯、甲苯、二甲苯、总挥发性有机化合物（TVOC）均未检出；</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2)防火饰面:面材选用优质三聚氰胺浸胶工艺,使表面稳定性更好,层次感更优,耐污抗磨性更强,通过GB/T 15102浸渍胶膜纸饰面人造板表面理化性能要求;</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3)PVC封边条:符合QB/T4463-2013、GB28481-2012、GB/T35607-2017、GB/T 31402-2015、GB 20286-2006标准，其中防霉等级-大毛霉0级；燃烧性能：阻燃性能等级-阻燃1级（塑料/橡胶）合格；重金属未检出；理化性能：耐干热、耐磨性均合格；有害物质限量：甲醛释放量未检出、氯乙烯单体未检出、可迁移元素（可溶性重金属）未检出、邻苯二甲酸酯的总量未检出、多溴联苯未检出、多溴联苯醚未检出；产品有害物质：苯并[a]芘未检出；</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4)塑胶件:符合GB/T 3325-2017金属家具通用技术条件中5.5.2产品部件材质理化性能,耐老化性能,户外使用的产品塑料件耐老化试验时间500h,试验后拉伸强度、断裂伸长率、冲击强度的保持率不小于60%;外观颜色变色评级不小于3级</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5)滑轨:导轨符合QB/T 2454-2013、 QB/T3826-1999、 QB/T3827-1999、 QB/T3828-1999、 QB/T3832-1999、GB/T 11170-2008标准，其中功能：耐久性（8万次）合格，垂直向下静载荷200N合格、水平侧向静载荷100N合格；中性盐雾18h达10级；乙酸盐雾18h达10级；铜盐加速乙酸盐雾18h达10级；化学成分（Cr、Si、Mn、P、S）合格。</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6)铰链:符合QB/T 2189-2013 、QB/T 3832-1999 、QB/T 3826-1999、QB/T 3827-1999、QB/T3828-1999、GB/T 11170-2008标准，其中功能：耐久性（8万次）合格、垂直静载荷20kg合格、水平静载荷40N合格；中性盐雾18h达10级；乙酸盐雾18h达10级；铜盐加速乙酸盐雾18h达10级；化学成分（Cr、Si、Mn、P、S）合格；</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6</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组</w:t>
            </w:r>
          </w:p>
        </w:tc>
      </w:tr>
      <w:tr>
        <w:tblPrEx>
          <w:tblCellMar>
            <w:top w:w="0" w:type="dxa"/>
            <w:left w:w="108" w:type="dxa"/>
            <w:bottom w:w="0" w:type="dxa"/>
            <w:right w:w="108" w:type="dxa"/>
          </w:tblCellMar>
        </w:tblPrEx>
        <w:trPr>
          <w:jc w:val="center"/>
        </w:trPr>
        <w:tc>
          <w:tcPr>
            <w:tcW w:w="12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35</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开门柜</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1200*450*1090</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color w:val="auto"/>
                <w:highlight w:val="none"/>
              </w:rPr>
            </w:pPr>
            <w:r>
              <w:rPr>
                <w:rFonts w:hint="eastAsia"/>
                <w:color w:val="auto"/>
                <w:highlight w:val="none"/>
              </w:rPr>
              <w:drawing>
                <wp:inline distT="0" distB="0" distL="114300" distR="114300">
                  <wp:extent cx="655320" cy="1007745"/>
                  <wp:effectExtent l="0" t="0" r="11430" b="1905"/>
                  <wp:docPr id="25" name="图片_27"/>
                  <wp:cNvGraphicFramePr/>
                  <a:graphic xmlns:a="http://schemas.openxmlformats.org/drawingml/2006/main">
                    <a:graphicData uri="http://schemas.openxmlformats.org/drawingml/2006/picture">
                      <pic:pic xmlns:pic="http://schemas.openxmlformats.org/drawingml/2006/picture">
                        <pic:nvPicPr>
                          <pic:cNvPr id="25" name="图片_27"/>
                          <pic:cNvPicPr/>
                        </pic:nvPicPr>
                        <pic:blipFill>
                          <a:blip r:embed="rId43"/>
                          <a:stretch>
                            <a:fillRect/>
                          </a:stretch>
                        </pic:blipFill>
                        <pic:spPr>
                          <a:xfrm>
                            <a:off x="0" y="0"/>
                            <a:ext cx="655320" cy="1007745"/>
                          </a:xfrm>
                          <a:prstGeom prst="rect">
                            <a:avLst/>
                          </a:prstGeom>
                          <a:noFill/>
                          <a:ln>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钢板：国产优质一级冷轧钢板制，柜体钢板厚度0.7mm，表面需经去油除锈、酸洗磷化处理后高压静电粉末喷涂处理，冷轧钢板符合GB/T3325-2017、QB/T3826-1999、QB/T3827-1999、QB/T3832-1999、QB/T4767-2014、GB/T232-2010标准要求，其中涂层厚度合格；中型盐雾试验24h达10级；乙酸盐雾试验220h达10级；理化性能要求：金属喷漆（塑）涂层-硬度合格、冲击强度合格、耐腐蚀合格、附着力0级；弯曲试验合格。</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工艺：采用全自动数控设备进行剪裁、冲切、数控折弯等工艺后再进行无痕点焊机焊接成型；层板板边采用开口四折弯结构，中间用加强筋焊接结构，筋平面冲凹沟，提高层板承重性；采用脉冲焊接先进工艺，焊点牢固，平整度高；经酸洗磷化处理后,采用全自动喷涂设备，进口塑粉(无毒、无味、防烫)喷涂而成；漆膜坚固，附着力强；涂层厚度值达70-80μm。</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3</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组</w:t>
            </w:r>
          </w:p>
        </w:tc>
      </w:tr>
      <w:tr>
        <w:tblPrEx>
          <w:tblCellMar>
            <w:top w:w="0" w:type="dxa"/>
            <w:left w:w="108" w:type="dxa"/>
            <w:bottom w:w="0" w:type="dxa"/>
            <w:right w:w="108" w:type="dxa"/>
          </w:tblCellMar>
        </w:tblPrEx>
        <w:trPr>
          <w:jc w:val="center"/>
        </w:trPr>
        <w:tc>
          <w:tcPr>
            <w:tcW w:w="12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36</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开门柜</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900*450*1090</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color w:val="auto"/>
                <w:highlight w:val="none"/>
              </w:rPr>
            </w:pPr>
            <w:r>
              <w:rPr>
                <w:rFonts w:hint="eastAsia"/>
                <w:color w:val="auto"/>
                <w:highlight w:val="none"/>
              </w:rPr>
              <w:drawing>
                <wp:inline distT="0" distB="0" distL="114300" distR="114300">
                  <wp:extent cx="749935" cy="878205"/>
                  <wp:effectExtent l="0" t="0" r="12065" b="17145"/>
                  <wp:docPr id="26" name="图片_42"/>
                  <wp:cNvGraphicFramePr/>
                  <a:graphic xmlns:a="http://schemas.openxmlformats.org/drawingml/2006/main">
                    <a:graphicData uri="http://schemas.openxmlformats.org/drawingml/2006/picture">
                      <pic:pic xmlns:pic="http://schemas.openxmlformats.org/drawingml/2006/picture">
                        <pic:nvPicPr>
                          <pic:cNvPr id="26" name="图片_42"/>
                          <pic:cNvPicPr/>
                        </pic:nvPicPr>
                        <pic:blipFill>
                          <a:blip r:embed="rId44"/>
                          <a:stretch>
                            <a:fillRect/>
                          </a:stretch>
                        </pic:blipFill>
                        <pic:spPr>
                          <a:xfrm>
                            <a:off x="0" y="0"/>
                            <a:ext cx="749935" cy="878205"/>
                          </a:xfrm>
                          <a:prstGeom prst="rect">
                            <a:avLst/>
                          </a:prstGeom>
                          <a:noFill/>
                          <a:ln>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钢板：国产优质一级冷轧钢板制，柜体钢板厚度0.7mm，表面需经去油除锈、酸洗磷化处理后高压静电粉末喷涂处理，冷轧钢板符合GB/T3325-2017、QB/T3826-1999、QB/T3827-1999、QB/T3832-1999、QB/T4767-2014、GB/T232-2010标准要求，其中涂层厚度合格；中型盐雾试验24h达10级；乙酸盐雾试验220h达10级；理化性能要求：金属喷漆（塑）涂层-硬度合格、冲击强度合格、耐腐蚀合格、附着力0级；弯曲试验合格。</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工艺：采用全自动数控设备进行剪裁、冲切、数控折弯等工艺后再进行无痕点焊机焊接成型；层板板边采用开口四折弯结构，中间用加强筋焊接结构，筋平面冲凹沟，提高层板承重性；采用脉冲焊接先进工艺，焊点牢固，平整度高；经酸洗磷化处理后,采用全自动喷涂设备，进口塑粉(无毒、无味、防烫)喷涂而成；漆膜坚固，附着力强；涂层厚度值达70-80μm。</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9</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组</w:t>
            </w:r>
          </w:p>
        </w:tc>
      </w:tr>
      <w:tr>
        <w:tblPrEx>
          <w:tblCellMar>
            <w:top w:w="0" w:type="dxa"/>
            <w:left w:w="108" w:type="dxa"/>
            <w:bottom w:w="0" w:type="dxa"/>
            <w:right w:w="108" w:type="dxa"/>
          </w:tblCellMar>
        </w:tblPrEx>
        <w:trPr>
          <w:jc w:val="center"/>
        </w:trPr>
        <w:tc>
          <w:tcPr>
            <w:tcW w:w="12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37</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花槽</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900*450*200</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color w:val="auto"/>
                <w:highlight w:val="none"/>
              </w:rPr>
            </w:pPr>
            <w:r>
              <w:rPr>
                <w:rFonts w:hint="eastAsia"/>
                <w:color w:val="auto"/>
                <w:highlight w:val="none"/>
              </w:rPr>
              <w:drawing>
                <wp:inline distT="0" distB="0" distL="114300" distR="114300">
                  <wp:extent cx="808990" cy="434340"/>
                  <wp:effectExtent l="0" t="0" r="10160" b="3810"/>
                  <wp:docPr id="32" name="图片_43"/>
                  <wp:cNvGraphicFramePr/>
                  <a:graphic xmlns:a="http://schemas.openxmlformats.org/drawingml/2006/main">
                    <a:graphicData uri="http://schemas.openxmlformats.org/drawingml/2006/picture">
                      <pic:pic xmlns:pic="http://schemas.openxmlformats.org/drawingml/2006/picture">
                        <pic:nvPicPr>
                          <pic:cNvPr id="32" name="图片_43"/>
                          <pic:cNvPicPr/>
                        </pic:nvPicPr>
                        <pic:blipFill>
                          <a:blip r:embed="rId45"/>
                          <a:stretch>
                            <a:fillRect/>
                          </a:stretch>
                        </pic:blipFill>
                        <pic:spPr>
                          <a:xfrm>
                            <a:off x="0" y="0"/>
                            <a:ext cx="808990" cy="434340"/>
                          </a:xfrm>
                          <a:prstGeom prst="rect">
                            <a:avLst/>
                          </a:prstGeom>
                          <a:noFill/>
                          <a:ln>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钢板：国产优质一级冷轧钢板制，柜体钢板厚度0.7mm，表面需经去油除锈、酸洗磷化处理后高压静电粉末喷涂处理，冷轧钢板符合GB/T3325-2017、QB/T3826-1999、QB/T3827-1999、QB/T3832-1999、QB/T4767-2014、GB/T232-2010标准要求，其中涂层厚度合格；中型盐雾试验24h达10级；乙酸盐雾试验220h达10级；理化性能要求：金属喷漆（塑）涂层-硬度合格、冲击强度合格、耐腐蚀合格、附着力0级；弯曲试验合格。</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工艺：采用全自动数控设备进行剪裁、冲切、数控折弯等工艺后再进行无痕点焊机焊接成型；层板板边采用开口四折弯结构，中间用加强筋焊接结构，筋平面冲凹沟，提高层板承重性；采用脉冲焊接先进工艺，焊点牢固，平整度高；经酸洗磷化处理后,采用全自动喷涂设备，进口塑粉(无毒、无味、防烫)喷涂而成；漆膜坚固，附着力强；涂层厚度值达70-80μm。</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9</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组</w:t>
            </w:r>
          </w:p>
        </w:tc>
      </w:tr>
      <w:tr>
        <w:tblPrEx>
          <w:tblCellMar>
            <w:top w:w="0" w:type="dxa"/>
            <w:left w:w="108" w:type="dxa"/>
            <w:bottom w:w="0" w:type="dxa"/>
            <w:right w:w="108" w:type="dxa"/>
          </w:tblCellMar>
        </w:tblPrEx>
        <w:trPr>
          <w:jc w:val="center"/>
        </w:trPr>
        <w:tc>
          <w:tcPr>
            <w:tcW w:w="12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38</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花槽</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1200*450*200</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color w:val="auto"/>
                <w:highlight w:val="none"/>
              </w:rPr>
            </w:pPr>
            <w:r>
              <w:rPr>
                <w:rFonts w:hint="eastAsia"/>
                <w:color w:val="auto"/>
                <w:highlight w:val="none"/>
              </w:rPr>
              <w:drawing>
                <wp:inline distT="0" distB="0" distL="114300" distR="114300">
                  <wp:extent cx="749935" cy="402590"/>
                  <wp:effectExtent l="0" t="0" r="12065" b="16510"/>
                  <wp:docPr id="27" name="图片_28"/>
                  <wp:cNvGraphicFramePr/>
                  <a:graphic xmlns:a="http://schemas.openxmlformats.org/drawingml/2006/main">
                    <a:graphicData uri="http://schemas.openxmlformats.org/drawingml/2006/picture">
                      <pic:pic xmlns:pic="http://schemas.openxmlformats.org/drawingml/2006/picture">
                        <pic:nvPicPr>
                          <pic:cNvPr id="27" name="图片_28"/>
                          <pic:cNvPicPr/>
                        </pic:nvPicPr>
                        <pic:blipFill>
                          <a:blip r:embed="rId46"/>
                          <a:stretch>
                            <a:fillRect/>
                          </a:stretch>
                        </pic:blipFill>
                        <pic:spPr>
                          <a:xfrm>
                            <a:off x="0" y="0"/>
                            <a:ext cx="749935" cy="402590"/>
                          </a:xfrm>
                          <a:prstGeom prst="rect">
                            <a:avLst/>
                          </a:prstGeom>
                          <a:noFill/>
                          <a:ln>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钢板：国产优质一级冷轧钢板制，柜体钢板厚度0.7mm，表面需经去油除锈、酸洗磷化处理后高压静电粉末喷涂处理，冷轧钢板符合GB/T3325-2017、QB/T3826-1999、QB/T3827-1999、QB/T3832-1999、QB/T4767-2014、GB/T232-2010标准要求，其中涂层厚度合格；中型盐雾试验24h达10级；乙酸盐雾试验220h达10级；理化性能要求：金属喷漆（塑）涂层-硬度合格、冲击强度合格、耐腐蚀合格、附着力0级；弯曲试验合格。</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工艺：采用全自动数控设备进行剪裁、冲切、数控折弯等工艺后再进行无痕点焊机焊接成型；层板板边采用开口四折弯结构，中间用加强筋焊接结构，筋平面冲凹沟，提高层板承重性；采用脉冲焊接先进工艺，焊点牢固，平整度高；经酸洗磷化处理后,采用全自动喷涂设备，进口塑粉(无毒、无味、防烫)喷涂而成；漆膜坚固，附着力强；涂层厚度值达70-80μm。</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3</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组</w:t>
            </w:r>
          </w:p>
        </w:tc>
      </w:tr>
      <w:tr>
        <w:tblPrEx>
          <w:tblCellMar>
            <w:top w:w="0" w:type="dxa"/>
            <w:left w:w="108" w:type="dxa"/>
            <w:bottom w:w="0" w:type="dxa"/>
            <w:right w:w="108" w:type="dxa"/>
          </w:tblCellMar>
        </w:tblPrEx>
        <w:trPr>
          <w:jc w:val="center"/>
        </w:trPr>
        <w:tc>
          <w:tcPr>
            <w:tcW w:w="12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39</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密集架</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2855*2240*2300</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color w:val="auto"/>
                <w:highlight w:val="none"/>
              </w:rPr>
            </w:pPr>
            <w:r>
              <w:rPr>
                <w:rFonts w:hint="eastAsia"/>
                <w:color w:val="auto"/>
                <w:highlight w:val="none"/>
              </w:rPr>
              <w:drawing>
                <wp:inline distT="0" distB="0" distL="114300" distR="114300">
                  <wp:extent cx="713740" cy="307975"/>
                  <wp:effectExtent l="0" t="0" r="10160" b="15875"/>
                  <wp:docPr id="33" name="图片_45"/>
                  <wp:cNvGraphicFramePr/>
                  <a:graphic xmlns:a="http://schemas.openxmlformats.org/drawingml/2006/main">
                    <a:graphicData uri="http://schemas.openxmlformats.org/drawingml/2006/picture">
                      <pic:pic xmlns:pic="http://schemas.openxmlformats.org/drawingml/2006/picture">
                        <pic:nvPicPr>
                          <pic:cNvPr id="33" name="图片_45"/>
                          <pic:cNvPicPr/>
                        </pic:nvPicPr>
                        <pic:blipFill>
                          <a:blip r:embed="rId47"/>
                          <a:stretch>
                            <a:fillRect/>
                          </a:stretch>
                        </pic:blipFill>
                        <pic:spPr>
                          <a:xfrm>
                            <a:off x="0" y="0"/>
                            <a:ext cx="713740" cy="307975"/>
                          </a:xfrm>
                          <a:prstGeom prst="rect">
                            <a:avLst/>
                          </a:prstGeom>
                          <a:noFill/>
                          <a:ln>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钢板：国产优质一级冷轧钢板制，柜体钢板厚度0.7mm，表面需经去油除锈、酸洗磷化处理后高压静电粉末喷涂处理，冷轧钢板符合GB/T3325-2017、QB/T3826-1999、QB/T3827-1999、QB/T3832-1999、QB/T4767-2014、GB/T232-2010标准要求，其中涂层厚度合格；中型盐雾试验24h达10级；乙酸盐雾试验220h达10级；理化性能要求：金属喷漆（塑）涂层-硬度合格、冲击强度合格、耐腐蚀合格、附着力0级；弯曲试验合格。</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工艺：采用全自动数控设备进行剪裁、冲切、数控折弯等工艺后再进行无痕点焊机焊接成型；层板板边采用开口四折弯结构，中间用加强筋焊接结构，筋平面冲凹沟，提高层板承重性；采用脉冲焊接先进工艺，焊点牢固，平整度高；经酸洗磷化处理后,采用全自动喷涂设备，进口塑粉(无毒、无味、防烫)喷涂而成；漆膜坚固，附着力强；涂层厚度值达70-80μm。</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16</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立方</w:t>
            </w:r>
          </w:p>
        </w:tc>
      </w:tr>
      <w:tr>
        <w:tblPrEx>
          <w:tblCellMar>
            <w:top w:w="0" w:type="dxa"/>
            <w:left w:w="108" w:type="dxa"/>
            <w:bottom w:w="0" w:type="dxa"/>
            <w:right w:w="108" w:type="dxa"/>
          </w:tblCellMar>
        </w:tblPrEx>
        <w:trPr>
          <w:trHeight w:val="669" w:hRule="atLeast"/>
          <w:jc w:val="center"/>
        </w:trPr>
        <w:tc>
          <w:tcPr>
            <w:tcW w:w="14438" w:type="dxa"/>
            <w:gridSpan w:val="7"/>
            <w:tcBorders>
              <w:top w:val="single" w:color="000000" w:sz="4" w:space="0"/>
              <w:left w:val="single" w:color="000000" w:sz="4" w:space="0"/>
              <w:bottom w:val="single" w:color="000000" w:sz="4" w:space="0"/>
              <w:right w:val="nil"/>
            </w:tcBorders>
            <w:shd w:val="clear" w:color="auto" w:fill="00B0F0"/>
            <w:vAlign w:val="center"/>
          </w:tcPr>
          <w:p>
            <w:pPr>
              <w:snapToGrid w:val="0"/>
              <w:jc w:val="center"/>
              <w:rPr>
                <w:color w:val="auto"/>
                <w:szCs w:val="21"/>
                <w:highlight w:val="none"/>
              </w:rPr>
            </w:pPr>
            <w:r>
              <w:rPr>
                <w:rFonts w:hint="eastAsia"/>
                <w:b/>
                <w:bCs/>
                <w:color w:val="auto"/>
                <w:szCs w:val="21"/>
                <w:highlight w:val="none"/>
              </w:rPr>
              <w:t>其他沙发类</w:t>
            </w:r>
          </w:p>
        </w:tc>
      </w:tr>
      <w:tr>
        <w:tblPrEx>
          <w:tblCellMar>
            <w:top w:w="0" w:type="dxa"/>
            <w:left w:w="108" w:type="dxa"/>
            <w:bottom w:w="0" w:type="dxa"/>
            <w:right w:w="108" w:type="dxa"/>
          </w:tblCellMar>
        </w:tblPrEx>
        <w:trPr>
          <w:jc w:val="center"/>
        </w:trPr>
        <w:tc>
          <w:tcPr>
            <w:tcW w:w="12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40</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沙发</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三人位</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color w:val="auto"/>
                <w:highlight w:val="none"/>
              </w:rPr>
            </w:pPr>
            <w:r>
              <w:rPr>
                <w:rFonts w:hint="eastAsia"/>
                <w:color w:val="auto"/>
                <w:highlight w:val="none"/>
              </w:rPr>
              <w:drawing>
                <wp:inline distT="0" distB="0" distL="114300" distR="114300">
                  <wp:extent cx="797560" cy="473075"/>
                  <wp:effectExtent l="0" t="0" r="2540" b="3175"/>
                  <wp:docPr id="37" name="图片_32"/>
                  <wp:cNvGraphicFramePr/>
                  <a:graphic xmlns:a="http://schemas.openxmlformats.org/drawingml/2006/main">
                    <a:graphicData uri="http://schemas.openxmlformats.org/drawingml/2006/picture">
                      <pic:pic xmlns:pic="http://schemas.openxmlformats.org/drawingml/2006/picture">
                        <pic:nvPicPr>
                          <pic:cNvPr id="37" name="图片_32"/>
                          <pic:cNvPicPr/>
                        </pic:nvPicPr>
                        <pic:blipFill>
                          <a:blip r:embed="rId48"/>
                          <a:stretch>
                            <a:fillRect/>
                          </a:stretch>
                        </pic:blipFill>
                        <pic:spPr>
                          <a:xfrm>
                            <a:off x="0" y="0"/>
                            <a:ext cx="797560" cy="473075"/>
                          </a:xfrm>
                          <a:prstGeom prst="rect">
                            <a:avLst/>
                          </a:prstGeom>
                          <a:noFill/>
                          <a:ln>
                            <a:noFill/>
                          </a:ln>
                        </pic:spPr>
                      </pic:pic>
                    </a:graphicData>
                  </a:graphic>
                </wp:inline>
              </w:drawing>
            </w:r>
          </w:p>
        </w:tc>
        <w:tc>
          <w:tcPr>
            <w:tcW w:w="768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1)松木:符合GB/T 3324-2017《木家具通用技术条件》,含水率要求在8~16％,甲醛释放量≤1.5mg/L</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2)环保实木多层板（胶合板）:符合GB/T39600-2021、GB/T 35601-2017、GB 18580-2017、GB/T 9846-2015、HJ571-2010、GB18584-2001标准，其中甲醛释放量分级要求（气候箱法）ENF级≤0.025mg/m³；总挥发性有机化合物（TVOC）的释放率未检出；挥发性有机化合物（72h）：苯、甲苯、二甲苯、总挥发性有机化合物（TVOC）均未检出；重金属含量（限色漆）合格；理化性能合格</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3)海绵:符合GB/T10802-2006、 QB/T2280-2016、 QB/T1952.1-2012、 GB17927.1-2011、 HJ 2547-2016标准，其中回弹率≥45%；伸长率≥140%；撕裂强度≥3.4N/cm；TVOC≤0.05mg/㎡h；泡沫塑料：表观密度（座面）≥40kg/m³；阻燃I级，通过香烟抗引燃特性试验；游离甲醛未检出；</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4)塑胶件:符合GB/T 32487-2016《塑料家具通用技术条件》理化性能检测要求及外观检测要求;符合QB/T 4880-2015《注塑塑料椅》力学性能检测要求</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5)水性皮:采用水性皮（pvc仿皮），符合GB/T 16799-2018、GB/T35607-2017标准，其中产品有害物质：皮革中五氯苯酚（PCP）-其他未检出；理化性能：撕裂力≥90N、禁用偶氮染料未检出、游离甲醛未检出、挥发性有机物（VOC）未检出、可萃取重金属（铅、镉）未检出</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工艺说明:</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1)裁剪工艺:全自动精确裁床裁剪工艺</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2)缝纫工艺:电脑机车自动化缝纫工艺</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3)海绵裁剪:半自动平切立洗裁切工艺</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4)开料工艺:半自动雕刻开板件工艺</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3</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张</w:t>
            </w:r>
          </w:p>
        </w:tc>
      </w:tr>
      <w:tr>
        <w:tblPrEx>
          <w:tblCellMar>
            <w:top w:w="0" w:type="dxa"/>
            <w:left w:w="108" w:type="dxa"/>
            <w:bottom w:w="0" w:type="dxa"/>
            <w:right w:w="108" w:type="dxa"/>
          </w:tblCellMar>
        </w:tblPrEx>
        <w:trPr>
          <w:jc w:val="center"/>
        </w:trPr>
        <w:tc>
          <w:tcPr>
            <w:tcW w:w="12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41</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沙发</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单人位</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color w:val="auto"/>
                <w:highlight w:val="none"/>
              </w:rPr>
            </w:pPr>
            <w:r>
              <w:rPr>
                <w:rFonts w:hint="eastAsia"/>
                <w:color w:val="auto"/>
                <w:highlight w:val="none"/>
              </w:rPr>
              <w:drawing>
                <wp:inline distT="0" distB="0" distL="114300" distR="114300">
                  <wp:extent cx="749935" cy="594360"/>
                  <wp:effectExtent l="0" t="0" r="12065" b="15240"/>
                  <wp:docPr id="40" name="图片_33"/>
                  <wp:cNvGraphicFramePr/>
                  <a:graphic xmlns:a="http://schemas.openxmlformats.org/drawingml/2006/main">
                    <a:graphicData uri="http://schemas.openxmlformats.org/drawingml/2006/picture">
                      <pic:pic xmlns:pic="http://schemas.openxmlformats.org/drawingml/2006/picture">
                        <pic:nvPicPr>
                          <pic:cNvPr id="40" name="图片_33"/>
                          <pic:cNvPicPr/>
                        </pic:nvPicPr>
                        <pic:blipFill>
                          <a:blip r:embed="rId49"/>
                          <a:stretch>
                            <a:fillRect/>
                          </a:stretch>
                        </pic:blipFill>
                        <pic:spPr>
                          <a:xfrm>
                            <a:off x="0" y="0"/>
                            <a:ext cx="749935" cy="594360"/>
                          </a:xfrm>
                          <a:prstGeom prst="rect">
                            <a:avLst/>
                          </a:prstGeom>
                          <a:noFill/>
                          <a:ln>
                            <a:noFill/>
                          </a:ln>
                        </pic:spPr>
                      </pic:pic>
                    </a:graphicData>
                  </a:graphic>
                </wp:inline>
              </w:drawing>
            </w:r>
          </w:p>
        </w:tc>
        <w:tc>
          <w:tcPr>
            <w:tcW w:w="76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left"/>
              <w:rPr>
                <w:rFonts w:ascii="宋体" w:hAnsi="宋体" w:cs="宋体"/>
                <w:color w:val="auto"/>
                <w:szCs w:val="21"/>
                <w:highlight w:val="none"/>
              </w:rPr>
            </w:pP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2</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张</w:t>
            </w:r>
          </w:p>
        </w:tc>
      </w:tr>
      <w:tr>
        <w:tblPrEx>
          <w:tblCellMar>
            <w:top w:w="0" w:type="dxa"/>
            <w:left w:w="108" w:type="dxa"/>
            <w:bottom w:w="0" w:type="dxa"/>
            <w:right w:w="108" w:type="dxa"/>
          </w:tblCellMar>
        </w:tblPrEx>
        <w:trPr>
          <w:jc w:val="center"/>
        </w:trPr>
        <w:tc>
          <w:tcPr>
            <w:tcW w:w="12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42</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沙发</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三人位</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color w:val="auto"/>
                <w:highlight w:val="none"/>
              </w:rPr>
            </w:pPr>
            <w:r>
              <w:rPr>
                <w:rFonts w:hint="eastAsia"/>
                <w:color w:val="auto"/>
                <w:highlight w:val="none"/>
              </w:rPr>
              <w:drawing>
                <wp:inline distT="0" distB="0" distL="114300" distR="114300">
                  <wp:extent cx="812800" cy="535305"/>
                  <wp:effectExtent l="0" t="0" r="6350" b="17145"/>
                  <wp:docPr id="44" name="图片_34"/>
                  <wp:cNvGraphicFramePr/>
                  <a:graphic xmlns:a="http://schemas.openxmlformats.org/drawingml/2006/main">
                    <a:graphicData uri="http://schemas.openxmlformats.org/drawingml/2006/picture">
                      <pic:pic xmlns:pic="http://schemas.openxmlformats.org/drawingml/2006/picture">
                        <pic:nvPicPr>
                          <pic:cNvPr id="44" name="图片_34"/>
                          <pic:cNvPicPr/>
                        </pic:nvPicPr>
                        <pic:blipFill>
                          <a:blip r:embed="rId50"/>
                          <a:stretch>
                            <a:fillRect/>
                          </a:stretch>
                        </pic:blipFill>
                        <pic:spPr>
                          <a:xfrm>
                            <a:off x="0" y="0"/>
                            <a:ext cx="812800" cy="535305"/>
                          </a:xfrm>
                          <a:prstGeom prst="rect">
                            <a:avLst/>
                          </a:prstGeom>
                          <a:noFill/>
                          <a:ln>
                            <a:noFill/>
                          </a:ln>
                        </pic:spPr>
                      </pic:pic>
                    </a:graphicData>
                  </a:graphic>
                </wp:inline>
              </w:drawing>
            </w:r>
          </w:p>
        </w:tc>
        <w:tc>
          <w:tcPr>
            <w:tcW w:w="768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1)环保实木多层板（胶合板）:符合GB/T39600-2021、GB/T 35601-2017、GB 18580-2017、GB/T 9846-2015、HJ571-2010、GB18584-2001标准，其中甲醛释放量分级要求（气候箱法）ENF级≤0.025mg/m³；总挥发性有机化合物（TVOC）的释放率未检出；挥发性有机化合物（72h）：苯、甲苯、二甲苯、总挥发性有机化合物（TVOC）均未检出；重金属含量（限色漆）合格；理化性能合格</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2)松木:符合GB/T 3324-2017《木家具通用技术条件》,含水率要求在8~16％,甲醛释放量≤1.5mg/L</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3)海绵:符合GB/T10802-2006、 QB/T2280-2016、 QB/T1952.1-2012、 GB17927.1-2011、 HJ 2547-2016标准，其中回弹率≥45%；伸长率≥140%；撕裂强度≥3.4N/cm；TVOC≤0.05mg/㎡h；泡沫塑料：表观密度（座面）≥40kg/m³；阻燃I级，通过香烟抗引燃特性试验；游离甲醛未检出；</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4)钢脚:符合QBT1952.1-2012《软体家具.沙发》规定要求,表面涂层硬度≥H,冲击强度≥3.92J,无剥落,裂纹;附着力≥2级,喷涂喷塑件,耐腐蚀100H内,无气泡产生,100H后,应无锈迹,剥落,起皱,变色、失光现象;电镀件盐雾试验1周期,锈点应≤20点/dm²,其中直径≥1.5㎜,锈点不超过5个</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5)面料:优质麻绒面料,符合GB 18401-2010、GB/T 19817-2005标准;芳香胺有害物质含量0,颜色干擦牢度≥3级,耐磨性≥12000转,断裂强度≥350N</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张</w:t>
            </w:r>
          </w:p>
        </w:tc>
      </w:tr>
      <w:tr>
        <w:tblPrEx>
          <w:tblCellMar>
            <w:top w:w="0" w:type="dxa"/>
            <w:left w:w="108" w:type="dxa"/>
            <w:bottom w:w="0" w:type="dxa"/>
            <w:right w:w="108" w:type="dxa"/>
          </w:tblCellMar>
        </w:tblPrEx>
        <w:trPr>
          <w:jc w:val="center"/>
        </w:trPr>
        <w:tc>
          <w:tcPr>
            <w:tcW w:w="12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43</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沙发</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单人位</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color w:val="auto"/>
                <w:highlight w:val="none"/>
              </w:rPr>
            </w:pPr>
            <w:r>
              <w:rPr>
                <w:rFonts w:hint="eastAsia"/>
                <w:color w:val="auto"/>
                <w:highlight w:val="none"/>
              </w:rPr>
              <w:drawing>
                <wp:inline distT="0" distB="0" distL="114300" distR="114300">
                  <wp:extent cx="780415" cy="712470"/>
                  <wp:effectExtent l="0" t="0" r="635" b="11430"/>
                  <wp:docPr id="42" name="图片_35"/>
                  <wp:cNvGraphicFramePr/>
                  <a:graphic xmlns:a="http://schemas.openxmlformats.org/drawingml/2006/main">
                    <a:graphicData uri="http://schemas.openxmlformats.org/drawingml/2006/picture">
                      <pic:pic xmlns:pic="http://schemas.openxmlformats.org/drawingml/2006/picture">
                        <pic:nvPicPr>
                          <pic:cNvPr id="42" name="图片_35"/>
                          <pic:cNvPicPr/>
                        </pic:nvPicPr>
                        <pic:blipFill>
                          <a:blip r:embed="rId51"/>
                          <a:stretch>
                            <a:fillRect/>
                          </a:stretch>
                        </pic:blipFill>
                        <pic:spPr>
                          <a:xfrm>
                            <a:off x="0" y="0"/>
                            <a:ext cx="780415" cy="712470"/>
                          </a:xfrm>
                          <a:prstGeom prst="rect">
                            <a:avLst/>
                          </a:prstGeom>
                          <a:noFill/>
                          <a:ln>
                            <a:noFill/>
                          </a:ln>
                        </pic:spPr>
                      </pic:pic>
                    </a:graphicData>
                  </a:graphic>
                </wp:inline>
              </w:drawing>
            </w:r>
          </w:p>
        </w:tc>
        <w:tc>
          <w:tcPr>
            <w:tcW w:w="76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left"/>
              <w:rPr>
                <w:rFonts w:ascii="宋体" w:hAnsi="宋体" w:cs="宋体"/>
                <w:color w:val="auto"/>
                <w:szCs w:val="21"/>
                <w:highlight w:val="none"/>
              </w:rPr>
            </w:pP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张</w:t>
            </w:r>
          </w:p>
        </w:tc>
      </w:tr>
      <w:tr>
        <w:tblPrEx>
          <w:tblCellMar>
            <w:top w:w="0" w:type="dxa"/>
            <w:left w:w="108" w:type="dxa"/>
            <w:bottom w:w="0" w:type="dxa"/>
            <w:right w:w="108" w:type="dxa"/>
          </w:tblCellMar>
        </w:tblPrEx>
        <w:trPr>
          <w:jc w:val="center"/>
        </w:trPr>
        <w:tc>
          <w:tcPr>
            <w:tcW w:w="12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44</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布艺沙发</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单人位</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color w:val="auto"/>
                <w:highlight w:val="none"/>
              </w:rPr>
            </w:pPr>
            <w:r>
              <w:rPr>
                <w:rFonts w:hint="eastAsia"/>
                <w:color w:val="auto"/>
                <w:highlight w:val="none"/>
              </w:rPr>
              <w:drawing>
                <wp:inline distT="0" distB="0" distL="114300" distR="114300">
                  <wp:extent cx="614045" cy="503555"/>
                  <wp:effectExtent l="0" t="0" r="14605" b="10795"/>
                  <wp:docPr id="43" name="图片_48"/>
                  <wp:cNvGraphicFramePr/>
                  <a:graphic xmlns:a="http://schemas.openxmlformats.org/drawingml/2006/main">
                    <a:graphicData uri="http://schemas.openxmlformats.org/drawingml/2006/picture">
                      <pic:pic xmlns:pic="http://schemas.openxmlformats.org/drawingml/2006/picture">
                        <pic:nvPicPr>
                          <pic:cNvPr id="43" name="图片_48"/>
                          <pic:cNvPicPr/>
                        </pic:nvPicPr>
                        <pic:blipFill>
                          <a:blip r:embed="rId52"/>
                          <a:stretch>
                            <a:fillRect/>
                          </a:stretch>
                        </pic:blipFill>
                        <pic:spPr>
                          <a:xfrm>
                            <a:off x="0" y="0"/>
                            <a:ext cx="614045" cy="503555"/>
                          </a:xfrm>
                          <a:prstGeom prst="rect">
                            <a:avLst/>
                          </a:prstGeom>
                          <a:noFill/>
                          <a:ln>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1)松木:符合GB/T 3324-2017《木家具通用技术条件》,含水率要求在8~16％,甲醛释放量≤1.5mg/L</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2)环保实木多层板（胶合板）:符合GB/T39600-2021、GB/T 35601-2017、GB 18580-2017、GB/T 9846-2015、HJ571-2010、GB18584-2001标准，其中甲醛释放量分级要求（气候箱法）ENF级≤0.025mg/m³；总挥发性有机化合物（TVOC）的释放率未检出；挥发性有机化合物（72h）：苯、甲苯、二甲苯、总挥发性有机化合物（TVOC）均未检出；重金属含量（限色漆）合格；理化性能合格</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3)海绵:符合GB/T10802-2006、 QB/T2280-2016、 QB/T1952.1-2012、 GB17927.1-2011、 HJ 2547-2016标准，其中回弹率≥45%；伸长率≥140%；撕裂强度≥3.4N/cm；TVOC≤0.05mg/㎡h；泡沫塑料：表观密度（座面）≥40kg/m³；阻燃I级，通过香烟抗引燃特性试验；游离甲醛未检出；</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4)木制油漆件:符合GB/T 3324-2017木家具通用技术条件中木家具表面理化性能；耐湿热-漆膜 ≥3级 耐干热-漆膜 ≥3级 耐冷热循环 耐磨性-漆膜 1000r,≥3级 ,耐液性-漆膜≥3级, 附着力-漆膜 ≥3级, 耐冷热温差-漆膜 高温（40±2）℃,湿度（95±3）%,1h,低温（-20±2）℃,1h,3周期,应无鼓泡、裂缝、明显失光, 抗冲击-漆膜 冲击高度50mm,≥3级,甲醛释放量 ≤0.12mg/m³;符合GB 18584-2001 室内装饰装修材料木家具中有害物质限量</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5)麻绒面料:三防符合GB/T 19817-2005《纺织品装饰用织物》,优质麻绒面料,可分解致癌芳香胺染料＜5mg/kg,颜色干擦牢度≥4级,耐酸碱汗渍变色≥3级、沾色≥3级</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6)涤纶:符合GB/T 19817-2005《纺织品装饰用织物》,干摩擦沾色等级:≥3-4级,湿摩擦沾色等级:≥3级,甲醛含量≤75mg/Kg</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7)实木:天然实木满足GB/T18580-2017要求,甲醛释放量≤0.124mg/m³</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6</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张</w:t>
            </w:r>
          </w:p>
        </w:tc>
      </w:tr>
      <w:tr>
        <w:tblPrEx>
          <w:tblCellMar>
            <w:top w:w="0" w:type="dxa"/>
            <w:left w:w="108" w:type="dxa"/>
            <w:bottom w:w="0" w:type="dxa"/>
            <w:right w:w="108" w:type="dxa"/>
          </w:tblCellMar>
        </w:tblPrEx>
        <w:trPr>
          <w:jc w:val="center"/>
        </w:trPr>
        <w:tc>
          <w:tcPr>
            <w:tcW w:w="12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45</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组合沙发</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2100*1450*740</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color w:val="auto"/>
                <w:highlight w:val="none"/>
              </w:rPr>
            </w:pPr>
            <w:r>
              <w:rPr>
                <w:rFonts w:hint="eastAsia"/>
                <w:color w:val="auto"/>
                <w:highlight w:val="none"/>
              </w:rPr>
              <w:drawing>
                <wp:inline distT="0" distB="0" distL="114300" distR="114300">
                  <wp:extent cx="779780" cy="457200"/>
                  <wp:effectExtent l="0" t="0" r="1270" b="0"/>
                  <wp:docPr id="47" name="图片_46"/>
                  <wp:cNvGraphicFramePr/>
                  <a:graphic xmlns:a="http://schemas.openxmlformats.org/drawingml/2006/main">
                    <a:graphicData uri="http://schemas.openxmlformats.org/drawingml/2006/picture">
                      <pic:pic xmlns:pic="http://schemas.openxmlformats.org/drawingml/2006/picture">
                        <pic:nvPicPr>
                          <pic:cNvPr id="47" name="图片_46"/>
                          <pic:cNvPicPr/>
                        </pic:nvPicPr>
                        <pic:blipFill>
                          <a:blip r:embed="rId53"/>
                          <a:stretch>
                            <a:fillRect/>
                          </a:stretch>
                        </pic:blipFill>
                        <pic:spPr>
                          <a:xfrm>
                            <a:off x="0" y="0"/>
                            <a:ext cx="779780" cy="457200"/>
                          </a:xfrm>
                          <a:prstGeom prst="rect">
                            <a:avLst/>
                          </a:prstGeom>
                          <a:noFill/>
                          <a:ln>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1)环保实木多层板（胶合板）:符合GB/T39600-2021、GB/T 35601-2017、GB 18580-2017、GB/T 9846-2015、HJ571-2010、GB18584-2001标准其中甲醛释放量分级要求（气候箱法）ENF级≤0.025mg/m³；总挥发性有机化合物（TVOC）的释放率未检出；挥发性有机化合物（72h）：苯、甲苯、二甲苯、总挥发性有机化合物（TVOC）均未检出；重金属含量（限色漆）合格；理化性能合格</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2)松木:符合GB/T 3324-2017《木家具通用技术条件》,含水率要求在8~16％,甲醛释放量≤1.5mg/L</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3)海绵:符合GB/T10802-2006、 QB/T2280-2016、 QB/T1952.1-2012、 GB17927.1-2011、 HJ 2547-2016标准其中回弹率≥45%；伸长率≥140%；撕裂强度≥3.4N/cm；TVOC≤0.05mg/㎡h；泡沫塑料：表观密度（座面）≥40kg/m³；阻燃I级，通过香烟抗引燃特性试验；游离甲醛未检出；</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4)麻绒面料:三防符合GB/T 19817-2005《纺织品装饰用织物》,优质麻绒面料,可分解致癌芳香胺染料＜5mg/kg,颜色干擦牢度≥4级,耐酸碱汗渍变色≥3级、沾色≥3级</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5)平簧:平簧符合GB/T3325-2017,盐浴试验100h内,观察在溶液中样板上划道两侧3mm以外,应无鼓泡产生;100h后,检查划道两侧3mm以外,应无锈迹、剥落、起皱、变色和失光等现象</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6)喷涂五金:符合GB/T 3325-2017要求:附着力≥1级,耐冲击强度≥50mm,耐碱性,耐酸性,耐沸水性良好</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7)塑胶件:符合(GB/T 3325-2017金属家具通用技术条件)中5.5.2产品部件材质理化性能,耐老化性能,户外使用的产品塑料件耐老化试验时间500h,试验后拉伸强度、断裂伸长率、冲击强度的保持率不小于60%;外观颜色变色评级不小于3级</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组</w:t>
            </w:r>
          </w:p>
        </w:tc>
      </w:tr>
      <w:tr>
        <w:tblPrEx>
          <w:tblCellMar>
            <w:top w:w="0" w:type="dxa"/>
            <w:left w:w="108" w:type="dxa"/>
            <w:bottom w:w="0" w:type="dxa"/>
            <w:right w:w="108" w:type="dxa"/>
          </w:tblCellMar>
        </w:tblPrEx>
        <w:trPr>
          <w:jc w:val="center"/>
        </w:trPr>
        <w:tc>
          <w:tcPr>
            <w:tcW w:w="12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46</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休闲沙发</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常规</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color w:val="auto"/>
                <w:highlight w:val="none"/>
              </w:rPr>
            </w:pPr>
            <w:r>
              <w:rPr>
                <w:rFonts w:hint="eastAsia"/>
                <w:color w:val="auto"/>
                <w:highlight w:val="none"/>
              </w:rPr>
              <w:drawing>
                <wp:inline distT="0" distB="0" distL="114300" distR="114300">
                  <wp:extent cx="713740" cy="659765"/>
                  <wp:effectExtent l="0" t="0" r="10160" b="6985"/>
                  <wp:docPr id="48" name="图片_47"/>
                  <wp:cNvGraphicFramePr/>
                  <a:graphic xmlns:a="http://schemas.openxmlformats.org/drawingml/2006/main">
                    <a:graphicData uri="http://schemas.openxmlformats.org/drawingml/2006/picture">
                      <pic:pic xmlns:pic="http://schemas.openxmlformats.org/drawingml/2006/picture">
                        <pic:nvPicPr>
                          <pic:cNvPr id="48" name="图片_47"/>
                          <pic:cNvPicPr/>
                        </pic:nvPicPr>
                        <pic:blipFill>
                          <a:blip r:embed="rId54"/>
                          <a:stretch>
                            <a:fillRect/>
                          </a:stretch>
                        </pic:blipFill>
                        <pic:spPr>
                          <a:xfrm>
                            <a:off x="0" y="0"/>
                            <a:ext cx="713740" cy="659765"/>
                          </a:xfrm>
                          <a:prstGeom prst="rect">
                            <a:avLst/>
                          </a:prstGeom>
                          <a:noFill/>
                          <a:ln>
                            <a:noFill/>
                          </a:ln>
                        </pic:spPr>
                      </pic:pic>
                    </a:graphicData>
                  </a:graphic>
                </wp:inline>
              </w:drawing>
            </w:r>
          </w:p>
        </w:tc>
        <w:tc>
          <w:tcPr>
            <w:tcW w:w="76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left"/>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1)定型棉:符合GB/T 10802-2006,65%/25%压陷性能≥1.8,75%压缩永久变形≤8%,回弹性（%）≥35%,甲醛释放量（WJ)≤0.120mg/㎡h,干湿热老化试验后,拉伸强度≥55Kpa,拉伸强度变化率在+/-30%,恒定负荷反复压陷疲劳性能（8万次,70次/min）≤35%</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2)麻绒面料:三防符合GB/T 19817-2005《纺织品装饰用织物》,优质麻绒面料,可分解致癌芳香胺染料＜5mg/kg,颜色干擦牢度≥4级,耐酸碱汗渍变色≥3级、沾色≥3级</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3)钢架:表面耐腐蚀中性盐雾测试100h后无锈蚀、剥落、起皱;表面附着力≥2级;升降/折叠/伸缩耐久性测定20000次后,零部件无断裂、变形、磨损;通过《GB/T 3325-2017金属家具通用技术条件》理化性能检测要求</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4)公仔绵:符合GB/T 14272-2011《羽绒服装》规定要求含绒量、清洁度、蓬松度</w:t>
            </w:r>
            <w:r>
              <w:rPr>
                <w:rFonts w:hint="eastAsia" w:ascii="宋体" w:hAnsi="宋体" w:cs="宋体"/>
                <w:color w:val="auto"/>
                <w:kern w:val="0"/>
                <w:szCs w:val="21"/>
                <w:highlight w:val="none"/>
                <w:lang w:bidi="ar"/>
              </w:rPr>
              <w:br w:type="textWrapping"/>
            </w:r>
            <w:r>
              <w:rPr>
                <w:rFonts w:hint="eastAsia" w:ascii="宋体" w:hAnsi="宋体" w:cs="宋体"/>
                <w:color w:val="auto"/>
                <w:kern w:val="0"/>
                <w:szCs w:val="21"/>
                <w:highlight w:val="none"/>
                <w:lang w:bidi="ar"/>
              </w:rPr>
              <w:t>5)钢脚:符合QBT1952.1-2012《软体家具.沙发》规定要求,表面涂层硬度≥H,冲击强度≥3.92J,无剥落,裂纹;附着力≥2级,喷涂喷塑件,耐腐蚀100H内,无气泡产生,100H后,应无锈迹,剥落,起皱,变色、失光现象;电镀件盐雾试验1周期,锈点应≤20点/dm</w:t>
            </w:r>
            <w:r>
              <w:rPr>
                <w:rStyle w:val="964"/>
                <w:rFonts w:hint="default"/>
                <w:color w:val="auto"/>
                <w:szCs w:val="21"/>
                <w:highlight w:val="none"/>
                <w:lang w:bidi="ar"/>
              </w:rPr>
              <w:t>²</w:t>
            </w:r>
            <w:r>
              <w:rPr>
                <w:rStyle w:val="959"/>
                <w:rFonts w:hint="default"/>
                <w:color w:val="auto"/>
                <w:sz w:val="21"/>
                <w:szCs w:val="21"/>
                <w:highlight w:val="none"/>
                <w:lang w:bidi="ar"/>
              </w:rPr>
              <w:t>,其中直径≥1.5㎜,锈点不超过5个</w:t>
            </w:r>
            <w:r>
              <w:rPr>
                <w:rStyle w:val="959"/>
                <w:rFonts w:hint="default"/>
                <w:color w:val="auto"/>
                <w:sz w:val="21"/>
                <w:szCs w:val="21"/>
                <w:highlight w:val="none"/>
                <w:lang w:bidi="ar"/>
              </w:rPr>
              <w:br w:type="textWrapping"/>
            </w:r>
            <w:r>
              <w:rPr>
                <w:rStyle w:val="959"/>
                <w:rFonts w:hint="default"/>
                <w:color w:val="auto"/>
                <w:sz w:val="21"/>
                <w:szCs w:val="21"/>
                <w:highlight w:val="none"/>
                <w:lang w:bidi="ar"/>
              </w:rPr>
              <w:t>6)面料:优质麻绒面料,符合GB 18401-2010、GB/T 19817-2005标准;芳香胺有害物质含量0,颜色干擦牢度≥3级,耐磨性≥12000转,断裂强度≥350N</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宋体" w:hAnsi="宋体" w:cs="宋体"/>
                <w:color w:val="auto"/>
                <w:sz w:val="24"/>
                <w:highlight w:val="none"/>
              </w:rPr>
            </w:pPr>
            <w:r>
              <w:rPr>
                <w:rFonts w:hint="eastAsia" w:ascii="宋体" w:hAnsi="宋体" w:cs="宋体"/>
                <w:color w:val="auto"/>
                <w:kern w:val="0"/>
                <w:sz w:val="24"/>
                <w:highlight w:val="none"/>
                <w:lang w:bidi="ar"/>
              </w:rPr>
              <w:t>张</w:t>
            </w:r>
          </w:p>
        </w:tc>
      </w:tr>
    </w:tbl>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4"/>
          <w:szCs w:val="32"/>
          <w:highlight w:val="none"/>
        </w:rPr>
        <w:sectPr>
          <w:pgSz w:w="16838" w:h="11906" w:orient="landscape"/>
          <w:pgMar w:top="1418" w:right="1276" w:bottom="1418" w:left="1247" w:header="851" w:footer="992" w:gutter="0"/>
          <w:cols w:space="720" w:num="1"/>
          <w:titlePg/>
          <w:docGrid w:linePitch="312" w:charSpace="0"/>
        </w:sect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2、商务需求：</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2.1交货时间及地点：</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▲2.1.1中标人应在合同签订后30日历天完成供货、安装、调试工作。</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交货地点：采购人指定地点。</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2.1.2中标人提供的中标物品，必须原包装送达采购单位。更换后的零部件质保期按更换日起顺延。</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2.2质保期及售后技术服务要求：</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▲2.2.1质保期：不少于3年。</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2.2.2质量保证期内提供免费上门维护、升级服务，如设备出现故障，供货单位在接到电话后，立即响应，2小时以内到现场处理，12小时内修复，现场不能修复的，必须采取无偿提供采购物品的备用件或整机等措施，以保证用户单位的正常使用。</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2.2.3投标人应提供技术支持方案，内容由投标人根据实际选择以下要点：服务机构（维保点）的地址、人员状况、维修能力、联系方式、营业执照、公司资质材料、相关案例等。</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2.2.4完整准确地表述原厂家的标准售后服务承诺（范围、标准及期限等）、投标人可能增加的服务承诺等。</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2.2.5明示服务承诺可能涉及的前提设定和费用，否则将被认为是无条件和免费的。</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▲2.3付款方式：</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合同签订后，采购人支付合同总价的40%作为预付款，所有采购品目安装到位经验收合格后，采购人向中标人支付剩余货款。</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2.4产品质量：</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中标后生产过程中需配合需求方生产现场查验生产情况（材料/工艺/设备）。</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2.5所有投标人需保证资料真实有效，如提供虚假资料经举报或发现，一经查实，取消资格并进行对应的处罚。</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4"/>
          <w:szCs w:val="32"/>
          <w:highlight w:val="none"/>
        </w:rPr>
      </w:pPr>
    </w:p>
    <w:p>
      <w:pPr>
        <w:spacing w:line="50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注：</w:t>
      </w:r>
    </w:p>
    <w:p>
      <w:pPr>
        <w:spacing w:line="50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1、如有附图，仅作参考。</w:t>
      </w:r>
    </w:p>
    <w:p>
      <w:pPr>
        <w:spacing w:line="50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2、打▲内容为实质性要求，不允许有负偏离，否则将以涉及无效投标条款作无效投标。</w:t>
      </w:r>
    </w:p>
    <w:p>
      <w:pPr>
        <w:spacing w:line="500" w:lineRule="exact"/>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color w:val="auto"/>
          <w:highlight w:val="none"/>
        </w:rPr>
        <w:t>3、中标人所提供的货物、服务须与投标承诺一致，不得以次充好、偷工减料，若在项目验收中发现有上述情况，将向有关部门举报，根据相关规定进行处理。</w:t>
      </w:r>
    </w:p>
    <w:p>
      <w:pPr>
        <w:rPr>
          <w:rFonts w:hint="eastAsia" w:asciiTheme="minorEastAsia" w:hAnsiTheme="minorEastAsia" w:eastAsiaTheme="minorEastAsia" w:cstheme="minorEastAsia"/>
          <w:b/>
          <w:color w:val="auto"/>
          <w:sz w:val="36"/>
          <w:szCs w:val="36"/>
          <w:highlight w:val="none"/>
        </w:rPr>
      </w:pPr>
      <w:r>
        <w:rPr>
          <w:rFonts w:hint="eastAsia" w:asciiTheme="minorEastAsia" w:hAnsiTheme="minorEastAsia" w:eastAsiaTheme="minorEastAsia" w:cstheme="minorEastAsia"/>
          <w:b/>
          <w:color w:val="auto"/>
          <w:sz w:val="36"/>
          <w:szCs w:val="36"/>
          <w:highlight w:val="none"/>
        </w:rPr>
        <w:br w:type="page"/>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0"/>
        <w:rPr>
          <w:rFonts w:ascii="宋体" w:hAnsi="宋体" w:cs="宋体"/>
          <w:b/>
          <w:color w:val="auto"/>
          <w:sz w:val="36"/>
          <w:szCs w:val="36"/>
          <w:highlight w:val="none"/>
        </w:rPr>
      </w:pPr>
      <w:r>
        <w:rPr>
          <w:rFonts w:hint="eastAsia" w:ascii="宋体" w:hAnsi="宋体" w:cs="宋体"/>
          <w:b/>
          <w:color w:val="auto"/>
          <w:sz w:val="36"/>
          <w:szCs w:val="36"/>
          <w:highlight w:val="none"/>
        </w:rPr>
        <w:t xml:space="preserve">第四部分   </w:t>
      </w:r>
      <w:bookmarkStart w:id="28" w:name="_Toc184314426"/>
      <w:bookmarkEnd w:id="28"/>
      <w:bookmarkStart w:id="29" w:name="_Toc184313287"/>
      <w:bookmarkEnd w:id="29"/>
      <w:bookmarkStart w:id="30" w:name="_Toc184314472"/>
      <w:bookmarkEnd w:id="30"/>
      <w:bookmarkStart w:id="31" w:name="_Toc184310319"/>
      <w:bookmarkEnd w:id="31"/>
      <w:bookmarkStart w:id="32" w:name="_Toc184308040"/>
      <w:bookmarkEnd w:id="32"/>
      <w:bookmarkStart w:id="33" w:name="_Toc184312104"/>
      <w:bookmarkEnd w:id="33"/>
      <w:bookmarkStart w:id="34" w:name="_Toc184310343"/>
      <w:bookmarkEnd w:id="34"/>
      <w:bookmarkStart w:id="35" w:name="_Toc184310286"/>
      <w:bookmarkEnd w:id="35"/>
      <w:bookmarkStart w:id="36" w:name="_Toc184310320"/>
      <w:bookmarkEnd w:id="36"/>
      <w:bookmarkStart w:id="37" w:name="_Toc184312118"/>
      <w:bookmarkEnd w:id="37"/>
      <w:bookmarkStart w:id="38" w:name="_Toc184308062"/>
      <w:bookmarkEnd w:id="38"/>
      <w:bookmarkStart w:id="39" w:name="_Toc184313303"/>
      <w:bookmarkEnd w:id="39"/>
      <w:bookmarkStart w:id="40" w:name="_Toc184314434"/>
      <w:bookmarkEnd w:id="40"/>
      <w:bookmarkStart w:id="41" w:name="_Toc184314412"/>
      <w:bookmarkEnd w:id="41"/>
      <w:bookmarkStart w:id="42" w:name="_Toc184310330"/>
      <w:bookmarkEnd w:id="42"/>
      <w:bookmarkStart w:id="43" w:name="_Toc184312095"/>
      <w:bookmarkEnd w:id="43"/>
      <w:bookmarkStart w:id="44" w:name="_Toc184308073"/>
      <w:bookmarkEnd w:id="44"/>
      <w:bookmarkStart w:id="45" w:name="_Toc184312129"/>
      <w:bookmarkEnd w:id="45"/>
      <w:bookmarkStart w:id="46" w:name="_Toc184314471"/>
      <w:bookmarkEnd w:id="46"/>
      <w:bookmarkStart w:id="47" w:name="_Toc184314422"/>
      <w:bookmarkEnd w:id="47"/>
      <w:bookmarkStart w:id="48" w:name="_Toc184308063"/>
      <w:bookmarkEnd w:id="48"/>
      <w:bookmarkStart w:id="49" w:name="_Toc184313269"/>
      <w:bookmarkEnd w:id="49"/>
      <w:bookmarkStart w:id="50" w:name="_Toc184313293"/>
      <w:bookmarkEnd w:id="50"/>
      <w:bookmarkStart w:id="51" w:name="_Toc184313306"/>
      <w:bookmarkEnd w:id="51"/>
      <w:bookmarkStart w:id="52" w:name="_Toc184308041"/>
      <w:bookmarkEnd w:id="52"/>
      <w:bookmarkStart w:id="53" w:name="_Toc184314443"/>
      <w:bookmarkEnd w:id="53"/>
      <w:bookmarkStart w:id="54" w:name="_Toc184313282"/>
      <w:bookmarkEnd w:id="54"/>
      <w:bookmarkStart w:id="55" w:name="_Toc184308038"/>
      <w:bookmarkEnd w:id="55"/>
      <w:bookmarkStart w:id="56" w:name="_Toc184308098"/>
      <w:bookmarkEnd w:id="56"/>
      <w:bookmarkStart w:id="57" w:name="_Toc184313304"/>
      <w:bookmarkEnd w:id="57"/>
      <w:bookmarkStart w:id="58" w:name="_Toc184314450"/>
      <w:bookmarkEnd w:id="58"/>
      <w:bookmarkStart w:id="59" w:name="_Toc184308107"/>
      <w:bookmarkEnd w:id="59"/>
      <w:bookmarkStart w:id="60" w:name="_Toc184313292"/>
      <w:bookmarkEnd w:id="60"/>
      <w:bookmarkStart w:id="61" w:name="_Toc184308089"/>
      <w:bookmarkEnd w:id="61"/>
      <w:bookmarkStart w:id="62" w:name="_Toc184312090"/>
      <w:bookmarkEnd w:id="62"/>
      <w:bookmarkStart w:id="63" w:name="_Toc184308101"/>
      <w:bookmarkEnd w:id="63"/>
      <w:bookmarkStart w:id="64" w:name="_Toc184310340"/>
      <w:bookmarkEnd w:id="64"/>
      <w:bookmarkStart w:id="65" w:name="_Toc184313307"/>
      <w:bookmarkEnd w:id="65"/>
      <w:bookmarkStart w:id="66" w:name="_Toc184312076"/>
      <w:bookmarkEnd w:id="66"/>
      <w:bookmarkStart w:id="67" w:name="_Toc184312122"/>
      <w:bookmarkEnd w:id="67"/>
      <w:bookmarkStart w:id="68" w:name="_Toc184313301"/>
      <w:bookmarkEnd w:id="68"/>
      <w:bookmarkStart w:id="69" w:name="_Toc184310304"/>
      <w:bookmarkEnd w:id="69"/>
      <w:bookmarkStart w:id="70" w:name="_Toc184308097"/>
      <w:bookmarkEnd w:id="70"/>
      <w:bookmarkStart w:id="71" w:name="_Toc184314444"/>
      <w:bookmarkEnd w:id="71"/>
      <w:bookmarkStart w:id="72" w:name="_Toc184314457"/>
      <w:bookmarkEnd w:id="72"/>
      <w:bookmarkStart w:id="73" w:name="_Toc184310306"/>
      <w:bookmarkEnd w:id="73"/>
      <w:bookmarkStart w:id="74" w:name="_Toc184314416"/>
      <w:bookmarkEnd w:id="74"/>
      <w:bookmarkStart w:id="75" w:name="_Toc184308058"/>
      <w:bookmarkEnd w:id="75"/>
      <w:bookmarkStart w:id="76" w:name="_Toc184310296"/>
      <w:bookmarkEnd w:id="76"/>
      <w:bookmarkStart w:id="77" w:name="_Toc184314418"/>
      <w:bookmarkEnd w:id="77"/>
      <w:bookmarkStart w:id="78" w:name="_Toc184312070"/>
      <w:bookmarkEnd w:id="78"/>
      <w:bookmarkStart w:id="79" w:name="_Toc184310341"/>
      <w:bookmarkEnd w:id="79"/>
      <w:bookmarkStart w:id="80" w:name="_Toc184312103"/>
      <w:bookmarkEnd w:id="80"/>
      <w:bookmarkStart w:id="81" w:name="_Toc184313248"/>
      <w:bookmarkEnd w:id="81"/>
      <w:bookmarkStart w:id="82" w:name="_Toc184313288"/>
      <w:bookmarkEnd w:id="82"/>
      <w:bookmarkStart w:id="83" w:name="_Toc184314469"/>
      <w:bookmarkEnd w:id="83"/>
      <w:bookmarkStart w:id="84" w:name="_Toc184312071"/>
      <w:bookmarkEnd w:id="84"/>
      <w:bookmarkStart w:id="85" w:name="_Toc184313270"/>
      <w:bookmarkEnd w:id="85"/>
      <w:bookmarkStart w:id="86" w:name="_Toc184314481"/>
      <w:bookmarkEnd w:id="86"/>
      <w:bookmarkStart w:id="87" w:name="_Toc184314411"/>
      <w:bookmarkEnd w:id="87"/>
      <w:bookmarkStart w:id="88" w:name="_Toc184312128"/>
      <w:bookmarkEnd w:id="88"/>
      <w:bookmarkStart w:id="89" w:name="_Toc184310288"/>
      <w:bookmarkEnd w:id="89"/>
      <w:bookmarkStart w:id="90" w:name="_Toc184312075"/>
      <w:bookmarkEnd w:id="90"/>
      <w:bookmarkStart w:id="91" w:name="_Toc184312089"/>
      <w:bookmarkEnd w:id="91"/>
      <w:bookmarkStart w:id="92" w:name="_Toc184312100"/>
      <w:bookmarkEnd w:id="92"/>
      <w:bookmarkStart w:id="93" w:name="_Toc184313247"/>
      <w:bookmarkEnd w:id="93"/>
      <w:bookmarkStart w:id="94" w:name="_Toc184308078"/>
      <w:bookmarkEnd w:id="94"/>
      <w:bookmarkStart w:id="95" w:name="_Toc184308103"/>
      <w:bookmarkEnd w:id="95"/>
      <w:bookmarkStart w:id="96" w:name="_Toc184314410"/>
      <w:bookmarkEnd w:id="96"/>
      <w:bookmarkStart w:id="97" w:name="_Toc184308091"/>
      <w:bookmarkEnd w:id="97"/>
      <w:bookmarkStart w:id="98" w:name="_Toc184313240"/>
      <w:bookmarkEnd w:id="98"/>
      <w:bookmarkStart w:id="99" w:name="_Toc184308081"/>
      <w:bookmarkEnd w:id="99"/>
      <w:bookmarkStart w:id="100" w:name="_Toc184308099"/>
      <w:bookmarkEnd w:id="100"/>
      <w:bookmarkStart w:id="101" w:name="_Toc184314453"/>
      <w:bookmarkEnd w:id="101"/>
      <w:bookmarkStart w:id="102" w:name="_Toc184308054"/>
      <w:bookmarkEnd w:id="102"/>
      <w:bookmarkStart w:id="103" w:name="_Toc184314427"/>
      <w:bookmarkEnd w:id="103"/>
      <w:bookmarkStart w:id="104" w:name="_Toc184312117"/>
      <w:bookmarkEnd w:id="104"/>
      <w:bookmarkStart w:id="105" w:name="_Toc184312110"/>
      <w:bookmarkEnd w:id="105"/>
      <w:bookmarkStart w:id="106" w:name="_Toc184308105"/>
      <w:bookmarkEnd w:id="106"/>
      <w:bookmarkStart w:id="107" w:name="_Toc184313262"/>
      <w:bookmarkEnd w:id="107"/>
      <w:bookmarkStart w:id="108" w:name="_Toc184313259"/>
      <w:bookmarkEnd w:id="108"/>
      <w:bookmarkStart w:id="109" w:name="_Toc184314429"/>
      <w:bookmarkEnd w:id="109"/>
      <w:bookmarkStart w:id="110" w:name="_Toc184308094"/>
      <w:bookmarkEnd w:id="110"/>
      <w:bookmarkStart w:id="111" w:name="_Toc184310273"/>
      <w:bookmarkEnd w:id="111"/>
      <w:bookmarkStart w:id="112" w:name="_Toc184310275"/>
      <w:bookmarkEnd w:id="112"/>
      <w:bookmarkStart w:id="113" w:name="_Toc184308042"/>
      <w:bookmarkEnd w:id="113"/>
      <w:bookmarkStart w:id="114" w:name="_Toc184308077"/>
      <w:bookmarkEnd w:id="114"/>
      <w:bookmarkStart w:id="115" w:name="_Toc184312088"/>
      <w:bookmarkEnd w:id="115"/>
      <w:bookmarkStart w:id="116" w:name="_Toc184310292"/>
      <w:bookmarkEnd w:id="116"/>
      <w:bookmarkStart w:id="117" w:name="_Toc184312120"/>
      <w:bookmarkEnd w:id="117"/>
      <w:bookmarkStart w:id="118" w:name="_Toc184313261"/>
      <w:bookmarkEnd w:id="118"/>
      <w:bookmarkStart w:id="119" w:name="_Toc184314477"/>
      <w:bookmarkEnd w:id="119"/>
      <w:bookmarkStart w:id="120" w:name="_Toc184313280"/>
      <w:bookmarkEnd w:id="120"/>
      <w:bookmarkStart w:id="121" w:name="_Toc184314415"/>
      <w:bookmarkEnd w:id="121"/>
      <w:bookmarkStart w:id="122" w:name="_Toc184310294"/>
      <w:bookmarkEnd w:id="122"/>
      <w:bookmarkStart w:id="123" w:name="_Toc184313253"/>
      <w:bookmarkEnd w:id="123"/>
      <w:bookmarkStart w:id="124" w:name="_Toc184308102"/>
      <w:bookmarkEnd w:id="124"/>
      <w:bookmarkStart w:id="125" w:name="_Toc184308106"/>
      <w:bookmarkEnd w:id="125"/>
      <w:bookmarkStart w:id="126" w:name="_Toc184314462"/>
      <w:bookmarkEnd w:id="126"/>
      <w:bookmarkStart w:id="127" w:name="_Toc184310308"/>
      <w:bookmarkEnd w:id="127"/>
      <w:bookmarkStart w:id="128" w:name="_Toc184313294"/>
      <w:bookmarkEnd w:id="128"/>
      <w:bookmarkStart w:id="129" w:name="_Toc184314447"/>
      <w:bookmarkEnd w:id="129"/>
      <w:bookmarkStart w:id="130" w:name="_Toc184308085"/>
      <w:bookmarkEnd w:id="130"/>
      <w:bookmarkStart w:id="131" w:name="_Toc184314430"/>
      <w:bookmarkEnd w:id="131"/>
      <w:bookmarkStart w:id="132" w:name="_Toc184314455"/>
      <w:bookmarkEnd w:id="132"/>
      <w:bookmarkStart w:id="133" w:name="_Toc184308100"/>
      <w:bookmarkEnd w:id="133"/>
      <w:bookmarkStart w:id="134" w:name="_Toc184313295"/>
      <w:bookmarkEnd w:id="134"/>
      <w:bookmarkStart w:id="135" w:name="_Toc184312113"/>
      <w:bookmarkEnd w:id="135"/>
      <w:bookmarkStart w:id="136" w:name="_Toc184313239"/>
      <w:bookmarkEnd w:id="136"/>
      <w:bookmarkStart w:id="137" w:name="_Toc184308087"/>
      <w:bookmarkEnd w:id="137"/>
      <w:bookmarkStart w:id="138" w:name="_Toc184313283"/>
      <w:bookmarkEnd w:id="138"/>
      <w:bookmarkStart w:id="139" w:name="_Toc184313300"/>
      <w:bookmarkEnd w:id="139"/>
      <w:bookmarkStart w:id="140" w:name="_Toc184314467"/>
      <w:bookmarkEnd w:id="140"/>
      <w:bookmarkStart w:id="141" w:name="_Toc184313264"/>
      <w:bookmarkEnd w:id="141"/>
      <w:bookmarkStart w:id="142" w:name="_Toc184314459"/>
      <w:bookmarkEnd w:id="142"/>
      <w:bookmarkStart w:id="143" w:name="_Toc184308068"/>
      <w:bookmarkEnd w:id="143"/>
      <w:bookmarkStart w:id="144" w:name="_Toc184314424"/>
      <w:bookmarkEnd w:id="144"/>
      <w:bookmarkStart w:id="145" w:name="_Toc184314476"/>
      <w:bookmarkEnd w:id="145"/>
      <w:bookmarkStart w:id="146" w:name="_Toc184313296"/>
      <w:bookmarkEnd w:id="146"/>
      <w:bookmarkStart w:id="147" w:name="_Toc184313257"/>
      <w:bookmarkEnd w:id="147"/>
      <w:bookmarkStart w:id="148" w:name="_Toc184310287"/>
      <w:bookmarkEnd w:id="148"/>
      <w:bookmarkStart w:id="149" w:name="_Toc184314417"/>
      <w:bookmarkEnd w:id="149"/>
      <w:bookmarkStart w:id="150" w:name="_Toc184308055"/>
      <w:bookmarkEnd w:id="150"/>
      <w:bookmarkStart w:id="151" w:name="_Toc184313273"/>
      <w:bookmarkEnd w:id="151"/>
      <w:bookmarkStart w:id="152" w:name="_Toc184310307"/>
      <w:bookmarkEnd w:id="152"/>
      <w:bookmarkStart w:id="153" w:name="_Toc184310277"/>
      <w:bookmarkEnd w:id="153"/>
      <w:bookmarkStart w:id="154" w:name="_Toc184310274"/>
      <w:bookmarkEnd w:id="154"/>
      <w:bookmarkStart w:id="155" w:name="_Toc184310331"/>
      <w:bookmarkEnd w:id="155"/>
      <w:bookmarkStart w:id="156" w:name="_Toc184313290"/>
      <w:bookmarkEnd w:id="156"/>
      <w:bookmarkStart w:id="157" w:name="_Toc184312112"/>
      <w:bookmarkEnd w:id="157"/>
      <w:bookmarkStart w:id="158" w:name="_Toc184312137"/>
      <w:bookmarkEnd w:id="158"/>
      <w:bookmarkStart w:id="159" w:name="_Toc184308052"/>
      <w:bookmarkEnd w:id="159"/>
      <w:bookmarkStart w:id="160" w:name="_Toc184313268"/>
      <w:bookmarkEnd w:id="160"/>
      <w:bookmarkStart w:id="161" w:name="_Toc184313244"/>
      <w:bookmarkEnd w:id="161"/>
      <w:bookmarkStart w:id="162" w:name="_Toc184312087"/>
      <w:bookmarkEnd w:id="162"/>
      <w:bookmarkStart w:id="163" w:name="_Toc184308046"/>
      <w:bookmarkEnd w:id="163"/>
      <w:bookmarkStart w:id="164" w:name="_Toc184312108"/>
      <w:bookmarkEnd w:id="164"/>
      <w:bookmarkStart w:id="165" w:name="_Toc184314435"/>
      <w:bookmarkEnd w:id="165"/>
      <w:bookmarkStart w:id="166" w:name="_Toc184310328"/>
      <w:bookmarkEnd w:id="166"/>
      <w:bookmarkStart w:id="167" w:name="_Toc184308047"/>
      <w:bookmarkEnd w:id="167"/>
      <w:bookmarkStart w:id="168" w:name="_Toc184308064"/>
      <w:bookmarkEnd w:id="168"/>
      <w:bookmarkStart w:id="169" w:name="_Toc184314479"/>
      <w:bookmarkEnd w:id="169"/>
      <w:bookmarkStart w:id="170" w:name="_Toc184312106"/>
      <w:bookmarkEnd w:id="170"/>
      <w:bookmarkStart w:id="171" w:name="_Toc184314456"/>
      <w:bookmarkEnd w:id="171"/>
      <w:bookmarkStart w:id="172" w:name="_Toc184308036"/>
      <w:bookmarkEnd w:id="172"/>
      <w:bookmarkStart w:id="173" w:name="_Toc184314442"/>
      <w:bookmarkEnd w:id="173"/>
      <w:bookmarkStart w:id="174" w:name="_Toc184312124"/>
      <w:bookmarkEnd w:id="174"/>
      <w:bookmarkStart w:id="175" w:name="_Toc184308092"/>
      <w:bookmarkEnd w:id="175"/>
      <w:bookmarkStart w:id="176" w:name="_Toc184310317"/>
      <w:bookmarkEnd w:id="176"/>
      <w:bookmarkStart w:id="177" w:name="_Toc184310300"/>
      <w:bookmarkEnd w:id="177"/>
      <w:bookmarkStart w:id="178" w:name="_Toc184310325"/>
      <w:bookmarkEnd w:id="178"/>
      <w:bookmarkStart w:id="179" w:name="_Toc184312136"/>
      <w:bookmarkEnd w:id="179"/>
      <w:bookmarkStart w:id="180" w:name="_Toc184313305"/>
      <w:bookmarkEnd w:id="180"/>
      <w:bookmarkStart w:id="181" w:name="_Toc184314480"/>
      <w:bookmarkEnd w:id="181"/>
      <w:bookmarkStart w:id="182" w:name="_Toc184312073"/>
      <w:bookmarkEnd w:id="182"/>
      <w:bookmarkStart w:id="183" w:name="_Toc184313254"/>
      <w:bookmarkEnd w:id="183"/>
      <w:bookmarkStart w:id="184" w:name="_Toc184314464"/>
      <w:bookmarkEnd w:id="184"/>
      <w:bookmarkStart w:id="185" w:name="_Toc184314436"/>
      <w:bookmarkEnd w:id="185"/>
      <w:bookmarkStart w:id="186" w:name="_Toc184310290"/>
      <w:bookmarkEnd w:id="186"/>
      <w:bookmarkStart w:id="187" w:name="_Toc184308069"/>
      <w:bookmarkEnd w:id="187"/>
      <w:bookmarkStart w:id="188" w:name="_Toc184314452"/>
      <w:bookmarkEnd w:id="188"/>
      <w:bookmarkStart w:id="189" w:name="_Toc184313256"/>
      <w:bookmarkEnd w:id="189"/>
      <w:bookmarkStart w:id="190" w:name="_Toc184314470"/>
      <w:bookmarkEnd w:id="190"/>
      <w:bookmarkStart w:id="191" w:name="_Toc184312082"/>
      <w:bookmarkEnd w:id="191"/>
      <w:bookmarkStart w:id="192" w:name="_Toc184308070"/>
      <w:bookmarkEnd w:id="192"/>
      <w:bookmarkStart w:id="193" w:name="_Toc184312068"/>
      <w:bookmarkEnd w:id="193"/>
      <w:bookmarkStart w:id="194" w:name="_Toc184312083"/>
      <w:bookmarkEnd w:id="194"/>
      <w:bookmarkStart w:id="195" w:name="_Toc184310285"/>
      <w:bookmarkEnd w:id="195"/>
      <w:bookmarkStart w:id="196" w:name="_Toc184314438"/>
      <w:bookmarkEnd w:id="196"/>
      <w:bookmarkStart w:id="197" w:name="_Toc184314446"/>
      <w:bookmarkEnd w:id="197"/>
      <w:bookmarkStart w:id="198" w:name="_Toc184312121"/>
      <w:bookmarkEnd w:id="198"/>
      <w:bookmarkStart w:id="199" w:name="_Toc184308048"/>
      <w:bookmarkEnd w:id="199"/>
      <w:bookmarkStart w:id="200" w:name="_Toc184313263"/>
      <w:bookmarkEnd w:id="200"/>
      <w:bookmarkStart w:id="201" w:name="_Toc184310322"/>
      <w:bookmarkEnd w:id="201"/>
      <w:bookmarkStart w:id="202" w:name="_Toc184314473"/>
      <w:bookmarkEnd w:id="202"/>
      <w:bookmarkStart w:id="203" w:name="_Toc184312072"/>
      <w:bookmarkEnd w:id="203"/>
      <w:bookmarkStart w:id="204" w:name="_Toc184310337"/>
      <w:bookmarkEnd w:id="204"/>
      <w:bookmarkStart w:id="205" w:name="_Toc184313266"/>
      <w:bookmarkEnd w:id="205"/>
      <w:bookmarkStart w:id="206" w:name="_Toc184308088"/>
      <w:bookmarkEnd w:id="206"/>
      <w:bookmarkStart w:id="207" w:name="_Toc184314419"/>
      <w:bookmarkEnd w:id="207"/>
      <w:bookmarkStart w:id="208" w:name="_Toc184314440"/>
      <w:bookmarkEnd w:id="208"/>
      <w:bookmarkStart w:id="209" w:name="_Toc184308079"/>
      <w:bookmarkEnd w:id="209"/>
      <w:bookmarkStart w:id="210" w:name="_Toc184312126"/>
      <w:bookmarkEnd w:id="210"/>
      <w:bookmarkStart w:id="211" w:name="_Toc184310293"/>
      <w:bookmarkEnd w:id="211"/>
      <w:bookmarkStart w:id="212" w:name="_Toc184314413"/>
      <w:bookmarkEnd w:id="212"/>
      <w:bookmarkStart w:id="213" w:name="_Toc184308049"/>
      <w:bookmarkEnd w:id="213"/>
      <w:bookmarkStart w:id="214" w:name="_Toc184312085"/>
      <w:bookmarkEnd w:id="214"/>
      <w:bookmarkStart w:id="215" w:name="_Toc184313249"/>
      <w:bookmarkEnd w:id="215"/>
      <w:bookmarkStart w:id="216" w:name="_Toc184310333"/>
      <w:bookmarkEnd w:id="216"/>
      <w:bookmarkStart w:id="217" w:name="_Toc184313284"/>
      <w:bookmarkEnd w:id="217"/>
      <w:bookmarkStart w:id="218" w:name="_Toc184314437"/>
      <w:bookmarkEnd w:id="218"/>
      <w:bookmarkStart w:id="219" w:name="_Toc184313299"/>
      <w:bookmarkEnd w:id="219"/>
      <w:bookmarkStart w:id="220" w:name="_Toc184312078"/>
      <w:bookmarkEnd w:id="220"/>
      <w:bookmarkStart w:id="221" w:name="_Toc184308044"/>
      <w:bookmarkEnd w:id="221"/>
      <w:bookmarkStart w:id="222" w:name="_Toc184310314"/>
      <w:bookmarkEnd w:id="222"/>
      <w:bookmarkStart w:id="223" w:name="_Toc184308083"/>
      <w:bookmarkEnd w:id="223"/>
      <w:bookmarkStart w:id="224" w:name="_Toc184312123"/>
      <w:bookmarkEnd w:id="224"/>
      <w:bookmarkStart w:id="225" w:name="_Toc184310332"/>
      <w:bookmarkEnd w:id="225"/>
      <w:bookmarkStart w:id="226" w:name="_Toc184310309"/>
      <w:bookmarkEnd w:id="226"/>
      <w:bookmarkStart w:id="227" w:name="_Toc184308084"/>
      <w:bookmarkEnd w:id="227"/>
      <w:bookmarkStart w:id="228" w:name="_Toc184314439"/>
      <w:bookmarkEnd w:id="228"/>
      <w:bookmarkStart w:id="229" w:name="_Toc184313267"/>
      <w:bookmarkEnd w:id="229"/>
      <w:bookmarkStart w:id="230" w:name="_Toc184310298"/>
      <w:bookmarkEnd w:id="230"/>
      <w:bookmarkStart w:id="231" w:name="_Toc184314451"/>
      <w:bookmarkEnd w:id="231"/>
      <w:bookmarkStart w:id="232" w:name="_Toc184310297"/>
      <w:bookmarkEnd w:id="232"/>
      <w:bookmarkStart w:id="233" w:name="_Toc184312116"/>
      <w:bookmarkEnd w:id="233"/>
      <w:bookmarkStart w:id="234" w:name="_Toc184310327"/>
      <w:bookmarkEnd w:id="234"/>
      <w:bookmarkStart w:id="235" w:name="_Toc184312098"/>
      <w:bookmarkEnd w:id="235"/>
      <w:bookmarkStart w:id="236" w:name="_Toc184312130"/>
      <w:bookmarkEnd w:id="236"/>
      <w:bookmarkStart w:id="237" w:name="_Toc184308057"/>
      <w:bookmarkEnd w:id="237"/>
      <w:bookmarkStart w:id="238" w:name="_Toc184312109"/>
      <w:bookmarkEnd w:id="238"/>
      <w:bookmarkStart w:id="239" w:name="_Toc184312119"/>
      <w:bookmarkEnd w:id="239"/>
      <w:bookmarkStart w:id="240" w:name="_Toc184310316"/>
      <w:bookmarkEnd w:id="240"/>
      <w:bookmarkStart w:id="241" w:name="_Toc184313309"/>
      <w:bookmarkEnd w:id="241"/>
      <w:bookmarkStart w:id="242" w:name="_Toc184310291"/>
      <w:bookmarkEnd w:id="242"/>
      <w:bookmarkStart w:id="243" w:name="_Toc184314475"/>
      <w:bookmarkEnd w:id="243"/>
      <w:bookmarkStart w:id="244" w:name="_Toc184310289"/>
      <w:bookmarkEnd w:id="244"/>
      <w:bookmarkStart w:id="245" w:name="_Toc184314432"/>
      <w:bookmarkEnd w:id="245"/>
      <w:bookmarkStart w:id="246" w:name="_Toc184312074"/>
      <w:bookmarkEnd w:id="246"/>
      <w:bookmarkStart w:id="247" w:name="_Toc184313272"/>
      <w:bookmarkEnd w:id="247"/>
      <w:bookmarkStart w:id="248" w:name="_Toc184310283"/>
      <w:bookmarkEnd w:id="248"/>
      <w:bookmarkStart w:id="249" w:name="_Toc184308104"/>
      <w:bookmarkEnd w:id="249"/>
      <w:bookmarkStart w:id="250" w:name="_Toc184313291"/>
      <w:bookmarkEnd w:id="250"/>
      <w:bookmarkStart w:id="251" w:name="_Toc184314468"/>
      <w:bookmarkEnd w:id="251"/>
      <w:bookmarkStart w:id="252" w:name="_Toc184313246"/>
      <w:bookmarkEnd w:id="252"/>
      <w:bookmarkStart w:id="253" w:name="_Toc184312101"/>
      <w:bookmarkEnd w:id="253"/>
      <w:bookmarkStart w:id="254" w:name="_Toc184308061"/>
      <w:bookmarkEnd w:id="254"/>
      <w:bookmarkStart w:id="255" w:name="_Toc184312097"/>
      <w:bookmarkEnd w:id="255"/>
      <w:bookmarkStart w:id="256" w:name="_Toc184313238"/>
      <w:bookmarkEnd w:id="256"/>
      <w:bookmarkStart w:id="257" w:name="_Toc184310344"/>
      <w:bookmarkEnd w:id="257"/>
      <w:bookmarkStart w:id="258" w:name="_Toc184310312"/>
      <w:bookmarkEnd w:id="258"/>
      <w:bookmarkStart w:id="259" w:name="_Toc184314478"/>
      <w:bookmarkEnd w:id="259"/>
      <w:bookmarkStart w:id="260" w:name="_Toc184310310"/>
      <w:bookmarkEnd w:id="260"/>
      <w:bookmarkStart w:id="261" w:name="_Toc184312099"/>
      <w:bookmarkEnd w:id="261"/>
      <w:bookmarkStart w:id="262" w:name="_Toc184313274"/>
      <w:bookmarkEnd w:id="262"/>
      <w:bookmarkStart w:id="263" w:name="_Toc184312139"/>
      <w:bookmarkEnd w:id="263"/>
      <w:bookmarkStart w:id="264" w:name="_Toc184312115"/>
      <w:bookmarkEnd w:id="264"/>
      <w:bookmarkStart w:id="265" w:name="_Toc184310282"/>
      <w:bookmarkEnd w:id="265"/>
      <w:bookmarkStart w:id="266" w:name="_Toc184313251"/>
      <w:bookmarkEnd w:id="266"/>
      <w:bookmarkStart w:id="267" w:name="_Toc184310279"/>
      <w:bookmarkEnd w:id="267"/>
      <w:bookmarkStart w:id="268" w:name="_Toc184314428"/>
      <w:bookmarkEnd w:id="268"/>
      <w:bookmarkStart w:id="269" w:name="_Toc184308108"/>
      <w:bookmarkEnd w:id="269"/>
      <w:bookmarkStart w:id="270" w:name="_Toc184310281"/>
      <w:bookmarkEnd w:id="270"/>
      <w:bookmarkStart w:id="271" w:name="_Toc184313298"/>
      <w:bookmarkEnd w:id="271"/>
      <w:bookmarkStart w:id="272" w:name="_Toc184310280"/>
      <w:bookmarkEnd w:id="272"/>
      <w:bookmarkStart w:id="273" w:name="_Toc184310278"/>
      <w:bookmarkEnd w:id="273"/>
      <w:bookmarkStart w:id="274" w:name="_Toc184314460"/>
      <w:bookmarkEnd w:id="274"/>
      <w:bookmarkStart w:id="275" w:name="_Toc184310295"/>
      <w:bookmarkEnd w:id="275"/>
      <w:bookmarkStart w:id="276" w:name="_Toc184310342"/>
      <w:bookmarkEnd w:id="276"/>
      <w:bookmarkStart w:id="277" w:name="_Toc184314465"/>
      <w:bookmarkEnd w:id="277"/>
      <w:bookmarkStart w:id="278" w:name="_Toc184310303"/>
      <w:bookmarkEnd w:id="278"/>
      <w:bookmarkStart w:id="279" w:name="_Toc184312094"/>
      <w:bookmarkEnd w:id="279"/>
      <w:bookmarkStart w:id="280" w:name="_Toc184313260"/>
      <w:bookmarkEnd w:id="280"/>
      <w:bookmarkStart w:id="281" w:name="_Toc184310336"/>
      <w:bookmarkEnd w:id="281"/>
      <w:bookmarkStart w:id="282" w:name="_Toc184308071"/>
      <w:bookmarkEnd w:id="282"/>
      <w:bookmarkStart w:id="283" w:name="_Toc184314482"/>
      <w:bookmarkEnd w:id="283"/>
      <w:bookmarkStart w:id="284" w:name="_Toc184310272"/>
      <w:bookmarkEnd w:id="284"/>
      <w:bookmarkStart w:id="285" w:name="_Toc184312127"/>
      <w:bookmarkEnd w:id="285"/>
      <w:bookmarkStart w:id="286" w:name="_Toc184314431"/>
      <w:bookmarkEnd w:id="286"/>
      <w:bookmarkStart w:id="287" w:name="_Toc184312091"/>
      <w:bookmarkEnd w:id="287"/>
      <w:bookmarkStart w:id="288" w:name="_Toc184313265"/>
      <w:bookmarkEnd w:id="288"/>
      <w:bookmarkStart w:id="289" w:name="_Toc184313289"/>
      <w:bookmarkEnd w:id="289"/>
      <w:bookmarkStart w:id="290" w:name="_Toc184314463"/>
      <w:bookmarkEnd w:id="290"/>
      <w:bookmarkStart w:id="291" w:name="_Toc184313302"/>
      <w:bookmarkEnd w:id="291"/>
      <w:bookmarkStart w:id="292" w:name="_Toc184310323"/>
      <w:bookmarkEnd w:id="292"/>
      <w:bookmarkStart w:id="293" w:name="_Toc184312111"/>
      <w:bookmarkEnd w:id="293"/>
      <w:bookmarkStart w:id="294" w:name="_Toc184312132"/>
      <w:bookmarkEnd w:id="294"/>
      <w:bookmarkStart w:id="295" w:name="_Toc184314423"/>
      <w:bookmarkEnd w:id="295"/>
      <w:bookmarkStart w:id="296" w:name="_Toc184312125"/>
      <w:bookmarkEnd w:id="296"/>
      <w:bookmarkStart w:id="297" w:name="_Toc184313281"/>
      <w:bookmarkEnd w:id="297"/>
      <w:bookmarkStart w:id="298" w:name="_Toc184308051"/>
      <w:bookmarkEnd w:id="298"/>
      <w:bookmarkStart w:id="299" w:name="_Toc184308066"/>
      <w:bookmarkEnd w:id="299"/>
      <w:bookmarkStart w:id="300" w:name="_Toc184313258"/>
      <w:bookmarkEnd w:id="300"/>
      <w:bookmarkStart w:id="301" w:name="_Toc184313242"/>
      <w:bookmarkEnd w:id="301"/>
      <w:bookmarkStart w:id="302" w:name="_Toc184308059"/>
      <w:bookmarkEnd w:id="302"/>
      <w:bookmarkStart w:id="303" w:name="_Toc184310339"/>
      <w:bookmarkEnd w:id="303"/>
      <w:bookmarkStart w:id="304" w:name="_Toc184310329"/>
      <w:bookmarkEnd w:id="304"/>
      <w:bookmarkStart w:id="305" w:name="_Toc184312105"/>
      <w:bookmarkEnd w:id="305"/>
      <w:bookmarkStart w:id="306" w:name="_Toc184313308"/>
      <w:bookmarkEnd w:id="306"/>
      <w:bookmarkStart w:id="307" w:name="_Toc184310335"/>
      <w:bookmarkEnd w:id="307"/>
      <w:bookmarkStart w:id="308" w:name="_Toc184312079"/>
      <w:bookmarkEnd w:id="308"/>
      <w:bookmarkStart w:id="309" w:name="_Toc184308043"/>
      <w:bookmarkEnd w:id="309"/>
      <w:bookmarkStart w:id="310" w:name="_Toc184308075"/>
      <w:bookmarkEnd w:id="310"/>
      <w:bookmarkStart w:id="311" w:name="_Toc184312067"/>
      <w:bookmarkEnd w:id="311"/>
      <w:bookmarkStart w:id="312" w:name="_Toc184314441"/>
      <w:bookmarkEnd w:id="312"/>
      <w:bookmarkStart w:id="313" w:name="_Toc184308082"/>
      <w:bookmarkEnd w:id="313"/>
      <w:bookmarkStart w:id="314" w:name="_Toc184313286"/>
      <w:bookmarkEnd w:id="314"/>
      <w:bookmarkStart w:id="315" w:name="_Toc184310313"/>
      <w:bookmarkEnd w:id="315"/>
      <w:bookmarkStart w:id="316" w:name="_Toc184314414"/>
      <w:bookmarkEnd w:id="316"/>
      <w:bookmarkStart w:id="317" w:name="_Toc184308056"/>
      <w:bookmarkEnd w:id="317"/>
      <w:bookmarkStart w:id="318" w:name="_Toc184312133"/>
      <w:bookmarkEnd w:id="318"/>
      <w:bookmarkStart w:id="319" w:name="_Toc184313297"/>
      <w:bookmarkEnd w:id="319"/>
      <w:bookmarkStart w:id="320" w:name="_Toc184310284"/>
      <w:bookmarkEnd w:id="320"/>
      <w:bookmarkStart w:id="321" w:name="_Toc184312096"/>
      <w:bookmarkEnd w:id="321"/>
      <w:bookmarkStart w:id="322" w:name="_Toc184310305"/>
      <w:bookmarkEnd w:id="322"/>
      <w:bookmarkStart w:id="323" w:name="_Toc184313279"/>
      <w:bookmarkEnd w:id="323"/>
      <w:bookmarkStart w:id="324" w:name="_Toc184313276"/>
      <w:bookmarkEnd w:id="324"/>
      <w:bookmarkStart w:id="325" w:name="_Toc184308076"/>
      <w:bookmarkEnd w:id="325"/>
      <w:bookmarkStart w:id="326" w:name="_Toc184313243"/>
      <w:bookmarkEnd w:id="326"/>
      <w:bookmarkStart w:id="327" w:name="_Toc184314449"/>
      <w:bookmarkEnd w:id="327"/>
      <w:bookmarkStart w:id="328" w:name="_Toc184312086"/>
      <w:bookmarkEnd w:id="328"/>
      <w:bookmarkStart w:id="329" w:name="_Toc184314458"/>
      <w:bookmarkEnd w:id="329"/>
      <w:bookmarkStart w:id="330" w:name="_Toc184312131"/>
      <w:bookmarkEnd w:id="330"/>
      <w:bookmarkStart w:id="331" w:name="_Toc184314466"/>
      <w:bookmarkEnd w:id="331"/>
      <w:bookmarkStart w:id="332" w:name="_Toc184313275"/>
      <w:bookmarkEnd w:id="332"/>
      <w:bookmarkStart w:id="333" w:name="_Toc184314445"/>
      <w:bookmarkEnd w:id="333"/>
      <w:bookmarkStart w:id="334" w:name="_Toc184308090"/>
      <w:bookmarkEnd w:id="334"/>
      <w:bookmarkStart w:id="335" w:name="_Toc184308037"/>
      <w:bookmarkEnd w:id="335"/>
      <w:bookmarkStart w:id="336" w:name="_Toc184310311"/>
      <w:bookmarkEnd w:id="336"/>
      <w:bookmarkStart w:id="337" w:name="_Toc184308053"/>
      <w:bookmarkEnd w:id="337"/>
      <w:bookmarkStart w:id="338" w:name="_Toc184310334"/>
      <w:bookmarkEnd w:id="338"/>
      <w:bookmarkStart w:id="339" w:name="_Toc184310302"/>
      <w:bookmarkEnd w:id="339"/>
      <w:bookmarkStart w:id="340" w:name="_Toc184314454"/>
      <w:bookmarkEnd w:id="340"/>
      <w:bookmarkStart w:id="341" w:name="_Toc184313250"/>
      <w:bookmarkEnd w:id="341"/>
      <w:bookmarkStart w:id="342" w:name="_Toc184310299"/>
      <w:bookmarkEnd w:id="342"/>
      <w:bookmarkStart w:id="343" w:name="_Toc184310276"/>
      <w:bookmarkEnd w:id="343"/>
      <w:bookmarkStart w:id="344" w:name="_Toc184314420"/>
      <w:bookmarkEnd w:id="344"/>
      <w:bookmarkStart w:id="345" w:name="_Toc184308086"/>
      <w:bookmarkEnd w:id="345"/>
      <w:bookmarkStart w:id="346" w:name="_Toc184310326"/>
      <w:bookmarkEnd w:id="346"/>
      <w:bookmarkStart w:id="347" w:name="_Toc184308060"/>
      <w:bookmarkEnd w:id="347"/>
      <w:bookmarkStart w:id="348" w:name="_Toc184314433"/>
      <w:bookmarkEnd w:id="348"/>
      <w:bookmarkStart w:id="349" w:name="_Toc184312080"/>
      <w:bookmarkEnd w:id="349"/>
      <w:bookmarkStart w:id="350" w:name="_Toc184312084"/>
      <w:bookmarkEnd w:id="350"/>
      <w:bookmarkStart w:id="351" w:name="_Toc184310338"/>
      <w:bookmarkEnd w:id="351"/>
      <w:bookmarkStart w:id="352" w:name="_Toc184308096"/>
      <w:bookmarkEnd w:id="352"/>
      <w:bookmarkStart w:id="353" w:name="_Toc184314461"/>
      <w:bookmarkEnd w:id="353"/>
      <w:bookmarkStart w:id="354" w:name="_Toc184312092"/>
      <w:bookmarkEnd w:id="354"/>
      <w:bookmarkStart w:id="355" w:name="_Toc184312107"/>
      <w:bookmarkEnd w:id="355"/>
      <w:bookmarkStart w:id="356" w:name="_Toc184312093"/>
      <w:bookmarkEnd w:id="356"/>
      <w:bookmarkStart w:id="357" w:name="_Toc184313278"/>
      <w:bookmarkEnd w:id="357"/>
      <w:bookmarkStart w:id="358" w:name="_Toc184312114"/>
      <w:bookmarkEnd w:id="358"/>
      <w:bookmarkStart w:id="359" w:name="_Toc184313277"/>
      <w:bookmarkEnd w:id="359"/>
      <w:bookmarkStart w:id="360" w:name="_Toc184314421"/>
      <w:bookmarkEnd w:id="360"/>
      <w:bookmarkStart w:id="361" w:name="_Toc184310318"/>
      <w:bookmarkEnd w:id="361"/>
      <w:bookmarkStart w:id="362" w:name="_Toc184313241"/>
      <w:bookmarkEnd w:id="362"/>
      <w:bookmarkStart w:id="363" w:name="_Toc184308072"/>
      <w:bookmarkEnd w:id="363"/>
      <w:bookmarkStart w:id="364" w:name="_Toc184308039"/>
      <w:bookmarkEnd w:id="364"/>
      <w:bookmarkStart w:id="365" w:name="_Toc184310324"/>
      <w:bookmarkEnd w:id="365"/>
      <w:bookmarkStart w:id="366" w:name="_Toc184313285"/>
      <w:bookmarkEnd w:id="366"/>
      <w:bookmarkStart w:id="367" w:name="_Toc184312069"/>
      <w:bookmarkEnd w:id="367"/>
      <w:bookmarkStart w:id="368" w:name="_Toc184310321"/>
      <w:bookmarkEnd w:id="368"/>
      <w:bookmarkStart w:id="369" w:name="_Toc184308050"/>
      <w:bookmarkEnd w:id="369"/>
      <w:bookmarkStart w:id="370" w:name="_Toc184312081"/>
      <w:bookmarkEnd w:id="370"/>
      <w:bookmarkStart w:id="371" w:name="_Toc184314474"/>
      <w:bookmarkEnd w:id="371"/>
      <w:bookmarkStart w:id="372" w:name="_Toc184312134"/>
      <w:bookmarkEnd w:id="372"/>
      <w:bookmarkStart w:id="373" w:name="_Toc184308095"/>
      <w:bookmarkEnd w:id="373"/>
      <w:bookmarkStart w:id="374" w:name="_Toc184314425"/>
      <w:bookmarkEnd w:id="374"/>
      <w:bookmarkStart w:id="375" w:name="_Toc184312138"/>
      <w:bookmarkEnd w:id="375"/>
      <w:bookmarkStart w:id="376" w:name="_Toc184308074"/>
      <w:bookmarkEnd w:id="376"/>
      <w:bookmarkStart w:id="377" w:name="_Toc184313245"/>
      <w:bookmarkEnd w:id="377"/>
      <w:bookmarkStart w:id="378" w:name="_Toc184308067"/>
      <w:bookmarkEnd w:id="378"/>
      <w:bookmarkStart w:id="379" w:name="_Toc184312135"/>
      <w:bookmarkEnd w:id="379"/>
      <w:bookmarkStart w:id="380" w:name="_Toc184313271"/>
      <w:bookmarkEnd w:id="380"/>
      <w:bookmarkStart w:id="381" w:name="_Toc184308045"/>
      <w:bookmarkEnd w:id="381"/>
      <w:bookmarkStart w:id="382" w:name="_Toc184313255"/>
      <w:bookmarkEnd w:id="382"/>
      <w:bookmarkStart w:id="383" w:name="_Toc184310315"/>
      <w:bookmarkEnd w:id="383"/>
      <w:bookmarkStart w:id="384" w:name="_Toc184314448"/>
      <w:bookmarkEnd w:id="384"/>
      <w:bookmarkStart w:id="385" w:name="_Toc184313310"/>
      <w:bookmarkEnd w:id="385"/>
      <w:bookmarkStart w:id="386" w:name="_Toc184308093"/>
      <w:bookmarkEnd w:id="386"/>
      <w:bookmarkStart w:id="387" w:name="_Toc184310301"/>
      <w:bookmarkEnd w:id="387"/>
      <w:bookmarkStart w:id="388" w:name="_Toc184312077"/>
      <w:bookmarkEnd w:id="388"/>
      <w:bookmarkStart w:id="389" w:name="_Toc184308065"/>
      <w:bookmarkEnd w:id="389"/>
      <w:bookmarkStart w:id="390" w:name="_Toc184312102"/>
      <w:bookmarkEnd w:id="390"/>
      <w:bookmarkStart w:id="391" w:name="_Toc184313252"/>
      <w:bookmarkEnd w:id="391"/>
      <w:bookmarkStart w:id="392" w:name="_Toc184308080"/>
      <w:bookmarkEnd w:id="392"/>
      <w:r>
        <w:rPr>
          <w:rFonts w:hint="eastAsia" w:ascii="宋体" w:hAnsi="宋体" w:cs="宋体"/>
          <w:b/>
          <w:color w:val="auto"/>
          <w:sz w:val="36"/>
          <w:szCs w:val="36"/>
          <w:highlight w:val="none"/>
        </w:rPr>
        <w:t>评标办法</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color w:val="auto"/>
          <w:highlight w:val="none"/>
          <w:lang w:val="en-US" w:eastAsia="zh-CN"/>
        </w:rPr>
      </w:pPr>
      <w:r>
        <w:rPr>
          <w:rFonts w:hint="eastAsia" w:ascii="宋体" w:hAnsi="宋体" w:cs="宋体"/>
          <w:b/>
          <w:color w:val="auto"/>
          <w:sz w:val="32"/>
          <w:szCs w:val="20"/>
          <w:highlight w:val="none"/>
        </w:rPr>
        <w:t>评标办法前附表</w:t>
      </w:r>
    </w:p>
    <w:tbl>
      <w:tblPr>
        <w:tblStyle w:val="62"/>
        <w:tblW w:w="975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4"/>
        <w:gridCol w:w="684"/>
        <w:gridCol w:w="6852"/>
        <w:gridCol w:w="684"/>
        <w:gridCol w:w="8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2" w:hRule="atLeast"/>
          <w:jc w:val="center"/>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bidi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类别</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lang w:val="en-US" w:eastAsia="zh-CN"/>
              </w:rPr>
              <w:t>序号</w:t>
            </w:r>
          </w:p>
        </w:tc>
        <w:tc>
          <w:tcPr>
            <w:tcW w:w="685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lang w:val="en-US" w:eastAsia="zh-CN"/>
              </w:rPr>
              <w:t>评审条款</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bidi w:val="0"/>
              <w:spacing w:before="0"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分值</w:t>
            </w:r>
          </w:p>
          <w:p>
            <w:pPr>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lang w:val="en-US" w:eastAsia="zh-CN"/>
              </w:rPr>
              <w:t>区间</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bidi w:val="0"/>
              <w:spacing w:before="0"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主客</w:t>
            </w:r>
          </w:p>
          <w:p>
            <w:pPr>
              <w:keepNext w:val="0"/>
              <w:keepLines w:val="0"/>
              <w:suppressLineNumbers w:val="0"/>
              <w:bidi w:val="0"/>
              <w:spacing w:before="0" w:beforeAutospacing="0" w:after="0" w:afterAutospacing="0"/>
              <w:ind w:left="0" w:right="0"/>
              <w:jc w:val="center"/>
              <w:rPr>
                <w:rFonts w:hint="eastAsia"/>
                <w:color w:val="auto"/>
                <w:highlight w:val="none"/>
              </w:rPr>
            </w:pPr>
            <w:r>
              <w:rPr>
                <w:rFonts w:hint="eastAsia"/>
                <w:color w:val="auto"/>
                <w:highlight w:val="none"/>
                <w:lang w:val="en-US" w:eastAsia="zh-CN"/>
              </w:rPr>
              <w:t>观分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4" w:hRule="atLeast"/>
          <w:jc w:val="center"/>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bidi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商务资信</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1</w:t>
            </w:r>
          </w:p>
        </w:tc>
        <w:tc>
          <w:tcPr>
            <w:tcW w:w="6852" w:type="dxa"/>
            <w:tcBorders>
              <w:top w:val="single" w:color="000000" w:sz="4" w:space="0"/>
              <w:left w:val="single" w:color="000000" w:sz="4" w:space="0"/>
              <w:bottom w:val="single" w:color="000000" w:sz="4" w:space="0"/>
              <w:right w:val="single" w:color="000000" w:sz="4" w:space="0"/>
            </w:tcBorders>
            <w:shd w:val="clear" w:color="auto" w:fill="auto"/>
            <w:vAlign w:val="top"/>
          </w:tcPr>
          <w:p>
            <w:pPr>
              <w:rPr>
                <w:rFonts w:hint="eastAsia" w:ascii="Times New Roman" w:hAnsi="Times New Roman" w:eastAsia="仿宋" w:cs="Times New Roman"/>
                <w:color w:val="auto"/>
                <w:kern w:val="2"/>
                <w:sz w:val="21"/>
                <w:szCs w:val="24"/>
                <w:highlight w:val="none"/>
                <w:lang w:val="en-US" w:eastAsia="zh-CN" w:bidi="ar-SA"/>
              </w:rPr>
            </w:pPr>
            <w:r>
              <w:rPr>
                <w:rFonts w:hint="eastAsia"/>
                <w:color w:val="auto"/>
                <w:highlight w:val="none"/>
              </w:rPr>
              <w:t>主要产品（序号3办公桌、序号21办公椅、序号29文件柜、序号44布艺沙发）的投标人或生产厂家具有有效期内的</w:t>
            </w:r>
            <w:r>
              <w:rPr>
                <w:color w:val="auto"/>
                <w:highlight w:val="none"/>
              </w:rPr>
              <w:t>ISO9001质量管理体系认证证书</w:t>
            </w:r>
            <w:r>
              <w:rPr>
                <w:rFonts w:hint="eastAsia"/>
                <w:color w:val="auto"/>
                <w:highlight w:val="none"/>
              </w:rPr>
              <w:t>（证书认证范围体现家具含义即可，不要求与本条产品名称完全一致），</w:t>
            </w:r>
            <w:r>
              <w:rPr>
                <w:color w:val="auto"/>
                <w:highlight w:val="none"/>
              </w:rPr>
              <w:t>提供证书复印件</w:t>
            </w:r>
            <w:r>
              <w:rPr>
                <w:rFonts w:hint="eastAsia"/>
                <w:color w:val="auto"/>
                <w:highlight w:val="none"/>
              </w:rPr>
              <w:t>，</w:t>
            </w:r>
            <w:r>
              <w:rPr>
                <w:rFonts w:hint="eastAsia"/>
                <w:color w:val="auto"/>
                <w:highlight w:val="none"/>
                <w:lang w:val="en-US" w:eastAsia="zh-CN"/>
              </w:rPr>
              <w:t>全部符合</w:t>
            </w:r>
            <w:r>
              <w:rPr>
                <w:rFonts w:hint="eastAsia"/>
                <w:color w:val="auto"/>
                <w:highlight w:val="none"/>
              </w:rPr>
              <w:t>得2分，</w:t>
            </w:r>
            <w:r>
              <w:rPr>
                <w:rFonts w:hint="eastAsia"/>
                <w:color w:val="auto"/>
                <w:highlight w:val="none"/>
                <w:lang w:val="en-US" w:eastAsia="zh-CN"/>
              </w:rPr>
              <w:t>否则</w:t>
            </w:r>
            <w:r>
              <w:rPr>
                <w:rFonts w:hint="eastAsia"/>
                <w:color w:val="auto"/>
                <w:highlight w:val="none"/>
              </w:rPr>
              <w:t>不得分。（0-2）</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170" w:leftChars="0" w:hanging="170" w:hangingChars="81"/>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rPr>
              <w:t>0-2</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客观分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4" w:hRule="atLeast"/>
          <w:jc w:val="center"/>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bidi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商务资信</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2</w:t>
            </w:r>
          </w:p>
        </w:tc>
        <w:tc>
          <w:tcPr>
            <w:tcW w:w="6852" w:type="dxa"/>
            <w:tcBorders>
              <w:top w:val="single" w:color="000000" w:sz="4" w:space="0"/>
              <w:left w:val="single" w:color="000000" w:sz="4" w:space="0"/>
              <w:bottom w:val="single" w:color="000000" w:sz="4" w:space="0"/>
              <w:right w:val="single" w:color="000000" w:sz="4" w:space="0"/>
            </w:tcBorders>
            <w:shd w:val="clear" w:color="auto" w:fill="auto"/>
            <w:vAlign w:val="top"/>
          </w:tcPr>
          <w:p>
            <w:pPr>
              <w:rPr>
                <w:rFonts w:hint="eastAsia" w:ascii="Times New Roman" w:hAnsi="Times New Roman" w:eastAsia="仿宋" w:cs="Times New Roman"/>
                <w:color w:val="auto"/>
                <w:kern w:val="2"/>
                <w:sz w:val="21"/>
                <w:szCs w:val="24"/>
                <w:highlight w:val="none"/>
                <w:lang w:val="en-US" w:eastAsia="zh-CN" w:bidi="ar-SA"/>
              </w:rPr>
            </w:pPr>
            <w:r>
              <w:rPr>
                <w:rFonts w:hint="eastAsia"/>
                <w:color w:val="auto"/>
                <w:highlight w:val="none"/>
              </w:rPr>
              <w:t>主要产品（序号3办公桌、序号21办公椅、序号29文件柜、序号44布艺沙发）的投标人或生产厂家具有有效期内的</w:t>
            </w:r>
            <w:r>
              <w:rPr>
                <w:color w:val="auto"/>
                <w:highlight w:val="none"/>
              </w:rPr>
              <w:t>ISO14001环境管理体系认证证书</w:t>
            </w:r>
            <w:r>
              <w:rPr>
                <w:rFonts w:hint="eastAsia"/>
                <w:color w:val="auto"/>
                <w:highlight w:val="none"/>
              </w:rPr>
              <w:t>（证书认证范围体现家具含义即可，不要求与本条产品名称完全一致），</w:t>
            </w:r>
            <w:r>
              <w:rPr>
                <w:color w:val="auto"/>
                <w:highlight w:val="none"/>
              </w:rPr>
              <w:t>提供证书复印件</w:t>
            </w:r>
            <w:r>
              <w:rPr>
                <w:rFonts w:hint="eastAsia"/>
                <w:color w:val="auto"/>
                <w:highlight w:val="none"/>
              </w:rPr>
              <w:t>，</w:t>
            </w:r>
            <w:r>
              <w:rPr>
                <w:rFonts w:hint="eastAsia"/>
                <w:color w:val="auto"/>
                <w:highlight w:val="none"/>
                <w:lang w:val="en-US" w:eastAsia="zh-CN"/>
              </w:rPr>
              <w:t>全部符合</w:t>
            </w:r>
            <w:r>
              <w:rPr>
                <w:rFonts w:hint="eastAsia"/>
                <w:color w:val="auto"/>
                <w:highlight w:val="none"/>
              </w:rPr>
              <w:t>得2分，</w:t>
            </w:r>
            <w:r>
              <w:rPr>
                <w:rFonts w:hint="eastAsia"/>
                <w:color w:val="auto"/>
                <w:highlight w:val="none"/>
                <w:lang w:val="en-US" w:eastAsia="zh-CN"/>
              </w:rPr>
              <w:t>否则</w:t>
            </w:r>
            <w:r>
              <w:rPr>
                <w:rFonts w:hint="eastAsia"/>
                <w:color w:val="auto"/>
                <w:highlight w:val="none"/>
              </w:rPr>
              <w:t>不得分。（0-2）</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0-2</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客观分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4" w:hRule="atLeast"/>
          <w:jc w:val="center"/>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bidi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商务资信</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3</w:t>
            </w:r>
          </w:p>
        </w:tc>
        <w:tc>
          <w:tcPr>
            <w:tcW w:w="6852" w:type="dxa"/>
            <w:tcBorders>
              <w:top w:val="single" w:color="000000" w:sz="4" w:space="0"/>
              <w:left w:val="single" w:color="000000" w:sz="4" w:space="0"/>
              <w:bottom w:val="single" w:color="000000" w:sz="4" w:space="0"/>
              <w:right w:val="single" w:color="000000" w:sz="4" w:space="0"/>
            </w:tcBorders>
            <w:shd w:val="clear" w:color="auto" w:fill="auto"/>
            <w:vAlign w:val="top"/>
          </w:tcPr>
          <w:p>
            <w:pP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主要产品（序号3办公桌、序号21办公椅、序号29文件柜、序号44布艺沙发）的投标人或生产厂家具有有效期内的</w:t>
            </w:r>
            <w:r>
              <w:rPr>
                <w:color w:val="auto"/>
                <w:highlight w:val="none"/>
              </w:rPr>
              <w:t>ISO45001职业健康安全管理体系认证证书或GB/T 28001职业健康安全管理体系认证证书</w:t>
            </w:r>
            <w:r>
              <w:rPr>
                <w:rFonts w:hint="eastAsia"/>
                <w:color w:val="auto"/>
                <w:highlight w:val="none"/>
              </w:rPr>
              <w:t>（证书认证范围体现家具含义即可，不要求与本条产品名称完全一致），</w:t>
            </w:r>
            <w:r>
              <w:rPr>
                <w:color w:val="auto"/>
                <w:highlight w:val="none"/>
              </w:rPr>
              <w:t>提供证书复印件</w:t>
            </w:r>
            <w:r>
              <w:rPr>
                <w:rFonts w:hint="eastAsia"/>
                <w:color w:val="auto"/>
                <w:highlight w:val="none"/>
              </w:rPr>
              <w:t>，</w:t>
            </w:r>
            <w:r>
              <w:rPr>
                <w:rFonts w:hint="eastAsia"/>
                <w:color w:val="auto"/>
                <w:highlight w:val="none"/>
                <w:lang w:val="en-US" w:eastAsia="zh-CN"/>
              </w:rPr>
              <w:t>全部符合</w:t>
            </w:r>
            <w:r>
              <w:rPr>
                <w:rFonts w:hint="eastAsia"/>
                <w:color w:val="auto"/>
                <w:highlight w:val="none"/>
              </w:rPr>
              <w:t>得2分，</w:t>
            </w:r>
            <w:r>
              <w:rPr>
                <w:rFonts w:hint="eastAsia"/>
                <w:color w:val="auto"/>
                <w:highlight w:val="none"/>
                <w:lang w:val="en-US" w:eastAsia="zh-CN"/>
              </w:rPr>
              <w:t>否则</w:t>
            </w:r>
            <w:r>
              <w:rPr>
                <w:rFonts w:hint="eastAsia"/>
                <w:color w:val="auto"/>
                <w:highlight w:val="none"/>
              </w:rPr>
              <w:t>不得分。（0-2）</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0-2</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客观分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4" w:hRule="atLeast"/>
          <w:jc w:val="center"/>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bidi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商务资信</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4</w:t>
            </w:r>
          </w:p>
        </w:tc>
        <w:tc>
          <w:tcPr>
            <w:tcW w:w="6852" w:type="dxa"/>
            <w:tcBorders>
              <w:top w:val="single" w:color="000000" w:sz="4" w:space="0"/>
              <w:left w:val="single" w:color="000000" w:sz="4" w:space="0"/>
              <w:bottom w:val="single" w:color="000000" w:sz="4" w:space="0"/>
              <w:right w:val="single" w:color="000000" w:sz="4" w:space="0"/>
            </w:tcBorders>
            <w:shd w:val="clear" w:color="auto" w:fill="auto"/>
            <w:vAlign w:val="top"/>
          </w:tcPr>
          <w:p>
            <w:pP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主要产品（序号3办公桌、序号21办公椅、序号29文件柜、序号44布艺沙发）的投标人或生产厂家具有有效期内的CQC中国环保产品认证证书（证书认证范围体现产品即可，不要求与本条产品名称完全一致），提供证书复印件，每一类产品符合得0.5分，最高</w:t>
            </w:r>
            <w:r>
              <w:rPr>
                <w:rFonts w:hint="eastAsia"/>
                <w:color w:val="auto"/>
                <w:highlight w:val="none"/>
                <w:lang w:val="en-US" w:eastAsia="zh-CN"/>
              </w:rPr>
              <w:t>得</w:t>
            </w:r>
            <w:r>
              <w:rPr>
                <w:rFonts w:hint="eastAsia"/>
                <w:color w:val="auto"/>
                <w:highlight w:val="none"/>
              </w:rPr>
              <w:t>2分。（0-2）</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0-2</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客观分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4" w:hRule="atLeast"/>
          <w:jc w:val="center"/>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bidi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商务资信</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5</w:t>
            </w:r>
          </w:p>
        </w:tc>
        <w:tc>
          <w:tcPr>
            <w:tcW w:w="6852" w:type="dxa"/>
            <w:tcBorders>
              <w:top w:val="single" w:color="000000" w:sz="4" w:space="0"/>
              <w:left w:val="single" w:color="000000" w:sz="4" w:space="0"/>
              <w:bottom w:val="single" w:color="000000" w:sz="4" w:space="0"/>
              <w:right w:val="single" w:color="000000" w:sz="4" w:space="0"/>
            </w:tcBorders>
            <w:shd w:val="clear" w:color="auto" w:fill="auto"/>
            <w:vAlign w:val="top"/>
          </w:tcPr>
          <w:p>
            <w:pP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主要产品（序号3办公桌、序号21办公椅、序号29文件柜、序号44布艺沙发）的投标人或生产厂家具有有效期内的</w:t>
            </w:r>
            <w:r>
              <w:rPr>
                <w:color w:val="auto"/>
                <w:highlight w:val="none"/>
              </w:rPr>
              <w:t>CEC家具产品环保卫士认证证书</w:t>
            </w:r>
            <w:r>
              <w:rPr>
                <w:rFonts w:hint="eastAsia"/>
                <w:color w:val="auto"/>
                <w:highlight w:val="none"/>
              </w:rPr>
              <w:t>（证书认证范围体现产品即可，不要求与本条产品名称完全一致），</w:t>
            </w:r>
            <w:r>
              <w:rPr>
                <w:color w:val="auto"/>
                <w:highlight w:val="none"/>
              </w:rPr>
              <w:t>提供证书复印件，</w:t>
            </w:r>
            <w:r>
              <w:rPr>
                <w:rFonts w:hint="eastAsia"/>
                <w:color w:val="auto"/>
                <w:highlight w:val="none"/>
              </w:rPr>
              <w:t>每一类产品符合得0.5分，最高</w:t>
            </w:r>
            <w:r>
              <w:rPr>
                <w:rFonts w:hint="eastAsia"/>
                <w:color w:val="auto"/>
                <w:highlight w:val="none"/>
                <w:lang w:val="en-US" w:eastAsia="zh-CN"/>
              </w:rPr>
              <w:t>得</w:t>
            </w:r>
            <w:r>
              <w:rPr>
                <w:rFonts w:hint="eastAsia"/>
                <w:color w:val="auto"/>
                <w:highlight w:val="none"/>
              </w:rPr>
              <w:t>2分。（0-2）</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0-2</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客观分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4" w:hRule="atLeast"/>
          <w:jc w:val="center"/>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bidi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商务资信</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6</w:t>
            </w:r>
          </w:p>
        </w:tc>
        <w:tc>
          <w:tcPr>
            <w:tcW w:w="6852" w:type="dxa"/>
            <w:tcBorders>
              <w:top w:val="single" w:color="000000" w:sz="4" w:space="0"/>
              <w:left w:val="single" w:color="000000" w:sz="4" w:space="0"/>
              <w:bottom w:val="single" w:color="000000" w:sz="4" w:space="0"/>
              <w:right w:val="single" w:color="000000" w:sz="4" w:space="0"/>
            </w:tcBorders>
            <w:shd w:val="clear" w:color="auto" w:fill="auto"/>
            <w:vAlign w:val="top"/>
          </w:tcPr>
          <w:p>
            <w:pPr>
              <w:rPr>
                <w:rFonts w:hint="eastAsia" w:eastAsia="宋体"/>
                <w:color w:val="auto"/>
                <w:highlight w:val="none"/>
                <w:lang w:eastAsia="zh-CN"/>
              </w:rPr>
            </w:pPr>
            <w:r>
              <w:rPr>
                <w:rFonts w:hint="eastAsia"/>
                <w:b/>
                <w:bCs/>
                <w:color w:val="auto"/>
                <w:highlight w:val="none"/>
              </w:rPr>
              <w:t>环境标志产品评审</w:t>
            </w:r>
            <w:r>
              <w:rPr>
                <w:rFonts w:hint="eastAsia"/>
                <w:b/>
                <w:bCs/>
                <w:color w:val="auto"/>
                <w:highlight w:val="none"/>
                <w:lang w:eastAsia="zh-CN"/>
              </w:rPr>
              <w:t>：</w:t>
            </w:r>
          </w:p>
          <w:p>
            <w:pP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投标产品列入财政部、生态环境部等部门发布的“环境标志产品品目清单”，且获得指定认证机构出具的环境标志产品认证证书的，每项产品得</w:t>
            </w:r>
            <w:r>
              <w:rPr>
                <w:color w:val="auto"/>
                <w:highlight w:val="none"/>
              </w:rPr>
              <w:t>0.5</w:t>
            </w:r>
            <w:r>
              <w:rPr>
                <w:rFonts w:hint="eastAsia"/>
                <w:color w:val="auto"/>
                <w:highlight w:val="none"/>
              </w:rPr>
              <w:t>分，最高得</w:t>
            </w:r>
            <w:r>
              <w:rPr>
                <w:color w:val="auto"/>
                <w:highlight w:val="none"/>
              </w:rPr>
              <w:t>2</w:t>
            </w:r>
            <w:r>
              <w:rPr>
                <w:rFonts w:hint="eastAsia"/>
                <w:color w:val="auto"/>
                <w:highlight w:val="none"/>
              </w:rPr>
              <w:t>分</w:t>
            </w:r>
            <w:r>
              <w:rPr>
                <w:color w:val="auto"/>
                <w:highlight w:val="none"/>
              </w:rPr>
              <w:t>。</w:t>
            </w:r>
            <w:r>
              <w:rPr>
                <w:rFonts w:hint="eastAsia"/>
                <w:color w:val="auto"/>
                <w:highlight w:val="none"/>
                <w:lang w:eastAsia="zh-CN"/>
              </w:rPr>
              <w:t>（</w:t>
            </w:r>
            <w:r>
              <w:rPr>
                <w:rFonts w:hint="eastAsia"/>
                <w:color w:val="auto"/>
                <w:highlight w:val="none"/>
              </w:rPr>
              <w:t>投标人</w:t>
            </w:r>
            <w:r>
              <w:rPr>
                <w:color w:val="auto"/>
                <w:highlight w:val="none"/>
              </w:rPr>
              <w:t>须提供国家确定的认证机构出具的、处于有效期之内的环境标志产品认证证书复印件，否则不得分。</w:t>
            </w:r>
            <w:r>
              <w:rPr>
                <w:rFonts w:hint="eastAsia"/>
                <w:color w:val="auto"/>
                <w:highlight w:val="none"/>
                <w:lang w:eastAsia="zh-CN"/>
              </w:rPr>
              <w:t>）</w:t>
            </w:r>
            <w:r>
              <w:rPr>
                <w:rFonts w:hint="eastAsia"/>
                <w:color w:val="auto"/>
                <w:highlight w:val="none"/>
              </w:rPr>
              <w:t>（0-2）</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0-</w:t>
            </w:r>
            <w:r>
              <w:rPr>
                <w:color w:val="auto"/>
                <w:highlight w:val="none"/>
              </w:rPr>
              <w:t>2</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客观分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4" w:hRule="atLeast"/>
          <w:jc w:val="center"/>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bidi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商务资信</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7</w:t>
            </w:r>
          </w:p>
        </w:tc>
        <w:tc>
          <w:tcPr>
            <w:tcW w:w="6852" w:type="dxa"/>
            <w:tcBorders>
              <w:top w:val="single" w:color="000000" w:sz="4" w:space="0"/>
              <w:left w:val="single" w:color="000000" w:sz="4" w:space="0"/>
              <w:bottom w:val="single" w:color="000000" w:sz="4" w:space="0"/>
              <w:right w:val="single" w:color="000000" w:sz="4" w:space="0"/>
            </w:tcBorders>
            <w:shd w:val="clear" w:color="auto" w:fill="auto"/>
            <w:vAlign w:val="top"/>
          </w:tcPr>
          <w:p>
            <w:pPr>
              <w:rPr>
                <w:rFonts w:hint="eastAsia"/>
                <w:b/>
                <w:bCs/>
                <w:color w:val="auto"/>
                <w:highlight w:val="none"/>
                <w:lang w:val="en-US" w:eastAsia="zh-CN"/>
              </w:rPr>
            </w:pPr>
            <w:r>
              <w:rPr>
                <w:rFonts w:hint="eastAsia"/>
                <w:b/>
                <w:bCs/>
                <w:color w:val="auto"/>
                <w:highlight w:val="none"/>
                <w:lang w:val="en-US" w:eastAsia="zh-CN"/>
              </w:rPr>
              <w:t>业绩经验：</w:t>
            </w:r>
          </w:p>
          <w:p>
            <w:pP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投标人投标截止时间前三年（以合同签订时间为准）的同类案例，每个案例需提供合同、发票和验收报告复印件，每个案例得</w:t>
            </w:r>
            <w:r>
              <w:rPr>
                <w:color w:val="auto"/>
                <w:highlight w:val="none"/>
              </w:rPr>
              <w:t>1</w:t>
            </w:r>
            <w:r>
              <w:rPr>
                <w:rFonts w:hint="eastAsia"/>
                <w:color w:val="auto"/>
                <w:highlight w:val="none"/>
              </w:rPr>
              <w:t>分，最高得2分（同类案例是指采购标的</w:t>
            </w:r>
            <w:r>
              <w:rPr>
                <w:rFonts w:hint="eastAsia"/>
                <w:color w:val="auto"/>
                <w:highlight w:val="none"/>
                <w:lang w:val="en-US" w:eastAsia="zh-CN"/>
              </w:rPr>
              <w:t>为含有桌台类或椅凳类或其他柜类</w:t>
            </w:r>
            <w:r>
              <w:rPr>
                <w:rFonts w:hint="eastAsia"/>
                <w:color w:val="auto"/>
                <w:highlight w:val="none"/>
              </w:rPr>
              <w:t>的产品案例）。（0-2）</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0-</w:t>
            </w:r>
            <w:r>
              <w:rPr>
                <w:color w:val="auto"/>
                <w:highlight w:val="none"/>
              </w:rPr>
              <w:t>2</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color w:val="auto"/>
                <w:highlight w:val="none"/>
              </w:rPr>
              <w:t>客观分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4" w:hRule="atLeast"/>
          <w:jc w:val="center"/>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bidi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技术</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8</w:t>
            </w:r>
          </w:p>
        </w:tc>
        <w:tc>
          <w:tcPr>
            <w:tcW w:w="6852" w:type="dxa"/>
            <w:tcBorders>
              <w:top w:val="single" w:color="000000" w:sz="4" w:space="0"/>
              <w:left w:val="single" w:color="000000" w:sz="4" w:space="0"/>
              <w:bottom w:val="single" w:color="000000" w:sz="4" w:space="0"/>
              <w:right w:val="single" w:color="000000" w:sz="4" w:space="0"/>
            </w:tcBorders>
            <w:shd w:val="clear" w:color="auto" w:fill="auto"/>
            <w:vAlign w:val="top"/>
          </w:tcPr>
          <w:p>
            <w:pPr>
              <w:rPr>
                <w:color w:val="auto"/>
                <w:highlight w:val="none"/>
              </w:rPr>
            </w:pPr>
            <w:r>
              <w:rPr>
                <w:rFonts w:hint="eastAsia"/>
                <w:b w:val="0"/>
                <w:bCs w:val="0"/>
                <w:color w:val="auto"/>
                <w:highlight w:val="none"/>
              </w:rPr>
              <w:t>投标人提供与采购标的相关的外观、结构、工艺及技术专利（发明、实用新型、外观设计得分不同，专利须在保护期内）：</w:t>
            </w:r>
          </w:p>
          <w:p>
            <w:pPr>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rPr>
              <w:t>每项发明专利得1分，最高得2分；</w:t>
            </w:r>
          </w:p>
          <w:p>
            <w:pPr>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rPr>
              <w:t>每项实用新型专利得0.5分，最高得1分；</w:t>
            </w:r>
          </w:p>
          <w:p>
            <w:pPr>
              <w:rPr>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eastAsia"/>
                <w:color w:val="auto"/>
                <w:highlight w:val="none"/>
              </w:rPr>
              <w:t>每项外观专利得0.25分，最高得0.5分。</w:t>
            </w:r>
          </w:p>
          <w:p>
            <w:pP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（注：需</w:t>
            </w:r>
            <w:r>
              <w:rPr>
                <w:rFonts w:hint="eastAsia"/>
                <w:color w:val="auto"/>
                <w:highlight w:val="none"/>
              </w:rPr>
              <w:t>提供专利证书复印件，</w:t>
            </w:r>
            <w:r>
              <w:rPr>
                <w:rFonts w:hint="eastAsia"/>
                <w:color w:val="auto"/>
                <w:highlight w:val="none"/>
                <w:lang w:val="en-US" w:eastAsia="zh-CN"/>
              </w:rPr>
              <w:t>不提供不得分。</w:t>
            </w:r>
            <w:r>
              <w:rPr>
                <w:rFonts w:hint="eastAsia"/>
                <w:color w:val="auto"/>
                <w:highlight w:val="none"/>
              </w:rPr>
              <w:t>本项最高得2分。</w:t>
            </w:r>
            <w:r>
              <w:rPr>
                <w:rFonts w:hint="eastAsia"/>
                <w:color w:val="auto"/>
                <w:highlight w:val="none"/>
                <w:lang w:val="en-US" w:eastAsia="zh-CN"/>
              </w:rPr>
              <w:t>）</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0-</w:t>
            </w:r>
            <w:r>
              <w:rPr>
                <w:color w:val="auto"/>
                <w:highlight w:val="none"/>
              </w:rPr>
              <w:t>2</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color w:val="auto"/>
                <w:highlight w:val="none"/>
              </w:rPr>
              <w:t>客观分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4" w:hRule="atLeast"/>
          <w:jc w:val="center"/>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bidi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技术</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9</w:t>
            </w:r>
          </w:p>
        </w:tc>
        <w:tc>
          <w:tcPr>
            <w:tcW w:w="6852" w:type="dxa"/>
            <w:tcBorders>
              <w:top w:val="single" w:color="000000" w:sz="4" w:space="0"/>
              <w:left w:val="single" w:color="000000" w:sz="4" w:space="0"/>
              <w:bottom w:val="single" w:color="000000" w:sz="4" w:space="0"/>
              <w:right w:val="single" w:color="000000" w:sz="4" w:space="0"/>
            </w:tcBorders>
            <w:shd w:val="clear" w:color="auto" w:fill="auto"/>
            <w:vAlign w:val="top"/>
          </w:tcPr>
          <w:p>
            <w:pPr>
              <w:rPr>
                <w:rFonts w:hint="default" w:eastAsia="宋体"/>
                <w:color w:val="auto"/>
                <w:highlight w:val="none"/>
                <w:lang w:val="en-US" w:eastAsia="zh-CN"/>
              </w:rPr>
            </w:pPr>
            <w:r>
              <w:rPr>
                <w:rFonts w:hint="eastAsia"/>
                <w:color w:val="auto"/>
                <w:highlight w:val="none"/>
              </w:rPr>
              <w:t>须提供符合核心技术性能要求的与采购标的同品类（序号1:办公桌、序号29:文件柜）成品检测报告（</w:t>
            </w:r>
            <w:r>
              <w:rPr>
                <w:rFonts w:hint="eastAsia"/>
                <w:color w:val="auto"/>
                <w:highlight w:val="none"/>
                <w:lang w:val="en-US" w:eastAsia="zh-CN"/>
              </w:rPr>
              <w:t>两</w:t>
            </w:r>
            <w:r>
              <w:rPr>
                <w:rFonts w:hint="eastAsia"/>
                <w:color w:val="auto"/>
                <w:highlight w:val="none"/>
              </w:rPr>
              <w:t>年内有效，开标当天日期</w:t>
            </w:r>
            <w:r>
              <w:rPr>
                <w:rFonts w:hint="eastAsia"/>
                <w:color w:val="auto"/>
                <w:highlight w:val="none"/>
                <w:lang w:val="en-US" w:eastAsia="zh-CN"/>
              </w:rPr>
              <w:t>两</w:t>
            </w:r>
            <w:r>
              <w:rPr>
                <w:rFonts w:hint="eastAsia"/>
                <w:color w:val="auto"/>
                <w:highlight w:val="none"/>
              </w:rPr>
              <w:t>年内，含</w:t>
            </w:r>
            <w:r>
              <w:rPr>
                <w:rFonts w:hint="eastAsia"/>
                <w:color w:val="auto"/>
                <w:highlight w:val="none"/>
                <w:lang w:val="en-US" w:eastAsia="zh-CN"/>
              </w:rPr>
              <w:t>两</w:t>
            </w:r>
            <w:r>
              <w:rPr>
                <w:rFonts w:hint="eastAsia"/>
                <w:color w:val="auto"/>
                <w:highlight w:val="none"/>
              </w:rPr>
              <w:t>年前同一天）</w:t>
            </w:r>
            <w:r>
              <w:rPr>
                <w:rFonts w:hint="eastAsia"/>
                <w:color w:val="auto"/>
                <w:highlight w:val="none"/>
                <w:lang w:eastAsia="zh-CN"/>
              </w:rPr>
              <w:t>，</w:t>
            </w:r>
            <w:r>
              <w:rPr>
                <w:rFonts w:hint="eastAsia"/>
                <w:color w:val="auto"/>
                <w:highlight w:val="none"/>
              </w:rPr>
              <w:t>检测报告</w:t>
            </w:r>
            <w:r>
              <w:rPr>
                <w:rFonts w:hint="eastAsia"/>
                <w:color w:val="auto"/>
                <w:highlight w:val="none"/>
                <w:lang w:eastAsia="zh-CN"/>
              </w:rPr>
              <w:t>必须</w:t>
            </w:r>
            <w:r>
              <w:rPr>
                <w:rFonts w:hint="eastAsia"/>
                <w:color w:val="auto"/>
                <w:highlight w:val="none"/>
              </w:rPr>
              <w:t>由具有CMA资质的第三方检测机构出具</w:t>
            </w:r>
            <w:r>
              <w:rPr>
                <w:rFonts w:hint="eastAsia"/>
                <w:color w:val="auto"/>
                <w:highlight w:val="none"/>
                <w:lang w:eastAsia="zh-CN"/>
              </w:rPr>
              <w:t>，</w:t>
            </w:r>
            <w:r>
              <w:rPr>
                <w:rFonts w:hint="eastAsia"/>
                <w:color w:val="auto"/>
                <w:highlight w:val="none"/>
                <w:lang w:val="en-US" w:eastAsia="zh-CN"/>
              </w:rPr>
              <w:t>否则</w:t>
            </w:r>
            <w:r>
              <w:rPr>
                <w:rFonts w:hint="eastAsia"/>
                <w:color w:val="auto"/>
                <w:highlight w:val="none"/>
              </w:rPr>
              <w:t>不得分</w:t>
            </w:r>
            <w:r>
              <w:rPr>
                <w:rFonts w:hint="eastAsia"/>
                <w:color w:val="auto"/>
                <w:highlight w:val="none"/>
                <w:lang w:eastAsia="zh-CN"/>
              </w:rPr>
              <w:t>。</w:t>
            </w:r>
            <w:r>
              <w:rPr>
                <w:rFonts w:hint="eastAsia"/>
                <w:color w:val="auto"/>
                <w:highlight w:val="none"/>
              </w:rPr>
              <w:t>每</w:t>
            </w:r>
            <w:r>
              <w:rPr>
                <w:rFonts w:hint="eastAsia"/>
                <w:color w:val="auto"/>
                <w:highlight w:val="none"/>
                <w:lang w:val="en-US" w:eastAsia="zh-CN"/>
              </w:rPr>
              <w:t>类产品最高得</w:t>
            </w:r>
            <w:r>
              <w:rPr>
                <w:rFonts w:hint="eastAsia"/>
                <w:color w:val="auto"/>
                <w:highlight w:val="none"/>
              </w:rPr>
              <w:t>2分，</w:t>
            </w:r>
            <w:r>
              <w:rPr>
                <w:rFonts w:hint="eastAsia"/>
                <w:color w:val="auto"/>
                <w:highlight w:val="none"/>
                <w:lang w:val="en-US" w:eastAsia="zh-CN"/>
              </w:rPr>
              <w:t>本项最高得</w:t>
            </w:r>
            <w:r>
              <w:rPr>
                <w:rFonts w:hint="eastAsia"/>
                <w:color w:val="auto"/>
                <w:highlight w:val="none"/>
              </w:rPr>
              <w:t>4分。</w:t>
            </w:r>
            <w:r>
              <w:rPr>
                <w:rFonts w:hint="eastAsia"/>
                <w:color w:val="auto"/>
                <w:highlight w:val="none"/>
                <w:lang w:eastAsia="zh-CN"/>
              </w:rPr>
              <w:t>（</w:t>
            </w:r>
            <w:r>
              <w:rPr>
                <w:rFonts w:hint="eastAsia"/>
                <w:color w:val="auto"/>
                <w:highlight w:val="none"/>
                <w:lang w:val="en-US" w:eastAsia="zh-CN"/>
              </w:rPr>
              <w:t>0-4）</w:t>
            </w:r>
          </w:p>
          <w:p>
            <w:pPr>
              <w:rPr>
                <w:color w:val="auto"/>
                <w:highlight w:val="none"/>
              </w:rPr>
            </w:pPr>
            <w:r>
              <w:rPr>
                <w:rFonts w:hint="eastAsia"/>
                <w:color w:val="auto"/>
                <w:highlight w:val="none"/>
                <w:lang w:val="en-US" w:eastAsia="zh-CN"/>
              </w:rPr>
              <w:t>每项产品</w:t>
            </w:r>
            <w:r>
              <w:rPr>
                <w:rFonts w:hint="eastAsia"/>
                <w:color w:val="auto"/>
                <w:highlight w:val="none"/>
              </w:rPr>
              <w:t>核心技术指标评分内容如下：</w:t>
            </w:r>
          </w:p>
          <w:p>
            <w:pPr>
              <w:rPr>
                <w:rFonts w:hint="eastAsia" w:eastAsia="宋体"/>
                <w:color w:val="auto"/>
                <w:highlight w:val="none"/>
                <w:lang w:eastAsia="zh-CN"/>
              </w:rPr>
            </w:pPr>
            <w:r>
              <w:rPr>
                <w:rFonts w:hint="eastAsia"/>
                <w:color w:val="auto"/>
                <w:highlight w:val="none"/>
              </w:rPr>
              <w:t>1.产品涉及的</w:t>
            </w:r>
            <w:r>
              <w:rPr>
                <w:rFonts w:hint="eastAsia"/>
                <w:color w:val="auto"/>
                <w:highlight w:val="none"/>
                <w:lang w:val="en-US" w:eastAsia="zh-CN"/>
              </w:rPr>
              <w:t>表面</w:t>
            </w:r>
            <w:r>
              <w:rPr>
                <w:rFonts w:hint="eastAsia"/>
                <w:color w:val="auto"/>
                <w:highlight w:val="none"/>
              </w:rPr>
              <w:t>理化性能（如：漆膜、软硬质覆面、金属件、封边条表面胶合强度等），符合得1分</w:t>
            </w:r>
            <w:r>
              <w:rPr>
                <w:rFonts w:hint="eastAsia"/>
                <w:color w:val="auto"/>
                <w:highlight w:val="none"/>
                <w:lang w:eastAsia="zh-CN"/>
              </w:rPr>
              <w:t>，</w:t>
            </w:r>
            <w:r>
              <w:rPr>
                <w:rFonts w:hint="eastAsia"/>
                <w:color w:val="auto"/>
                <w:highlight w:val="none"/>
                <w:lang w:val="en-US" w:eastAsia="zh-CN"/>
              </w:rPr>
              <w:t>不符合不得分</w:t>
            </w:r>
            <w:r>
              <w:rPr>
                <w:rFonts w:hint="eastAsia"/>
                <w:color w:val="auto"/>
                <w:highlight w:val="none"/>
              </w:rPr>
              <w:t>。</w:t>
            </w:r>
            <w:r>
              <w:rPr>
                <w:rFonts w:hint="eastAsia"/>
                <w:color w:val="auto"/>
                <w:highlight w:val="none"/>
                <w:lang w:eastAsia="zh-CN"/>
              </w:rPr>
              <w:t>（</w:t>
            </w:r>
            <w:r>
              <w:rPr>
                <w:rFonts w:hint="eastAsia"/>
                <w:color w:val="auto"/>
                <w:highlight w:val="none"/>
                <w:lang w:val="en-US" w:eastAsia="zh-CN"/>
              </w:rPr>
              <w:t>0-1</w:t>
            </w:r>
            <w:r>
              <w:rPr>
                <w:rFonts w:hint="eastAsia"/>
                <w:color w:val="auto"/>
                <w:highlight w:val="none"/>
                <w:lang w:eastAsia="zh-CN"/>
              </w:rPr>
              <w:t>）</w:t>
            </w:r>
          </w:p>
          <w:p>
            <w:pPr>
              <w:rPr>
                <w:color w:val="auto"/>
                <w:highlight w:val="none"/>
              </w:rPr>
            </w:pPr>
            <w:r>
              <w:rPr>
                <w:rFonts w:hint="eastAsia"/>
                <w:color w:val="auto"/>
                <w:highlight w:val="none"/>
              </w:rPr>
              <w:t>2.甲醛释放量按对应的国家标准执行评分（选取两项中的其中一项）（0-1）：</w:t>
            </w:r>
          </w:p>
          <w:p>
            <w:pPr>
              <w:rPr>
                <w:color w:val="auto"/>
                <w:highlight w:val="none"/>
              </w:rPr>
            </w:pPr>
            <w:r>
              <w:rPr>
                <w:rFonts w:hint="eastAsia"/>
                <w:color w:val="auto"/>
                <w:highlight w:val="none"/>
              </w:rPr>
              <w:t>1）试验方法GB/T 17657或GB 18580-2017中规定的1m</w:t>
            </w:r>
            <w:r>
              <w:rPr>
                <w:rFonts w:hint="eastAsia"/>
                <w:color w:val="auto"/>
                <w:highlight w:val="none"/>
                <w:vertAlign w:val="superscript"/>
              </w:rPr>
              <w:t>3</w:t>
            </w:r>
            <w:r>
              <w:rPr>
                <w:rFonts w:hint="eastAsia"/>
                <w:color w:val="auto"/>
                <w:highlight w:val="none"/>
              </w:rPr>
              <w:t>气候箱法进行，甲醛释放量≤0.05mg/m</w:t>
            </w:r>
            <w:r>
              <w:rPr>
                <w:rFonts w:hint="eastAsia"/>
                <w:color w:val="auto"/>
                <w:highlight w:val="none"/>
                <w:vertAlign w:val="superscript"/>
              </w:rPr>
              <w:t>3</w:t>
            </w:r>
            <w:r>
              <w:rPr>
                <w:rFonts w:hint="eastAsia"/>
                <w:color w:val="auto"/>
                <w:highlight w:val="none"/>
              </w:rPr>
              <w:t>得1分</w:t>
            </w:r>
            <w:r>
              <w:rPr>
                <w:rFonts w:hint="eastAsia"/>
                <w:color w:val="auto"/>
                <w:highlight w:val="none"/>
                <w:lang w:eastAsia="zh-CN"/>
              </w:rPr>
              <w:t>，</w:t>
            </w:r>
            <w:r>
              <w:rPr>
                <w:rFonts w:hint="eastAsia"/>
                <w:color w:val="auto"/>
                <w:highlight w:val="none"/>
              </w:rPr>
              <w:t>0.05（不含）～0.124mg/m</w:t>
            </w:r>
            <w:r>
              <w:rPr>
                <w:rFonts w:hint="eastAsia"/>
                <w:color w:val="auto"/>
                <w:highlight w:val="none"/>
                <w:vertAlign w:val="superscript"/>
              </w:rPr>
              <w:t>3</w:t>
            </w:r>
            <w:r>
              <w:rPr>
                <w:rFonts w:hint="eastAsia"/>
                <w:color w:val="auto"/>
                <w:highlight w:val="none"/>
              </w:rPr>
              <w:t>得0.5分；</w:t>
            </w:r>
          </w:p>
          <w:p>
            <w:pP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2）试验方法GB/T 17657或GB 18580-2017中规定的24h干燥法进行，甲醛释放量≤0.5mg/L得1分</w:t>
            </w:r>
            <w:r>
              <w:rPr>
                <w:rFonts w:hint="eastAsia"/>
                <w:color w:val="auto"/>
                <w:highlight w:val="none"/>
                <w:lang w:eastAsia="zh-CN"/>
              </w:rPr>
              <w:t>，</w:t>
            </w:r>
            <w:r>
              <w:rPr>
                <w:rFonts w:hint="eastAsia"/>
                <w:color w:val="auto"/>
                <w:highlight w:val="none"/>
              </w:rPr>
              <w:t>0.5（不含）～1.5mg/L得0.</w:t>
            </w:r>
            <w:r>
              <w:rPr>
                <w:rFonts w:hint="eastAsia"/>
                <w:color w:val="auto"/>
                <w:highlight w:val="none"/>
                <w:lang w:val="en-US" w:eastAsia="zh-CN"/>
              </w:rPr>
              <w:t>5</w:t>
            </w:r>
            <w:r>
              <w:rPr>
                <w:rFonts w:hint="eastAsia"/>
                <w:color w:val="auto"/>
                <w:highlight w:val="none"/>
              </w:rPr>
              <w:t>分。</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0-4</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color w:val="auto"/>
                <w:highlight w:val="none"/>
              </w:rPr>
              <w:t>客观分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4" w:hRule="atLeast"/>
          <w:jc w:val="center"/>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bidi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技术</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10</w:t>
            </w:r>
          </w:p>
        </w:tc>
        <w:tc>
          <w:tcPr>
            <w:tcW w:w="6852" w:type="dxa"/>
            <w:tcBorders>
              <w:top w:val="single" w:color="000000" w:sz="4" w:space="0"/>
              <w:left w:val="single" w:color="000000" w:sz="4" w:space="0"/>
              <w:bottom w:val="single" w:color="000000" w:sz="4" w:space="0"/>
              <w:right w:val="single" w:color="000000" w:sz="4" w:space="0"/>
            </w:tcBorders>
            <w:shd w:val="clear" w:color="auto" w:fill="auto"/>
            <w:vAlign w:val="top"/>
          </w:tcPr>
          <w:p>
            <w:pPr>
              <w:rPr>
                <w:color w:val="auto"/>
                <w:highlight w:val="none"/>
              </w:rPr>
            </w:pPr>
            <w:r>
              <w:rPr>
                <w:rFonts w:hint="eastAsia"/>
                <w:color w:val="auto"/>
                <w:highlight w:val="none"/>
              </w:rPr>
              <w:t>提供符合国家标准或行业标准要求的主要原材料（水性皮（PVC仿皮）、冷轧钢板、中密度纤维板）的检测报告（在投标截止日期前两年内）</w:t>
            </w:r>
            <w:r>
              <w:rPr>
                <w:rFonts w:hint="eastAsia"/>
                <w:color w:val="auto"/>
                <w:highlight w:val="none"/>
                <w:lang w:eastAsia="zh-CN"/>
              </w:rPr>
              <w:t>，检测报告必须由具有CMA资质的第三方检测机构出具，</w:t>
            </w:r>
            <w:r>
              <w:rPr>
                <w:rFonts w:hint="eastAsia"/>
                <w:color w:val="auto"/>
                <w:highlight w:val="none"/>
                <w:lang w:val="en-US" w:eastAsia="zh-CN"/>
              </w:rPr>
              <w:t>否则不得分</w:t>
            </w:r>
            <w:r>
              <w:rPr>
                <w:rFonts w:hint="eastAsia"/>
                <w:color w:val="auto"/>
                <w:highlight w:val="none"/>
                <w:lang w:eastAsia="zh-CN"/>
              </w:rPr>
              <w:t>。</w:t>
            </w:r>
            <w:r>
              <w:rPr>
                <w:rFonts w:hint="eastAsia"/>
                <w:color w:val="auto"/>
                <w:highlight w:val="none"/>
              </w:rPr>
              <w:t>每提供一个种类的原材料检测报告</w:t>
            </w:r>
            <w:r>
              <w:rPr>
                <w:rFonts w:hint="eastAsia"/>
                <w:color w:val="auto"/>
                <w:highlight w:val="none"/>
                <w:lang w:val="en-US" w:eastAsia="zh-CN"/>
              </w:rPr>
              <w:t>最高</w:t>
            </w:r>
            <w:r>
              <w:rPr>
                <w:rFonts w:hint="eastAsia"/>
                <w:color w:val="auto"/>
                <w:highlight w:val="none"/>
              </w:rPr>
              <w:t>得</w:t>
            </w:r>
            <w:r>
              <w:rPr>
                <w:rFonts w:hint="eastAsia"/>
                <w:color w:val="auto"/>
                <w:highlight w:val="none"/>
                <w:lang w:val="en-US" w:eastAsia="zh-CN"/>
              </w:rPr>
              <w:t>2</w:t>
            </w:r>
            <w:r>
              <w:rPr>
                <w:rFonts w:hint="eastAsia"/>
                <w:color w:val="auto"/>
                <w:highlight w:val="none"/>
              </w:rPr>
              <w:t>分，</w:t>
            </w:r>
            <w:r>
              <w:rPr>
                <w:rFonts w:hint="eastAsia"/>
                <w:color w:val="auto"/>
                <w:highlight w:val="none"/>
                <w:lang w:val="en-US" w:eastAsia="zh-CN"/>
              </w:rPr>
              <w:t>本项</w:t>
            </w:r>
            <w:r>
              <w:rPr>
                <w:rFonts w:hint="eastAsia"/>
                <w:color w:val="auto"/>
                <w:highlight w:val="none"/>
              </w:rPr>
              <w:t>最高得</w:t>
            </w:r>
            <w:r>
              <w:rPr>
                <w:rFonts w:hint="eastAsia"/>
                <w:color w:val="auto"/>
                <w:highlight w:val="none"/>
                <w:lang w:val="en-US" w:eastAsia="zh-CN"/>
              </w:rPr>
              <w:t>6</w:t>
            </w:r>
            <w:r>
              <w:rPr>
                <w:rFonts w:hint="eastAsia"/>
                <w:color w:val="auto"/>
                <w:highlight w:val="none"/>
              </w:rPr>
              <w:t>分。（0-6）</w:t>
            </w:r>
          </w:p>
          <w:p>
            <w:pPr>
              <w:rPr>
                <w:color w:val="auto"/>
                <w:highlight w:val="none"/>
              </w:rPr>
            </w:pPr>
            <w:r>
              <w:rPr>
                <w:rFonts w:hint="eastAsia"/>
                <w:color w:val="auto"/>
                <w:highlight w:val="none"/>
                <w:lang w:eastAsia="zh-CN"/>
              </w:rPr>
              <w:t>（</w:t>
            </w:r>
            <w:r>
              <w:rPr>
                <w:rFonts w:hint="eastAsia"/>
                <w:color w:val="auto"/>
                <w:highlight w:val="none"/>
              </w:rPr>
              <w:t>1）水性皮（PVC仿皮）</w:t>
            </w:r>
            <w:r>
              <w:rPr>
                <w:rFonts w:hint="eastAsia"/>
                <w:color w:val="auto"/>
                <w:highlight w:val="none"/>
                <w:lang w:eastAsia="zh-CN"/>
              </w:rPr>
              <w:t>：</w:t>
            </w:r>
            <w:r>
              <w:rPr>
                <w:rFonts w:hint="eastAsia"/>
                <w:color w:val="auto"/>
                <w:highlight w:val="none"/>
              </w:rPr>
              <w:t>皮革中五氯苯酚（PCP）-其他未检出；禁用偶氮染料未检出</w:t>
            </w:r>
            <w:r>
              <w:rPr>
                <w:rFonts w:hint="eastAsia"/>
                <w:color w:val="auto"/>
                <w:highlight w:val="none"/>
                <w:lang w:eastAsia="zh-CN"/>
              </w:rPr>
              <w:t>；</w:t>
            </w:r>
            <w:r>
              <w:rPr>
                <w:rFonts w:hint="eastAsia"/>
                <w:color w:val="auto"/>
                <w:highlight w:val="none"/>
              </w:rPr>
              <w:t>游离甲醛未检出</w:t>
            </w:r>
            <w:r>
              <w:rPr>
                <w:rFonts w:hint="eastAsia"/>
                <w:color w:val="auto"/>
                <w:highlight w:val="none"/>
                <w:lang w:eastAsia="zh-CN"/>
              </w:rPr>
              <w:t>；</w:t>
            </w:r>
            <w:r>
              <w:rPr>
                <w:rFonts w:hint="eastAsia"/>
                <w:color w:val="auto"/>
                <w:highlight w:val="none"/>
              </w:rPr>
              <w:t>挥发性有机物（VOC）未检出</w:t>
            </w:r>
            <w:r>
              <w:rPr>
                <w:rFonts w:hint="eastAsia"/>
                <w:color w:val="auto"/>
                <w:highlight w:val="none"/>
                <w:lang w:eastAsia="zh-CN"/>
              </w:rPr>
              <w:t>；</w:t>
            </w:r>
            <w:r>
              <w:rPr>
                <w:rFonts w:hint="eastAsia"/>
                <w:color w:val="auto"/>
                <w:highlight w:val="none"/>
              </w:rPr>
              <w:t>可萃取重金属（铅、镉）未检出</w:t>
            </w:r>
            <w:r>
              <w:rPr>
                <w:rFonts w:hint="eastAsia"/>
                <w:color w:val="auto"/>
                <w:highlight w:val="none"/>
                <w:lang w:eastAsia="zh-CN"/>
              </w:rPr>
              <w:t>。</w:t>
            </w:r>
            <w:r>
              <w:rPr>
                <w:rFonts w:hint="eastAsia"/>
                <w:color w:val="auto"/>
                <w:highlight w:val="none"/>
              </w:rPr>
              <w:t>五项均符合得2分；其中一项不符合</w:t>
            </w:r>
            <w:r>
              <w:rPr>
                <w:rFonts w:hint="eastAsia"/>
                <w:color w:val="auto"/>
                <w:highlight w:val="none"/>
                <w:lang w:val="en-US" w:eastAsia="zh-CN"/>
              </w:rPr>
              <w:t>得</w:t>
            </w:r>
            <w:r>
              <w:rPr>
                <w:rFonts w:hint="eastAsia"/>
                <w:color w:val="auto"/>
                <w:highlight w:val="none"/>
              </w:rPr>
              <w:t>1分；两项及以上不符合得0分。（0-2）</w:t>
            </w:r>
          </w:p>
          <w:p>
            <w:pPr>
              <w:rPr>
                <w:color w:val="auto"/>
                <w:highlight w:val="none"/>
              </w:rPr>
            </w:pPr>
            <w:r>
              <w:rPr>
                <w:rFonts w:hint="eastAsia"/>
                <w:color w:val="auto"/>
                <w:highlight w:val="none"/>
                <w:lang w:eastAsia="zh-CN"/>
              </w:rPr>
              <w:t>（</w:t>
            </w:r>
            <w:r>
              <w:rPr>
                <w:rFonts w:hint="eastAsia"/>
                <w:color w:val="auto"/>
                <w:highlight w:val="none"/>
              </w:rPr>
              <w:t>2）冷轧钢板。</w:t>
            </w:r>
            <w:r>
              <w:rPr>
                <w:rFonts w:hint="eastAsia" w:cs="宋体" w:asciiTheme="minorEastAsia" w:hAnsiTheme="minorEastAsia" w:eastAsiaTheme="minorEastAsia"/>
                <w:color w:val="auto"/>
                <w:szCs w:val="21"/>
                <w:highlight w:val="none"/>
              </w:rPr>
              <w:t>涂层厚度合格；中型盐雾试验24h达10级；乙酸盐雾试验220h达10级；理化性能要求：金属喷漆（塑）涂层-硬度合格、冲击强度合格、耐腐蚀合格、附着力0级；弯曲试验合格。</w:t>
            </w:r>
            <w:r>
              <w:rPr>
                <w:rFonts w:hint="eastAsia"/>
                <w:color w:val="auto"/>
                <w:highlight w:val="none"/>
              </w:rPr>
              <w:t>五项均符合得2分；其中一项不符合</w:t>
            </w:r>
            <w:r>
              <w:rPr>
                <w:rFonts w:hint="eastAsia"/>
                <w:color w:val="auto"/>
                <w:highlight w:val="none"/>
                <w:lang w:val="en-US" w:eastAsia="zh-CN"/>
              </w:rPr>
              <w:t>得</w:t>
            </w:r>
            <w:r>
              <w:rPr>
                <w:rFonts w:hint="eastAsia"/>
                <w:color w:val="auto"/>
                <w:highlight w:val="none"/>
              </w:rPr>
              <w:t>1分；两项及以上不符合得0分。（0-2）</w:t>
            </w:r>
          </w:p>
          <w:p>
            <w:pP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eastAsia="zh-CN"/>
              </w:rPr>
              <w:t>（</w:t>
            </w:r>
            <w:r>
              <w:rPr>
                <w:rFonts w:hint="eastAsia"/>
                <w:color w:val="auto"/>
                <w:highlight w:val="none"/>
              </w:rPr>
              <w:t>3）中密度纤维板。</w:t>
            </w:r>
            <w:r>
              <w:rPr>
                <w:rFonts w:hint="eastAsia" w:cs="宋体" w:asciiTheme="minorEastAsia" w:hAnsiTheme="minorEastAsia" w:eastAsiaTheme="minorEastAsia"/>
                <w:color w:val="auto"/>
                <w:szCs w:val="21"/>
                <w:highlight w:val="none"/>
              </w:rPr>
              <w:t>甲醛释放量分级要求（气候箱法）ENF级≤0.025mg/m³；燃烧性能：燃烧性能等级-B1（B）合格；产品有害物质：苯、甲苯、二甲苯、TVOC均未检出。</w:t>
            </w:r>
            <w:r>
              <w:rPr>
                <w:rFonts w:hint="eastAsia" w:eastAsiaTheme="minorEastAsia"/>
                <w:color w:val="auto"/>
                <w:highlight w:val="none"/>
                <w:lang w:val="en-US" w:eastAsia="zh-CN"/>
              </w:rPr>
              <w:t>三</w:t>
            </w:r>
            <w:r>
              <w:rPr>
                <w:rFonts w:hint="eastAsia"/>
                <w:color w:val="auto"/>
                <w:highlight w:val="none"/>
              </w:rPr>
              <w:t>项均符合得2分；其中一项不符合</w:t>
            </w:r>
            <w:r>
              <w:rPr>
                <w:rFonts w:hint="eastAsia"/>
                <w:color w:val="auto"/>
                <w:highlight w:val="none"/>
                <w:lang w:val="en-US" w:eastAsia="zh-CN"/>
              </w:rPr>
              <w:t>得</w:t>
            </w:r>
            <w:r>
              <w:rPr>
                <w:rFonts w:hint="eastAsia"/>
                <w:color w:val="auto"/>
                <w:highlight w:val="none"/>
              </w:rPr>
              <w:t>1分；两项及以上不符合得0分。（0-2）</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0-</w:t>
            </w:r>
            <w:r>
              <w:rPr>
                <w:color w:val="auto"/>
                <w:highlight w:val="none"/>
              </w:rPr>
              <w:t>6</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color w:val="auto"/>
                <w:highlight w:val="none"/>
              </w:rPr>
              <w:t>客观分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4" w:hRule="atLeast"/>
          <w:jc w:val="center"/>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bidi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技术</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11</w:t>
            </w:r>
          </w:p>
        </w:tc>
        <w:tc>
          <w:tcPr>
            <w:tcW w:w="6852" w:type="dxa"/>
            <w:tcBorders>
              <w:top w:val="single" w:color="000000" w:sz="4" w:space="0"/>
              <w:left w:val="single" w:color="000000" w:sz="4" w:space="0"/>
              <w:bottom w:val="single" w:color="000000" w:sz="4" w:space="0"/>
              <w:right w:val="single" w:color="000000" w:sz="4" w:space="0"/>
            </w:tcBorders>
            <w:shd w:val="clear" w:color="auto" w:fill="auto"/>
            <w:vAlign w:val="top"/>
          </w:tcPr>
          <w:p>
            <w:pPr>
              <w:rPr>
                <w:color w:val="auto"/>
                <w:highlight w:val="none"/>
              </w:rPr>
            </w:pPr>
            <w:r>
              <w:rPr>
                <w:rFonts w:hint="eastAsia"/>
                <w:color w:val="auto"/>
                <w:highlight w:val="none"/>
              </w:rPr>
              <w:t>提供下列产品（序号3：办公桌、序号7：办公桌、序号29：文件柜、序号33：定制背景柜、序号39：密集柜）的三视图</w:t>
            </w:r>
            <w:r>
              <w:rPr>
                <w:rFonts w:hint="eastAsia"/>
                <w:color w:val="auto"/>
                <w:highlight w:val="none"/>
                <w:lang w:val="en-US" w:eastAsia="zh-CN"/>
              </w:rPr>
              <w:t>和</w:t>
            </w:r>
            <w:r>
              <w:rPr>
                <w:rFonts w:hint="eastAsia"/>
                <w:color w:val="auto"/>
                <w:highlight w:val="none"/>
              </w:rPr>
              <w:t>结构剖析图：</w:t>
            </w:r>
            <w:r>
              <w:rPr>
                <w:rFonts w:hint="eastAsia"/>
                <w:color w:val="auto"/>
                <w:highlight w:val="none"/>
                <w:lang w:eastAsia="zh-CN"/>
              </w:rPr>
              <w:t>（</w:t>
            </w:r>
            <w:r>
              <w:rPr>
                <w:rFonts w:hint="eastAsia"/>
                <w:color w:val="auto"/>
                <w:highlight w:val="none"/>
                <w:lang w:val="en-US" w:eastAsia="zh-CN"/>
              </w:rPr>
              <w:t>0-5</w:t>
            </w:r>
            <w:r>
              <w:rPr>
                <w:rFonts w:hint="eastAsia"/>
                <w:color w:val="auto"/>
                <w:highlight w:val="none"/>
                <w:lang w:eastAsia="zh-CN"/>
              </w:rPr>
              <w:t>）</w:t>
            </w:r>
          </w:p>
          <w:p>
            <w:pPr>
              <w:rPr>
                <w:rFonts w:hint="eastAsia"/>
                <w:color w:val="auto"/>
                <w:highlight w:val="none"/>
              </w:rPr>
            </w:pPr>
            <w:r>
              <w:rPr>
                <w:rFonts w:hint="eastAsia"/>
                <w:color w:val="auto"/>
                <w:highlight w:val="none"/>
              </w:rPr>
              <w:t>每提供一种上述产品的三视图</w:t>
            </w:r>
            <w:r>
              <w:rPr>
                <w:rFonts w:hint="eastAsia"/>
                <w:color w:val="auto"/>
                <w:highlight w:val="none"/>
                <w:lang w:val="en-US" w:eastAsia="zh-CN"/>
              </w:rPr>
              <w:t>和</w:t>
            </w:r>
            <w:r>
              <w:rPr>
                <w:rFonts w:hint="eastAsia"/>
                <w:color w:val="auto"/>
                <w:highlight w:val="none"/>
              </w:rPr>
              <w:t>结构剖析图，</w:t>
            </w:r>
          </w:p>
          <w:p>
            <w:pPr>
              <w:rPr>
                <w:rFonts w:hint="eastAsia"/>
                <w:color w:val="auto"/>
                <w:highlight w:val="none"/>
              </w:rPr>
            </w:pPr>
            <w:r>
              <w:rPr>
                <w:rFonts w:hint="eastAsia"/>
                <w:color w:val="auto"/>
                <w:highlight w:val="none"/>
              </w:rPr>
              <w:t>完全符合规格尺寸、材质及技术参数的要求，且美观、合理、实用的</w:t>
            </w:r>
            <w:r>
              <w:rPr>
                <w:rFonts w:hint="eastAsia"/>
                <w:color w:val="auto"/>
                <w:highlight w:val="none"/>
                <w:lang w:eastAsia="zh-CN"/>
              </w:rPr>
              <w:t>，</w:t>
            </w:r>
            <w:r>
              <w:rPr>
                <w:rFonts w:hint="eastAsia"/>
                <w:color w:val="auto"/>
                <w:highlight w:val="none"/>
              </w:rPr>
              <w:t>得1分；</w:t>
            </w:r>
          </w:p>
          <w:p>
            <w:pPr>
              <w:rPr>
                <w:rFonts w:hint="eastAsia"/>
                <w:color w:val="auto"/>
                <w:highlight w:val="none"/>
              </w:rPr>
            </w:pPr>
            <w:r>
              <w:rPr>
                <w:rFonts w:hint="eastAsia"/>
                <w:color w:val="auto"/>
                <w:highlight w:val="none"/>
              </w:rPr>
              <w:t>符合规格尺寸、材质及技术参数的要求，且较美观、较合理、较实用的</w:t>
            </w:r>
            <w:r>
              <w:rPr>
                <w:rFonts w:hint="eastAsia"/>
                <w:color w:val="auto"/>
                <w:highlight w:val="none"/>
                <w:lang w:eastAsia="zh-CN"/>
              </w:rPr>
              <w:t>，</w:t>
            </w:r>
            <w:r>
              <w:rPr>
                <w:rFonts w:hint="eastAsia"/>
                <w:color w:val="auto"/>
                <w:highlight w:val="none"/>
              </w:rPr>
              <w:t>得0.5分；</w:t>
            </w:r>
          </w:p>
          <w:p>
            <w:pP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不符合规格尺寸的要求，或材质及技术参数的要求有一项不符合的，或虽然符合规格尺寸、材质及技术参数的要求，但不美观、不合理的</w:t>
            </w:r>
            <w:r>
              <w:rPr>
                <w:rFonts w:hint="eastAsia"/>
                <w:color w:val="auto"/>
                <w:highlight w:val="none"/>
                <w:lang w:eastAsia="zh-CN"/>
              </w:rPr>
              <w:t>，</w:t>
            </w:r>
            <w:r>
              <w:rPr>
                <w:rFonts w:hint="eastAsia"/>
                <w:color w:val="auto"/>
                <w:highlight w:val="none"/>
                <w:lang w:val="en-US" w:eastAsia="zh-CN"/>
              </w:rPr>
              <w:t>或未提供的，</w:t>
            </w:r>
            <w:r>
              <w:rPr>
                <w:rFonts w:hint="eastAsia"/>
                <w:color w:val="auto"/>
                <w:highlight w:val="none"/>
              </w:rPr>
              <w:t>得0分；</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0-5</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color w:val="auto"/>
                <w:highlight w:val="none"/>
              </w:rPr>
              <w:t>客观分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4" w:hRule="atLeast"/>
          <w:jc w:val="center"/>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bidi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技术</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12</w:t>
            </w:r>
          </w:p>
        </w:tc>
        <w:tc>
          <w:tcPr>
            <w:tcW w:w="6852" w:type="dxa"/>
            <w:tcBorders>
              <w:top w:val="single" w:color="000000" w:sz="4" w:space="0"/>
              <w:left w:val="single" w:color="000000" w:sz="4" w:space="0"/>
              <w:bottom w:val="single" w:color="000000" w:sz="4" w:space="0"/>
              <w:right w:val="single" w:color="000000" w:sz="4" w:space="0"/>
            </w:tcBorders>
            <w:shd w:val="clear" w:color="auto" w:fill="auto"/>
            <w:vAlign w:val="top"/>
          </w:tcPr>
          <w:p>
            <w:pPr>
              <w:rPr>
                <w:rFonts w:hint="eastAsia" w:ascii="Times New Roman" w:hAnsi="Times New Roman" w:eastAsia="宋体" w:cs="Times New Roman"/>
                <w:color w:val="auto"/>
                <w:kern w:val="2"/>
                <w:sz w:val="21"/>
                <w:szCs w:val="24"/>
                <w:highlight w:val="none"/>
                <w:lang w:val="en-US" w:eastAsia="zh-CN" w:bidi="ar-SA"/>
              </w:rPr>
            </w:pPr>
            <w:r>
              <w:rPr>
                <w:rFonts w:hint="eastAsia" w:cs="仿宋"/>
                <w:color w:val="auto"/>
                <w:highlight w:val="none"/>
              </w:rPr>
              <w:t>满足招标文件中带“◆”要求的全部技术指标得6分，需提供佐证材料证明，佐证材料包括具有CMA或CNAS标识的检测报告复印件（两年内有效，开标当天日期两年内，含两年前同一天），未提供佐证材料不得分。每满足一项得0.5分，最高得6分。</w:t>
            </w:r>
            <w:r>
              <w:rPr>
                <w:rFonts w:hint="eastAsia" w:cs="仿宋"/>
                <w:color w:val="auto"/>
                <w:highlight w:val="none"/>
                <w:lang w:eastAsia="zh-CN"/>
              </w:rPr>
              <w:t>（</w:t>
            </w:r>
            <w:r>
              <w:rPr>
                <w:rFonts w:hint="eastAsia" w:cs="仿宋"/>
                <w:color w:val="auto"/>
                <w:highlight w:val="none"/>
                <w:lang w:val="en-US" w:eastAsia="zh-CN"/>
              </w:rPr>
              <w:t>0-6</w:t>
            </w:r>
            <w:r>
              <w:rPr>
                <w:rFonts w:hint="eastAsia" w:cs="仿宋"/>
                <w:color w:val="auto"/>
                <w:highlight w:val="none"/>
                <w:lang w:eastAsia="zh-CN"/>
              </w:rPr>
              <w:t>）</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0-6</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color w:val="auto"/>
                <w:highlight w:val="none"/>
              </w:rPr>
              <w:t>客观分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4" w:hRule="atLeast"/>
          <w:jc w:val="center"/>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bidi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技术</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13</w:t>
            </w:r>
          </w:p>
        </w:tc>
        <w:tc>
          <w:tcPr>
            <w:tcW w:w="6852" w:type="dxa"/>
            <w:tcBorders>
              <w:top w:val="single" w:color="000000" w:sz="4" w:space="0"/>
              <w:left w:val="single" w:color="000000" w:sz="4" w:space="0"/>
              <w:bottom w:val="single" w:color="000000" w:sz="4" w:space="0"/>
              <w:right w:val="single" w:color="000000" w:sz="4" w:space="0"/>
            </w:tcBorders>
            <w:shd w:val="clear" w:color="auto" w:fill="auto"/>
            <w:vAlign w:val="top"/>
          </w:tcPr>
          <w:p>
            <w:pPr>
              <w:rPr>
                <w:color w:val="auto"/>
                <w:highlight w:val="none"/>
              </w:rPr>
            </w:pPr>
            <w:r>
              <w:rPr>
                <w:rFonts w:hint="eastAsia"/>
                <w:color w:val="auto"/>
                <w:highlight w:val="none"/>
              </w:rPr>
              <w:t>须提供投标人或生产厂家核心专业生产设备购置发票复印件，每项设备得0.5分，最高得4分。租赁设备的提供租赁合同。核心生产设备按品类，具体要求如下：</w:t>
            </w:r>
          </w:p>
          <w:p>
            <w:pPr>
              <w:rPr>
                <w:color w:val="auto"/>
                <w:highlight w:val="none"/>
              </w:rPr>
            </w:pPr>
            <w:r>
              <w:rPr>
                <w:rFonts w:hint="eastAsia"/>
                <w:color w:val="auto"/>
                <w:highlight w:val="none"/>
              </w:rPr>
              <w:t>1.人造板类：开料锯机、封边机、排钻床、冷压机、热压机、涂装设备、加工中心等；</w:t>
            </w:r>
          </w:p>
          <w:p>
            <w:pPr>
              <w:rPr>
                <w:color w:val="auto"/>
                <w:highlight w:val="none"/>
              </w:rPr>
            </w:pPr>
            <w:r>
              <w:rPr>
                <w:rFonts w:hint="eastAsia"/>
                <w:color w:val="auto"/>
                <w:highlight w:val="none"/>
              </w:rPr>
              <w:t>2.实木类：纵解锯机、横截锯机、平刨床、压刨床、拼板机、开榫机、加工中心、干燥房、涂装设备等；</w:t>
            </w:r>
          </w:p>
          <w:p>
            <w:pP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 xml:space="preserve">3.钢制类：切割设备、折弯机、焊接设备、涂装设备、冲床、钻床、加工中心等。 </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0-</w:t>
            </w:r>
            <w:r>
              <w:rPr>
                <w:color w:val="auto"/>
                <w:highlight w:val="none"/>
              </w:rPr>
              <w:t>4</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color w:val="auto"/>
                <w:highlight w:val="none"/>
              </w:rPr>
              <w:t>客观分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4" w:hRule="atLeast"/>
          <w:jc w:val="center"/>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bidi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技术</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14</w:t>
            </w:r>
          </w:p>
        </w:tc>
        <w:tc>
          <w:tcPr>
            <w:tcW w:w="6852" w:type="dxa"/>
            <w:tcBorders>
              <w:top w:val="single" w:color="000000" w:sz="4" w:space="0"/>
              <w:left w:val="single" w:color="000000" w:sz="4" w:space="0"/>
              <w:bottom w:val="single" w:color="000000" w:sz="4" w:space="0"/>
              <w:right w:val="single" w:color="000000" w:sz="4" w:space="0"/>
            </w:tcBorders>
            <w:shd w:val="clear" w:color="auto" w:fill="auto"/>
            <w:vAlign w:val="top"/>
          </w:tcPr>
          <w:p>
            <w:pPr>
              <w:rPr>
                <w:rFonts w:hint="eastAsia"/>
                <w:color w:val="auto"/>
                <w:highlight w:val="none"/>
              </w:rPr>
            </w:pPr>
            <w:r>
              <w:rPr>
                <w:rFonts w:hint="eastAsia"/>
                <w:color w:val="auto"/>
                <w:highlight w:val="none"/>
              </w:rPr>
              <w:t>具有稳定的技术支持团队，具备开展项目实施和技术支持、现场技术支援的能力。技术团队履历及能力说明，须提供项目负责人、专业技术人员的资格证（如有）、职称证明（如有），提供人员劳动合同（不提供不得分）。</w:t>
            </w:r>
          </w:p>
          <w:p>
            <w:pPr>
              <w:rPr>
                <w:rFonts w:hint="eastAsia"/>
                <w:color w:val="auto"/>
                <w:highlight w:val="none"/>
              </w:rPr>
            </w:pPr>
            <w:r>
              <w:rPr>
                <w:rFonts w:hint="eastAsia"/>
                <w:color w:val="auto"/>
                <w:highlight w:val="none"/>
              </w:rPr>
              <w:t>人员配置合理、技术能力好的得</w:t>
            </w:r>
            <w:r>
              <w:rPr>
                <w:color w:val="auto"/>
                <w:highlight w:val="none"/>
              </w:rPr>
              <w:t>3</w:t>
            </w:r>
            <w:r>
              <w:rPr>
                <w:rFonts w:hint="eastAsia"/>
                <w:color w:val="auto"/>
                <w:highlight w:val="none"/>
              </w:rPr>
              <w:t>分；</w:t>
            </w:r>
          </w:p>
          <w:p>
            <w:pPr>
              <w:rPr>
                <w:rFonts w:hint="eastAsia"/>
                <w:color w:val="auto"/>
                <w:highlight w:val="none"/>
              </w:rPr>
            </w:pPr>
            <w:r>
              <w:rPr>
                <w:rFonts w:hint="eastAsia"/>
                <w:color w:val="auto"/>
                <w:highlight w:val="none"/>
              </w:rPr>
              <w:t>人员配置基本合理、技术能力较好的得2分；</w:t>
            </w:r>
          </w:p>
          <w:p>
            <w:pPr>
              <w:rPr>
                <w:rFonts w:hint="eastAsia" w:ascii="Times New Roman" w:hAnsi="Times New Roman" w:eastAsia="仿宋" w:cs="Times New Roman"/>
                <w:color w:val="auto"/>
                <w:kern w:val="2"/>
                <w:sz w:val="21"/>
                <w:szCs w:val="24"/>
                <w:highlight w:val="none"/>
                <w:lang w:val="en-US" w:eastAsia="zh-CN" w:bidi="ar-SA"/>
              </w:rPr>
            </w:pPr>
            <w:r>
              <w:rPr>
                <w:rFonts w:hint="eastAsia"/>
                <w:color w:val="auto"/>
                <w:highlight w:val="none"/>
              </w:rPr>
              <w:t>人员配置一般、技术能力一般的得1分。</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1-</w:t>
            </w:r>
            <w:r>
              <w:rPr>
                <w:color w:val="auto"/>
                <w:highlight w:val="none"/>
              </w:rPr>
              <w:t>3</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color w:val="auto"/>
                <w:highlight w:val="none"/>
              </w:rPr>
              <w:t>主观分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4" w:hRule="atLeast"/>
          <w:jc w:val="center"/>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bidi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技术</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15</w:t>
            </w:r>
          </w:p>
        </w:tc>
        <w:tc>
          <w:tcPr>
            <w:tcW w:w="6852" w:type="dxa"/>
            <w:tcBorders>
              <w:top w:val="single" w:color="000000" w:sz="4" w:space="0"/>
              <w:left w:val="single" w:color="000000" w:sz="4" w:space="0"/>
              <w:bottom w:val="single" w:color="000000" w:sz="4" w:space="0"/>
              <w:right w:val="single" w:color="000000" w:sz="4" w:space="0"/>
            </w:tcBorders>
            <w:shd w:val="clear" w:color="auto" w:fill="auto"/>
            <w:vAlign w:val="top"/>
          </w:tcPr>
          <w:p>
            <w:pPr>
              <w:rPr>
                <w:rFonts w:hint="eastAsia"/>
                <w:color w:val="auto"/>
                <w:highlight w:val="none"/>
              </w:rPr>
            </w:pPr>
            <w:r>
              <w:rPr>
                <w:rFonts w:hint="eastAsia"/>
                <w:color w:val="auto"/>
                <w:highlight w:val="none"/>
              </w:rPr>
              <w:t>项目实施规划方案，提出合理的项目整体实施方案，能按照项目分解节点，并可跟踪实施。</w:t>
            </w:r>
          </w:p>
          <w:p>
            <w:pPr>
              <w:rPr>
                <w:rFonts w:hint="eastAsia"/>
                <w:color w:val="auto"/>
                <w:highlight w:val="none"/>
              </w:rPr>
            </w:pPr>
            <w:r>
              <w:rPr>
                <w:rFonts w:hint="eastAsia"/>
                <w:color w:val="auto"/>
                <w:highlight w:val="none"/>
              </w:rPr>
              <w:t>方案合理，满足采购需求的得</w:t>
            </w:r>
            <w:r>
              <w:rPr>
                <w:color w:val="auto"/>
                <w:highlight w:val="none"/>
              </w:rPr>
              <w:t>3</w:t>
            </w:r>
            <w:r>
              <w:rPr>
                <w:rFonts w:hint="eastAsia"/>
                <w:color w:val="auto"/>
                <w:highlight w:val="none"/>
              </w:rPr>
              <w:t>分；</w:t>
            </w:r>
          </w:p>
          <w:p>
            <w:pPr>
              <w:rPr>
                <w:rFonts w:hint="eastAsia"/>
                <w:color w:val="auto"/>
                <w:highlight w:val="none"/>
              </w:rPr>
            </w:pPr>
            <w:r>
              <w:rPr>
                <w:rFonts w:hint="eastAsia"/>
                <w:color w:val="auto"/>
                <w:highlight w:val="none"/>
              </w:rPr>
              <w:t>方案较合理，基本满足采购需求的得2分；</w:t>
            </w:r>
          </w:p>
          <w:p>
            <w:pP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方案一般，部分满足采购需求的得1分。</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1-</w:t>
            </w:r>
            <w:r>
              <w:rPr>
                <w:color w:val="auto"/>
                <w:highlight w:val="none"/>
              </w:rPr>
              <w:t>3</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color w:val="auto"/>
                <w:highlight w:val="none"/>
              </w:rPr>
              <w:t>主观分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4" w:hRule="atLeast"/>
          <w:jc w:val="center"/>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bidi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技术</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16</w:t>
            </w:r>
          </w:p>
        </w:tc>
        <w:tc>
          <w:tcPr>
            <w:tcW w:w="6852" w:type="dxa"/>
            <w:tcBorders>
              <w:top w:val="single" w:color="000000" w:sz="4" w:space="0"/>
              <w:left w:val="single" w:color="000000" w:sz="4" w:space="0"/>
              <w:bottom w:val="single" w:color="000000" w:sz="4" w:space="0"/>
              <w:right w:val="single" w:color="000000" w:sz="4" w:space="0"/>
            </w:tcBorders>
            <w:shd w:val="clear" w:color="auto" w:fill="auto"/>
            <w:vAlign w:val="top"/>
          </w:tcPr>
          <w:p>
            <w:pPr>
              <w:rPr>
                <w:rFonts w:hint="eastAsia"/>
                <w:color w:val="auto"/>
                <w:highlight w:val="none"/>
              </w:rPr>
            </w:pPr>
            <w:r>
              <w:rPr>
                <w:rFonts w:hint="eastAsia"/>
                <w:color w:val="auto"/>
                <w:highlight w:val="none"/>
              </w:rPr>
              <w:t>生产实施方案，要具备生产能力，在规定的时间内有计划的完成项目需求产品的生产装配。</w:t>
            </w:r>
          </w:p>
          <w:p>
            <w:pPr>
              <w:rPr>
                <w:rFonts w:hint="eastAsia"/>
                <w:color w:val="auto"/>
                <w:highlight w:val="none"/>
              </w:rPr>
            </w:pPr>
            <w:r>
              <w:rPr>
                <w:rFonts w:hint="eastAsia"/>
                <w:color w:val="auto"/>
                <w:highlight w:val="none"/>
              </w:rPr>
              <w:t>方案合理，满足采购需求的得</w:t>
            </w:r>
            <w:r>
              <w:rPr>
                <w:color w:val="auto"/>
                <w:highlight w:val="none"/>
              </w:rPr>
              <w:t>3</w:t>
            </w:r>
            <w:r>
              <w:rPr>
                <w:rFonts w:hint="eastAsia"/>
                <w:color w:val="auto"/>
                <w:highlight w:val="none"/>
              </w:rPr>
              <w:t>分；</w:t>
            </w:r>
          </w:p>
          <w:p>
            <w:pPr>
              <w:rPr>
                <w:rFonts w:hint="eastAsia"/>
                <w:color w:val="auto"/>
                <w:highlight w:val="none"/>
              </w:rPr>
            </w:pPr>
            <w:r>
              <w:rPr>
                <w:rFonts w:hint="eastAsia"/>
                <w:color w:val="auto"/>
                <w:highlight w:val="none"/>
              </w:rPr>
              <w:t>方案较合理，基本满足采购需求的得2分；</w:t>
            </w:r>
          </w:p>
          <w:p>
            <w:pP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方案一般，部分满足采购需求的得1分。</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1-</w:t>
            </w:r>
            <w:r>
              <w:rPr>
                <w:color w:val="auto"/>
                <w:highlight w:val="none"/>
              </w:rPr>
              <w:t>3</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color w:val="auto"/>
                <w:highlight w:val="none"/>
              </w:rPr>
              <w:t>主观分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4" w:hRule="atLeast"/>
          <w:jc w:val="center"/>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bidi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技术</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17</w:t>
            </w:r>
          </w:p>
        </w:tc>
        <w:tc>
          <w:tcPr>
            <w:tcW w:w="6852" w:type="dxa"/>
            <w:tcBorders>
              <w:top w:val="single" w:color="000000" w:sz="4" w:space="0"/>
              <w:left w:val="single" w:color="000000" w:sz="4" w:space="0"/>
              <w:bottom w:val="single" w:color="000000" w:sz="4" w:space="0"/>
              <w:right w:val="single" w:color="000000" w:sz="4" w:space="0"/>
            </w:tcBorders>
            <w:shd w:val="clear" w:color="auto" w:fill="auto"/>
            <w:vAlign w:val="top"/>
          </w:tcPr>
          <w:p>
            <w:pPr>
              <w:rPr>
                <w:rFonts w:hint="eastAsia"/>
                <w:color w:val="auto"/>
                <w:highlight w:val="none"/>
              </w:rPr>
            </w:pPr>
            <w:r>
              <w:rPr>
                <w:rFonts w:hint="eastAsia"/>
                <w:color w:val="auto"/>
                <w:highlight w:val="none"/>
              </w:rPr>
              <w:t>品质管理管控过程，有独立品管部门和专门品管人员，确保产品生产过程中的质量控制完善。</w:t>
            </w:r>
          </w:p>
          <w:p>
            <w:pPr>
              <w:rPr>
                <w:rFonts w:hint="eastAsia"/>
                <w:color w:val="auto"/>
                <w:highlight w:val="none"/>
              </w:rPr>
            </w:pPr>
            <w:r>
              <w:rPr>
                <w:rFonts w:hint="eastAsia"/>
                <w:color w:val="auto"/>
                <w:highlight w:val="none"/>
              </w:rPr>
              <w:t>响应方案合理，满足采购需求的得</w:t>
            </w:r>
            <w:r>
              <w:rPr>
                <w:color w:val="auto"/>
                <w:highlight w:val="none"/>
              </w:rPr>
              <w:t>3</w:t>
            </w:r>
            <w:r>
              <w:rPr>
                <w:rFonts w:hint="eastAsia"/>
                <w:color w:val="auto"/>
                <w:highlight w:val="none"/>
              </w:rPr>
              <w:t>分；</w:t>
            </w:r>
          </w:p>
          <w:p>
            <w:pPr>
              <w:rPr>
                <w:rFonts w:hint="eastAsia"/>
                <w:color w:val="auto"/>
                <w:highlight w:val="none"/>
              </w:rPr>
            </w:pPr>
            <w:r>
              <w:rPr>
                <w:rFonts w:hint="eastAsia"/>
                <w:color w:val="auto"/>
                <w:highlight w:val="none"/>
              </w:rPr>
              <w:t>响应方案较合理，基本满足采购需求的得2分；</w:t>
            </w:r>
          </w:p>
          <w:p>
            <w:pP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响应方案一般，部分满足采购需求的得1分。</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1-</w:t>
            </w:r>
            <w:r>
              <w:rPr>
                <w:color w:val="auto"/>
                <w:highlight w:val="none"/>
              </w:rPr>
              <w:t>3</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color w:val="auto"/>
                <w:highlight w:val="none"/>
              </w:rPr>
              <w:t>主观分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4" w:hRule="atLeast"/>
          <w:jc w:val="center"/>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bidi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技术</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18</w:t>
            </w:r>
          </w:p>
        </w:tc>
        <w:tc>
          <w:tcPr>
            <w:tcW w:w="6852" w:type="dxa"/>
            <w:tcBorders>
              <w:top w:val="single" w:color="000000" w:sz="4" w:space="0"/>
              <w:left w:val="single" w:color="000000" w:sz="4" w:space="0"/>
              <w:bottom w:val="single" w:color="000000" w:sz="4" w:space="0"/>
              <w:right w:val="single" w:color="000000" w:sz="4" w:space="0"/>
            </w:tcBorders>
            <w:shd w:val="clear" w:color="auto" w:fill="auto"/>
            <w:vAlign w:val="top"/>
          </w:tcPr>
          <w:p>
            <w:pPr>
              <w:rPr>
                <w:rFonts w:hint="eastAsia"/>
                <w:color w:val="auto"/>
                <w:highlight w:val="none"/>
              </w:rPr>
            </w:pPr>
            <w:r>
              <w:rPr>
                <w:rFonts w:hint="eastAsia"/>
                <w:color w:val="auto"/>
                <w:highlight w:val="none"/>
              </w:rPr>
              <w:t>安装服务实施方案，安装方案的制定，根据货物交付时间节点，落实送货安装时间和人员安排，确保按期交付使用。</w:t>
            </w:r>
          </w:p>
          <w:p>
            <w:pPr>
              <w:rPr>
                <w:rFonts w:hint="eastAsia"/>
                <w:color w:val="auto"/>
                <w:highlight w:val="none"/>
              </w:rPr>
            </w:pPr>
            <w:r>
              <w:rPr>
                <w:rFonts w:hint="eastAsia"/>
                <w:color w:val="auto"/>
                <w:highlight w:val="none"/>
              </w:rPr>
              <w:t>方案合理，满足采购需求的得3分；</w:t>
            </w:r>
          </w:p>
          <w:p>
            <w:pPr>
              <w:rPr>
                <w:rFonts w:hint="eastAsia"/>
                <w:color w:val="auto"/>
                <w:highlight w:val="none"/>
              </w:rPr>
            </w:pPr>
            <w:r>
              <w:rPr>
                <w:rFonts w:hint="eastAsia"/>
                <w:color w:val="auto"/>
                <w:highlight w:val="none"/>
              </w:rPr>
              <w:t>方案较合理，基本满足采购需求的得2分；</w:t>
            </w:r>
          </w:p>
          <w:p>
            <w:pPr>
              <w:rPr>
                <w:rFonts w:hint="eastAsia" w:ascii="Times New Roman" w:hAnsi="Times New Roman" w:eastAsia="仿宋" w:cs="Times New Roman"/>
                <w:color w:val="auto"/>
                <w:kern w:val="2"/>
                <w:sz w:val="21"/>
                <w:szCs w:val="24"/>
                <w:highlight w:val="none"/>
                <w:lang w:val="en-US" w:eastAsia="zh-CN" w:bidi="ar-SA"/>
              </w:rPr>
            </w:pPr>
            <w:r>
              <w:rPr>
                <w:rFonts w:hint="eastAsia"/>
                <w:color w:val="auto"/>
                <w:highlight w:val="none"/>
              </w:rPr>
              <w:t>方案一般，部分满足采购需求的得1分。</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1-3</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color w:val="auto"/>
                <w:highlight w:val="none"/>
              </w:rPr>
              <w:t>主观分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4" w:hRule="atLeast"/>
          <w:jc w:val="center"/>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bidi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技术</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19</w:t>
            </w:r>
          </w:p>
        </w:tc>
        <w:tc>
          <w:tcPr>
            <w:tcW w:w="6852" w:type="dxa"/>
            <w:tcBorders>
              <w:top w:val="single" w:color="000000" w:sz="4" w:space="0"/>
              <w:left w:val="single" w:color="000000" w:sz="4" w:space="0"/>
              <w:bottom w:val="single" w:color="000000" w:sz="4" w:space="0"/>
              <w:right w:val="single" w:color="000000" w:sz="4" w:space="0"/>
            </w:tcBorders>
            <w:shd w:val="clear" w:color="auto" w:fill="auto"/>
            <w:vAlign w:val="top"/>
          </w:tcPr>
          <w:p>
            <w:pPr>
              <w:rPr>
                <w:color w:val="auto"/>
                <w:highlight w:val="none"/>
              </w:rPr>
            </w:pPr>
            <w:r>
              <w:rPr>
                <w:rFonts w:hint="eastAsia"/>
                <w:color w:val="auto"/>
                <w:highlight w:val="none"/>
              </w:rPr>
              <w:t>售后服务应对方案及承诺：</w:t>
            </w:r>
          </w:p>
          <w:p>
            <w:pPr>
              <w:rPr>
                <w:rFonts w:hint="eastAsia" w:ascii="Times New Roman" w:hAnsi="Times New Roman" w:eastAsia="仿宋" w:cs="Times New Roman"/>
                <w:color w:val="auto"/>
                <w:kern w:val="2"/>
                <w:sz w:val="21"/>
                <w:szCs w:val="24"/>
                <w:highlight w:val="none"/>
                <w:lang w:val="en-US" w:eastAsia="zh-CN" w:bidi="ar-SA"/>
              </w:rPr>
            </w:pPr>
            <w:r>
              <w:rPr>
                <w:color w:val="auto"/>
                <w:highlight w:val="none"/>
              </w:rPr>
              <w:t>提供产品</w:t>
            </w:r>
            <w:r>
              <w:rPr>
                <w:rFonts w:hint="eastAsia"/>
                <w:color w:val="auto"/>
                <w:highlight w:val="none"/>
              </w:rPr>
              <w:t>基本</w:t>
            </w:r>
            <w:r>
              <w:rPr>
                <w:color w:val="auto"/>
                <w:highlight w:val="none"/>
              </w:rPr>
              <w:t>需求的质保期基础上，每增加一年加</w:t>
            </w:r>
            <w:r>
              <w:rPr>
                <w:rFonts w:hint="eastAsia"/>
                <w:color w:val="auto"/>
                <w:highlight w:val="none"/>
              </w:rPr>
              <w:t>0.5</w:t>
            </w:r>
            <w:r>
              <w:rPr>
                <w:color w:val="auto"/>
                <w:highlight w:val="none"/>
              </w:rPr>
              <w:t>分，最高得</w:t>
            </w:r>
            <w:r>
              <w:rPr>
                <w:rFonts w:hint="eastAsia"/>
                <w:color w:val="auto"/>
                <w:highlight w:val="none"/>
              </w:rPr>
              <w:t>1</w:t>
            </w:r>
            <w:r>
              <w:rPr>
                <w:color w:val="auto"/>
                <w:highlight w:val="none"/>
              </w:rPr>
              <w:t>分</w:t>
            </w:r>
            <w:r>
              <w:rPr>
                <w:rFonts w:hint="eastAsia"/>
                <w:color w:val="auto"/>
                <w:highlight w:val="none"/>
              </w:rPr>
              <w:t>。</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0-</w:t>
            </w:r>
            <w:r>
              <w:rPr>
                <w:color w:val="auto"/>
                <w:highlight w:val="none"/>
              </w:rPr>
              <w:t>1</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客观分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4" w:hRule="atLeast"/>
          <w:jc w:val="center"/>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bidi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技术</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20</w:t>
            </w:r>
          </w:p>
        </w:tc>
        <w:tc>
          <w:tcPr>
            <w:tcW w:w="6852" w:type="dxa"/>
            <w:tcBorders>
              <w:top w:val="single" w:color="000000" w:sz="4" w:space="0"/>
              <w:left w:val="single" w:color="000000" w:sz="4" w:space="0"/>
              <w:bottom w:val="single" w:color="000000" w:sz="4" w:space="0"/>
              <w:right w:val="single" w:color="000000" w:sz="4" w:space="0"/>
            </w:tcBorders>
            <w:shd w:val="clear" w:color="auto" w:fill="auto"/>
            <w:vAlign w:val="top"/>
          </w:tcPr>
          <w:p>
            <w:pPr>
              <w:rPr>
                <w:color w:val="auto"/>
                <w:highlight w:val="none"/>
              </w:rPr>
            </w:pPr>
            <w:r>
              <w:rPr>
                <w:rFonts w:hint="eastAsia"/>
                <w:color w:val="auto"/>
                <w:highlight w:val="none"/>
              </w:rPr>
              <w:t>售后服务应对方案及承诺：</w:t>
            </w:r>
          </w:p>
          <w:p>
            <w:pPr>
              <w:rPr>
                <w:color w:val="auto"/>
                <w:highlight w:val="none"/>
              </w:rPr>
            </w:pPr>
            <w:r>
              <w:rPr>
                <w:color w:val="auto"/>
                <w:highlight w:val="none"/>
              </w:rPr>
              <w:t>提供详细完整的“三包”措施及售后服务措施和方案（包括服务措施、产品质量保证、回访、技术培训等）。</w:t>
            </w:r>
          </w:p>
          <w:p>
            <w:pPr>
              <w:rPr>
                <w:rFonts w:hint="eastAsia"/>
                <w:color w:val="auto"/>
                <w:highlight w:val="none"/>
              </w:rPr>
            </w:pPr>
            <w:r>
              <w:rPr>
                <w:rFonts w:hint="eastAsia"/>
                <w:color w:val="auto"/>
                <w:highlight w:val="none"/>
              </w:rPr>
              <w:t>方案及承诺合理，满足采购需求的得2分；</w:t>
            </w:r>
          </w:p>
          <w:p>
            <w:pPr>
              <w:rPr>
                <w:rFonts w:hint="eastAsia"/>
                <w:color w:val="auto"/>
                <w:highlight w:val="none"/>
              </w:rPr>
            </w:pPr>
            <w:r>
              <w:rPr>
                <w:rFonts w:hint="eastAsia"/>
                <w:color w:val="auto"/>
                <w:highlight w:val="none"/>
              </w:rPr>
              <w:t>方案及承诺均一般，基本满足采购需求的得1分；</w:t>
            </w:r>
          </w:p>
          <w:p>
            <w:pP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方案较差，不满足采购需求的得0分。</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0-2</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主观分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4" w:hRule="atLeast"/>
          <w:jc w:val="center"/>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bidi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技术</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21</w:t>
            </w:r>
          </w:p>
        </w:tc>
        <w:tc>
          <w:tcPr>
            <w:tcW w:w="6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eastAsia="宋体"/>
                <w:b w:val="0"/>
                <w:bCs w:val="0"/>
                <w:color w:val="auto"/>
                <w:highlight w:val="none"/>
                <w:lang w:eastAsia="zh-CN"/>
              </w:rPr>
            </w:pPr>
            <w:r>
              <w:rPr>
                <w:rFonts w:hint="eastAsia"/>
                <w:b w:val="0"/>
                <w:bCs w:val="0"/>
                <w:color w:val="auto"/>
                <w:highlight w:val="none"/>
              </w:rPr>
              <w:t>本项目合理化建议及实质性服务措施</w:t>
            </w:r>
            <w:r>
              <w:rPr>
                <w:rFonts w:hint="eastAsia"/>
                <w:b w:val="0"/>
                <w:bCs w:val="0"/>
                <w:color w:val="auto"/>
                <w:highlight w:val="none"/>
                <w:lang w:eastAsia="zh-CN"/>
              </w:rPr>
              <w:t>：</w:t>
            </w:r>
          </w:p>
          <w:p>
            <w:pPr>
              <w:jc w:val="left"/>
              <w:rPr>
                <w:rFonts w:hint="eastAsia"/>
                <w:color w:val="auto"/>
                <w:highlight w:val="none"/>
              </w:rPr>
            </w:pPr>
            <w:r>
              <w:rPr>
                <w:rFonts w:hint="eastAsia"/>
                <w:color w:val="auto"/>
                <w:highlight w:val="none"/>
              </w:rPr>
              <w:t>措施内容合理、可行的得3分；</w:t>
            </w:r>
          </w:p>
          <w:p>
            <w:pPr>
              <w:jc w:val="left"/>
              <w:rPr>
                <w:rFonts w:hint="eastAsia"/>
                <w:color w:val="auto"/>
                <w:highlight w:val="none"/>
              </w:rPr>
            </w:pPr>
            <w:r>
              <w:rPr>
                <w:rFonts w:hint="eastAsia"/>
                <w:color w:val="auto"/>
                <w:highlight w:val="none"/>
              </w:rPr>
              <w:t>措施内容具有一定可行性的得2分；</w:t>
            </w:r>
          </w:p>
          <w:p>
            <w:pPr>
              <w:jc w:val="left"/>
              <w:rPr>
                <w:rFonts w:hint="eastAsia"/>
                <w:color w:val="auto"/>
                <w:highlight w:val="none"/>
                <w:lang w:eastAsia="zh-CN"/>
              </w:rPr>
            </w:pPr>
            <w:r>
              <w:rPr>
                <w:rFonts w:hint="eastAsia"/>
                <w:color w:val="auto"/>
                <w:highlight w:val="none"/>
              </w:rPr>
              <w:t>措施内容一般的得1分</w:t>
            </w:r>
            <w:r>
              <w:rPr>
                <w:rFonts w:hint="eastAsia"/>
                <w:color w:val="auto"/>
                <w:highlight w:val="none"/>
                <w:lang w:eastAsia="zh-CN"/>
              </w:rPr>
              <w:t>；</w:t>
            </w:r>
          </w:p>
          <w:p>
            <w:pPr>
              <w:jc w:val="left"/>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未提供不得分。</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0</w:t>
            </w:r>
            <w:r>
              <w:rPr>
                <w:rFonts w:hint="eastAsia"/>
                <w:color w:val="auto"/>
                <w:highlight w:val="none"/>
              </w:rPr>
              <w:t>-3</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color w:val="auto"/>
                <w:highlight w:val="none"/>
              </w:rPr>
              <w:t>主观分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4" w:hRule="atLeast"/>
          <w:jc w:val="center"/>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bidi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技术</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仿宋"/>
                <w:color w:val="auto"/>
                <w:kern w:val="2"/>
                <w:sz w:val="21"/>
                <w:szCs w:val="24"/>
                <w:highlight w:val="none"/>
                <w:lang w:val="en-US" w:eastAsia="zh-CN" w:bidi="ar-SA"/>
              </w:rPr>
            </w:pPr>
            <w:r>
              <w:rPr>
                <w:rFonts w:hint="eastAsia" w:cs="仿宋"/>
                <w:color w:val="auto"/>
                <w:highlight w:val="none"/>
              </w:rPr>
              <w:t>22</w:t>
            </w:r>
          </w:p>
        </w:tc>
        <w:tc>
          <w:tcPr>
            <w:tcW w:w="685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textAlignment w:val="auto"/>
              <w:rPr>
                <w:rFonts w:cs="仿宋"/>
                <w:b/>
                <w:bCs/>
                <w:color w:val="auto"/>
                <w:highlight w:val="none"/>
              </w:rPr>
            </w:pPr>
            <w:r>
              <w:rPr>
                <w:rFonts w:hint="eastAsia" w:cs="仿宋"/>
                <w:b/>
                <w:bCs/>
                <w:color w:val="auto"/>
                <w:highlight w:val="none"/>
              </w:rPr>
              <w:t>样品综合情况分：</w:t>
            </w:r>
          </w:p>
          <w:p>
            <w:pPr>
              <w:keepNext w:val="0"/>
              <w:keepLines w:val="0"/>
              <w:pageBreakBefore w:val="0"/>
              <w:widowControl w:val="0"/>
              <w:kinsoku/>
              <w:wordWrap/>
              <w:overflowPunct/>
              <w:topLinePunct w:val="0"/>
              <w:autoSpaceDE/>
              <w:autoSpaceDN/>
              <w:bidi w:val="0"/>
              <w:adjustRightInd w:val="0"/>
              <w:snapToGrid w:val="0"/>
              <w:jc w:val="left"/>
              <w:textAlignment w:val="auto"/>
              <w:rPr>
                <w:color w:val="auto"/>
                <w:highlight w:val="none"/>
              </w:rPr>
            </w:pPr>
            <w:r>
              <w:rPr>
                <w:rFonts w:hint="eastAsia"/>
                <w:color w:val="auto"/>
                <w:highlight w:val="none"/>
              </w:rPr>
              <w:t>提供满足招标文件要求的样品，样品需体现投标人对本项目需求的理解程度，评审小组根据样品情况综合评定：（3-8）</w:t>
            </w:r>
          </w:p>
          <w:p>
            <w:pPr>
              <w:keepNext w:val="0"/>
              <w:keepLines w:val="0"/>
              <w:pageBreakBefore w:val="0"/>
              <w:widowControl w:val="0"/>
              <w:kinsoku/>
              <w:wordWrap/>
              <w:overflowPunct/>
              <w:topLinePunct w:val="0"/>
              <w:autoSpaceDE/>
              <w:autoSpaceDN/>
              <w:bidi w:val="0"/>
              <w:adjustRightInd w:val="0"/>
              <w:snapToGrid w:val="0"/>
              <w:textAlignment w:val="auto"/>
              <w:rPr>
                <w:rFonts w:ascii="宋体" w:hAnsi="宋体"/>
                <w:color w:val="auto"/>
                <w:highlight w:val="none"/>
              </w:rPr>
            </w:pPr>
            <w:r>
              <w:rPr>
                <w:rFonts w:hint="eastAsia" w:ascii="宋体" w:hAnsi="宋体"/>
                <w:color w:val="auto"/>
                <w:highlight w:val="none"/>
              </w:rPr>
              <w:t>（</w:t>
            </w:r>
            <w:r>
              <w:rPr>
                <w:rFonts w:ascii="宋体" w:hAnsi="宋体"/>
                <w:color w:val="auto"/>
                <w:highlight w:val="none"/>
              </w:rPr>
              <w:t>1）外观式样（</w:t>
            </w:r>
            <w:r>
              <w:rPr>
                <w:rFonts w:hint="eastAsia" w:ascii="宋体" w:hAnsi="宋体"/>
                <w:color w:val="auto"/>
                <w:highlight w:val="none"/>
              </w:rPr>
              <w:t>1</w:t>
            </w:r>
            <w:r>
              <w:rPr>
                <w:rFonts w:ascii="宋体" w:hAnsi="宋体"/>
                <w:color w:val="auto"/>
                <w:highlight w:val="none"/>
              </w:rPr>
              <w:t>-</w:t>
            </w:r>
            <w:r>
              <w:rPr>
                <w:rFonts w:hint="eastAsia" w:ascii="宋体" w:hAnsi="宋体"/>
                <w:color w:val="auto"/>
                <w:highlight w:val="none"/>
              </w:rPr>
              <w:t>3</w:t>
            </w:r>
            <w:r>
              <w:rPr>
                <w:rFonts w:ascii="宋体" w:hAnsi="宋体"/>
                <w:color w:val="auto"/>
                <w:highlight w:val="none"/>
              </w:rPr>
              <w:t>）：根据整体美观度、色调等方面综合评定。式样美观的得</w:t>
            </w:r>
            <w:r>
              <w:rPr>
                <w:rFonts w:hint="eastAsia" w:ascii="宋体" w:hAnsi="宋体"/>
                <w:color w:val="auto"/>
                <w:highlight w:val="none"/>
              </w:rPr>
              <w:t>3</w:t>
            </w:r>
            <w:r>
              <w:rPr>
                <w:rFonts w:ascii="宋体" w:hAnsi="宋体"/>
                <w:color w:val="auto"/>
                <w:highlight w:val="none"/>
              </w:rPr>
              <w:t>分</w:t>
            </w:r>
            <w:r>
              <w:rPr>
                <w:rFonts w:hint="eastAsia" w:ascii="宋体" w:hAnsi="宋体"/>
                <w:color w:val="auto"/>
                <w:highlight w:val="none"/>
              </w:rPr>
              <w:t>，一般得2分</w:t>
            </w:r>
            <w:r>
              <w:rPr>
                <w:rFonts w:ascii="宋体" w:hAnsi="宋体"/>
                <w:color w:val="auto"/>
                <w:highlight w:val="none"/>
              </w:rPr>
              <w:t>，有欠缺或瑕疵的得</w:t>
            </w:r>
            <w:r>
              <w:rPr>
                <w:rFonts w:hint="eastAsia" w:ascii="宋体" w:hAnsi="宋体"/>
                <w:color w:val="auto"/>
                <w:highlight w:val="none"/>
              </w:rPr>
              <w:t>1</w:t>
            </w:r>
            <w:r>
              <w:rPr>
                <w:rFonts w:ascii="宋体" w:hAnsi="宋体"/>
                <w:color w:val="auto"/>
                <w:highlight w:val="none"/>
              </w:rPr>
              <w:t>分；</w:t>
            </w:r>
          </w:p>
          <w:p>
            <w:pPr>
              <w:pStyle w:val="83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outlineLvl w:val="0"/>
              <w:rPr>
                <w:rFonts w:ascii="宋体" w:hAnsi="宋体" w:eastAsia="宋体"/>
                <w:color w:val="auto"/>
                <w:highlight w:val="none"/>
              </w:rPr>
            </w:pPr>
            <w:r>
              <w:rPr>
                <w:rFonts w:hint="eastAsia" w:ascii="宋体" w:hAnsi="宋体" w:eastAsia="宋体" w:cstheme="minorBidi"/>
                <w:color w:val="auto"/>
                <w:kern w:val="2"/>
                <w:sz w:val="21"/>
                <w:szCs w:val="22"/>
                <w:highlight w:val="none"/>
                <w14:ligatures w14:val="standardContextual"/>
              </w:rPr>
              <w:t>（2）产品工艺（1-3）：根据各部件连接处平整度、椅轮灵活度、面料等方面综合评定。工艺精致的得3分，一般得2分，有欠缺或瑕疵的得1分；</w:t>
            </w:r>
          </w:p>
          <w:p>
            <w:pPr>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宋体" w:hAnsi="宋体"/>
                <w:color w:val="auto"/>
                <w:highlight w:val="none"/>
              </w:rPr>
              <w:t>（3</w:t>
            </w:r>
            <w:r>
              <w:rPr>
                <w:rFonts w:ascii="宋体" w:hAnsi="宋体"/>
                <w:color w:val="auto"/>
                <w:highlight w:val="none"/>
              </w:rPr>
              <w:t>）</w:t>
            </w:r>
            <w:r>
              <w:rPr>
                <w:rFonts w:hint="eastAsia" w:ascii="宋体" w:hAnsi="宋体" w:cstheme="minorBidi"/>
                <w:color w:val="auto"/>
                <w:szCs w:val="22"/>
                <w:highlight w:val="none"/>
                <w14:ligatures w14:val="standardContextual"/>
              </w:rPr>
              <w:t>使用感受（1-2）：座椅舒适且符合使用场景要求的，完全满足得2分，有欠缺或瑕疵的得1分。</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3-8</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color w:val="auto"/>
                <w:highlight w:val="none"/>
              </w:rPr>
              <w:t>主观分</w:t>
            </w:r>
          </w:p>
        </w:tc>
      </w:tr>
    </w:tbl>
    <w:p>
      <w:pPr>
        <w:rPr>
          <w:rFonts w:hint="eastAsia"/>
          <w:b/>
          <w:bCs/>
          <w:color w:val="auto"/>
          <w:sz w:val="21"/>
          <w:szCs w:val="24"/>
          <w:highlight w:val="none"/>
        </w:rPr>
      </w:pPr>
    </w:p>
    <w:p>
      <w:pPr>
        <w:rPr>
          <w:rFonts w:hint="eastAsia" w:eastAsia="宋体"/>
          <w:b/>
          <w:bCs/>
          <w:color w:val="auto"/>
          <w:sz w:val="28"/>
          <w:szCs w:val="36"/>
          <w:highlight w:val="none"/>
          <w:lang w:val="en-US" w:eastAsia="zh-CN"/>
        </w:rPr>
      </w:pPr>
      <w:r>
        <w:rPr>
          <w:rFonts w:hint="eastAsia"/>
          <w:b/>
          <w:bCs/>
          <w:color w:val="auto"/>
          <w:sz w:val="28"/>
          <w:szCs w:val="36"/>
          <w:highlight w:val="none"/>
        </w:rPr>
        <w:t>价格分</w:t>
      </w:r>
      <w:r>
        <w:rPr>
          <w:rFonts w:hint="eastAsia"/>
          <w:b/>
          <w:bCs/>
          <w:color w:val="auto"/>
          <w:sz w:val="28"/>
          <w:szCs w:val="36"/>
          <w:highlight w:val="none"/>
          <w:lang w:eastAsia="zh-CN"/>
        </w:rPr>
        <w:t>（</w:t>
      </w:r>
      <w:r>
        <w:rPr>
          <w:rFonts w:hint="eastAsia"/>
          <w:b/>
          <w:bCs/>
          <w:color w:val="auto"/>
          <w:sz w:val="28"/>
          <w:szCs w:val="36"/>
          <w:highlight w:val="none"/>
          <w:lang w:val="en-US" w:eastAsia="zh-CN"/>
        </w:rPr>
        <w:t>价格权值0.3</w:t>
      </w:r>
      <w:r>
        <w:rPr>
          <w:rFonts w:hint="eastAsia"/>
          <w:b/>
          <w:bCs/>
          <w:color w:val="auto"/>
          <w:sz w:val="28"/>
          <w:szCs w:val="36"/>
          <w:highlight w:val="none"/>
          <w:lang w:eastAsia="zh-CN"/>
        </w:rPr>
        <w:t>）</w:t>
      </w:r>
    </w:p>
    <w:tbl>
      <w:tblPr>
        <w:tblStyle w:val="62"/>
        <w:tblW w:w="82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44"/>
        <w:gridCol w:w="6564"/>
        <w:gridCol w:w="10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3"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pPr>
              <w:jc w:val="center"/>
              <w:rPr>
                <w:color w:val="auto"/>
                <w:highlight w:val="none"/>
              </w:rPr>
            </w:pPr>
            <w:r>
              <w:rPr>
                <w:rFonts w:hint="eastAsia"/>
                <w:color w:val="auto"/>
                <w:highlight w:val="none"/>
              </w:rPr>
              <w:t>序号</w:t>
            </w:r>
          </w:p>
        </w:tc>
        <w:tc>
          <w:tcPr>
            <w:tcW w:w="6564"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rFonts w:hint="eastAsia"/>
                <w:color w:val="auto"/>
                <w:highlight w:val="none"/>
              </w:rPr>
              <w:t>评审条款</w:t>
            </w:r>
          </w:p>
        </w:tc>
        <w:tc>
          <w:tcPr>
            <w:tcW w:w="1068" w:type="dxa"/>
            <w:tcBorders>
              <w:top w:val="single" w:color="000000" w:sz="4" w:space="0"/>
              <w:left w:val="single" w:color="000000" w:sz="4" w:space="0"/>
              <w:bottom w:val="single" w:color="000000" w:sz="4" w:space="0"/>
              <w:right w:val="single" w:color="000000" w:sz="4" w:space="0"/>
            </w:tcBorders>
            <w:vAlign w:val="center"/>
          </w:tcPr>
          <w:p>
            <w:pPr>
              <w:jc w:val="center"/>
              <w:rPr>
                <w:color w:val="auto"/>
                <w:highlight w:val="none"/>
              </w:rPr>
            </w:pPr>
            <w:r>
              <w:rPr>
                <w:rFonts w:hint="eastAsia"/>
                <w:color w:val="auto"/>
                <w:highlight w:val="none"/>
              </w:rPr>
              <w:t>分值区间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7"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eastAsia="宋体"/>
                <w:color w:val="auto"/>
                <w:highlight w:val="none"/>
                <w:lang w:val="en-US" w:eastAsia="zh-CN"/>
              </w:rPr>
            </w:pPr>
            <w:r>
              <w:rPr>
                <w:rFonts w:hint="eastAsia"/>
                <w:color w:val="auto"/>
                <w:highlight w:val="none"/>
                <w:lang w:val="en-US" w:eastAsia="zh-CN"/>
              </w:rPr>
              <w:t>1</w:t>
            </w:r>
          </w:p>
        </w:tc>
        <w:tc>
          <w:tcPr>
            <w:tcW w:w="6564" w:type="dxa"/>
            <w:tcBorders>
              <w:top w:val="single" w:color="000000" w:sz="4" w:space="0"/>
              <w:left w:val="single" w:color="000000" w:sz="4" w:space="0"/>
              <w:bottom w:val="single" w:color="000000" w:sz="4" w:space="0"/>
              <w:right w:val="single" w:color="000000" w:sz="4" w:space="0"/>
            </w:tcBorders>
            <w:vAlign w:val="center"/>
          </w:tcPr>
          <w:p>
            <w:pPr>
              <w:jc w:val="left"/>
              <w:rPr>
                <w:rFonts w:hint="eastAsia"/>
                <w:color w:val="auto"/>
                <w:highlight w:val="none"/>
              </w:rPr>
            </w:pPr>
            <w:r>
              <w:rPr>
                <w:rFonts w:hint="eastAsia"/>
                <w:color w:val="auto"/>
                <w:highlight w:val="none"/>
              </w:rPr>
              <w:t>有效投标报价的最低价作为评标基准价，其最低报价为满分；</w:t>
            </w:r>
          </w:p>
          <w:p>
            <w:pPr>
              <w:jc w:val="left"/>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投标报价得分=(评标基准价／投标报价)×价格权值×100</w:t>
            </w:r>
            <w:r>
              <w:rPr>
                <w:rFonts w:hint="eastAsia" w:cs="Times New Roman"/>
                <w:color w:val="auto"/>
                <w:highlight w:val="none"/>
                <w:lang w:eastAsia="zh-CN"/>
              </w:rPr>
              <w:t>；</w:t>
            </w:r>
          </w:p>
          <w:p>
            <w:pPr>
              <w:jc w:val="left"/>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（计算得分保留小数点后2位）</w:t>
            </w:r>
          </w:p>
          <w:p>
            <w:pPr>
              <w:widowControl/>
              <w:shd w:val="clear"/>
              <w:adjustRightInd/>
              <w:spacing w:after="0" w:line="240" w:lineRule="auto"/>
              <w:jc w:val="left"/>
              <w:rPr>
                <w:color w:val="auto"/>
                <w:highlight w:val="none"/>
              </w:rPr>
            </w:pPr>
            <w:r>
              <w:rPr>
                <w:rFonts w:hint="eastAsia" w:ascii="Times New Roman" w:hAnsi="Times New Roman" w:eastAsia="宋体" w:cs="Times New Roman"/>
                <w:color w:val="auto"/>
                <w:sz w:val="21"/>
                <w:highlight w:val="none"/>
              </w:rPr>
              <w:t>评标过程中，不得去掉报价中的最高报价和最低报价。</w:t>
            </w:r>
          </w:p>
        </w:tc>
        <w:tc>
          <w:tcPr>
            <w:tcW w:w="1068"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eastAsia="宋体"/>
                <w:color w:val="auto"/>
                <w:highlight w:val="none"/>
                <w:lang w:val="en-US" w:eastAsia="zh-CN"/>
              </w:rPr>
            </w:pPr>
            <w:r>
              <w:rPr>
                <w:rFonts w:hint="eastAsia"/>
                <w:color w:val="auto"/>
                <w:highlight w:val="none"/>
                <w:lang w:val="en-US" w:eastAsia="zh-CN"/>
              </w:rPr>
              <w:t>30</w:t>
            </w:r>
          </w:p>
        </w:tc>
      </w:tr>
    </w:tbl>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cs="宋体"/>
          <w:color w:val="auto"/>
          <w:sz w:val="21"/>
          <w:szCs w:val="21"/>
          <w:highlight w:val="none"/>
          <w:shd w:val="clear" w:color="auto" w:fill="FFFFFF"/>
        </w:rPr>
      </w:pP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b/>
          <w:bCs/>
          <w:color w:val="auto"/>
          <w:sz w:val="24"/>
          <w:highlight w:val="none"/>
        </w:rPr>
      </w:pPr>
      <w:r>
        <w:rPr>
          <w:rFonts w:hint="eastAsia" w:ascii="宋体" w:hAnsi="宋体" w:cs="宋体"/>
          <w:b/>
          <w:bCs/>
          <w:color w:val="auto"/>
          <w:sz w:val="24"/>
          <w:highlight w:val="none"/>
        </w:rPr>
        <w:t>样品明细见下表样品清单，下表为样品对应的采购需求中的序号说明。</w:t>
      </w:r>
    </w:p>
    <w:tbl>
      <w:tblPr>
        <w:tblStyle w:val="63"/>
        <w:tblW w:w="86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5"/>
        <w:gridCol w:w="3369"/>
        <w:gridCol w:w="3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175"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样品编号</w:t>
            </w:r>
          </w:p>
        </w:tc>
        <w:tc>
          <w:tcPr>
            <w:tcW w:w="3369"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需求清单中对应序号</w:t>
            </w:r>
          </w:p>
        </w:tc>
        <w:tc>
          <w:tcPr>
            <w:tcW w:w="3068"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样品名称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2175"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1</w:t>
            </w:r>
          </w:p>
        </w:tc>
        <w:tc>
          <w:tcPr>
            <w:tcW w:w="3369"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序号2</w:t>
            </w:r>
            <w:r>
              <w:rPr>
                <w:rFonts w:ascii="宋体" w:hAnsi="宋体" w:cs="宋体"/>
                <w:color w:val="auto"/>
                <w:sz w:val="24"/>
                <w:highlight w:val="none"/>
              </w:rPr>
              <w:t>1</w:t>
            </w:r>
          </w:p>
        </w:tc>
        <w:tc>
          <w:tcPr>
            <w:tcW w:w="3068"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办公椅</w:t>
            </w:r>
          </w:p>
        </w:tc>
      </w:tr>
    </w:tbl>
    <w:p>
      <w:pPr>
        <w:keepNext w:val="0"/>
        <w:keepLines w:val="0"/>
        <w:pageBreakBefore w:val="0"/>
        <w:kinsoku/>
        <w:wordWrap/>
        <w:overflowPunct/>
        <w:topLinePunct w:val="0"/>
        <w:autoSpaceDE/>
        <w:autoSpaceDN/>
        <w:bidi w:val="0"/>
        <w:snapToGrid w:val="0"/>
        <w:spacing w:line="360" w:lineRule="auto"/>
        <w:textAlignment w:val="auto"/>
        <w:rPr>
          <w:rFonts w:hint="eastAsia" w:ascii="宋体" w:hAnsi="宋体" w:cs="宋体"/>
          <w:color w:val="auto"/>
          <w:sz w:val="21"/>
          <w:szCs w:val="21"/>
          <w:highlight w:val="none"/>
          <w:shd w:val="clear" w:color="auto" w:fill="FFFFFF"/>
        </w:rPr>
      </w:pPr>
    </w:p>
    <w:p>
      <w:pPr>
        <w:keepNext w:val="0"/>
        <w:keepLines w:val="0"/>
        <w:pageBreakBefore w:val="0"/>
        <w:kinsoku/>
        <w:wordWrap/>
        <w:overflowPunct/>
        <w:topLinePunct w:val="0"/>
        <w:autoSpaceDE/>
        <w:autoSpaceDN/>
        <w:bidi w:val="0"/>
        <w:snapToGrid w:val="0"/>
        <w:spacing w:line="360" w:lineRule="auto"/>
        <w:textAlignment w:val="auto"/>
        <w:rPr>
          <w:rFonts w:ascii="宋体" w:hAnsi="宋体" w:cs="宋体"/>
          <w:color w:val="auto"/>
          <w:sz w:val="24"/>
          <w:highlight w:val="none"/>
        </w:rPr>
      </w:pPr>
      <w:r>
        <w:rPr>
          <w:rFonts w:hint="eastAsia" w:ascii="宋体" w:hAnsi="宋体" w:cs="宋体"/>
          <w:color w:val="auto"/>
          <w:sz w:val="20"/>
          <w:szCs w:val="20"/>
          <w:highlight w:val="none"/>
          <w:shd w:val="clear" w:color="auto" w:fill="FFFFFF"/>
        </w:rPr>
        <w:t>*</w:t>
      </w:r>
      <w:r>
        <w:rPr>
          <w:rFonts w:hint="eastAsia" w:ascii="宋体" w:hAnsi="宋体" w:cs="宋体"/>
          <w:color w:val="auto"/>
          <w:sz w:val="24"/>
          <w:highlight w:val="none"/>
        </w:rPr>
        <w:t xml:space="preserve">备注：1、投标人编制投标文件（商务技术文件部分）时，建议按此目录（序号和内容）提供评标标准相应的商务技术资料。 </w:t>
      </w:r>
    </w:p>
    <w:p>
      <w:pPr>
        <w:keepNext w:val="0"/>
        <w:keepLines w:val="0"/>
        <w:pageBreakBefore w:val="0"/>
        <w:kinsoku/>
        <w:wordWrap/>
        <w:overflowPunct/>
        <w:topLinePunct w:val="0"/>
        <w:autoSpaceDE/>
        <w:autoSpaceDN/>
        <w:bidi w:val="0"/>
        <w:snapToGrid w:val="0"/>
        <w:spacing w:line="360" w:lineRule="auto"/>
        <w:textAlignment w:val="auto"/>
        <w:rPr>
          <w:rFonts w:ascii="宋体" w:hAnsi="宋体" w:cs="宋体"/>
          <w:color w:val="auto"/>
          <w:sz w:val="24"/>
          <w:highlight w:val="none"/>
        </w:rPr>
      </w:pPr>
      <w:r>
        <w:rPr>
          <w:rFonts w:hint="eastAsia" w:ascii="宋体" w:hAnsi="宋体" w:cs="宋体"/>
          <w:color w:val="auto"/>
          <w:sz w:val="24"/>
          <w:highlight w:val="none"/>
        </w:rPr>
        <w:t>2、评分条款中涉及的业绩、荣誉、人员、社保等分公司均有效。涉及社保、劳动关系证明关系的，如人员为法人代表，则无需提供相关证明</w:t>
      </w:r>
      <w:r>
        <w:rPr>
          <w:rFonts w:ascii="宋体" w:hAnsi="宋体" w:cs="宋体"/>
          <w:color w:val="auto"/>
          <w:sz w:val="24"/>
          <w:highlight w:val="none"/>
        </w:rPr>
        <w:t>，提供营业执照及身份证</w:t>
      </w:r>
      <w:r>
        <w:rPr>
          <w:rFonts w:hint="eastAsia" w:ascii="宋体" w:hAnsi="宋体" w:cs="宋体"/>
          <w:color w:val="auto"/>
          <w:sz w:val="24"/>
          <w:highlight w:val="none"/>
        </w:rPr>
        <w:t>。</w:t>
      </w:r>
    </w:p>
    <w:p>
      <w:pPr>
        <w:keepNext w:val="0"/>
        <w:keepLines w:val="0"/>
        <w:pageBreakBefore w:val="0"/>
        <w:kinsoku/>
        <w:wordWrap/>
        <w:overflowPunct/>
        <w:topLinePunct w:val="0"/>
        <w:autoSpaceDE/>
        <w:autoSpaceDN/>
        <w:bidi w:val="0"/>
        <w:snapToGrid w:val="0"/>
        <w:spacing w:line="360" w:lineRule="auto"/>
        <w:textAlignment w:val="auto"/>
        <w:rPr>
          <w:rFonts w:ascii="宋体" w:hAnsi="宋体" w:cs="宋体"/>
          <w:color w:val="auto"/>
          <w:sz w:val="24"/>
          <w:highlight w:val="none"/>
        </w:rPr>
      </w:pPr>
      <w:r>
        <w:rPr>
          <w:rFonts w:hint="eastAsia" w:ascii="宋体" w:hAnsi="宋体" w:cs="宋体"/>
          <w:color w:val="auto"/>
          <w:sz w:val="24"/>
          <w:highlight w:val="none"/>
        </w:rPr>
        <w:t>3、投标文件中如附有外文资料，必须逐一对应翻译成中文并加盖投标人公章后附在相关外文资料后面，否则外文资料不予认可。</w:t>
      </w:r>
    </w:p>
    <w:p>
      <w:pPr>
        <w:keepNext w:val="0"/>
        <w:keepLines w:val="0"/>
        <w:pageBreakBefore w:val="0"/>
        <w:kinsoku/>
        <w:wordWrap/>
        <w:overflowPunct/>
        <w:topLinePunct w:val="0"/>
        <w:autoSpaceDE/>
        <w:autoSpaceDN/>
        <w:bidi w:val="0"/>
        <w:snapToGrid w:val="0"/>
        <w:spacing w:line="360" w:lineRule="auto"/>
        <w:textAlignment w:val="auto"/>
        <w:rPr>
          <w:rFonts w:ascii="宋体" w:hAnsi="宋体" w:cs="宋体"/>
          <w:b/>
          <w:color w:val="auto"/>
          <w:sz w:val="28"/>
          <w:szCs w:val="28"/>
          <w:highlight w:val="none"/>
        </w:rPr>
      </w:pPr>
      <w:r>
        <w:rPr>
          <w:rFonts w:hint="eastAsia" w:ascii="宋体" w:hAnsi="宋体" w:cs="宋体"/>
          <w:b/>
          <w:color w:val="auto"/>
          <w:sz w:val="32"/>
          <w:highlight w:val="none"/>
        </w:rPr>
        <w:t>一、评标方法</w:t>
      </w:r>
    </w:p>
    <w:p>
      <w:pPr>
        <w:keepNext w:val="0"/>
        <w:keepLines w:val="0"/>
        <w:pageBreakBefore w:val="0"/>
        <w:kinsoku/>
        <w:wordWrap/>
        <w:overflowPunct/>
        <w:topLinePunct w:val="0"/>
        <w:autoSpaceDE/>
        <w:autoSpaceDN/>
        <w:bidi w:val="0"/>
        <w:adjustRightInd/>
        <w:snapToGrid w:val="0"/>
        <w:spacing w:line="360" w:lineRule="auto"/>
        <w:ind w:firstLine="472" w:firstLineChars="196"/>
        <w:textAlignment w:val="auto"/>
        <w:rPr>
          <w:rFonts w:ascii="宋体" w:hAnsi="宋体" w:cs="宋体"/>
          <w:color w:val="auto"/>
          <w:kern w:val="0"/>
          <w:sz w:val="24"/>
          <w:highlight w:val="none"/>
        </w:rPr>
      </w:pPr>
      <w:r>
        <w:rPr>
          <w:rFonts w:hint="eastAsia" w:ascii="宋体" w:hAnsi="宋体" w:cs="宋体"/>
          <w:b/>
          <w:color w:val="auto"/>
          <w:kern w:val="0"/>
          <w:sz w:val="24"/>
          <w:highlight w:val="none"/>
        </w:rPr>
        <w:t>1.本项目采用综合评分法。</w:t>
      </w:r>
      <w:r>
        <w:rPr>
          <w:rFonts w:hint="eastAsia" w:ascii="宋体" w:hAnsi="宋体" w:cs="宋体"/>
          <w:color w:val="auto"/>
          <w:kern w:val="0"/>
          <w:sz w:val="24"/>
          <w:highlight w:val="none"/>
        </w:rPr>
        <w:t>综合评分法，是指投标文件满足招标文件全部实质性要求，且按照评审因素的量化指标评审得分最高的投标人为中标候选人的评标方法。</w:t>
      </w:r>
    </w:p>
    <w:p>
      <w:pPr>
        <w:keepNext w:val="0"/>
        <w:keepLines w:val="0"/>
        <w:pageBreakBefore w:val="0"/>
        <w:kinsoku/>
        <w:wordWrap/>
        <w:overflowPunct/>
        <w:topLinePunct w:val="0"/>
        <w:autoSpaceDE/>
        <w:autoSpaceDN/>
        <w:bidi w:val="0"/>
        <w:adjustRightInd/>
        <w:snapToGrid w:val="0"/>
        <w:spacing w:line="360" w:lineRule="auto"/>
        <w:textAlignment w:val="auto"/>
        <w:rPr>
          <w:rFonts w:ascii="宋体" w:hAnsi="宋体" w:cs="宋体"/>
          <w:color w:val="auto"/>
          <w:kern w:val="0"/>
          <w:sz w:val="24"/>
          <w:highlight w:val="none"/>
        </w:rPr>
      </w:pPr>
      <w:r>
        <w:rPr>
          <w:rFonts w:hint="eastAsia" w:ascii="宋体" w:hAnsi="宋体" w:cs="宋体"/>
          <w:b/>
          <w:color w:val="auto"/>
          <w:sz w:val="32"/>
          <w:highlight w:val="none"/>
        </w:rPr>
        <w:t>二、评标标准</w:t>
      </w:r>
    </w:p>
    <w:p>
      <w:pPr>
        <w:keepNext w:val="0"/>
        <w:keepLines w:val="0"/>
        <w:pageBreakBefore w:val="0"/>
        <w:kinsoku/>
        <w:wordWrap/>
        <w:overflowPunct/>
        <w:topLinePunct w:val="0"/>
        <w:autoSpaceDE/>
        <w:autoSpaceDN/>
        <w:bidi w:val="0"/>
        <w:snapToGrid w:val="0"/>
        <w:spacing w:line="360" w:lineRule="auto"/>
        <w:ind w:firstLine="472" w:firstLineChars="196"/>
        <w:textAlignment w:val="auto"/>
        <w:rPr>
          <w:rFonts w:ascii="宋体" w:hAnsi="宋体" w:cs="宋体"/>
          <w:b/>
          <w:color w:val="auto"/>
          <w:sz w:val="24"/>
          <w:highlight w:val="none"/>
        </w:rPr>
      </w:pPr>
      <w:r>
        <w:rPr>
          <w:rFonts w:hint="eastAsia" w:ascii="宋体" w:hAnsi="宋体" w:cs="宋体"/>
          <w:b/>
          <w:color w:val="auto"/>
          <w:sz w:val="24"/>
          <w:highlight w:val="none"/>
        </w:rPr>
        <w:t>2.评标标准：</w:t>
      </w:r>
      <w:r>
        <w:rPr>
          <w:rFonts w:hint="eastAsia" w:ascii="宋体" w:hAnsi="宋体" w:cs="宋体"/>
          <w:color w:val="auto"/>
          <w:kern w:val="0"/>
          <w:sz w:val="24"/>
          <w:highlight w:val="none"/>
        </w:rPr>
        <w:t>见评标办法前附表。</w:t>
      </w:r>
    </w:p>
    <w:p>
      <w:pPr>
        <w:keepNext w:val="0"/>
        <w:keepLines w:val="0"/>
        <w:pageBreakBefore w:val="0"/>
        <w:kinsoku/>
        <w:wordWrap/>
        <w:overflowPunct/>
        <w:topLinePunct w:val="0"/>
        <w:autoSpaceDE/>
        <w:autoSpaceDN/>
        <w:bidi w:val="0"/>
        <w:snapToGrid w:val="0"/>
        <w:spacing w:line="360" w:lineRule="auto"/>
        <w:textAlignment w:val="auto"/>
        <w:outlineLvl w:val="0"/>
        <w:rPr>
          <w:rFonts w:ascii="宋体" w:hAnsi="宋体" w:cs="宋体"/>
          <w:b/>
          <w:color w:val="auto"/>
          <w:sz w:val="32"/>
          <w:szCs w:val="32"/>
          <w:highlight w:val="none"/>
        </w:rPr>
      </w:pPr>
      <w:r>
        <w:rPr>
          <w:rFonts w:hint="eastAsia" w:ascii="宋体" w:hAnsi="宋体" w:cs="宋体"/>
          <w:b/>
          <w:color w:val="auto"/>
          <w:sz w:val="32"/>
          <w:szCs w:val="32"/>
          <w:highlight w:val="none"/>
        </w:rPr>
        <w:t>三、评标程序</w:t>
      </w:r>
    </w:p>
    <w:p>
      <w:pPr>
        <w:keepNext w:val="0"/>
        <w:keepLines w:val="0"/>
        <w:pageBreakBefore w:val="0"/>
        <w:kinsoku/>
        <w:wordWrap/>
        <w:overflowPunct/>
        <w:topLinePunct w:val="0"/>
        <w:autoSpaceDE/>
        <w:autoSpaceDN/>
        <w:bidi w:val="0"/>
        <w:snapToGrid w:val="0"/>
        <w:spacing w:line="360" w:lineRule="auto"/>
        <w:ind w:firstLine="472" w:firstLineChars="196"/>
        <w:textAlignment w:val="auto"/>
        <w:rPr>
          <w:rFonts w:ascii="宋体" w:hAnsi="宋体" w:cs="宋体"/>
          <w:color w:val="auto"/>
          <w:kern w:val="0"/>
          <w:sz w:val="24"/>
          <w:highlight w:val="none"/>
        </w:rPr>
      </w:pPr>
      <w:r>
        <w:rPr>
          <w:rFonts w:hint="eastAsia" w:ascii="宋体" w:hAnsi="宋体" w:cs="宋体"/>
          <w:b/>
          <w:color w:val="auto"/>
          <w:kern w:val="0"/>
          <w:sz w:val="24"/>
          <w:highlight w:val="none"/>
        </w:rPr>
        <w:t>3.1符合性审查。</w:t>
      </w:r>
      <w:r>
        <w:rPr>
          <w:rFonts w:hint="eastAsia" w:ascii="宋体" w:hAnsi="宋体" w:cs="宋体"/>
          <w:color w:val="auto"/>
          <w:kern w:val="0"/>
          <w:sz w:val="24"/>
          <w:highlight w:val="none"/>
        </w:rPr>
        <w:t>评标委员会应当对符合资格的投标人的投标文件进行符合性审查，以确定其是否满足招标文件的实质性要求。不满足招标文件的实质性要求的，投标无效。</w:t>
      </w:r>
    </w:p>
    <w:p>
      <w:pPr>
        <w:keepNext w:val="0"/>
        <w:keepLines w:val="0"/>
        <w:pageBreakBefore w:val="0"/>
        <w:kinsoku/>
        <w:wordWrap/>
        <w:overflowPunct/>
        <w:topLinePunct w:val="0"/>
        <w:autoSpaceDE/>
        <w:autoSpaceDN/>
        <w:bidi w:val="0"/>
        <w:snapToGrid w:val="0"/>
        <w:spacing w:line="360" w:lineRule="auto"/>
        <w:ind w:firstLine="472" w:firstLineChars="196"/>
        <w:textAlignment w:val="auto"/>
        <w:rPr>
          <w:rFonts w:ascii="宋体" w:hAnsi="宋体" w:cs="宋体"/>
          <w:color w:val="auto"/>
          <w:kern w:val="0"/>
          <w:sz w:val="24"/>
          <w:highlight w:val="none"/>
        </w:rPr>
      </w:pPr>
      <w:r>
        <w:rPr>
          <w:rFonts w:hint="eastAsia" w:ascii="宋体" w:hAnsi="宋体" w:cs="宋体"/>
          <w:b/>
          <w:color w:val="auto"/>
          <w:kern w:val="0"/>
          <w:sz w:val="24"/>
          <w:highlight w:val="none"/>
        </w:rPr>
        <w:t>3.2 比较与评价。</w:t>
      </w:r>
      <w:r>
        <w:rPr>
          <w:rFonts w:hint="eastAsia" w:ascii="宋体" w:hAnsi="宋体" w:cs="宋体"/>
          <w:color w:val="auto"/>
          <w:kern w:val="0"/>
          <w:sz w:val="24"/>
          <w:highlight w:val="none"/>
        </w:rPr>
        <w:t>评标委员会应当按照招标文件中规定的评标方法和标准，对符合性审查合格的投标文件进行商务和技术评估，综合比较与评价。</w:t>
      </w:r>
    </w:p>
    <w:p>
      <w:pPr>
        <w:keepNext w:val="0"/>
        <w:keepLines w:val="0"/>
        <w:pageBreakBefore w:val="0"/>
        <w:kinsoku/>
        <w:wordWrap/>
        <w:overflowPunct/>
        <w:topLinePunct w:val="0"/>
        <w:autoSpaceDE/>
        <w:autoSpaceDN/>
        <w:bidi w:val="0"/>
        <w:snapToGrid w:val="0"/>
        <w:spacing w:line="360" w:lineRule="auto"/>
        <w:ind w:firstLine="472" w:firstLineChars="196"/>
        <w:textAlignment w:val="auto"/>
        <w:rPr>
          <w:rFonts w:ascii="宋体" w:hAnsi="宋体" w:cs="宋体"/>
          <w:color w:val="auto"/>
          <w:kern w:val="0"/>
          <w:sz w:val="24"/>
          <w:highlight w:val="none"/>
        </w:rPr>
      </w:pPr>
      <w:r>
        <w:rPr>
          <w:rFonts w:hint="eastAsia" w:ascii="宋体" w:hAnsi="宋体" w:cs="宋体"/>
          <w:b/>
          <w:color w:val="auto"/>
          <w:kern w:val="0"/>
          <w:sz w:val="24"/>
          <w:highlight w:val="none"/>
        </w:rPr>
        <w:t>3.3汇总商务技术得分。</w:t>
      </w:r>
      <w:r>
        <w:rPr>
          <w:rFonts w:hint="eastAsia" w:ascii="宋体" w:hAnsi="宋体" w:cs="宋体"/>
          <w:color w:val="auto"/>
          <w:kern w:val="0"/>
          <w:sz w:val="24"/>
          <w:highlight w:val="none"/>
        </w:rPr>
        <w:t>评标委员会各成员应当独立对每个投标人的商务和技术文件进行评价，并汇总商务技术得分情况。</w:t>
      </w:r>
    </w:p>
    <w:p>
      <w:pPr>
        <w:keepNext w:val="0"/>
        <w:keepLines w:val="0"/>
        <w:pageBreakBefore w:val="0"/>
        <w:kinsoku/>
        <w:wordWrap/>
        <w:overflowPunct/>
        <w:topLinePunct w:val="0"/>
        <w:autoSpaceDE/>
        <w:autoSpaceDN/>
        <w:bidi w:val="0"/>
        <w:snapToGrid w:val="0"/>
        <w:spacing w:line="360" w:lineRule="auto"/>
        <w:ind w:firstLine="472" w:firstLineChars="196"/>
        <w:textAlignment w:val="auto"/>
        <w:rPr>
          <w:rFonts w:ascii="宋体" w:hAnsi="宋体" w:cs="宋体"/>
          <w:b/>
          <w:color w:val="auto"/>
          <w:kern w:val="0"/>
          <w:sz w:val="24"/>
          <w:highlight w:val="none"/>
        </w:rPr>
      </w:pPr>
      <w:r>
        <w:rPr>
          <w:rFonts w:hint="eastAsia" w:ascii="宋体" w:hAnsi="宋体" w:cs="宋体"/>
          <w:b/>
          <w:color w:val="auto"/>
          <w:kern w:val="0"/>
          <w:sz w:val="24"/>
          <w:highlight w:val="none"/>
        </w:rPr>
        <w:t>3.4报价评审。</w:t>
      </w:r>
    </w:p>
    <w:p>
      <w:pPr>
        <w:pStyle w:val="128"/>
        <w:keepNext w:val="0"/>
        <w:keepLines w:val="0"/>
        <w:pageBreakBefore w:val="0"/>
        <w:kinsoku/>
        <w:wordWrap/>
        <w:overflowPunct/>
        <w:topLinePunct w:val="0"/>
        <w:autoSpaceDE/>
        <w:autoSpaceDN/>
        <w:bidi w:val="0"/>
        <w:snapToGrid w:val="0"/>
        <w:spacing w:before="0" w:line="360" w:lineRule="auto"/>
        <w:ind w:firstLine="508" w:firstLineChars="212"/>
        <w:textAlignment w:val="auto"/>
        <w:rPr>
          <w:rFonts w:ascii="宋体" w:hAnsi="宋体" w:cs="宋体"/>
          <w:color w:val="auto"/>
          <w:kern w:val="0"/>
          <w:highlight w:val="none"/>
        </w:rPr>
      </w:pPr>
      <w:r>
        <w:rPr>
          <w:rFonts w:hint="eastAsia" w:ascii="宋体" w:hAnsi="宋体" w:cs="宋体"/>
          <w:color w:val="auto"/>
          <w:kern w:val="0"/>
          <w:highlight w:val="none"/>
        </w:rPr>
        <w:t>3.4.1投标文件报价出现前后不一致的，按照下列规定修正：</w:t>
      </w:r>
    </w:p>
    <w:p>
      <w:pPr>
        <w:pStyle w:val="128"/>
        <w:keepNext w:val="0"/>
        <w:keepLines w:val="0"/>
        <w:pageBreakBefore w:val="0"/>
        <w:kinsoku/>
        <w:wordWrap/>
        <w:overflowPunct/>
        <w:topLinePunct w:val="0"/>
        <w:autoSpaceDE/>
        <w:autoSpaceDN/>
        <w:bidi w:val="0"/>
        <w:snapToGrid w:val="0"/>
        <w:spacing w:before="0" w:line="360" w:lineRule="auto"/>
        <w:ind w:firstLine="480"/>
        <w:textAlignment w:val="auto"/>
        <w:rPr>
          <w:rFonts w:ascii="宋体" w:hAnsi="宋体" w:cs="宋体"/>
          <w:color w:val="auto"/>
          <w:kern w:val="0"/>
          <w:szCs w:val="24"/>
          <w:highlight w:val="none"/>
        </w:rPr>
      </w:pPr>
      <w:r>
        <w:rPr>
          <w:rFonts w:hint="eastAsia" w:ascii="宋体" w:hAnsi="宋体" w:cs="宋体"/>
          <w:color w:val="auto"/>
          <w:kern w:val="0"/>
          <w:szCs w:val="24"/>
          <w:highlight w:val="none"/>
        </w:rPr>
        <w:t>3.4.1.1投标文件中开标一览表(报价表)内容与投标文件中相应内容不一致的，以开标一览表(报价表)为准;</w:t>
      </w:r>
    </w:p>
    <w:p>
      <w:pPr>
        <w:pStyle w:val="128"/>
        <w:keepNext w:val="0"/>
        <w:keepLines w:val="0"/>
        <w:pageBreakBefore w:val="0"/>
        <w:kinsoku/>
        <w:wordWrap/>
        <w:overflowPunct/>
        <w:topLinePunct w:val="0"/>
        <w:autoSpaceDE/>
        <w:autoSpaceDN/>
        <w:bidi w:val="0"/>
        <w:snapToGrid w:val="0"/>
        <w:spacing w:before="0" w:line="360" w:lineRule="auto"/>
        <w:ind w:firstLine="480"/>
        <w:textAlignment w:val="auto"/>
        <w:rPr>
          <w:rFonts w:ascii="宋体" w:hAnsi="宋体" w:cs="宋体"/>
          <w:color w:val="auto"/>
          <w:kern w:val="0"/>
          <w:szCs w:val="24"/>
          <w:highlight w:val="none"/>
        </w:rPr>
      </w:pPr>
      <w:r>
        <w:rPr>
          <w:rFonts w:hint="eastAsia" w:ascii="宋体" w:hAnsi="宋体" w:cs="宋体"/>
          <w:color w:val="auto"/>
          <w:kern w:val="0"/>
          <w:szCs w:val="24"/>
          <w:highlight w:val="none"/>
        </w:rPr>
        <w:t>3.4.1.2大写金额和小写金额不一致的，以大写金额为准;</w:t>
      </w:r>
    </w:p>
    <w:p>
      <w:pPr>
        <w:pStyle w:val="128"/>
        <w:keepNext w:val="0"/>
        <w:keepLines w:val="0"/>
        <w:pageBreakBefore w:val="0"/>
        <w:kinsoku/>
        <w:wordWrap/>
        <w:overflowPunct/>
        <w:topLinePunct w:val="0"/>
        <w:autoSpaceDE/>
        <w:autoSpaceDN/>
        <w:bidi w:val="0"/>
        <w:snapToGrid w:val="0"/>
        <w:spacing w:before="0" w:line="360" w:lineRule="auto"/>
        <w:ind w:firstLine="480"/>
        <w:textAlignment w:val="auto"/>
        <w:rPr>
          <w:rFonts w:ascii="宋体" w:hAnsi="宋体" w:cs="宋体"/>
          <w:color w:val="auto"/>
          <w:kern w:val="0"/>
          <w:szCs w:val="24"/>
          <w:highlight w:val="none"/>
        </w:rPr>
      </w:pPr>
      <w:r>
        <w:rPr>
          <w:rFonts w:hint="eastAsia" w:ascii="宋体" w:hAnsi="宋体" w:cs="宋体"/>
          <w:color w:val="auto"/>
          <w:kern w:val="0"/>
          <w:szCs w:val="24"/>
          <w:highlight w:val="none"/>
        </w:rPr>
        <w:t>3.4.1.3单价金额小数点或者百分比有明显错位的，以开标一览表的总价为准，并修改单价;</w:t>
      </w:r>
    </w:p>
    <w:p>
      <w:pPr>
        <w:pStyle w:val="128"/>
        <w:keepNext w:val="0"/>
        <w:keepLines w:val="0"/>
        <w:pageBreakBefore w:val="0"/>
        <w:kinsoku/>
        <w:wordWrap/>
        <w:overflowPunct/>
        <w:topLinePunct w:val="0"/>
        <w:autoSpaceDE/>
        <w:autoSpaceDN/>
        <w:bidi w:val="0"/>
        <w:snapToGrid w:val="0"/>
        <w:spacing w:before="0" w:line="360" w:lineRule="auto"/>
        <w:ind w:firstLine="480"/>
        <w:textAlignment w:val="auto"/>
        <w:rPr>
          <w:rFonts w:ascii="宋体" w:hAnsi="宋体" w:cs="宋体"/>
          <w:color w:val="auto"/>
          <w:kern w:val="0"/>
          <w:szCs w:val="24"/>
          <w:highlight w:val="none"/>
        </w:rPr>
      </w:pPr>
      <w:r>
        <w:rPr>
          <w:rFonts w:hint="eastAsia" w:ascii="宋体" w:hAnsi="宋体" w:cs="宋体"/>
          <w:color w:val="auto"/>
          <w:kern w:val="0"/>
          <w:szCs w:val="24"/>
          <w:highlight w:val="none"/>
        </w:rPr>
        <w:t>3.4.1.4总价金额与按单价汇总金额不一致的，以单价金额计算结果为准。</w:t>
      </w:r>
    </w:p>
    <w:p>
      <w:pPr>
        <w:pStyle w:val="128"/>
        <w:keepNext w:val="0"/>
        <w:keepLines w:val="0"/>
        <w:pageBreakBefore w:val="0"/>
        <w:kinsoku/>
        <w:wordWrap/>
        <w:overflowPunct/>
        <w:topLinePunct w:val="0"/>
        <w:autoSpaceDE/>
        <w:autoSpaceDN/>
        <w:bidi w:val="0"/>
        <w:snapToGrid w:val="0"/>
        <w:spacing w:before="0" w:line="360" w:lineRule="auto"/>
        <w:ind w:firstLine="480"/>
        <w:textAlignment w:val="auto"/>
        <w:rPr>
          <w:rFonts w:ascii="宋体" w:hAnsi="宋体" w:cs="宋体"/>
          <w:color w:val="auto"/>
          <w:kern w:val="0"/>
          <w:szCs w:val="24"/>
          <w:highlight w:val="none"/>
        </w:rPr>
      </w:pPr>
      <w:r>
        <w:rPr>
          <w:rFonts w:hint="eastAsia" w:ascii="宋体" w:hAnsi="宋体" w:cs="宋体"/>
          <w:color w:val="auto"/>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pPr>
        <w:keepNext w:val="0"/>
        <w:keepLines w:val="0"/>
        <w:pageBreakBefore w:val="0"/>
        <w:kinsoku/>
        <w:wordWrap/>
        <w:overflowPunct/>
        <w:topLinePunct w:val="0"/>
        <w:autoSpaceDE/>
        <w:autoSpaceDN/>
        <w:bidi w:val="0"/>
        <w:snapToGrid w:val="0"/>
        <w:spacing w:line="360" w:lineRule="auto"/>
        <w:ind w:firstLine="480" w:firstLineChars="200"/>
        <w:jc w:val="left"/>
        <w:textAlignment w:val="auto"/>
        <w:rPr>
          <w:rFonts w:ascii="宋体" w:hAnsi="宋体" w:cs="宋体"/>
          <w:color w:val="auto"/>
          <w:kern w:val="0"/>
          <w:sz w:val="24"/>
          <w:highlight w:val="none"/>
        </w:rPr>
      </w:pPr>
      <w:r>
        <w:rPr>
          <w:rFonts w:hint="eastAsia" w:ascii="宋体" w:hAnsi="宋体" w:cs="宋体"/>
          <w:color w:val="auto"/>
          <w:kern w:val="0"/>
          <w:sz w:val="24"/>
          <w:highlight w:val="none"/>
        </w:rPr>
        <w:t>3.4.2投标文件出现不是唯一的、有选择性投标报价的，投标无效。</w:t>
      </w:r>
    </w:p>
    <w:p>
      <w:pPr>
        <w:keepNext w:val="0"/>
        <w:keepLines w:val="0"/>
        <w:pageBreakBefore w:val="0"/>
        <w:kinsoku/>
        <w:wordWrap/>
        <w:overflowPunct/>
        <w:topLinePunct w:val="0"/>
        <w:autoSpaceDE/>
        <w:autoSpaceDN/>
        <w:bidi w:val="0"/>
        <w:snapToGrid w:val="0"/>
        <w:spacing w:line="360" w:lineRule="auto"/>
        <w:ind w:firstLine="480" w:firstLineChars="200"/>
        <w:jc w:val="left"/>
        <w:textAlignment w:val="auto"/>
        <w:rPr>
          <w:rFonts w:ascii="宋体" w:hAnsi="宋体" w:cs="宋体"/>
          <w:color w:val="auto"/>
          <w:kern w:val="0"/>
          <w:sz w:val="24"/>
          <w:highlight w:val="none"/>
        </w:rPr>
      </w:pPr>
      <w:r>
        <w:rPr>
          <w:rFonts w:hint="eastAsia" w:ascii="宋体" w:hAnsi="宋体" w:cs="宋体"/>
          <w:color w:val="auto"/>
          <w:kern w:val="0"/>
          <w:sz w:val="24"/>
          <w:highlight w:val="none"/>
        </w:rPr>
        <w:t>3.4.3投标报价超过招标文件中规定的预算金额或者最高限价的，投标无效。</w:t>
      </w:r>
    </w:p>
    <w:p>
      <w:pPr>
        <w:pStyle w:val="128"/>
        <w:keepNext w:val="0"/>
        <w:keepLines w:val="0"/>
        <w:pageBreakBefore w:val="0"/>
        <w:kinsoku/>
        <w:wordWrap/>
        <w:overflowPunct/>
        <w:topLinePunct w:val="0"/>
        <w:autoSpaceDE/>
        <w:autoSpaceDN/>
        <w:bidi w:val="0"/>
        <w:snapToGrid w:val="0"/>
        <w:spacing w:before="0" w:line="360" w:lineRule="auto"/>
        <w:ind w:firstLine="480"/>
        <w:textAlignment w:val="auto"/>
        <w:rPr>
          <w:rFonts w:ascii="宋体" w:hAnsi="宋体" w:cs="宋体"/>
          <w:color w:val="auto"/>
          <w:kern w:val="0"/>
          <w:szCs w:val="24"/>
          <w:highlight w:val="none"/>
        </w:rPr>
      </w:pPr>
      <w:r>
        <w:rPr>
          <w:rFonts w:hint="eastAsia" w:ascii="宋体" w:hAnsi="宋体" w:cs="宋体"/>
          <w:color w:val="auto"/>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128"/>
        <w:keepNext w:val="0"/>
        <w:keepLines w:val="0"/>
        <w:pageBreakBefore w:val="0"/>
        <w:kinsoku/>
        <w:wordWrap/>
        <w:overflowPunct/>
        <w:topLinePunct w:val="0"/>
        <w:autoSpaceDE/>
        <w:autoSpaceDN/>
        <w:bidi w:val="0"/>
        <w:snapToGrid w:val="0"/>
        <w:spacing w:before="0" w:line="360" w:lineRule="auto"/>
        <w:ind w:firstLine="480"/>
        <w:textAlignment w:val="auto"/>
        <w:rPr>
          <w:rFonts w:ascii="宋体" w:hAnsi="宋体" w:cs="宋体"/>
          <w:color w:val="auto"/>
          <w:kern w:val="0"/>
          <w:szCs w:val="24"/>
          <w:highlight w:val="none"/>
        </w:rPr>
      </w:pPr>
      <w:r>
        <w:rPr>
          <w:rFonts w:hint="eastAsia" w:ascii="宋体" w:hAnsi="宋体" w:cs="宋体"/>
          <w:color w:val="auto"/>
          <w:kern w:val="0"/>
          <w:szCs w:val="24"/>
          <w:highlight w:val="none"/>
        </w:rPr>
        <w:t>3.4.5对于未预留份额专门面向中小企业的政府采购货物项目，以及预留份额政府采购货物项目中的非预留部分标项，对小型和微型企业的投标报价给予10%-</w:t>
      </w:r>
      <w:r>
        <w:rPr>
          <w:rFonts w:ascii="宋体" w:hAnsi="宋体" w:cs="宋体"/>
          <w:color w:val="auto"/>
          <w:kern w:val="0"/>
          <w:szCs w:val="24"/>
          <w:highlight w:val="none"/>
        </w:rPr>
        <w:t>20</w:t>
      </w:r>
      <w:r>
        <w:rPr>
          <w:rFonts w:hint="eastAsia" w:ascii="宋体" w:hAnsi="宋体" w:cs="宋体"/>
          <w:color w:val="auto"/>
          <w:kern w:val="0"/>
          <w:szCs w:val="24"/>
          <w:highlight w:val="none"/>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w:t>
      </w:r>
      <w:r>
        <w:rPr>
          <w:rFonts w:ascii="宋体" w:hAnsi="宋体" w:cs="宋体"/>
          <w:color w:val="auto"/>
          <w:kern w:val="0"/>
          <w:szCs w:val="24"/>
          <w:highlight w:val="none"/>
        </w:rPr>
        <w:t>6</w:t>
      </w:r>
      <w:r>
        <w:rPr>
          <w:rFonts w:hint="eastAsia" w:ascii="宋体" w:hAnsi="宋体" w:cs="宋体"/>
          <w:color w:val="auto"/>
          <w:kern w:val="0"/>
          <w:szCs w:val="24"/>
          <w:highlight w:val="none"/>
        </w:rPr>
        <w:t>%的扣除，用扣除后的价格参加评审。组成联合体或者接受分包的小微企业与联合体内其他企业、分包企业之间存在直接控股、管理关系的，不享受价格扣除优惠政策。</w:t>
      </w:r>
    </w:p>
    <w:p>
      <w:pPr>
        <w:keepNext w:val="0"/>
        <w:keepLines w:val="0"/>
        <w:pageBreakBefore w:val="0"/>
        <w:kinsoku/>
        <w:wordWrap/>
        <w:overflowPunct/>
        <w:topLinePunct w:val="0"/>
        <w:autoSpaceDE/>
        <w:autoSpaceDN/>
        <w:bidi w:val="0"/>
        <w:snapToGrid w:val="0"/>
        <w:spacing w:line="360" w:lineRule="auto"/>
        <w:ind w:firstLine="482" w:firstLineChars="200"/>
        <w:textAlignment w:val="auto"/>
        <w:rPr>
          <w:rFonts w:ascii="宋体" w:hAnsi="宋体" w:cs="宋体"/>
          <w:color w:val="auto"/>
          <w:kern w:val="0"/>
          <w:sz w:val="24"/>
          <w:highlight w:val="none"/>
        </w:rPr>
      </w:pPr>
      <w:r>
        <w:rPr>
          <w:rFonts w:hint="eastAsia" w:ascii="宋体" w:hAnsi="宋体" w:cs="宋体"/>
          <w:b/>
          <w:color w:val="auto"/>
          <w:kern w:val="0"/>
          <w:sz w:val="24"/>
          <w:highlight w:val="none"/>
        </w:rPr>
        <w:t>3.5排序与推荐。</w:t>
      </w:r>
      <w:r>
        <w:rPr>
          <w:rFonts w:hint="eastAsia" w:ascii="宋体" w:hAnsi="宋体" w:cs="宋体"/>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ascii="宋体" w:hAnsi="宋体" w:cs="宋体"/>
          <w:b/>
          <w:color w:val="auto"/>
          <w:kern w:val="0"/>
          <w:sz w:val="24"/>
          <w:highlight w:val="none"/>
        </w:rPr>
      </w:pPr>
      <w:r>
        <w:rPr>
          <w:rFonts w:hint="eastAsia" w:ascii="宋体" w:hAnsi="宋体" w:cs="宋体"/>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keepNext w:val="0"/>
        <w:keepLines w:val="0"/>
        <w:pageBreakBefore w:val="0"/>
        <w:kinsoku/>
        <w:wordWrap/>
        <w:overflowPunct/>
        <w:topLinePunct w:val="0"/>
        <w:autoSpaceDE/>
        <w:autoSpaceDN/>
        <w:bidi w:val="0"/>
        <w:snapToGrid w:val="0"/>
        <w:spacing w:line="360" w:lineRule="auto"/>
        <w:ind w:firstLine="472" w:firstLineChars="196"/>
        <w:textAlignment w:val="auto"/>
        <w:rPr>
          <w:rFonts w:ascii="宋体" w:hAnsi="宋体" w:cs="宋体"/>
          <w:color w:val="auto"/>
          <w:kern w:val="0"/>
          <w:sz w:val="24"/>
          <w:highlight w:val="none"/>
        </w:rPr>
      </w:pPr>
      <w:r>
        <w:rPr>
          <w:rFonts w:hint="eastAsia" w:ascii="宋体" w:hAnsi="宋体" w:cs="宋体"/>
          <w:b/>
          <w:color w:val="auto"/>
          <w:kern w:val="0"/>
          <w:sz w:val="24"/>
          <w:highlight w:val="none"/>
        </w:rPr>
        <w:t>3.6编写评标报告。</w:t>
      </w:r>
      <w:r>
        <w:rPr>
          <w:rFonts w:hint="eastAsia" w:ascii="宋体" w:hAnsi="宋体" w:cs="宋体"/>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keepNext w:val="0"/>
        <w:keepLines w:val="0"/>
        <w:pageBreakBefore w:val="0"/>
        <w:widowControl/>
        <w:shd w:val="clear" w:color="auto" w:fill="FFFFFF"/>
        <w:kinsoku/>
        <w:wordWrap/>
        <w:overflowPunct/>
        <w:topLinePunct w:val="0"/>
        <w:autoSpaceDE/>
        <w:autoSpaceDN/>
        <w:bidi w:val="0"/>
        <w:adjustRightInd/>
        <w:snapToGrid w:val="0"/>
        <w:spacing w:line="360" w:lineRule="auto"/>
        <w:jc w:val="left"/>
        <w:textAlignment w:val="auto"/>
        <w:rPr>
          <w:rFonts w:ascii="宋体" w:hAnsi="宋体" w:cs="宋体"/>
          <w:b/>
          <w:color w:val="auto"/>
          <w:sz w:val="32"/>
          <w:highlight w:val="none"/>
        </w:rPr>
      </w:pPr>
      <w:r>
        <w:rPr>
          <w:rFonts w:hint="eastAsia" w:ascii="宋体" w:hAnsi="宋体" w:cs="宋体"/>
          <w:b/>
          <w:color w:val="auto"/>
          <w:sz w:val="32"/>
          <w:highlight w:val="none"/>
        </w:rPr>
        <w:t>四、评标中的其他事项</w:t>
      </w:r>
    </w:p>
    <w:p>
      <w:pPr>
        <w:pStyle w:val="128"/>
        <w:keepNext w:val="0"/>
        <w:keepLines w:val="0"/>
        <w:pageBreakBefore w:val="0"/>
        <w:kinsoku/>
        <w:wordWrap/>
        <w:overflowPunct/>
        <w:topLinePunct w:val="0"/>
        <w:autoSpaceDE/>
        <w:autoSpaceDN/>
        <w:bidi w:val="0"/>
        <w:snapToGrid w:val="0"/>
        <w:spacing w:before="0" w:line="360" w:lineRule="auto"/>
        <w:ind w:firstLine="472" w:firstLineChars="196"/>
        <w:textAlignment w:val="auto"/>
        <w:rPr>
          <w:rFonts w:ascii="宋体" w:hAnsi="宋体" w:cs="宋体"/>
          <w:color w:val="auto"/>
          <w:kern w:val="0"/>
          <w:szCs w:val="24"/>
          <w:highlight w:val="none"/>
        </w:rPr>
      </w:pPr>
      <w:r>
        <w:rPr>
          <w:rFonts w:hint="eastAsia" w:ascii="宋体" w:hAnsi="宋体" w:cs="宋体"/>
          <w:b/>
          <w:color w:val="auto"/>
          <w:kern w:val="0"/>
          <w:szCs w:val="24"/>
          <w:highlight w:val="none"/>
        </w:rPr>
        <w:t>4.1投标人澄清、说明或者补正。</w:t>
      </w:r>
      <w:r>
        <w:rPr>
          <w:rFonts w:hint="eastAsia" w:ascii="宋体" w:hAnsi="宋体" w:cs="宋体"/>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24"/>
        <w:keepNext w:val="0"/>
        <w:keepLines w:val="0"/>
        <w:pageBreakBefore w:val="0"/>
        <w:kinsoku/>
        <w:wordWrap/>
        <w:overflowPunct/>
        <w:topLinePunct w:val="0"/>
        <w:autoSpaceDE/>
        <w:autoSpaceDN/>
        <w:bidi w:val="0"/>
        <w:snapToGrid w:val="0"/>
        <w:spacing w:line="360" w:lineRule="auto"/>
        <w:ind w:left="954" w:leftChars="226" w:hanging="479" w:firstLineChars="0"/>
        <w:textAlignment w:val="auto"/>
        <w:rPr>
          <w:rFonts w:cs="宋体"/>
          <w:color w:val="auto"/>
          <w:szCs w:val="21"/>
          <w:highlight w:val="none"/>
        </w:rPr>
      </w:pPr>
      <w:r>
        <w:rPr>
          <w:rFonts w:hint="eastAsia" w:cs="宋体"/>
          <w:b/>
          <w:color w:val="auto"/>
          <w:kern w:val="0"/>
          <w:highlight w:val="none"/>
        </w:rPr>
        <w:t>4.2投标无效。</w:t>
      </w:r>
      <w:r>
        <w:rPr>
          <w:rFonts w:hint="eastAsia" w:cs="宋体"/>
          <w:color w:val="auto"/>
          <w:szCs w:val="21"/>
          <w:highlight w:val="none"/>
        </w:rPr>
        <w:t>有下列情形之一的，投标无效：</w:t>
      </w:r>
    </w:p>
    <w:p>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ascii="宋体" w:hAnsi="宋体" w:cs="宋体"/>
          <w:color w:val="auto"/>
          <w:kern w:val="0"/>
          <w:sz w:val="24"/>
          <w:highlight w:val="none"/>
        </w:rPr>
      </w:pPr>
      <w:r>
        <w:rPr>
          <w:rFonts w:hint="eastAsia" w:ascii="宋体" w:hAnsi="宋体" w:cs="宋体"/>
          <w:color w:val="auto"/>
          <w:kern w:val="0"/>
          <w:sz w:val="24"/>
          <w:highlight w:val="none"/>
        </w:rPr>
        <w:t>4.2.1投标人不具备招标文件中规定的资格要求的（投标人未提供有效的资格文件的，视为投标人不具备招标文件中规定的资格要求）；</w:t>
      </w:r>
    </w:p>
    <w:p>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ascii="宋体" w:hAnsi="宋体" w:cs="宋体"/>
          <w:color w:val="auto"/>
          <w:kern w:val="0"/>
          <w:sz w:val="24"/>
          <w:highlight w:val="none"/>
        </w:rPr>
      </w:pPr>
      <w:r>
        <w:rPr>
          <w:rFonts w:hint="eastAsia" w:ascii="宋体" w:hAnsi="宋体" w:cs="宋体"/>
          <w:color w:val="auto"/>
          <w:kern w:val="0"/>
          <w:sz w:val="24"/>
          <w:highlight w:val="none"/>
        </w:rPr>
        <w:t>4.2.2投标文件未按照招标文件要求签署、盖章的；</w:t>
      </w:r>
    </w:p>
    <w:p>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ascii="宋体" w:hAnsi="宋体" w:cs="宋体"/>
          <w:color w:val="auto"/>
          <w:kern w:val="0"/>
          <w:sz w:val="24"/>
          <w:highlight w:val="none"/>
        </w:rPr>
      </w:pPr>
      <w:r>
        <w:rPr>
          <w:rFonts w:hint="eastAsia" w:ascii="宋体" w:hAnsi="宋体" w:cs="宋体"/>
          <w:color w:val="auto"/>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ascii="宋体" w:hAnsi="宋体" w:cs="宋体"/>
          <w:color w:val="auto"/>
          <w:kern w:val="0"/>
          <w:sz w:val="24"/>
          <w:highlight w:val="none"/>
        </w:rPr>
      </w:pPr>
      <w:r>
        <w:rPr>
          <w:rFonts w:hint="eastAsia" w:ascii="宋体" w:hAnsi="宋体" w:cs="宋体"/>
          <w:color w:val="auto"/>
          <w:kern w:val="0"/>
          <w:sz w:val="24"/>
          <w:highlight w:val="none"/>
        </w:rPr>
        <w:t>4.2.4投标文件含有采购人不能接受的附加条件的；</w:t>
      </w:r>
    </w:p>
    <w:p>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ascii="宋体" w:hAnsi="宋体" w:cs="宋体"/>
          <w:color w:val="auto"/>
          <w:kern w:val="0"/>
          <w:sz w:val="24"/>
          <w:highlight w:val="none"/>
        </w:rPr>
      </w:pPr>
      <w:r>
        <w:rPr>
          <w:rFonts w:hint="eastAsia" w:ascii="宋体" w:hAnsi="宋体" w:cs="宋体"/>
          <w:color w:val="auto"/>
          <w:kern w:val="0"/>
          <w:sz w:val="24"/>
          <w:highlight w:val="none"/>
        </w:rPr>
        <w:t>4.2.5投标文件中承诺的投标有效期少于招标文件中载明的投标有效期的；</w:t>
      </w:r>
    </w:p>
    <w:p>
      <w:pPr>
        <w:keepNext w:val="0"/>
        <w:keepLines w:val="0"/>
        <w:pageBreakBefore w:val="0"/>
        <w:kinsoku/>
        <w:wordWrap/>
        <w:overflowPunct/>
        <w:topLinePunct w:val="0"/>
        <w:autoSpaceDE/>
        <w:autoSpaceDN/>
        <w:bidi w:val="0"/>
        <w:snapToGrid w:val="0"/>
        <w:spacing w:line="360" w:lineRule="auto"/>
        <w:ind w:firstLine="120" w:firstLineChars="50"/>
        <w:jc w:val="left"/>
        <w:textAlignment w:val="auto"/>
        <w:rPr>
          <w:rFonts w:ascii="宋体" w:hAnsi="宋体" w:cs="宋体"/>
          <w:color w:val="auto"/>
          <w:kern w:val="0"/>
          <w:sz w:val="24"/>
          <w:highlight w:val="none"/>
        </w:rPr>
      </w:pPr>
      <w:r>
        <w:rPr>
          <w:rFonts w:hint="eastAsia" w:ascii="宋体" w:hAnsi="宋体" w:cs="宋体"/>
          <w:color w:val="auto"/>
          <w:kern w:val="0"/>
          <w:sz w:val="24"/>
          <w:highlight w:val="none"/>
        </w:rPr>
        <w:t xml:space="preserve">   4.2.6投标文件出现不是唯一的、有选择性投标报价的;</w:t>
      </w:r>
    </w:p>
    <w:p>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ascii="宋体" w:hAnsi="宋体" w:cs="宋体"/>
          <w:color w:val="auto"/>
          <w:kern w:val="0"/>
          <w:sz w:val="24"/>
          <w:highlight w:val="none"/>
        </w:rPr>
      </w:pPr>
      <w:r>
        <w:rPr>
          <w:rFonts w:hint="eastAsia" w:ascii="宋体" w:hAnsi="宋体" w:cs="宋体"/>
          <w:color w:val="auto"/>
          <w:kern w:val="0"/>
          <w:sz w:val="24"/>
          <w:highlight w:val="none"/>
        </w:rPr>
        <w:t>4.2.7投标报价超过招标文件中规定的预算金额或者最高限价的;</w:t>
      </w:r>
    </w:p>
    <w:p>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ascii="宋体" w:hAnsi="宋体" w:cs="宋体"/>
          <w:color w:val="auto"/>
          <w:kern w:val="0"/>
          <w:sz w:val="24"/>
          <w:highlight w:val="none"/>
        </w:rPr>
      </w:pPr>
      <w:r>
        <w:rPr>
          <w:rFonts w:hint="eastAsia" w:ascii="宋体" w:hAnsi="宋体" w:cs="宋体"/>
          <w:color w:val="auto"/>
          <w:kern w:val="0"/>
          <w:sz w:val="24"/>
          <w:highlight w:val="none"/>
        </w:rPr>
        <w:t>4.2.8报价明显低于其他通过符合性审查投标人的报价，有可能影响产品质量或者不能诚信履约的，未能按要求提供书面说明或者提交相关证明材料，不能证明其报价合理性的;</w:t>
      </w:r>
    </w:p>
    <w:p>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ascii="宋体" w:hAnsi="宋体" w:cs="宋体"/>
          <w:color w:val="auto"/>
          <w:kern w:val="0"/>
          <w:sz w:val="24"/>
          <w:highlight w:val="none"/>
        </w:rPr>
      </w:pPr>
      <w:r>
        <w:rPr>
          <w:rFonts w:hint="eastAsia" w:ascii="宋体" w:hAnsi="宋体" w:cs="宋体"/>
          <w:color w:val="auto"/>
          <w:kern w:val="0"/>
          <w:sz w:val="24"/>
          <w:highlight w:val="none"/>
        </w:rPr>
        <w:t>4.2.9投标人对根据修正原则修正后的报价不确认的；</w:t>
      </w:r>
    </w:p>
    <w:p>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ascii="宋体" w:hAnsi="宋体" w:cs="宋体"/>
          <w:color w:val="auto"/>
          <w:kern w:val="0"/>
          <w:sz w:val="24"/>
          <w:highlight w:val="none"/>
        </w:rPr>
      </w:pPr>
      <w:r>
        <w:rPr>
          <w:rFonts w:hint="eastAsia" w:ascii="宋体" w:hAnsi="宋体" w:cs="宋体"/>
          <w:color w:val="auto"/>
          <w:kern w:val="0"/>
          <w:sz w:val="24"/>
          <w:highlight w:val="none"/>
        </w:rPr>
        <w:t>4.2.10投标人提供虚假材料投标的；</w:t>
      </w:r>
    </w:p>
    <w:p>
      <w:pPr>
        <w:keepNext w:val="0"/>
        <w:keepLines w:val="0"/>
        <w:pageBreakBefore w:val="0"/>
        <w:kinsoku/>
        <w:wordWrap/>
        <w:overflowPunct/>
        <w:topLinePunct w:val="0"/>
        <w:autoSpaceDE/>
        <w:autoSpaceDN/>
        <w:bidi w:val="0"/>
        <w:snapToGrid w:val="0"/>
        <w:spacing w:line="360" w:lineRule="auto"/>
        <w:ind w:firstLine="240" w:firstLineChars="100"/>
        <w:textAlignment w:val="auto"/>
        <w:rPr>
          <w:rFonts w:ascii="宋体" w:hAnsi="宋体" w:cs="宋体"/>
          <w:color w:val="auto"/>
          <w:kern w:val="0"/>
          <w:sz w:val="24"/>
          <w:highlight w:val="none"/>
        </w:rPr>
      </w:pPr>
      <w:r>
        <w:rPr>
          <w:rFonts w:hint="eastAsia" w:ascii="宋体" w:hAnsi="宋体" w:cs="宋体"/>
          <w:color w:val="auto"/>
          <w:kern w:val="0"/>
          <w:sz w:val="24"/>
          <w:highlight w:val="none"/>
        </w:rPr>
        <w:t xml:space="preserve">  4.2.11投标人有恶意串通、妨碍其他投标人的竞争行为、损害采购人或者其他投标人的合法权益情形的；</w:t>
      </w:r>
    </w:p>
    <w:p>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ascii="宋体" w:hAnsi="宋体" w:cs="宋体"/>
          <w:color w:val="auto"/>
          <w:kern w:val="0"/>
          <w:sz w:val="24"/>
          <w:highlight w:val="none"/>
        </w:rPr>
      </w:pPr>
      <w:r>
        <w:rPr>
          <w:rFonts w:hint="eastAsia" w:ascii="宋体" w:hAnsi="宋体" w:cs="宋体"/>
          <w:color w:val="auto"/>
          <w:kern w:val="0"/>
          <w:sz w:val="24"/>
          <w:highlight w:val="none"/>
        </w:rPr>
        <w:t>4.2.12投标人仅提交备份投标文件，未在电子交易平台传输递交投标文件的，投标无效；</w:t>
      </w:r>
    </w:p>
    <w:p>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ascii="宋体" w:hAnsi="宋体" w:cs="宋体"/>
          <w:color w:val="auto"/>
          <w:kern w:val="0"/>
          <w:sz w:val="24"/>
          <w:highlight w:val="none"/>
        </w:rPr>
      </w:pPr>
      <w:r>
        <w:rPr>
          <w:rFonts w:hint="eastAsia" w:ascii="宋体" w:hAnsi="宋体" w:cs="宋体"/>
          <w:color w:val="auto"/>
          <w:kern w:val="0"/>
          <w:sz w:val="24"/>
          <w:highlight w:val="none"/>
        </w:rPr>
        <w:t>4.2.13投标人未提供样品或提供的样品不满足采购需求实质性条件的，投标无效；</w:t>
      </w:r>
    </w:p>
    <w:p>
      <w:pPr>
        <w:keepNext w:val="0"/>
        <w:keepLines w:val="0"/>
        <w:pageBreakBefore w:val="0"/>
        <w:kinsoku/>
        <w:wordWrap/>
        <w:overflowPunct/>
        <w:topLinePunct w:val="0"/>
        <w:autoSpaceDE/>
        <w:autoSpaceDN/>
        <w:bidi w:val="0"/>
        <w:snapToGrid w:val="0"/>
        <w:spacing w:line="360" w:lineRule="auto"/>
        <w:ind w:firstLine="480" w:firstLineChars="200"/>
        <w:textAlignment w:val="auto"/>
        <w:rPr>
          <w:color w:val="auto"/>
          <w:highlight w:val="none"/>
        </w:rPr>
      </w:pPr>
      <w:r>
        <w:rPr>
          <w:rFonts w:hint="eastAsia" w:ascii="宋体" w:hAnsi="宋体" w:cs="宋体"/>
          <w:color w:val="auto"/>
          <w:kern w:val="0"/>
          <w:sz w:val="24"/>
          <w:highlight w:val="none"/>
        </w:rPr>
        <w:t>4.2.14 投标文件不满足招标文件的实质性要求的；</w:t>
      </w:r>
    </w:p>
    <w:p>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ascii="宋体" w:hAnsi="宋体" w:cs="宋体"/>
          <w:color w:val="auto"/>
          <w:kern w:val="0"/>
          <w:sz w:val="24"/>
          <w:highlight w:val="none"/>
        </w:rPr>
      </w:pPr>
      <w:r>
        <w:rPr>
          <w:rFonts w:hint="eastAsia" w:ascii="宋体" w:hAnsi="宋体" w:cs="宋体"/>
          <w:color w:val="auto"/>
          <w:kern w:val="0"/>
          <w:sz w:val="24"/>
          <w:highlight w:val="none"/>
        </w:rPr>
        <w:t>4.2.15法律、法规、规章（适用本市的）及省级以上规范性文件（适用本市的）规定的其他无效情形。</w:t>
      </w:r>
    </w:p>
    <w:p>
      <w:pPr>
        <w:pStyle w:val="24"/>
        <w:keepNext w:val="0"/>
        <w:keepLines w:val="0"/>
        <w:pageBreakBefore w:val="0"/>
        <w:kinsoku/>
        <w:wordWrap/>
        <w:overflowPunct/>
        <w:topLinePunct w:val="0"/>
        <w:autoSpaceDE/>
        <w:autoSpaceDN/>
        <w:bidi w:val="0"/>
        <w:snapToGrid w:val="0"/>
        <w:spacing w:line="360" w:lineRule="auto"/>
        <w:ind w:firstLine="472" w:firstLineChars="196"/>
        <w:textAlignment w:val="auto"/>
        <w:rPr>
          <w:rFonts w:cs="宋体"/>
          <w:color w:val="auto"/>
          <w:highlight w:val="none"/>
        </w:rPr>
      </w:pPr>
      <w:r>
        <w:rPr>
          <w:rFonts w:hint="eastAsia" w:cs="宋体"/>
          <w:b/>
          <w:color w:val="auto"/>
          <w:highlight w:val="none"/>
        </w:rPr>
        <w:t>5.废标。</w:t>
      </w:r>
      <w:r>
        <w:rPr>
          <w:rFonts w:hint="eastAsia" w:cs="宋体"/>
          <w:color w:val="auto"/>
          <w:highlight w:val="none"/>
        </w:rPr>
        <w:t>根据《中华人民共和国政府采购法》第三十六条之规定，在采购中，出现下列情形之一的，应予废标：</w:t>
      </w:r>
    </w:p>
    <w:p>
      <w:pPr>
        <w:pStyle w:val="24"/>
        <w:keepNext w:val="0"/>
        <w:keepLines w:val="0"/>
        <w:pageBreakBefore w:val="0"/>
        <w:kinsoku/>
        <w:wordWrap/>
        <w:overflowPunct/>
        <w:topLinePunct w:val="0"/>
        <w:autoSpaceDE/>
        <w:autoSpaceDN/>
        <w:bidi w:val="0"/>
        <w:snapToGrid w:val="0"/>
        <w:spacing w:line="360" w:lineRule="auto"/>
        <w:textAlignment w:val="auto"/>
        <w:rPr>
          <w:rFonts w:cs="宋体"/>
          <w:color w:val="auto"/>
          <w:highlight w:val="none"/>
        </w:rPr>
      </w:pPr>
      <w:r>
        <w:rPr>
          <w:rFonts w:hint="eastAsia" w:cs="宋体"/>
          <w:color w:val="auto"/>
          <w:highlight w:val="none"/>
        </w:rPr>
        <w:t>5.1符合专业条件的供应商或者对招标文件作实质响应的供应商不足3家的；</w:t>
      </w:r>
    </w:p>
    <w:p>
      <w:pPr>
        <w:pStyle w:val="24"/>
        <w:keepNext w:val="0"/>
        <w:keepLines w:val="0"/>
        <w:pageBreakBefore w:val="0"/>
        <w:kinsoku/>
        <w:wordWrap/>
        <w:overflowPunct/>
        <w:topLinePunct w:val="0"/>
        <w:autoSpaceDE/>
        <w:autoSpaceDN/>
        <w:bidi w:val="0"/>
        <w:snapToGrid w:val="0"/>
        <w:spacing w:line="360" w:lineRule="auto"/>
        <w:textAlignment w:val="auto"/>
        <w:rPr>
          <w:rFonts w:cs="宋体"/>
          <w:color w:val="auto"/>
          <w:highlight w:val="none"/>
        </w:rPr>
      </w:pPr>
      <w:r>
        <w:rPr>
          <w:rFonts w:hint="eastAsia" w:cs="宋体"/>
          <w:color w:val="auto"/>
          <w:highlight w:val="none"/>
        </w:rPr>
        <w:t>5.2出现影响采购公正的违法、违规行为的；</w:t>
      </w:r>
    </w:p>
    <w:p>
      <w:pPr>
        <w:pStyle w:val="24"/>
        <w:keepNext w:val="0"/>
        <w:keepLines w:val="0"/>
        <w:pageBreakBefore w:val="0"/>
        <w:kinsoku/>
        <w:wordWrap/>
        <w:overflowPunct/>
        <w:topLinePunct w:val="0"/>
        <w:autoSpaceDE/>
        <w:autoSpaceDN/>
        <w:bidi w:val="0"/>
        <w:snapToGrid w:val="0"/>
        <w:spacing w:line="360" w:lineRule="auto"/>
        <w:textAlignment w:val="auto"/>
        <w:rPr>
          <w:rFonts w:cs="宋体"/>
          <w:color w:val="auto"/>
          <w:highlight w:val="none"/>
        </w:rPr>
      </w:pPr>
      <w:r>
        <w:rPr>
          <w:rFonts w:hint="eastAsia" w:cs="宋体"/>
          <w:color w:val="auto"/>
          <w:highlight w:val="none"/>
        </w:rPr>
        <w:t>5.3投标人的报价均超过了采购预算，采购人不能支付的；</w:t>
      </w:r>
    </w:p>
    <w:p>
      <w:pPr>
        <w:pStyle w:val="24"/>
        <w:keepNext w:val="0"/>
        <w:keepLines w:val="0"/>
        <w:pageBreakBefore w:val="0"/>
        <w:kinsoku/>
        <w:wordWrap/>
        <w:overflowPunct/>
        <w:topLinePunct w:val="0"/>
        <w:autoSpaceDE/>
        <w:autoSpaceDN/>
        <w:bidi w:val="0"/>
        <w:snapToGrid w:val="0"/>
        <w:spacing w:line="360" w:lineRule="auto"/>
        <w:textAlignment w:val="auto"/>
        <w:rPr>
          <w:rFonts w:cs="宋体"/>
          <w:color w:val="auto"/>
          <w:highlight w:val="none"/>
        </w:rPr>
      </w:pPr>
      <w:r>
        <w:rPr>
          <w:rFonts w:hint="eastAsia" w:cs="宋体"/>
          <w:color w:val="auto"/>
          <w:highlight w:val="none"/>
        </w:rPr>
        <w:t>5.4因重大变故，采购任务取消的。</w:t>
      </w:r>
    </w:p>
    <w:p>
      <w:pPr>
        <w:pStyle w:val="24"/>
        <w:keepNext w:val="0"/>
        <w:keepLines w:val="0"/>
        <w:pageBreakBefore w:val="0"/>
        <w:kinsoku/>
        <w:wordWrap/>
        <w:overflowPunct/>
        <w:topLinePunct w:val="0"/>
        <w:autoSpaceDE/>
        <w:autoSpaceDN/>
        <w:bidi w:val="0"/>
        <w:snapToGrid w:val="0"/>
        <w:spacing w:line="360" w:lineRule="auto"/>
        <w:textAlignment w:val="auto"/>
        <w:rPr>
          <w:rFonts w:cs="宋体"/>
          <w:color w:val="auto"/>
          <w:highlight w:val="none"/>
        </w:rPr>
      </w:pPr>
      <w:r>
        <w:rPr>
          <w:rFonts w:hint="eastAsia" w:cs="宋体"/>
          <w:color w:val="auto"/>
          <w:highlight w:val="none"/>
        </w:rPr>
        <w:t>废标后，采购代理机构应当将废标理由通知所有投标人。</w:t>
      </w:r>
    </w:p>
    <w:p>
      <w:pPr>
        <w:pStyle w:val="24"/>
        <w:keepNext w:val="0"/>
        <w:keepLines w:val="0"/>
        <w:pageBreakBefore w:val="0"/>
        <w:kinsoku/>
        <w:wordWrap/>
        <w:overflowPunct/>
        <w:topLinePunct w:val="0"/>
        <w:autoSpaceDE/>
        <w:autoSpaceDN/>
        <w:bidi w:val="0"/>
        <w:snapToGrid w:val="0"/>
        <w:spacing w:line="360" w:lineRule="auto"/>
        <w:ind w:firstLine="590" w:firstLineChars="245"/>
        <w:textAlignment w:val="auto"/>
        <w:rPr>
          <w:rFonts w:cs="宋体"/>
          <w:color w:val="auto"/>
          <w:highlight w:val="none"/>
        </w:rPr>
      </w:pPr>
      <w:r>
        <w:rPr>
          <w:rFonts w:hint="eastAsia" w:cs="宋体"/>
          <w:b/>
          <w:color w:val="auto"/>
          <w:highlight w:val="none"/>
        </w:rPr>
        <w:t>6.修改招标文件，重新组织采购活动。</w:t>
      </w:r>
      <w:r>
        <w:rPr>
          <w:rFonts w:hint="eastAsia" w:cs="宋体"/>
          <w:color w:val="auto"/>
          <w:highlight w:val="none"/>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pPr>
        <w:pStyle w:val="24"/>
        <w:keepNext w:val="0"/>
        <w:keepLines w:val="0"/>
        <w:pageBreakBefore w:val="0"/>
        <w:kinsoku/>
        <w:wordWrap/>
        <w:overflowPunct/>
        <w:topLinePunct w:val="0"/>
        <w:autoSpaceDE/>
        <w:autoSpaceDN/>
        <w:bidi w:val="0"/>
        <w:snapToGrid w:val="0"/>
        <w:spacing w:line="360" w:lineRule="auto"/>
        <w:ind w:firstLine="482"/>
        <w:textAlignment w:val="auto"/>
        <w:rPr>
          <w:rFonts w:cs="宋体"/>
          <w:color w:val="auto"/>
          <w:highlight w:val="none"/>
        </w:rPr>
      </w:pPr>
      <w:r>
        <w:rPr>
          <w:rFonts w:hint="eastAsia" w:cs="宋体"/>
          <w:b/>
          <w:color w:val="auto"/>
          <w:kern w:val="0"/>
          <w:highlight w:val="none"/>
        </w:rPr>
        <w:t>7.重新开展采购。</w:t>
      </w:r>
      <w:r>
        <w:rPr>
          <w:rFonts w:hint="eastAsia" w:cs="宋体"/>
          <w:color w:val="auto"/>
          <w:highlight w:val="none"/>
        </w:rPr>
        <w:t>有政府采购法第七十一条、第七十二条规定的违法行为之一，影响或者可能影响中标结果的，依照下列规定处理：</w:t>
      </w:r>
    </w:p>
    <w:p>
      <w:pPr>
        <w:pStyle w:val="24"/>
        <w:keepNext w:val="0"/>
        <w:keepLines w:val="0"/>
        <w:pageBreakBefore w:val="0"/>
        <w:kinsoku/>
        <w:wordWrap/>
        <w:overflowPunct/>
        <w:topLinePunct w:val="0"/>
        <w:autoSpaceDE/>
        <w:autoSpaceDN/>
        <w:bidi w:val="0"/>
        <w:snapToGrid w:val="0"/>
        <w:spacing w:line="360" w:lineRule="auto"/>
        <w:textAlignment w:val="auto"/>
        <w:rPr>
          <w:rFonts w:cs="宋体"/>
          <w:color w:val="auto"/>
          <w:highlight w:val="none"/>
        </w:rPr>
      </w:pPr>
      <w:r>
        <w:rPr>
          <w:rFonts w:hint="eastAsia" w:cs="宋体"/>
          <w:color w:val="auto"/>
          <w:highlight w:val="none"/>
        </w:rPr>
        <w:t>7.1未确定中标供应商的，终止本次政府采购活动，重新开展政府采购活动。</w:t>
      </w:r>
    </w:p>
    <w:p>
      <w:pPr>
        <w:pStyle w:val="24"/>
        <w:keepNext w:val="0"/>
        <w:keepLines w:val="0"/>
        <w:pageBreakBefore w:val="0"/>
        <w:kinsoku/>
        <w:wordWrap/>
        <w:overflowPunct/>
        <w:topLinePunct w:val="0"/>
        <w:autoSpaceDE/>
        <w:autoSpaceDN/>
        <w:bidi w:val="0"/>
        <w:snapToGrid w:val="0"/>
        <w:spacing w:line="360" w:lineRule="auto"/>
        <w:textAlignment w:val="auto"/>
        <w:rPr>
          <w:rFonts w:cs="宋体"/>
          <w:color w:val="auto"/>
          <w:highlight w:val="none"/>
        </w:rPr>
      </w:pPr>
      <w:r>
        <w:rPr>
          <w:rFonts w:hint="eastAsia" w:cs="宋体"/>
          <w:color w:val="auto"/>
          <w:highlight w:val="none"/>
        </w:rPr>
        <w:t>7.2已确定中标供应商但尚未签订政府采购合同的，中标结果无效，从合格的中标候选人中另行确定中标供应商；没有合格的中标候选人的，重新开展政府采购活动。</w:t>
      </w:r>
    </w:p>
    <w:p>
      <w:pPr>
        <w:pStyle w:val="24"/>
        <w:keepNext w:val="0"/>
        <w:keepLines w:val="0"/>
        <w:pageBreakBefore w:val="0"/>
        <w:kinsoku/>
        <w:wordWrap/>
        <w:overflowPunct/>
        <w:topLinePunct w:val="0"/>
        <w:autoSpaceDE/>
        <w:autoSpaceDN/>
        <w:bidi w:val="0"/>
        <w:snapToGrid w:val="0"/>
        <w:spacing w:line="360" w:lineRule="auto"/>
        <w:textAlignment w:val="auto"/>
        <w:rPr>
          <w:rFonts w:cs="宋体"/>
          <w:color w:val="auto"/>
          <w:highlight w:val="none"/>
        </w:rPr>
      </w:pPr>
      <w:r>
        <w:rPr>
          <w:rFonts w:hint="eastAsia" w:cs="宋体"/>
          <w:color w:val="auto"/>
          <w:highlight w:val="none"/>
        </w:rPr>
        <w:t>7.3政府采购合同已签订但尚未履行的，撤销合同，从合格的中标候选人中另行确定中标供应商；没有合格的中标候选人的，重新开展政府采购活动。</w:t>
      </w:r>
    </w:p>
    <w:p>
      <w:pPr>
        <w:pStyle w:val="24"/>
        <w:keepNext w:val="0"/>
        <w:keepLines w:val="0"/>
        <w:pageBreakBefore w:val="0"/>
        <w:kinsoku/>
        <w:wordWrap/>
        <w:overflowPunct/>
        <w:topLinePunct w:val="0"/>
        <w:autoSpaceDE/>
        <w:autoSpaceDN/>
        <w:bidi w:val="0"/>
        <w:snapToGrid w:val="0"/>
        <w:spacing w:line="360" w:lineRule="auto"/>
        <w:textAlignment w:val="auto"/>
        <w:rPr>
          <w:rFonts w:cs="宋体"/>
          <w:color w:val="auto"/>
          <w:highlight w:val="none"/>
        </w:rPr>
      </w:pPr>
      <w:r>
        <w:rPr>
          <w:rFonts w:hint="eastAsia" w:cs="宋体"/>
          <w:color w:val="auto"/>
          <w:highlight w:val="none"/>
        </w:rPr>
        <w:t>7.4政府采购合同已经履行，给采购人、供应商造成损失的，由责任人承担赔偿责任。</w:t>
      </w:r>
    </w:p>
    <w:p>
      <w:pPr>
        <w:pStyle w:val="24"/>
        <w:keepNext w:val="0"/>
        <w:keepLines w:val="0"/>
        <w:pageBreakBefore w:val="0"/>
        <w:kinsoku/>
        <w:wordWrap/>
        <w:overflowPunct/>
        <w:topLinePunct w:val="0"/>
        <w:autoSpaceDE/>
        <w:autoSpaceDN/>
        <w:bidi w:val="0"/>
        <w:snapToGrid w:val="0"/>
        <w:spacing w:line="360" w:lineRule="auto"/>
        <w:textAlignment w:val="auto"/>
        <w:rPr>
          <w:rFonts w:cs="宋体"/>
          <w:color w:val="auto"/>
          <w:highlight w:val="none"/>
        </w:rPr>
      </w:pPr>
      <w:r>
        <w:rPr>
          <w:rFonts w:hint="eastAsia" w:cs="宋体"/>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bookmarkEnd w:id="27"/>
      <w:bookmarkStart w:id="393" w:name="第五部分"/>
      <w:bookmarkStart w:id="394" w:name="_Toc86217003"/>
      <w:r>
        <w:rPr>
          <w:rFonts w:hint="eastAsia" w:cs="宋体"/>
          <w:b/>
          <w:color w:val="auto"/>
          <w:sz w:val="36"/>
          <w:szCs w:val="36"/>
          <w:highlight w:val="none"/>
        </w:rPr>
        <w:br w:type="page"/>
      </w:r>
    </w:p>
    <w:p>
      <w:pPr>
        <w:pStyle w:val="24"/>
        <w:snapToGrid w:val="0"/>
        <w:spacing w:line="360" w:lineRule="auto"/>
        <w:ind w:firstLine="723"/>
        <w:jc w:val="center"/>
        <w:rPr>
          <w:rFonts w:cs="宋体"/>
          <w:b/>
          <w:color w:val="auto"/>
          <w:sz w:val="36"/>
          <w:szCs w:val="36"/>
          <w:highlight w:val="none"/>
        </w:rPr>
      </w:pPr>
      <w:r>
        <w:rPr>
          <w:rFonts w:hint="eastAsia" w:cs="宋体"/>
          <w:b/>
          <w:color w:val="auto"/>
          <w:sz w:val="36"/>
          <w:szCs w:val="36"/>
          <w:highlight w:val="none"/>
        </w:rPr>
        <w:t>第五部分 拟签订的合同文本</w:t>
      </w:r>
    </w:p>
    <w:p>
      <w:pPr>
        <w:rPr>
          <w:rFonts w:ascii="宋体" w:hAnsi="宋体" w:cs="宋体"/>
          <w:color w:val="auto"/>
          <w:sz w:val="24"/>
          <w:highlight w:val="none"/>
          <w:u w:val="single"/>
        </w:rPr>
      </w:pPr>
      <w:r>
        <w:rPr>
          <w:rFonts w:hint="eastAsia" w:ascii="宋体" w:hAnsi="宋体" w:cs="宋体"/>
          <w:color w:val="auto"/>
          <w:sz w:val="24"/>
          <w:highlight w:val="none"/>
        </w:rPr>
        <w:t>合同编号：</w:t>
      </w:r>
      <w:r>
        <w:rPr>
          <w:rFonts w:hint="eastAsia" w:ascii="宋体" w:hAnsi="宋体" w:cs="宋体"/>
          <w:color w:val="auto"/>
          <w:sz w:val="24"/>
          <w:highlight w:val="none"/>
          <w:u w:val="single"/>
        </w:rPr>
        <w:t xml:space="preserve">           </w:t>
      </w:r>
    </w:p>
    <w:p>
      <w:pPr>
        <w:spacing w:line="480" w:lineRule="auto"/>
        <w:jc w:val="center"/>
        <w:rPr>
          <w:rFonts w:ascii="宋体" w:hAnsi="宋体" w:cs="宋体"/>
          <w:b/>
          <w:color w:val="auto"/>
          <w:sz w:val="36"/>
          <w:szCs w:val="36"/>
          <w:highlight w:val="none"/>
        </w:rPr>
      </w:pPr>
    </w:p>
    <w:p>
      <w:pPr>
        <w:spacing w:line="480"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rPr>
        <w:t>政府采购合同参考范本</w:t>
      </w:r>
    </w:p>
    <w:p>
      <w:pPr>
        <w:spacing w:line="480"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rPr>
        <w:t>（货物类）</w:t>
      </w:r>
    </w:p>
    <w:p>
      <w:pPr>
        <w:pStyle w:val="699"/>
        <w:ind w:left="0" w:leftChars="0" w:firstLine="0" w:firstLineChars="0"/>
        <w:jc w:val="center"/>
        <w:rPr>
          <w:rFonts w:ascii="宋体" w:hAnsi="宋体" w:cs="宋体"/>
          <w:b/>
          <w:color w:val="auto"/>
          <w:szCs w:val="24"/>
          <w:highlight w:val="none"/>
        </w:rPr>
      </w:pPr>
    </w:p>
    <w:p>
      <w:pPr>
        <w:pStyle w:val="699"/>
        <w:numPr>
          <w:ilvl w:val="0"/>
          <w:numId w:val="3"/>
        </w:numPr>
        <w:ind w:left="0" w:leftChars="0" w:firstLine="0" w:firstLineChars="0"/>
        <w:jc w:val="center"/>
        <w:rPr>
          <w:color w:val="auto"/>
          <w:highlight w:val="none"/>
        </w:rPr>
      </w:pPr>
      <w:r>
        <w:rPr>
          <w:rFonts w:hint="eastAsia" w:ascii="宋体" w:hAnsi="宋体" w:cs="宋体"/>
          <w:b/>
          <w:color w:val="auto"/>
          <w:szCs w:val="24"/>
          <w:highlight w:val="none"/>
        </w:rPr>
        <w:t>合同书</w:t>
      </w:r>
    </w:p>
    <w:p>
      <w:pPr>
        <w:pStyle w:val="699"/>
        <w:ind w:left="0" w:leftChars="0" w:firstLine="0" w:firstLineChars="0"/>
        <w:jc w:val="center"/>
        <w:rPr>
          <w:rFonts w:ascii="宋体" w:hAnsi="宋体" w:cs="宋体"/>
          <w:color w:val="auto"/>
          <w:szCs w:val="24"/>
          <w:highlight w:val="none"/>
        </w:rPr>
      </w:pPr>
    </w:p>
    <w:p>
      <w:pPr>
        <w:spacing w:before="120" w:line="22" w:lineRule="atLeast"/>
        <w:rPr>
          <w:rFonts w:ascii="宋体" w:hAnsi="宋体" w:cs="宋体"/>
          <w:color w:val="auto"/>
          <w:sz w:val="24"/>
          <w:highlight w:val="none"/>
        </w:rPr>
      </w:pPr>
    </w:p>
    <w:p>
      <w:pPr>
        <w:spacing w:before="120" w:line="22" w:lineRule="atLeast"/>
        <w:ind w:left="0" w:leftChars="0" w:firstLine="1680" w:firstLineChars="700"/>
        <w:rPr>
          <w:rFonts w:ascii="宋体" w:hAnsi="宋体" w:cs="宋体"/>
          <w:color w:val="auto"/>
          <w:sz w:val="24"/>
          <w:highlight w:val="none"/>
        </w:rPr>
      </w:pPr>
      <w:r>
        <w:rPr>
          <w:rFonts w:hint="eastAsia" w:ascii="宋体" w:hAnsi="宋体" w:cs="宋体"/>
          <w:color w:val="auto"/>
          <w:sz w:val="24"/>
          <w:highlight w:val="none"/>
        </w:rPr>
        <w:t>项目名称：</w:t>
      </w:r>
      <w:r>
        <w:rPr>
          <w:rFonts w:hint="eastAsia" w:ascii="宋体" w:hAnsi="宋体" w:cs="宋体"/>
          <w:color w:val="auto"/>
          <w:sz w:val="24"/>
          <w:highlight w:val="none"/>
          <w:u w:val="single"/>
        </w:rPr>
        <w:t xml:space="preserve">                                   </w:t>
      </w:r>
    </w:p>
    <w:p>
      <w:pPr>
        <w:pStyle w:val="596"/>
        <w:spacing w:before="120" w:line="22" w:lineRule="atLeast"/>
        <w:ind w:left="0" w:leftChars="0" w:firstLine="1680" w:firstLineChars="700"/>
        <w:rPr>
          <w:rFonts w:ascii="宋体" w:hAnsi="宋体" w:eastAsia="宋体" w:cs="宋体"/>
          <w:color w:val="auto"/>
          <w:szCs w:val="24"/>
          <w:highlight w:val="none"/>
        </w:rPr>
      </w:pPr>
    </w:p>
    <w:p>
      <w:pPr>
        <w:ind w:left="0" w:leftChars="0" w:firstLine="1680" w:firstLineChars="700"/>
        <w:rPr>
          <w:rFonts w:ascii="宋体" w:hAnsi="宋体" w:cs="宋体"/>
          <w:color w:val="auto"/>
          <w:sz w:val="24"/>
          <w:highlight w:val="none"/>
        </w:rPr>
      </w:pPr>
    </w:p>
    <w:p>
      <w:pPr>
        <w:spacing w:before="120" w:line="22" w:lineRule="atLeast"/>
        <w:ind w:left="0" w:leftChars="0" w:firstLine="1680" w:firstLineChars="700"/>
        <w:rPr>
          <w:rFonts w:ascii="宋体" w:hAnsi="宋体" w:cs="宋体"/>
          <w:color w:val="auto"/>
          <w:sz w:val="24"/>
          <w:highlight w:val="none"/>
          <w:u w:val="single"/>
        </w:rPr>
      </w:pPr>
      <w:r>
        <w:rPr>
          <w:rFonts w:hint="eastAsia" w:ascii="宋体" w:hAnsi="宋体" w:cs="宋体"/>
          <w:color w:val="auto"/>
          <w:sz w:val="24"/>
          <w:highlight w:val="none"/>
        </w:rPr>
        <w:t>甲方：</w:t>
      </w:r>
      <w:r>
        <w:rPr>
          <w:rFonts w:hint="eastAsia" w:ascii="宋体" w:hAnsi="宋体" w:cs="宋体"/>
          <w:color w:val="auto"/>
          <w:sz w:val="24"/>
          <w:highlight w:val="none"/>
          <w:u w:val="single"/>
        </w:rPr>
        <w:t xml:space="preserve">                                       </w:t>
      </w:r>
    </w:p>
    <w:p>
      <w:pPr>
        <w:spacing w:before="120" w:line="22" w:lineRule="atLeast"/>
        <w:ind w:left="0" w:leftChars="0" w:firstLine="1680" w:firstLineChars="700"/>
        <w:rPr>
          <w:rFonts w:ascii="宋体" w:hAnsi="宋体" w:cs="宋体"/>
          <w:color w:val="auto"/>
          <w:sz w:val="24"/>
          <w:highlight w:val="none"/>
        </w:rPr>
      </w:pPr>
    </w:p>
    <w:p>
      <w:pPr>
        <w:tabs>
          <w:tab w:val="left" w:pos="840"/>
        </w:tabs>
        <w:spacing w:before="120" w:line="22" w:lineRule="atLeast"/>
        <w:ind w:left="0" w:leftChars="0" w:firstLine="1680" w:firstLineChars="700"/>
        <w:rPr>
          <w:rFonts w:ascii="宋体" w:hAnsi="宋体" w:cs="宋体"/>
          <w:color w:val="auto"/>
          <w:sz w:val="24"/>
          <w:highlight w:val="none"/>
          <w:u w:val="single"/>
        </w:rPr>
      </w:pPr>
      <w:r>
        <w:rPr>
          <w:rFonts w:hint="eastAsia" w:ascii="宋体" w:hAnsi="宋体" w:cs="宋体"/>
          <w:color w:val="auto"/>
          <w:sz w:val="24"/>
          <w:highlight w:val="none"/>
        </w:rPr>
        <w:t>乙方：</w:t>
      </w:r>
      <w:r>
        <w:rPr>
          <w:rFonts w:hint="eastAsia" w:ascii="宋体" w:hAnsi="宋体" w:cs="宋体"/>
          <w:color w:val="auto"/>
          <w:sz w:val="24"/>
          <w:highlight w:val="none"/>
          <w:u w:val="single"/>
        </w:rPr>
        <w:t xml:space="preserve">                                       </w:t>
      </w:r>
    </w:p>
    <w:p>
      <w:pPr>
        <w:spacing w:before="120" w:line="22" w:lineRule="atLeast"/>
        <w:ind w:left="0" w:leftChars="0" w:firstLine="1680" w:firstLineChars="700"/>
        <w:rPr>
          <w:rFonts w:ascii="宋体" w:hAnsi="宋体" w:cs="宋体"/>
          <w:color w:val="auto"/>
          <w:sz w:val="24"/>
          <w:highlight w:val="none"/>
        </w:rPr>
      </w:pPr>
    </w:p>
    <w:p>
      <w:pPr>
        <w:spacing w:before="120" w:line="22" w:lineRule="atLeast"/>
        <w:ind w:left="0" w:leftChars="0" w:firstLine="1680" w:firstLineChars="700"/>
        <w:rPr>
          <w:rFonts w:ascii="宋体" w:hAnsi="宋体" w:cs="宋体"/>
          <w:color w:val="auto"/>
          <w:sz w:val="24"/>
          <w:highlight w:val="none"/>
          <w:u w:val="single"/>
        </w:rPr>
      </w:pPr>
      <w:r>
        <w:rPr>
          <w:rFonts w:hint="eastAsia" w:ascii="宋体" w:hAnsi="宋体" w:cs="宋体"/>
          <w:color w:val="auto"/>
          <w:sz w:val="24"/>
          <w:highlight w:val="none"/>
        </w:rPr>
        <w:t>签订地：</w:t>
      </w:r>
      <w:r>
        <w:rPr>
          <w:rFonts w:hint="eastAsia" w:ascii="宋体" w:hAnsi="宋体" w:cs="宋体"/>
          <w:color w:val="auto"/>
          <w:sz w:val="24"/>
          <w:highlight w:val="none"/>
          <w:u w:val="single"/>
        </w:rPr>
        <w:t xml:space="preserve">                                     </w:t>
      </w:r>
    </w:p>
    <w:p>
      <w:pPr>
        <w:spacing w:before="120" w:line="22" w:lineRule="atLeast"/>
        <w:ind w:left="0" w:leftChars="0" w:firstLine="1680" w:firstLineChars="700"/>
        <w:rPr>
          <w:rFonts w:ascii="宋体" w:hAnsi="宋体" w:cs="宋体"/>
          <w:color w:val="auto"/>
          <w:sz w:val="24"/>
          <w:highlight w:val="none"/>
        </w:rPr>
      </w:pPr>
    </w:p>
    <w:p>
      <w:pPr>
        <w:spacing w:line="560" w:lineRule="exact"/>
        <w:ind w:left="0" w:leftChars="0" w:firstLine="1680" w:firstLineChars="700"/>
        <w:rPr>
          <w:rFonts w:hint="eastAsia" w:ascii="宋体" w:hAnsi="宋体" w:cs="宋体"/>
          <w:color w:val="auto"/>
          <w:sz w:val="24"/>
          <w:highlight w:val="none"/>
        </w:rPr>
      </w:pPr>
      <w:r>
        <w:rPr>
          <w:rFonts w:hint="eastAsia" w:ascii="宋体" w:hAnsi="宋体" w:cs="宋体"/>
          <w:color w:val="auto"/>
          <w:sz w:val="24"/>
          <w:highlight w:val="none"/>
        </w:rPr>
        <w:t>签订日期：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pPr>
        <w:rPr>
          <w:rFonts w:hint="eastAsia" w:ascii="宋体" w:hAnsi="宋体" w:cs="宋体"/>
          <w:color w:val="auto"/>
          <w:sz w:val="24"/>
          <w:highlight w:val="none"/>
        </w:rPr>
      </w:pPr>
      <w:r>
        <w:rPr>
          <w:rFonts w:hint="eastAsia" w:ascii="宋体" w:hAnsi="宋体" w:cs="宋体"/>
          <w:color w:val="auto"/>
          <w:sz w:val="24"/>
          <w:highlight w:val="none"/>
        </w:rPr>
        <w:br w:type="page"/>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lang w:val="zh-CN"/>
        </w:rPr>
        <w:t>年</w:t>
      </w: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lang w:val="zh-CN"/>
        </w:rPr>
        <w:t>月</w:t>
      </w: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lang w:val="zh-CN"/>
        </w:rPr>
        <w:t>日</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（采购人）   </w:t>
      </w:r>
      <w:r>
        <w:rPr>
          <w:rFonts w:hint="eastAsia" w:ascii="宋体" w:hAnsi="宋体" w:cs="宋体"/>
          <w:color w:val="auto"/>
          <w:sz w:val="24"/>
          <w:highlight w:val="none"/>
        </w:rPr>
        <w:t>以</w:t>
      </w:r>
      <w:r>
        <w:rPr>
          <w:rFonts w:hint="eastAsia" w:ascii="宋体" w:hAnsi="宋体" w:cs="宋体"/>
          <w:color w:val="auto"/>
          <w:sz w:val="24"/>
          <w:highlight w:val="none"/>
          <w:u w:val="single"/>
        </w:rPr>
        <w:t xml:space="preserve">   （政府采购方式）  </w:t>
      </w:r>
      <w:r>
        <w:rPr>
          <w:rFonts w:hint="eastAsia" w:ascii="宋体" w:hAnsi="宋体" w:cs="宋体"/>
          <w:color w:val="auto"/>
          <w:sz w:val="24"/>
          <w:highlight w:val="none"/>
        </w:rPr>
        <w:t>对</w:t>
      </w:r>
      <w:r>
        <w:rPr>
          <w:rFonts w:hint="eastAsia" w:ascii="宋体" w:hAnsi="宋体" w:cs="宋体"/>
          <w:color w:val="auto"/>
          <w:sz w:val="24"/>
          <w:highlight w:val="none"/>
          <w:u w:val="single"/>
        </w:rPr>
        <w:t xml:space="preserve">   （项目名称、编号）   </w:t>
      </w:r>
      <w:r>
        <w:rPr>
          <w:rFonts w:hint="eastAsia" w:ascii="宋体" w:hAnsi="宋体" w:cs="宋体"/>
          <w:color w:val="auto"/>
          <w:sz w:val="24"/>
          <w:highlight w:val="none"/>
        </w:rPr>
        <w:t>项目进行了采购。经</w:t>
      </w:r>
      <w:r>
        <w:rPr>
          <w:rFonts w:hint="eastAsia" w:ascii="宋体" w:hAnsi="宋体" w:cs="宋体"/>
          <w:color w:val="auto"/>
          <w:sz w:val="24"/>
          <w:highlight w:val="none"/>
          <w:u w:val="single"/>
        </w:rPr>
        <w:t xml:space="preserve">   （相关评定主体名称）   </w:t>
      </w:r>
      <w:r>
        <w:rPr>
          <w:rFonts w:hint="eastAsia" w:ascii="宋体" w:hAnsi="宋体" w:cs="宋体"/>
          <w:color w:val="auto"/>
          <w:sz w:val="24"/>
          <w:highlight w:val="none"/>
        </w:rPr>
        <w:t>评定，</w:t>
      </w:r>
      <w:r>
        <w:rPr>
          <w:rFonts w:hint="eastAsia" w:ascii="宋体" w:hAnsi="宋体" w:cs="宋体"/>
          <w:color w:val="auto"/>
          <w:sz w:val="24"/>
          <w:highlight w:val="none"/>
          <w:u w:val="single"/>
        </w:rPr>
        <w:t xml:space="preserve">   （中标或者成交供应商名称）</w:t>
      </w:r>
      <w:r>
        <w:rPr>
          <w:rFonts w:hint="eastAsia" w:ascii="宋体" w:hAnsi="宋体" w:cs="宋体"/>
          <w:color w:val="auto"/>
          <w:sz w:val="24"/>
          <w:highlight w:val="none"/>
        </w:rPr>
        <w:t>为该项目中标或者成交供应商。现于中标或者成交通知书发出之日起10个工作日内，按照采购文件等确定的事项签订本合同。</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val="zh-CN"/>
        </w:rPr>
        <w:t>根据《中华人民共和国民法典》《中华人民共和国政府采购法》等相关法律法规之规定，按照平等、自愿、公平、诚实信用和绿色的原则，经</w:t>
      </w:r>
      <w:r>
        <w:rPr>
          <w:rFonts w:hint="eastAsia" w:ascii="宋体" w:hAnsi="宋体" w:cs="宋体"/>
          <w:color w:val="auto"/>
          <w:sz w:val="24"/>
          <w:highlight w:val="none"/>
          <w:u w:val="single"/>
        </w:rPr>
        <w:t xml:space="preserve">   （采购人）   </w:t>
      </w:r>
      <w:r>
        <w:rPr>
          <w:rFonts w:hint="eastAsia" w:ascii="宋体" w:hAnsi="宋体" w:cs="宋体"/>
          <w:color w:val="auto"/>
          <w:sz w:val="24"/>
          <w:highlight w:val="none"/>
          <w:lang w:val="zh-CN"/>
        </w:rPr>
        <w:t>(以下简称：甲方)和</w:t>
      </w:r>
      <w:r>
        <w:rPr>
          <w:rFonts w:hint="eastAsia" w:ascii="宋体" w:hAnsi="宋体" w:cs="宋体"/>
          <w:color w:val="auto"/>
          <w:sz w:val="24"/>
          <w:highlight w:val="none"/>
          <w:u w:val="single"/>
        </w:rPr>
        <w:t xml:space="preserve">   （中标或者成交供应商名称）   </w:t>
      </w:r>
      <w:r>
        <w:rPr>
          <w:rFonts w:hint="eastAsia" w:ascii="宋体" w:hAnsi="宋体" w:cs="宋体"/>
          <w:color w:val="auto"/>
          <w:sz w:val="24"/>
          <w:highlight w:val="none"/>
          <w:lang w:val="zh-CN"/>
        </w:rPr>
        <w:t>(以下简称：乙方)协商一致，约定以下合同</w:t>
      </w:r>
      <w:r>
        <w:rPr>
          <w:rFonts w:hint="eastAsia" w:ascii="宋体" w:hAnsi="宋体" w:cs="宋体"/>
          <w:color w:val="auto"/>
          <w:sz w:val="24"/>
          <w:highlight w:val="none"/>
        </w:rPr>
        <w:t>条款，以兹共同遵守、全面履行。</w:t>
      </w:r>
    </w:p>
    <w:p>
      <w:pPr>
        <w:spacing w:line="560" w:lineRule="exact"/>
        <w:ind w:firstLine="482" w:firstLineChars="200"/>
        <w:outlineLvl w:val="0"/>
        <w:rPr>
          <w:rFonts w:ascii="宋体" w:hAnsi="宋体" w:cs="宋体"/>
          <w:b/>
          <w:color w:val="auto"/>
          <w:sz w:val="24"/>
          <w:highlight w:val="none"/>
        </w:rPr>
      </w:pPr>
      <w:bookmarkStart w:id="395" w:name="_Toc3029"/>
      <w:bookmarkStart w:id="396" w:name="_Toc24059"/>
      <w:bookmarkStart w:id="397" w:name="_Toc2232"/>
      <w:r>
        <w:rPr>
          <w:rFonts w:hint="eastAsia" w:ascii="宋体" w:hAnsi="宋体" w:cs="宋体"/>
          <w:b/>
          <w:color w:val="auto"/>
          <w:sz w:val="24"/>
          <w:highlight w:val="none"/>
        </w:rPr>
        <w:t>1.1 合同组成部分</w:t>
      </w:r>
      <w:bookmarkEnd w:id="395"/>
      <w:bookmarkEnd w:id="396"/>
      <w:bookmarkEnd w:id="397"/>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1.1.1 本合同及其补充合同、变更协议；</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1.1.2 中标或者成交通知书；</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1.1.3 投标或者响应文件（含澄清或者说明文件）；</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1.1.4 采购文件（含澄清或者修改文件）；</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1.1.5 其他相关采购文件。</w:t>
      </w:r>
    </w:p>
    <w:p>
      <w:pPr>
        <w:spacing w:line="560" w:lineRule="exact"/>
        <w:ind w:firstLine="482" w:firstLineChars="200"/>
        <w:outlineLvl w:val="0"/>
        <w:rPr>
          <w:rFonts w:ascii="宋体" w:hAnsi="宋体" w:cs="宋体"/>
          <w:b/>
          <w:color w:val="auto"/>
          <w:sz w:val="24"/>
          <w:highlight w:val="none"/>
        </w:rPr>
      </w:pPr>
      <w:bookmarkStart w:id="398" w:name="_Toc21295"/>
      <w:bookmarkStart w:id="399" w:name="_Toc27126"/>
      <w:bookmarkStart w:id="400" w:name="_Toc24300"/>
      <w:r>
        <w:rPr>
          <w:rFonts w:hint="eastAsia" w:ascii="宋体" w:hAnsi="宋体" w:cs="宋体"/>
          <w:b/>
          <w:color w:val="auto"/>
          <w:sz w:val="24"/>
          <w:highlight w:val="none"/>
        </w:rPr>
        <w:t>1.2 货物</w:t>
      </w:r>
      <w:bookmarkEnd w:id="398"/>
      <w:bookmarkEnd w:id="399"/>
      <w:bookmarkEnd w:id="400"/>
    </w:p>
    <w:p>
      <w:pPr>
        <w:spacing w:line="560" w:lineRule="exact"/>
        <w:ind w:firstLine="480" w:firstLineChars="200"/>
        <w:rPr>
          <w:rFonts w:ascii="宋体" w:hAnsi="宋体" w:cs="宋体"/>
          <w:color w:val="auto"/>
          <w:sz w:val="24"/>
          <w:highlight w:val="none"/>
          <w:u w:val="single"/>
        </w:rPr>
      </w:pPr>
      <w:r>
        <w:rPr>
          <w:rFonts w:hint="eastAsia" w:ascii="宋体" w:hAnsi="宋体" w:cs="宋体"/>
          <w:color w:val="auto"/>
          <w:sz w:val="24"/>
          <w:highlight w:val="none"/>
        </w:rPr>
        <w:t>1.2.1 货物名称、品牌、规格型号、花色：</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pacing w:line="560" w:lineRule="exact"/>
        <w:ind w:firstLine="480" w:firstLineChars="200"/>
        <w:rPr>
          <w:rFonts w:ascii="宋体" w:hAnsi="宋体" w:cs="宋体"/>
          <w:color w:val="auto"/>
          <w:sz w:val="24"/>
          <w:highlight w:val="none"/>
          <w:u w:val="single"/>
        </w:rPr>
      </w:pPr>
      <w:r>
        <w:rPr>
          <w:rFonts w:hint="eastAsia" w:ascii="宋体" w:hAnsi="宋体" w:cs="宋体"/>
          <w:color w:val="auto"/>
          <w:sz w:val="24"/>
          <w:highlight w:val="none"/>
        </w:rPr>
        <w:t>1.2.2 货物数量：</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pacing w:line="560" w:lineRule="exact"/>
        <w:ind w:firstLine="480" w:firstLineChars="200"/>
        <w:rPr>
          <w:rFonts w:ascii="宋体" w:hAnsi="宋体" w:cs="宋体"/>
          <w:color w:val="auto"/>
          <w:sz w:val="24"/>
          <w:highlight w:val="none"/>
          <w:u w:val="single"/>
        </w:rPr>
      </w:pPr>
      <w:r>
        <w:rPr>
          <w:rFonts w:hint="eastAsia" w:ascii="宋体" w:hAnsi="宋体" w:cs="宋体"/>
          <w:color w:val="auto"/>
          <w:sz w:val="24"/>
          <w:highlight w:val="none"/>
        </w:rPr>
        <w:t>1.2.3 货物质量：</w:t>
      </w:r>
      <w:r>
        <w:rPr>
          <w:rFonts w:hint="eastAsia" w:ascii="宋体" w:hAnsi="宋体" w:cs="宋体"/>
          <w:color w:val="auto"/>
          <w:sz w:val="24"/>
          <w:highlight w:val="none"/>
          <w:u w:val="single"/>
        </w:rPr>
        <w:t>　　　　　　　　　                      　      ；</w:t>
      </w:r>
    </w:p>
    <w:p>
      <w:pPr>
        <w:spacing w:line="560" w:lineRule="exact"/>
        <w:ind w:firstLine="482" w:firstLineChars="200"/>
        <w:outlineLvl w:val="0"/>
        <w:rPr>
          <w:rFonts w:ascii="宋体" w:hAnsi="宋体" w:cs="宋体"/>
          <w:b/>
          <w:color w:val="auto"/>
          <w:sz w:val="24"/>
          <w:highlight w:val="none"/>
        </w:rPr>
      </w:pPr>
      <w:bookmarkStart w:id="401" w:name="_Toc21551"/>
      <w:bookmarkStart w:id="402" w:name="_Toc21631"/>
      <w:bookmarkStart w:id="403" w:name="_Toc23292"/>
      <w:r>
        <w:rPr>
          <w:rFonts w:hint="eastAsia" w:ascii="宋体" w:hAnsi="宋体" w:cs="宋体"/>
          <w:b/>
          <w:color w:val="auto"/>
          <w:sz w:val="24"/>
          <w:highlight w:val="none"/>
        </w:rPr>
        <w:t>1.3 价款</w:t>
      </w:r>
      <w:bookmarkEnd w:id="401"/>
      <w:bookmarkEnd w:id="402"/>
      <w:bookmarkEnd w:id="403"/>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本合同总价（含税）为：￥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元（大写：</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元人民币）。</w:t>
      </w:r>
    </w:p>
    <w:p>
      <w:pPr>
        <w:spacing w:line="560" w:lineRule="exact"/>
        <w:ind w:firstLine="480" w:firstLineChars="200"/>
        <w:rPr>
          <w:rFonts w:ascii="宋体" w:hAnsi="宋体" w:cs="宋体"/>
          <w:color w:val="auto"/>
          <w:sz w:val="24"/>
          <w:highlight w:val="none"/>
          <w:u w:val="single"/>
        </w:rPr>
      </w:pPr>
      <w:r>
        <w:rPr>
          <w:rFonts w:hint="eastAsia" w:ascii="宋体" w:hAnsi="宋体" w:cs="宋体"/>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jc w:val="center"/>
              <w:rPr>
                <w:rFonts w:hAnsi="宋体" w:cs="宋体"/>
                <w:color w:val="auto"/>
                <w:sz w:val="24"/>
                <w:szCs w:val="24"/>
                <w:highlight w:val="none"/>
              </w:rPr>
            </w:pPr>
            <w:r>
              <w:rPr>
                <w:rFonts w:hint="eastAsia" w:hAnsi="宋体" w:cs="宋体"/>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Ansi="宋体" w:cs="宋体"/>
                <w:color w:val="auto"/>
                <w:sz w:val="24"/>
                <w:szCs w:val="24"/>
                <w:highlight w:val="none"/>
              </w:rPr>
            </w:pPr>
            <w:r>
              <w:rPr>
                <w:rFonts w:hint="eastAsia" w:hAnsi="宋体" w:cs="宋体"/>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jc w:val="center"/>
              <w:rPr>
                <w:rFonts w:hAnsi="宋体" w:cs="宋体"/>
                <w:color w:val="auto"/>
                <w:sz w:val="24"/>
                <w:szCs w:val="24"/>
                <w:highlight w:val="none"/>
              </w:rPr>
            </w:pPr>
            <w:r>
              <w:rPr>
                <w:rFonts w:hint="eastAsia" w:hAnsi="宋体" w:cs="宋体"/>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Ansi="宋体" w:cs="宋体"/>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Ansi="宋体" w:cs="宋体"/>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Ansi="宋体" w:cs="宋体"/>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Ansi="宋体" w:cs="宋体"/>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Ansi="宋体" w:cs="宋体"/>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Ansi="宋体" w:cs="宋体"/>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Ansi="宋体" w:cs="宋体"/>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Ansi="宋体" w:cs="宋体"/>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Ansi="宋体" w:cs="宋体"/>
                <w:color w:val="auto"/>
                <w:sz w:val="24"/>
                <w:szCs w:val="24"/>
                <w:highlight w:val="none"/>
              </w:rPr>
            </w:pPr>
            <w:r>
              <w:rPr>
                <w:rFonts w:hint="eastAsia" w:hAnsi="宋体" w:cs="宋体"/>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17"/>
              <w:spacing w:line="560" w:lineRule="exact"/>
              <w:ind w:firstLine="200"/>
              <w:jc w:val="center"/>
              <w:rPr>
                <w:rFonts w:hAnsi="宋体" w:cs="宋体"/>
                <w:color w:val="auto"/>
                <w:sz w:val="24"/>
                <w:szCs w:val="24"/>
                <w:highlight w:val="none"/>
              </w:rPr>
            </w:pPr>
          </w:p>
        </w:tc>
      </w:tr>
    </w:tbl>
    <w:p>
      <w:pPr>
        <w:pStyle w:val="957"/>
        <w:spacing w:before="0" w:beforeAutospacing="0" w:after="0" w:afterAutospacing="0" w:line="360" w:lineRule="auto"/>
        <w:ind w:firstLine="480"/>
        <w:rPr>
          <w:b/>
          <w:color w:val="auto"/>
          <w:highlight w:val="none"/>
        </w:rPr>
      </w:pPr>
      <w:bookmarkStart w:id="404" w:name="_Toc22618"/>
      <w:bookmarkStart w:id="405" w:name="_Toc10340"/>
      <w:bookmarkStart w:id="406" w:name="_Toc1814"/>
      <w:r>
        <w:rPr>
          <w:rFonts w:hint="eastAsia"/>
          <w:b/>
          <w:color w:val="auto"/>
          <w:highlight w:val="none"/>
        </w:rPr>
        <w:t>1.4履约保证金</w:t>
      </w:r>
    </w:p>
    <w:p>
      <w:pPr>
        <w:pStyle w:val="957"/>
        <w:spacing w:before="0" w:beforeAutospacing="0" w:after="0" w:afterAutospacing="0" w:line="360" w:lineRule="auto"/>
        <w:ind w:firstLine="480"/>
        <w:rPr>
          <w:color w:val="auto"/>
          <w:highlight w:val="none"/>
        </w:rPr>
      </w:pPr>
      <w:r>
        <w:rPr>
          <w:rFonts w:hint="eastAsia"/>
          <w:color w:val="auto"/>
          <w:highlight w:val="none"/>
        </w:rPr>
        <w:t>乙方</w:t>
      </w:r>
      <w:r>
        <w:rPr>
          <w:rFonts w:hint="eastAsia"/>
          <w:color w:val="auto"/>
          <w:highlight w:val="none"/>
          <w:u w:val="single"/>
        </w:rPr>
        <w:t xml:space="preserve">     </w:t>
      </w:r>
      <w:r>
        <w:rPr>
          <w:rFonts w:hint="eastAsia"/>
          <w:color w:val="auto"/>
          <w:highlight w:val="none"/>
        </w:rPr>
        <w:t>（是/否）需要支付履约保证金。若需要支付履约保证金的，则：</w:t>
      </w:r>
    </w:p>
    <w:p>
      <w:pPr>
        <w:spacing w:line="560" w:lineRule="exact"/>
        <w:ind w:firstLine="480" w:firstLineChars="200"/>
        <w:outlineLvl w:val="0"/>
        <w:rPr>
          <w:rFonts w:ascii="宋体" w:hAnsi="宋体" w:cs="宋体"/>
          <w:color w:val="auto"/>
          <w:kern w:val="0"/>
          <w:sz w:val="24"/>
          <w:highlight w:val="none"/>
        </w:rPr>
      </w:pPr>
      <w:r>
        <w:rPr>
          <w:rFonts w:hint="eastAsia" w:ascii="宋体" w:hAnsi="宋体" w:cs="宋体"/>
          <w:color w:val="auto"/>
          <w:kern w:val="0"/>
          <w:sz w:val="24"/>
          <w:highlight w:val="none"/>
        </w:rPr>
        <w:t>1.4.1履约保证金的比例为合同金额的</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pPr>
        <w:spacing w:line="560" w:lineRule="exact"/>
        <w:ind w:firstLine="480" w:firstLineChars="200"/>
        <w:outlineLvl w:val="0"/>
        <w:rPr>
          <w:rFonts w:ascii="宋体" w:hAnsi="宋体" w:cs="宋体"/>
          <w:color w:val="auto"/>
          <w:kern w:val="0"/>
          <w:sz w:val="24"/>
          <w:highlight w:val="none"/>
        </w:rPr>
      </w:pPr>
      <w:r>
        <w:rPr>
          <w:rFonts w:hint="eastAsia" w:ascii="宋体" w:hAnsi="宋体" w:cs="宋体"/>
          <w:color w:val="auto"/>
          <w:kern w:val="0"/>
          <w:sz w:val="24"/>
          <w:highlight w:val="none"/>
        </w:rPr>
        <w:t>1.4.2履约保证金支付方式详见</w:t>
      </w:r>
      <w:r>
        <w:rPr>
          <w:rFonts w:hint="eastAsia" w:ascii="宋体" w:hAnsi="宋体" w:cs="宋体"/>
          <w:color w:val="auto"/>
          <w:kern w:val="0"/>
          <w:sz w:val="24"/>
          <w:highlight w:val="none"/>
          <w:u w:val="single"/>
        </w:rPr>
        <w:t xml:space="preserve">    </w:t>
      </w:r>
      <w:r>
        <w:rPr>
          <w:rFonts w:hint="eastAsia" w:ascii="宋体" w:hAnsi="宋体" w:cs="宋体"/>
          <w:b/>
          <w:i/>
          <w:color w:val="auto"/>
          <w:sz w:val="24"/>
          <w:highlight w:val="none"/>
          <w:u w:val="single"/>
        </w:rPr>
        <w:t>合同专用条款</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pPr>
        <w:pStyle w:val="4"/>
        <w:tabs>
          <w:tab w:val="left" w:pos="0"/>
          <w:tab w:val="clear" w:pos="432"/>
        </w:tabs>
        <w:spacing w:line="560" w:lineRule="exact"/>
        <w:ind w:left="0" w:firstLine="480" w:firstLineChars="200"/>
        <w:rPr>
          <w:rFonts w:ascii="宋体" w:hAnsi="宋体" w:eastAsia="宋体" w:cs="宋体"/>
          <w:color w:val="auto"/>
          <w:sz w:val="24"/>
          <w:szCs w:val="24"/>
          <w:highlight w:val="none"/>
          <w:lang w:val="en-US"/>
        </w:rPr>
      </w:pPr>
      <w:r>
        <w:rPr>
          <w:rFonts w:hint="eastAsia" w:ascii="宋体" w:hAnsi="宋体" w:eastAsia="宋体" w:cs="宋体"/>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ascii="宋体" w:hAnsi="宋体" w:cs="宋体"/>
          <w:color w:val="auto"/>
          <w:sz w:val="24"/>
          <w:highlight w:val="none"/>
        </w:rPr>
      </w:pPr>
      <w:r>
        <w:rPr>
          <w:rFonts w:hint="eastAsia" w:ascii="宋体" w:hAnsi="宋体" w:cs="宋体"/>
          <w:color w:val="auto"/>
          <w:kern w:val="0"/>
          <w:sz w:val="24"/>
          <w:highlight w:val="none"/>
        </w:rPr>
        <w:t>1.4.4 甲方在项目验收结束后及时退还履约保证金。甲方在项目通过验收之日起</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个工作日内将履约保证金无息退还乙方，逾期退还的，乙方可要求甲方支付违约金，违约金按每迟延退还一日的应退还而未退还金额的</w:t>
      </w:r>
      <w:r>
        <w:rPr>
          <w:rFonts w:hint="eastAsia" w:ascii="宋体" w:hAnsi="宋体" w:cs="宋体"/>
          <w:color w:val="auto"/>
          <w:kern w:val="0"/>
          <w:sz w:val="24"/>
          <w:highlight w:val="none"/>
          <w:u w:val="single"/>
        </w:rPr>
        <w:t xml:space="preserve">  0.05（可根据情况修改）</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%计算，最高限额为本合同履约保证金的</w:t>
      </w:r>
      <w:r>
        <w:rPr>
          <w:rFonts w:hint="eastAsia" w:ascii="宋体" w:hAnsi="宋体" w:cs="宋体"/>
          <w:color w:val="auto"/>
          <w:kern w:val="0"/>
          <w:sz w:val="24"/>
          <w:highlight w:val="none"/>
          <w:u w:val="single"/>
        </w:rPr>
        <w:t xml:space="preserve">  20  </w:t>
      </w:r>
      <w:r>
        <w:rPr>
          <w:rFonts w:hint="eastAsia" w:ascii="宋体" w:hAnsi="宋体" w:cs="宋体"/>
          <w:color w:val="auto"/>
          <w:kern w:val="0"/>
          <w:sz w:val="24"/>
          <w:highlight w:val="none"/>
        </w:rPr>
        <w:t xml:space="preserve"> %。</w:t>
      </w:r>
    </w:p>
    <w:p>
      <w:pPr>
        <w:spacing w:line="560" w:lineRule="exact"/>
        <w:ind w:firstLine="482" w:firstLineChars="200"/>
        <w:outlineLvl w:val="0"/>
        <w:rPr>
          <w:rFonts w:ascii="宋体" w:hAnsi="宋体" w:cs="宋体"/>
          <w:b/>
          <w:color w:val="auto"/>
          <w:sz w:val="24"/>
          <w:highlight w:val="none"/>
        </w:rPr>
      </w:pPr>
      <w:r>
        <w:rPr>
          <w:rFonts w:hint="eastAsia" w:ascii="宋体" w:hAnsi="宋体" w:cs="宋体"/>
          <w:b/>
          <w:color w:val="auto"/>
          <w:sz w:val="24"/>
          <w:highlight w:val="none"/>
        </w:rPr>
        <w:t>1.5</w:t>
      </w:r>
      <w:bookmarkEnd w:id="404"/>
      <w:bookmarkEnd w:id="405"/>
      <w:bookmarkEnd w:id="406"/>
      <w:r>
        <w:rPr>
          <w:rFonts w:hint="eastAsia" w:ascii="宋体" w:hAnsi="宋体" w:cs="宋体"/>
          <w:b/>
          <w:color w:val="auto"/>
          <w:sz w:val="24"/>
          <w:highlight w:val="none"/>
        </w:rPr>
        <w:t>预付款</w:t>
      </w:r>
    </w:p>
    <w:p>
      <w:pPr>
        <w:pStyle w:val="957"/>
        <w:spacing w:before="0" w:beforeAutospacing="0" w:after="0" w:afterAutospacing="0" w:line="360" w:lineRule="auto"/>
        <w:ind w:firstLine="480"/>
        <w:rPr>
          <w:color w:val="auto"/>
          <w:highlight w:val="none"/>
        </w:rPr>
      </w:pPr>
      <w:r>
        <w:rPr>
          <w:rFonts w:hint="eastAsia"/>
          <w:color w:val="auto"/>
          <w:highlight w:val="none"/>
        </w:rPr>
        <w:t>甲方</w:t>
      </w:r>
      <w:r>
        <w:rPr>
          <w:rFonts w:hint="eastAsia"/>
          <w:color w:val="auto"/>
          <w:highlight w:val="none"/>
          <w:u w:val="single"/>
        </w:rPr>
        <w:t xml:space="preserve">     </w:t>
      </w:r>
      <w:r>
        <w:rPr>
          <w:rFonts w:hint="eastAsia"/>
          <w:color w:val="auto"/>
          <w:highlight w:val="none"/>
        </w:rPr>
        <w:t>（是/否）需要支付预付款。若需要支付预付款的，则：</w:t>
      </w:r>
    </w:p>
    <w:p>
      <w:pPr>
        <w:spacing w:line="5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1.5.1预付款比例、支付方式、时间详见</w:t>
      </w:r>
      <w:r>
        <w:rPr>
          <w:rFonts w:hint="eastAsia" w:ascii="宋体" w:hAnsi="宋体" w:cs="宋体"/>
          <w:color w:val="auto"/>
          <w:kern w:val="0"/>
          <w:sz w:val="24"/>
          <w:highlight w:val="none"/>
          <w:u w:val="single"/>
        </w:rPr>
        <w:t xml:space="preserve">    </w:t>
      </w:r>
      <w:r>
        <w:rPr>
          <w:rFonts w:hint="eastAsia" w:ascii="宋体" w:hAnsi="宋体" w:cs="宋体"/>
          <w:b/>
          <w:i/>
          <w:color w:val="auto"/>
          <w:sz w:val="24"/>
          <w:highlight w:val="none"/>
          <w:u w:val="single"/>
        </w:rPr>
        <w:t>合同专用条款</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pPr>
        <w:pStyle w:val="957"/>
        <w:spacing w:before="0" w:beforeAutospacing="0" w:after="0" w:afterAutospacing="0" w:line="360" w:lineRule="auto"/>
        <w:ind w:firstLine="480"/>
        <w:rPr>
          <w:color w:val="auto"/>
          <w:highlight w:val="none"/>
        </w:rPr>
      </w:pPr>
      <w:r>
        <w:rPr>
          <w:rFonts w:hint="eastAsia"/>
          <w:color w:val="auto"/>
          <w:highlight w:val="none"/>
        </w:rPr>
        <w:t>1.5.2预付款的扣回方式详见</w:t>
      </w:r>
      <w:r>
        <w:rPr>
          <w:rFonts w:hint="eastAsia"/>
          <w:color w:val="auto"/>
          <w:highlight w:val="none"/>
          <w:u w:val="single"/>
        </w:rPr>
        <w:t xml:space="preserve">    </w:t>
      </w:r>
      <w:r>
        <w:rPr>
          <w:rFonts w:hint="eastAsia"/>
          <w:b/>
          <w:i/>
          <w:color w:val="auto"/>
          <w:highlight w:val="none"/>
          <w:u w:val="single"/>
        </w:rPr>
        <w:t>合同专用条款</w:t>
      </w:r>
      <w:r>
        <w:rPr>
          <w:rFonts w:hint="eastAsia"/>
          <w:color w:val="auto"/>
          <w:highlight w:val="none"/>
          <w:u w:val="single"/>
        </w:rPr>
        <w:t xml:space="preserve">           </w:t>
      </w:r>
      <w:r>
        <w:rPr>
          <w:rFonts w:hint="eastAsia"/>
          <w:color w:val="auto"/>
          <w:highlight w:val="none"/>
        </w:rPr>
        <w:t>；</w:t>
      </w:r>
    </w:p>
    <w:p>
      <w:pPr>
        <w:pStyle w:val="957"/>
        <w:spacing w:before="0" w:beforeAutospacing="0" w:after="0" w:afterAutospacing="0" w:line="360" w:lineRule="auto"/>
        <w:ind w:firstLine="480"/>
        <w:rPr>
          <w:color w:val="auto"/>
          <w:highlight w:val="none"/>
          <w:u w:val="single"/>
        </w:rPr>
      </w:pPr>
      <w:r>
        <w:rPr>
          <w:rFonts w:hint="eastAsia"/>
          <w:color w:val="auto"/>
          <w:highlight w:val="none"/>
        </w:rPr>
        <w:t>1.5.3预付款的担保措施详见</w:t>
      </w:r>
      <w:r>
        <w:rPr>
          <w:rFonts w:hint="eastAsia"/>
          <w:color w:val="auto"/>
          <w:highlight w:val="none"/>
          <w:u w:val="single"/>
        </w:rPr>
        <w:t xml:space="preserve">    </w:t>
      </w:r>
      <w:r>
        <w:rPr>
          <w:rFonts w:hint="eastAsia"/>
          <w:b/>
          <w:i/>
          <w:color w:val="auto"/>
          <w:highlight w:val="none"/>
          <w:u w:val="single"/>
        </w:rPr>
        <w:t>合同专用条款</w:t>
      </w:r>
      <w:r>
        <w:rPr>
          <w:rFonts w:hint="eastAsia"/>
          <w:color w:val="auto"/>
          <w:highlight w:val="none"/>
          <w:u w:val="single"/>
        </w:rPr>
        <w:t xml:space="preserve">          </w:t>
      </w:r>
      <w:r>
        <w:rPr>
          <w:rFonts w:hint="eastAsia"/>
          <w:color w:val="auto"/>
          <w:highlight w:val="none"/>
        </w:rPr>
        <w:t>。</w:t>
      </w:r>
    </w:p>
    <w:p>
      <w:pPr>
        <w:pStyle w:val="957"/>
        <w:spacing w:before="0" w:beforeAutospacing="0" w:after="0" w:afterAutospacing="0" w:line="360" w:lineRule="auto"/>
        <w:ind w:firstLine="480"/>
        <w:rPr>
          <w:b/>
          <w:bCs/>
          <w:color w:val="auto"/>
          <w:highlight w:val="none"/>
        </w:rPr>
      </w:pPr>
      <w:r>
        <w:rPr>
          <w:rFonts w:hint="eastAsia"/>
          <w:b/>
          <w:bCs/>
          <w:color w:val="auto"/>
          <w:highlight w:val="none"/>
        </w:rPr>
        <w:t>1.6资金支付</w:t>
      </w:r>
    </w:p>
    <w:p>
      <w:pPr>
        <w:pStyle w:val="957"/>
        <w:spacing w:before="0" w:beforeAutospacing="0" w:after="0" w:afterAutospacing="0" w:line="360" w:lineRule="auto"/>
        <w:ind w:firstLine="480"/>
        <w:rPr>
          <w:color w:val="auto"/>
          <w:highlight w:val="none"/>
        </w:rPr>
      </w:pPr>
      <w:r>
        <w:rPr>
          <w:rFonts w:hint="eastAsia"/>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ascii="宋体" w:hAnsi="宋体" w:cs="宋体"/>
          <w:color w:val="auto"/>
          <w:sz w:val="24"/>
          <w:highlight w:val="none"/>
        </w:rPr>
      </w:pPr>
      <w:r>
        <w:rPr>
          <w:rFonts w:hint="eastAsia" w:ascii="宋体" w:hAnsi="宋体" w:cs="宋体"/>
          <w:color w:val="auto"/>
          <w:sz w:val="24"/>
          <w:highlight w:val="none"/>
        </w:rPr>
        <w:t>1.6.2资金支付的方式、时间和条件详见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pPr>
        <w:spacing w:line="560" w:lineRule="exact"/>
        <w:ind w:firstLine="482" w:firstLineChars="200"/>
        <w:outlineLvl w:val="0"/>
        <w:rPr>
          <w:rFonts w:ascii="宋体" w:hAnsi="宋体" w:cs="宋体"/>
          <w:b/>
          <w:color w:val="auto"/>
          <w:sz w:val="24"/>
          <w:highlight w:val="none"/>
        </w:rPr>
      </w:pPr>
      <w:bookmarkStart w:id="407" w:name="_Toc19304"/>
      <w:bookmarkStart w:id="408" w:name="_Toc2846"/>
      <w:bookmarkStart w:id="409" w:name="_Toc32071"/>
      <w:r>
        <w:rPr>
          <w:rFonts w:hint="eastAsia" w:ascii="宋体" w:hAnsi="宋体" w:cs="宋体"/>
          <w:b/>
          <w:color w:val="auto"/>
          <w:sz w:val="24"/>
          <w:highlight w:val="none"/>
        </w:rPr>
        <w:t>1.7货物交付期限、地点和方式</w:t>
      </w:r>
      <w:bookmarkEnd w:id="407"/>
      <w:bookmarkEnd w:id="408"/>
      <w:bookmarkEnd w:id="409"/>
    </w:p>
    <w:p>
      <w:pPr>
        <w:spacing w:line="560" w:lineRule="exact"/>
        <w:ind w:firstLine="480" w:firstLineChars="200"/>
        <w:rPr>
          <w:rFonts w:ascii="宋体" w:hAnsi="宋体" w:cs="宋体"/>
          <w:color w:val="auto"/>
          <w:sz w:val="24"/>
          <w:highlight w:val="none"/>
          <w:u w:val="single"/>
        </w:rPr>
      </w:pPr>
      <w:r>
        <w:rPr>
          <w:rFonts w:hint="eastAsia" w:ascii="宋体" w:hAnsi="宋体" w:cs="宋体"/>
          <w:color w:val="auto"/>
          <w:sz w:val="24"/>
          <w:highlight w:val="none"/>
        </w:rPr>
        <w:t>1.7.1 交付期限：详见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1.7.2 交付地点：</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1.7.3 交付方式：</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pPr>
        <w:spacing w:line="560" w:lineRule="exact"/>
        <w:ind w:firstLine="482" w:firstLineChars="200"/>
        <w:outlineLvl w:val="0"/>
        <w:rPr>
          <w:rFonts w:ascii="宋体" w:hAnsi="宋体" w:cs="宋体"/>
          <w:b/>
          <w:color w:val="auto"/>
          <w:sz w:val="24"/>
          <w:highlight w:val="none"/>
        </w:rPr>
      </w:pPr>
      <w:bookmarkStart w:id="410" w:name="_Toc21423"/>
      <w:bookmarkStart w:id="411" w:name="_Toc27250"/>
      <w:bookmarkStart w:id="412" w:name="_Toc19554"/>
      <w:r>
        <w:rPr>
          <w:rFonts w:hint="eastAsia" w:ascii="宋体" w:hAnsi="宋体" w:cs="宋体"/>
          <w:b/>
          <w:color w:val="auto"/>
          <w:sz w:val="24"/>
          <w:highlight w:val="none"/>
        </w:rPr>
        <w:t>1.8违约责任</w:t>
      </w:r>
      <w:bookmarkEnd w:id="410"/>
      <w:bookmarkEnd w:id="411"/>
      <w:bookmarkEnd w:id="412"/>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宋体" w:hAnsi="宋体" w:cs="宋体"/>
          <w:color w:val="auto"/>
          <w:sz w:val="24"/>
          <w:highlight w:val="none"/>
          <w:u w:val="single"/>
        </w:rPr>
        <w:t xml:space="preserve">  0.05</w:t>
      </w:r>
      <w:r>
        <w:rPr>
          <w:rFonts w:hint="eastAsia" w:ascii="宋体" w:hAnsi="宋体" w:cs="宋体"/>
          <w:color w:val="auto"/>
          <w:kern w:val="0"/>
          <w:sz w:val="24"/>
          <w:highlight w:val="none"/>
          <w:u w:val="single"/>
        </w:rPr>
        <w:t>（可根据情况修改）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%计算，最高限额为本合同总价的</w:t>
      </w:r>
      <w:r>
        <w:rPr>
          <w:rFonts w:hint="eastAsia" w:ascii="宋体" w:hAnsi="宋体" w:cs="宋体"/>
          <w:color w:val="auto"/>
          <w:sz w:val="24"/>
          <w:highlight w:val="none"/>
          <w:u w:val="single"/>
        </w:rPr>
        <w:t xml:space="preserve"> 20   </w:t>
      </w:r>
      <w:r>
        <w:rPr>
          <w:rFonts w:hint="eastAsia" w:ascii="宋体" w:hAnsi="宋体" w:cs="宋体"/>
          <w:color w:val="auto"/>
          <w:sz w:val="24"/>
          <w:highlight w:val="none"/>
        </w:rPr>
        <w:t>%；迟延交付货物的违约金计算数额达到前述最高限额之日起，甲方有权在要求乙方支付违约金的同时，书面通知乙方解除本合同；</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1.8.2 除不可抗力外，如果甲方没有按照本合同约定的付款方式付款，那么乙方可要求甲方支付违约金，违约金按每迟延付款一日的应付而未付款的</w:t>
      </w:r>
      <w:r>
        <w:rPr>
          <w:rFonts w:hint="eastAsia" w:ascii="宋体" w:hAnsi="宋体" w:cs="宋体"/>
          <w:color w:val="auto"/>
          <w:sz w:val="24"/>
          <w:highlight w:val="none"/>
          <w:u w:val="single"/>
        </w:rPr>
        <w:t xml:space="preserve"> 0.05</w:t>
      </w:r>
      <w:r>
        <w:rPr>
          <w:rFonts w:hint="eastAsia" w:ascii="宋体" w:hAnsi="宋体" w:cs="宋体"/>
          <w:color w:val="auto"/>
          <w:kern w:val="0"/>
          <w:sz w:val="24"/>
          <w:highlight w:val="none"/>
          <w:u w:val="single"/>
        </w:rPr>
        <w:t>（可根据情况修改）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%计算，最高限额为本合同总价的</w:t>
      </w:r>
      <w:r>
        <w:rPr>
          <w:rFonts w:hint="eastAsia" w:ascii="宋体" w:hAnsi="宋体" w:cs="宋体"/>
          <w:color w:val="auto"/>
          <w:sz w:val="24"/>
          <w:highlight w:val="none"/>
          <w:u w:val="single"/>
        </w:rPr>
        <w:t xml:space="preserve">   20   </w:t>
      </w:r>
      <w:r>
        <w:rPr>
          <w:rFonts w:hint="eastAsia" w:ascii="宋体" w:hAnsi="宋体" w:cs="宋体"/>
          <w:color w:val="auto"/>
          <w:sz w:val="24"/>
          <w:highlight w:val="none"/>
        </w:rPr>
        <w:t>%；迟延付款的违约金计算数额达到前述最高限额之日起，乙方有权在要求甲方支付违约金的同时，书面通知甲方解除本合同；</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ascii="宋体" w:hAnsi="宋体" w:cs="宋体"/>
          <w:color w:val="auto"/>
          <w:sz w:val="24"/>
          <w:highlight w:val="none"/>
        </w:rPr>
      </w:pPr>
      <w:r>
        <w:rPr>
          <w:rFonts w:hint="eastAsia" w:ascii="宋体" w:hAnsi="宋体" w:cs="宋体"/>
          <w:color w:val="auto"/>
          <w:sz w:val="24"/>
          <w:highlight w:val="none"/>
        </w:rPr>
        <w:t>1.8.6违约责任</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另有约定的，从其约定。</w:t>
      </w:r>
    </w:p>
    <w:p>
      <w:pPr>
        <w:spacing w:line="560" w:lineRule="exact"/>
        <w:ind w:firstLine="482" w:firstLineChars="200"/>
        <w:outlineLvl w:val="0"/>
        <w:rPr>
          <w:rFonts w:ascii="宋体" w:hAnsi="宋体" w:cs="宋体"/>
          <w:b/>
          <w:color w:val="auto"/>
          <w:sz w:val="24"/>
          <w:highlight w:val="none"/>
        </w:rPr>
      </w:pPr>
      <w:bookmarkStart w:id="413" w:name="_Toc15583"/>
      <w:bookmarkStart w:id="414" w:name="_Toc16021"/>
      <w:bookmarkStart w:id="415" w:name="_Toc28375"/>
      <w:r>
        <w:rPr>
          <w:rFonts w:hint="eastAsia" w:ascii="宋体" w:hAnsi="宋体" w:cs="宋体"/>
          <w:b/>
          <w:color w:val="auto"/>
          <w:sz w:val="24"/>
          <w:highlight w:val="none"/>
        </w:rPr>
        <w:t>1.9合同争议的解决</w:t>
      </w:r>
      <w:bookmarkEnd w:id="413"/>
      <w:bookmarkEnd w:id="414"/>
      <w:bookmarkEnd w:id="415"/>
    </w:p>
    <w:p>
      <w:pPr>
        <w:spacing w:line="560" w:lineRule="exact"/>
        <w:ind w:left="-61" w:leftChars="-29" w:right="-420" w:rightChars="-200" w:firstLine="240" w:firstLineChars="100"/>
        <w:rPr>
          <w:rFonts w:ascii="宋体" w:hAnsi="宋体" w:cs="宋体"/>
          <w:color w:val="auto"/>
          <w:sz w:val="24"/>
          <w:highlight w:val="none"/>
        </w:rPr>
      </w:pPr>
      <w:r>
        <w:rPr>
          <w:rFonts w:hint="eastAsia" w:ascii="宋体" w:hAnsi="宋体" w:cs="宋体"/>
          <w:color w:val="auto"/>
          <w:sz w:val="24"/>
          <w:highlight w:val="none"/>
        </w:rPr>
        <w:t xml:space="preserve">  本合同履行过程中发生的任何争议，双方当事人均可通过和解或者调解解决；不愿和解、调解或者和解、调解不成的，可以选择以下第</w:t>
      </w:r>
      <w:r>
        <w:rPr>
          <w:rFonts w:hint="eastAsia" w:ascii="宋体" w:hAnsi="宋体" w:cs="宋体"/>
          <w:b/>
          <w:i/>
          <w:color w:val="auto"/>
          <w:sz w:val="24"/>
          <w:highlight w:val="none"/>
          <w:u w:val="single"/>
        </w:rPr>
        <w:t xml:space="preserve">      </w:t>
      </w:r>
      <w:r>
        <w:rPr>
          <w:rFonts w:hint="eastAsia" w:ascii="宋体" w:hAnsi="宋体" w:cs="宋体"/>
          <w:color w:val="auto"/>
          <w:sz w:val="24"/>
          <w:highlight w:val="none"/>
        </w:rPr>
        <w:t>条款规定的方式解决：</w:t>
      </w:r>
    </w:p>
    <w:p>
      <w:pPr>
        <w:spacing w:line="560" w:lineRule="exact"/>
        <w:ind w:left="-420" w:leftChars="-200" w:right="-420" w:rightChars="-200" w:firstLine="840" w:firstLineChars="350"/>
        <w:rPr>
          <w:rFonts w:ascii="宋体" w:hAnsi="宋体" w:cs="宋体"/>
          <w:color w:val="auto"/>
          <w:sz w:val="24"/>
          <w:highlight w:val="none"/>
        </w:rPr>
      </w:pPr>
      <w:r>
        <w:rPr>
          <w:rFonts w:hint="eastAsia" w:ascii="宋体" w:hAnsi="宋体" w:cs="宋体"/>
          <w:color w:val="auto"/>
          <w:sz w:val="24"/>
          <w:highlight w:val="none"/>
        </w:rPr>
        <w:t>1.9.1 将争议提交</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仲裁委员会依申请仲裁时其现行有效的仲裁规则裁决；</w:t>
      </w:r>
    </w:p>
    <w:p>
      <w:pPr>
        <w:spacing w:line="560" w:lineRule="exact"/>
        <w:ind w:left="-420" w:leftChars="-200" w:right="-420" w:rightChars="-200" w:firstLine="840" w:firstLineChars="350"/>
        <w:rPr>
          <w:rFonts w:ascii="宋体" w:hAnsi="宋体" w:cs="宋体"/>
          <w:color w:val="auto"/>
          <w:sz w:val="24"/>
          <w:highlight w:val="none"/>
        </w:rPr>
      </w:pPr>
      <w:r>
        <w:rPr>
          <w:rFonts w:hint="eastAsia" w:ascii="宋体" w:hAnsi="宋体" w:cs="宋体"/>
          <w:color w:val="auto"/>
          <w:sz w:val="24"/>
          <w:highlight w:val="none"/>
        </w:rPr>
        <w:t>1.9.2 向</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人民法院起诉。</w:t>
      </w:r>
    </w:p>
    <w:p>
      <w:pPr>
        <w:spacing w:line="560" w:lineRule="exact"/>
        <w:ind w:firstLine="482" w:firstLineChars="200"/>
        <w:outlineLvl w:val="0"/>
        <w:rPr>
          <w:rFonts w:ascii="宋体" w:hAnsi="宋体" w:cs="宋体"/>
          <w:b/>
          <w:color w:val="auto"/>
          <w:sz w:val="24"/>
          <w:highlight w:val="none"/>
        </w:rPr>
      </w:pPr>
      <w:bookmarkStart w:id="416" w:name="_Toc7245"/>
      <w:bookmarkStart w:id="417" w:name="_Toc11173"/>
      <w:bookmarkStart w:id="418" w:name="_Toc15322"/>
      <w:r>
        <w:rPr>
          <w:rFonts w:hint="eastAsia" w:ascii="宋体" w:hAnsi="宋体" w:cs="宋体"/>
          <w:b/>
          <w:color w:val="auto"/>
          <w:sz w:val="24"/>
          <w:highlight w:val="none"/>
        </w:rPr>
        <w:t>2.0 合同生效</w:t>
      </w:r>
      <w:bookmarkEnd w:id="416"/>
      <w:bookmarkEnd w:id="417"/>
      <w:bookmarkEnd w:id="418"/>
    </w:p>
    <w:p>
      <w:pPr>
        <w:spacing w:line="560" w:lineRule="exact"/>
        <w:ind w:firstLine="480" w:firstLineChars="200"/>
        <w:rPr>
          <w:rFonts w:ascii="宋体" w:hAnsi="宋体" w:cs="宋体"/>
          <w:b/>
          <w:color w:val="auto"/>
          <w:sz w:val="24"/>
          <w:highlight w:val="none"/>
        </w:rPr>
      </w:pPr>
      <w:r>
        <w:rPr>
          <w:rFonts w:hint="eastAsia" w:ascii="宋体" w:hAnsi="宋体" w:cs="宋体"/>
          <w:color w:val="auto"/>
          <w:sz w:val="24"/>
          <w:highlight w:val="none"/>
        </w:rPr>
        <w:t>本合同自双方当事人盖章签字时生效。</w:t>
      </w:r>
    </w:p>
    <w:p>
      <w:pPr>
        <w:autoSpaceDE w:val="0"/>
        <w:autoSpaceDN w:val="0"/>
        <w:spacing w:line="560" w:lineRule="exact"/>
        <w:rPr>
          <w:rFonts w:ascii="宋体" w:hAnsi="宋体" w:cs="宋体"/>
          <w:color w:val="auto"/>
          <w:sz w:val="24"/>
          <w:highlight w:val="none"/>
          <w:lang w:val="zh-CN"/>
        </w:rPr>
      </w:pPr>
      <w:r>
        <w:rPr>
          <w:rFonts w:hint="eastAsia" w:ascii="宋体" w:hAnsi="宋体" w:cs="宋体"/>
          <w:b/>
          <w:color w:val="auto"/>
          <w:sz w:val="24"/>
          <w:highlight w:val="none"/>
          <w:lang w:val="zh-CN"/>
        </w:rPr>
        <w:t>甲方</w:t>
      </w:r>
      <w:r>
        <w:rPr>
          <w:rFonts w:hint="eastAsia" w:ascii="宋体" w:hAnsi="宋体" w:cs="宋体"/>
          <w:color w:val="auto"/>
          <w:sz w:val="24"/>
          <w:highlight w:val="none"/>
          <w:lang w:val="zh-CN"/>
        </w:rPr>
        <w:t xml:space="preserve">：                             </w:t>
      </w:r>
      <w:r>
        <w:rPr>
          <w:rFonts w:hint="eastAsia" w:ascii="宋体" w:hAnsi="宋体" w:cs="宋体"/>
          <w:b/>
          <w:color w:val="auto"/>
          <w:sz w:val="24"/>
          <w:highlight w:val="none"/>
          <w:lang w:val="zh-CN"/>
        </w:rPr>
        <w:t xml:space="preserve">      乙方</w:t>
      </w:r>
      <w:r>
        <w:rPr>
          <w:rFonts w:hint="eastAsia" w:ascii="宋体" w:hAnsi="宋体" w:cs="宋体"/>
          <w:color w:val="auto"/>
          <w:sz w:val="24"/>
          <w:highlight w:val="none"/>
          <w:lang w:val="zh-CN"/>
        </w:rPr>
        <w:t>：</w:t>
      </w:r>
    </w:p>
    <w:p>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统一社会信用代码：                       统一社会信用代码或身份证码：</w:t>
      </w:r>
    </w:p>
    <w:p>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住所：                                   住所：</w:t>
      </w:r>
    </w:p>
    <w:p>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法定代表人或                             法定代表人</w:t>
      </w:r>
    </w:p>
    <w:p>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 xml:space="preserve">授权代表（签字）：                        或授权代表（签字）: </w:t>
      </w:r>
    </w:p>
    <w:p>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联系人：                                 联系人：</w:t>
      </w:r>
    </w:p>
    <w:p>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约定送达地址：                           约定送达地址：</w:t>
      </w:r>
    </w:p>
    <w:p>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邮政编码：                               邮政编码：</w:t>
      </w:r>
    </w:p>
    <w:p>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 xml:space="preserve">电话:                                    电话: </w:t>
      </w:r>
    </w:p>
    <w:p>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传真:                                    传真:</w:t>
      </w:r>
    </w:p>
    <w:p>
      <w:pPr>
        <w:autoSpaceDE w:val="0"/>
        <w:autoSpaceDN w:val="0"/>
        <w:spacing w:line="560" w:lineRule="exact"/>
        <w:rPr>
          <w:rFonts w:ascii="宋体" w:hAnsi="宋体" w:cs="宋体"/>
          <w:color w:val="auto"/>
          <w:sz w:val="24"/>
          <w:highlight w:val="none"/>
        </w:rPr>
      </w:pPr>
      <w:r>
        <w:rPr>
          <w:rFonts w:hint="eastAsia" w:ascii="宋体" w:hAnsi="宋体" w:cs="宋体"/>
          <w:color w:val="auto"/>
          <w:sz w:val="24"/>
          <w:highlight w:val="none"/>
          <w:lang w:val="zh-CN"/>
        </w:rPr>
        <w:t>电子邮箱：                               电子邮箱：</w:t>
      </w:r>
    </w:p>
    <w:p>
      <w:pPr>
        <w:autoSpaceDE w:val="0"/>
        <w:autoSpaceDN w:val="0"/>
        <w:spacing w:line="560" w:lineRule="exact"/>
        <w:rPr>
          <w:rFonts w:ascii="宋体" w:hAnsi="宋体" w:cs="宋体"/>
          <w:color w:val="auto"/>
          <w:sz w:val="24"/>
          <w:highlight w:val="none"/>
        </w:rPr>
      </w:pPr>
      <w:r>
        <w:rPr>
          <w:rFonts w:hint="eastAsia" w:ascii="宋体" w:hAnsi="宋体" w:cs="宋体"/>
          <w:color w:val="auto"/>
          <w:sz w:val="24"/>
          <w:highlight w:val="none"/>
        </w:rPr>
        <w:t xml:space="preserve">开户银行：                               开户银行： </w:t>
      </w:r>
    </w:p>
    <w:p>
      <w:pPr>
        <w:autoSpaceDE w:val="0"/>
        <w:autoSpaceDN w:val="0"/>
        <w:spacing w:line="560" w:lineRule="exact"/>
        <w:rPr>
          <w:rFonts w:ascii="宋体" w:hAnsi="宋体" w:cs="宋体"/>
          <w:color w:val="auto"/>
          <w:sz w:val="24"/>
          <w:highlight w:val="none"/>
        </w:rPr>
      </w:pPr>
      <w:r>
        <w:rPr>
          <w:rFonts w:hint="eastAsia" w:ascii="宋体" w:hAnsi="宋体" w:cs="宋体"/>
          <w:color w:val="auto"/>
          <w:sz w:val="24"/>
          <w:highlight w:val="none"/>
        </w:rPr>
        <w:t xml:space="preserve">开户名称：                               开户名称： </w:t>
      </w:r>
    </w:p>
    <w:p>
      <w:pPr>
        <w:autoSpaceDE w:val="0"/>
        <w:autoSpaceDN w:val="0"/>
        <w:spacing w:line="560" w:lineRule="exact"/>
        <w:rPr>
          <w:rFonts w:ascii="宋体" w:hAnsi="宋体" w:cs="宋体"/>
          <w:color w:val="auto"/>
          <w:sz w:val="24"/>
          <w:highlight w:val="none"/>
        </w:rPr>
      </w:pPr>
      <w:r>
        <w:rPr>
          <w:rFonts w:hint="eastAsia" w:ascii="宋体" w:hAnsi="宋体" w:cs="宋体"/>
          <w:color w:val="auto"/>
          <w:sz w:val="24"/>
          <w:highlight w:val="none"/>
        </w:rPr>
        <w:t>开户账号：</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开户账号：</w:t>
      </w:r>
    </w:p>
    <w:p>
      <w:pPr>
        <w:pStyle w:val="699"/>
        <w:spacing w:line="560" w:lineRule="exact"/>
        <w:ind w:firstLine="482"/>
        <w:jc w:val="center"/>
        <w:rPr>
          <w:rFonts w:ascii="宋体" w:hAnsi="宋体" w:cs="宋体"/>
          <w:b/>
          <w:color w:val="auto"/>
          <w:szCs w:val="24"/>
          <w:highlight w:val="none"/>
        </w:rPr>
      </w:pPr>
      <w:r>
        <w:rPr>
          <w:rFonts w:hint="eastAsia" w:ascii="宋体" w:hAnsi="宋体" w:cs="宋体"/>
          <w:b/>
          <w:color w:val="auto"/>
          <w:szCs w:val="24"/>
          <w:highlight w:val="none"/>
        </w:rPr>
        <w:t>第二部分 合同一般条款</w:t>
      </w:r>
    </w:p>
    <w:p>
      <w:pPr>
        <w:spacing w:line="560" w:lineRule="exact"/>
        <w:ind w:firstLine="482" w:firstLineChars="200"/>
        <w:outlineLvl w:val="0"/>
        <w:rPr>
          <w:rFonts w:ascii="宋体" w:hAnsi="宋体" w:cs="宋体"/>
          <w:b/>
          <w:color w:val="auto"/>
          <w:sz w:val="24"/>
          <w:highlight w:val="none"/>
        </w:rPr>
      </w:pPr>
      <w:bookmarkStart w:id="419" w:name="_Ref467379109"/>
      <w:bookmarkStart w:id="420" w:name="_Toc28763"/>
      <w:bookmarkStart w:id="421" w:name="_Ref467379214"/>
      <w:bookmarkStart w:id="422" w:name="_Ref467378463"/>
      <w:bookmarkStart w:id="423" w:name="_Ref467379101"/>
      <w:bookmarkStart w:id="424" w:name="_Ref467379205"/>
      <w:bookmarkStart w:id="425" w:name="_Toc16917"/>
      <w:bookmarkStart w:id="426" w:name="_Toc487900349"/>
      <w:bookmarkStart w:id="427" w:name="_Ref467378499"/>
      <w:bookmarkStart w:id="428" w:name="_Toc19614"/>
      <w:bookmarkStart w:id="429" w:name="_Toc279701240"/>
      <w:bookmarkStart w:id="430" w:name="_Ref467378404"/>
      <w:bookmarkStart w:id="431" w:name="_Ref467379094"/>
      <w:bookmarkStart w:id="432" w:name="_Ref467379195"/>
      <w:bookmarkStart w:id="433" w:name="_Toc259093669"/>
      <w:bookmarkStart w:id="434" w:name="_Ref467379225"/>
      <w:r>
        <w:rPr>
          <w:rFonts w:hint="eastAsia" w:ascii="宋体" w:hAnsi="宋体" w:cs="宋体"/>
          <w:b/>
          <w:color w:val="auto"/>
          <w:sz w:val="24"/>
          <w:highlight w:val="none"/>
        </w:rPr>
        <w:t>2.1 定义</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本合同中的下列词语应按以下内容进行解释：</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宋体" w:hAnsi="宋体" w:cs="宋体"/>
          <w:color w:val="auto"/>
          <w:sz w:val="24"/>
          <w:highlight w:val="none"/>
        </w:rPr>
      </w:pPr>
      <w:bookmarkStart w:id="435" w:name="_Ref467378840"/>
      <w:r>
        <w:rPr>
          <w:rFonts w:hint="eastAsia" w:ascii="宋体" w:hAnsi="宋体" w:cs="宋体"/>
          <w:color w:val="auto"/>
          <w:sz w:val="24"/>
          <w:highlight w:val="none"/>
        </w:rPr>
        <w:t>2.1.4 “甲方”系指与中标或成交供应商签署合同的采购人</w:t>
      </w:r>
      <w:bookmarkEnd w:id="435"/>
      <w:r>
        <w:rPr>
          <w:rFonts w:hint="eastAsia" w:ascii="宋体" w:hAnsi="宋体" w:cs="宋体"/>
          <w:color w:val="auto"/>
          <w:sz w:val="24"/>
          <w:highlight w:val="none"/>
        </w:rPr>
        <w:t>；采购人委托采购代理机构代表其与乙方签订合同的，采购人的授权委托书作为合同附件。</w:t>
      </w:r>
    </w:p>
    <w:p>
      <w:pPr>
        <w:spacing w:line="560" w:lineRule="exact"/>
        <w:ind w:firstLine="480" w:firstLineChars="200"/>
        <w:rPr>
          <w:rFonts w:ascii="宋体" w:hAnsi="宋体" w:cs="宋体"/>
          <w:color w:val="auto"/>
          <w:sz w:val="24"/>
          <w:highlight w:val="none"/>
        </w:rPr>
      </w:pPr>
      <w:bookmarkStart w:id="436" w:name="_Ref467379400"/>
      <w:r>
        <w:rPr>
          <w:rFonts w:hint="eastAsia" w:ascii="宋体" w:hAnsi="宋体" w:cs="宋体"/>
          <w:color w:val="auto"/>
          <w:sz w:val="24"/>
          <w:highlight w:val="none"/>
        </w:rPr>
        <w:t>2.1.5 “乙方”系指根据合同约定交付货物的中标或成交供应商</w:t>
      </w:r>
      <w:bookmarkEnd w:id="436"/>
      <w:r>
        <w:rPr>
          <w:rFonts w:hint="eastAsia" w:ascii="宋体" w:hAnsi="宋体" w:cs="宋体"/>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宋体" w:hAnsi="宋体" w:cs="宋体"/>
          <w:color w:val="auto"/>
          <w:sz w:val="24"/>
          <w:highlight w:val="none"/>
        </w:rPr>
      </w:pPr>
      <w:bookmarkStart w:id="437" w:name="_Ref467379436"/>
      <w:r>
        <w:rPr>
          <w:rFonts w:hint="eastAsia" w:ascii="宋体" w:hAnsi="宋体" w:cs="宋体"/>
          <w:color w:val="auto"/>
          <w:sz w:val="24"/>
          <w:highlight w:val="none"/>
        </w:rPr>
        <w:t>2.1.6 “现场”系指合同约定货物将要运至或者安装的地点。</w:t>
      </w:r>
      <w:bookmarkEnd w:id="437"/>
    </w:p>
    <w:p>
      <w:pPr>
        <w:spacing w:line="560" w:lineRule="exact"/>
        <w:ind w:firstLine="482" w:firstLineChars="200"/>
        <w:outlineLvl w:val="0"/>
        <w:rPr>
          <w:rFonts w:ascii="宋体" w:hAnsi="宋体" w:cs="宋体"/>
          <w:b/>
          <w:color w:val="auto"/>
          <w:sz w:val="24"/>
          <w:highlight w:val="none"/>
        </w:rPr>
      </w:pPr>
      <w:bookmarkStart w:id="438" w:name="_Toc27635"/>
      <w:bookmarkStart w:id="439" w:name="_Toc279701241"/>
      <w:bookmarkStart w:id="440" w:name="_Toc13336"/>
      <w:bookmarkStart w:id="441" w:name="_Toc259093670"/>
      <w:bookmarkStart w:id="442" w:name="_Toc487900350"/>
      <w:bookmarkStart w:id="443" w:name="_Toc32504"/>
      <w:r>
        <w:rPr>
          <w:rFonts w:hint="eastAsia" w:ascii="宋体" w:hAnsi="宋体" w:cs="宋体"/>
          <w:b/>
          <w:color w:val="auto"/>
          <w:sz w:val="24"/>
          <w:highlight w:val="none"/>
        </w:rPr>
        <w:t>2.2 技术规范</w:t>
      </w:r>
      <w:bookmarkEnd w:id="438"/>
      <w:bookmarkEnd w:id="439"/>
      <w:bookmarkEnd w:id="440"/>
      <w:bookmarkEnd w:id="441"/>
      <w:bookmarkEnd w:id="442"/>
      <w:bookmarkEnd w:id="443"/>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宋体" w:hAnsi="宋体" w:cs="宋体"/>
          <w:b/>
          <w:color w:val="auto"/>
          <w:sz w:val="24"/>
          <w:highlight w:val="none"/>
        </w:rPr>
      </w:pPr>
      <w:bookmarkStart w:id="444" w:name="_Toc259093671"/>
      <w:bookmarkStart w:id="445" w:name="_Toc487900351"/>
      <w:bookmarkStart w:id="446" w:name="_Toc9829"/>
      <w:bookmarkStart w:id="447" w:name="_Toc31634"/>
      <w:bookmarkStart w:id="448" w:name="_Toc279701242"/>
      <w:bookmarkStart w:id="449" w:name="_Toc27853"/>
      <w:r>
        <w:rPr>
          <w:rFonts w:hint="eastAsia" w:ascii="宋体" w:hAnsi="宋体" w:cs="宋体"/>
          <w:b/>
          <w:color w:val="auto"/>
          <w:sz w:val="24"/>
          <w:highlight w:val="none"/>
        </w:rPr>
        <w:t>2.3 知识产权</w:t>
      </w:r>
      <w:bookmarkEnd w:id="444"/>
      <w:bookmarkEnd w:id="445"/>
      <w:bookmarkEnd w:id="446"/>
      <w:bookmarkEnd w:id="447"/>
      <w:bookmarkEnd w:id="448"/>
      <w:bookmarkEnd w:id="449"/>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2.3.2具有知识产权的计算机软件等货物的知识产权归属，详见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pPr>
        <w:spacing w:line="560" w:lineRule="exact"/>
        <w:ind w:firstLine="482" w:firstLineChars="200"/>
        <w:outlineLvl w:val="0"/>
        <w:rPr>
          <w:rFonts w:ascii="宋体" w:hAnsi="宋体" w:cs="宋体"/>
          <w:b/>
          <w:color w:val="auto"/>
          <w:sz w:val="24"/>
          <w:highlight w:val="none"/>
        </w:rPr>
      </w:pPr>
      <w:bookmarkStart w:id="450" w:name="_Toc11932"/>
      <w:bookmarkStart w:id="451" w:name="_Toc29149"/>
      <w:bookmarkStart w:id="452" w:name="_Toc4194"/>
      <w:r>
        <w:rPr>
          <w:rFonts w:hint="eastAsia" w:ascii="宋体" w:hAnsi="宋体" w:cs="宋体"/>
          <w:b/>
          <w:color w:val="auto"/>
          <w:sz w:val="24"/>
          <w:highlight w:val="none"/>
        </w:rPr>
        <w:t>2.4 包装和装运</w:t>
      </w:r>
      <w:bookmarkEnd w:id="450"/>
      <w:bookmarkEnd w:id="451"/>
      <w:bookmarkEnd w:id="452"/>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2.4.1除</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2.4.3 装运货物的要求和通知，详见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pPr>
        <w:spacing w:line="560" w:lineRule="exact"/>
        <w:ind w:firstLine="482" w:firstLineChars="200"/>
        <w:outlineLvl w:val="0"/>
        <w:rPr>
          <w:rFonts w:ascii="宋体" w:hAnsi="宋体" w:cs="宋体"/>
          <w:b/>
          <w:color w:val="auto"/>
          <w:sz w:val="24"/>
          <w:highlight w:val="none"/>
        </w:rPr>
      </w:pPr>
      <w:bookmarkStart w:id="453" w:name="_Toc279701245"/>
      <w:bookmarkStart w:id="454" w:name="_Ref467378541"/>
      <w:bookmarkStart w:id="455" w:name="_Toc487900354"/>
      <w:bookmarkStart w:id="456" w:name="_Toc259093674"/>
      <w:bookmarkStart w:id="457" w:name="_Ref467379536"/>
      <w:bookmarkStart w:id="458" w:name="_Ref467379527"/>
      <w:bookmarkStart w:id="459" w:name="_Ref467378591"/>
      <w:bookmarkStart w:id="460" w:name="_Ref467379542"/>
      <w:bookmarkStart w:id="461" w:name="_Toc26182"/>
      <w:bookmarkStart w:id="462" w:name="_Toc19074"/>
      <w:bookmarkStart w:id="463" w:name="_Toc30272"/>
      <w:r>
        <w:rPr>
          <w:rFonts w:hint="eastAsia" w:ascii="宋体" w:hAnsi="宋体" w:cs="宋体"/>
          <w:b/>
          <w:color w:val="auto"/>
          <w:sz w:val="24"/>
          <w:highlight w:val="none"/>
        </w:rPr>
        <w:t>2.</w:t>
      </w:r>
      <w:bookmarkEnd w:id="453"/>
      <w:bookmarkEnd w:id="454"/>
      <w:bookmarkEnd w:id="455"/>
      <w:bookmarkEnd w:id="456"/>
      <w:bookmarkEnd w:id="457"/>
      <w:bookmarkEnd w:id="458"/>
      <w:bookmarkEnd w:id="459"/>
      <w:bookmarkEnd w:id="460"/>
      <w:r>
        <w:rPr>
          <w:rFonts w:hint="eastAsia" w:ascii="宋体" w:hAnsi="宋体" w:cs="宋体"/>
          <w:b/>
          <w:color w:val="auto"/>
          <w:sz w:val="24"/>
          <w:highlight w:val="none"/>
        </w:rPr>
        <w:t>5 履约检查和问题反馈</w:t>
      </w:r>
      <w:bookmarkEnd w:id="461"/>
      <w:bookmarkEnd w:id="462"/>
      <w:bookmarkEnd w:id="463"/>
    </w:p>
    <w:p>
      <w:pPr>
        <w:spacing w:line="560" w:lineRule="exact"/>
        <w:ind w:firstLine="480" w:firstLineChars="200"/>
        <w:rPr>
          <w:rFonts w:ascii="宋体" w:hAnsi="宋体" w:cs="宋体"/>
          <w:color w:val="auto"/>
          <w:sz w:val="24"/>
          <w:highlight w:val="none"/>
        </w:rPr>
      </w:pPr>
      <w:bookmarkStart w:id="464" w:name="_Ref467379657"/>
      <w:r>
        <w:rPr>
          <w:rFonts w:hint="eastAsia" w:ascii="宋体" w:hAnsi="宋体" w:cs="宋体"/>
          <w:color w:val="auto"/>
          <w:sz w:val="24"/>
          <w:highlight w:val="none"/>
        </w:rPr>
        <w:t>2.5.1</w:t>
      </w:r>
      <w:bookmarkEnd w:id="464"/>
      <w:bookmarkStart w:id="465" w:name="_Toc186431854"/>
      <w:bookmarkStart w:id="466" w:name="_Toc487900357"/>
      <w:bookmarkStart w:id="467" w:name="_Ref467379793"/>
      <w:bookmarkStart w:id="468" w:name="_Toc259093676"/>
      <w:bookmarkStart w:id="469" w:name="_Toc279701247"/>
      <w:bookmarkStart w:id="470" w:name="_Ref467379807"/>
      <w:r>
        <w:rPr>
          <w:rFonts w:hint="eastAsia" w:ascii="宋体" w:hAnsi="宋体" w:cs="宋体"/>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2.5.2 合同履行期间，甲方有权将履行过程中出现的问题反馈给乙方，双方当事人应以书面形式约定需要完善和改进的内容</w:t>
      </w:r>
      <w:bookmarkEnd w:id="465"/>
      <w:bookmarkStart w:id="471" w:name="_Toc186431855"/>
      <w:r>
        <w:rPr>
          <w:rFonts w:hint="eastAsia" w:ascii="宋体" w:hAnsi="宋体" w:cs="宋体"/>
          <w:color w:val="auto"/>
          <w:sz w:val="24"/>
          <w:highlight w:val="none"/>
        </w:rPr>
        <w:t>。</w:t>
      </w:r>
    </w:p>
    <w:bookmarkEnd w:id="466"/>
    <w:bookmarkEnd w:id="467"/>
    <w:bookmarkEnd w:id="468"/>
    <w:bookmarkEnd w:id="469"/>
    <w:bookmarkEnd w:id="470"/>
    <w:bookmarkEnd w:id="471"/>
    <w:p>
      <w:pPr>
        <w:spacing w:line="560" w:lineRule="exact"/>
        <w:ind w:firstLine="482" w:firstLineChars="200"/>
        <w:outlineLvl w:val="0"/>
        <w:rPr>
          <w:rFonts w:ascii="宋体" w:hAnsi="宋体" w:cs="宋体"/>
          <w:b/>
          <w:color w:val="auto"/>
          <w:sz w:val="24"/>
          <w:highlight w:val="none"/>
        </w:rPr>
      </w:pPr>
      <w:bookmarkStart w:id="472" w:name="_Toc259093677"/>
      <w:bookmarkStart w:id="473" w:name="_Toc279701248"/>
      <w:bookmarkStart w:id="474" w:name="_Ref467379923"/>
      <w:bookmarkStart w:id="475" w:name="_Ref467379863"/>
      <w:bookmarkStart w:id="476" w:name="_Toc487900358"/>
      <w:bookmarkStart w:id="477" w:name="_Ref467379852"/>
      <w:bookmarkStart w:id="478" w:name="_Toc3225"/>
      <w:bookmarkStart w:id="479" w:name="_Toc16110"/>
      <w:bookmarkStart w:id="480" w:name="_Toc774"/>
      <w:r>
        <w:rPr>
          <w:rFonts w:hint="eastAsia" w:ascii="宋体" w:hAnsi="宋体" w:cs="宋体"/>
          <w:b/>
          <w:color w:val="auto"/>
          <w:sz w:val="24"/>
          <w:highlight w:val="none"/>
        </w:rPr>
        <w:t>2.6 技术资料</w:t>
      </w:r>
      <w:bookmarkEnd w:id="472"/>
      <w:bookmarkEnd w:id="473"/>
      <w:bookmarkEnd w:id="474"/>
      <w:bookmarkEnd w:id="475"/>
      <w:bookmarkEnd w:id="476"/>
      <w:bookmarkEnd w:id="477"/>
      <w:r>
        <w:rPr>
          <w:rFonts w:hint="eastAsia" w:ascii="宋体" w:hAnsi="宋体" w:cs="宋体"/>
          <w:b/>
          <w:color w:val="auto"/>
          <w:sz w:val="24"/>
          <w:highlight w:val="none"/>
        </w:rPr>
        <w:t>和保密义务</w:t>
      </w:r>
      <w:bookmarkEnd w:id="478"/>
      <w:bookmarkEnd w:id="479"/>
      <w:bookmarkEnd w:id="480"/>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2.6.1 乙方有权依据合同约定和项目需要，向甲方了解有关情况，调阅有关资料等，甲方应予积极配合；</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2.6.2 乙方有义务妥善保管和保护由甲方提供的前款信息和资料等；</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宋体" w:hAnsi="宋体" w:cs="宋体"/>
          <w:b/>
          <w:color w:val="auto"/>
          <w:sz w:val="24"/>
          <w:highlight w:val="none"/>
        </w:rPr>
      </w:pPr>
      <w:bookmarkStart w:id="481" w:name="_Toc7860"/>
      <w:r>
        <w:rPr>
          <w:rFonts w:hint="eastAsia" w:ascii="宋体" w:hAnsi="宋体" w:cs="宋体"/>
          <w:b/>
          <w:color w:val="auto"/>
          <w:sz w:val="24"/>
          <w:highlight w:val="none"/>
        </w:rPr>
        <w:t>2.7 质量保证</w:t>
      </w:r>
      <w:bookmarkEnd w:id="481"/>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宋体" w:hAnsi="宋体" w:cs="宋体"/>
          <w:b/>
          <w:color w:val="auto"/>
          <w:sz w:val="24"/>
          <w:highlight w:val="none"/>
        </w:rPr>
      </w:pPr>
      <w:bookmarkStart w:id="482" w:name="_Toc17244"/>
      <w:bookmarkStart w:id="483" w:name="_Toc487900362"/>
      <w:bookmarkStart w:id="484" w:name="_Toc279701252"/>
      <w:bookmarkStart w:id="485" w:name="_Toc259093681"/>
      <w:r>
        <w:rPr>
          <w:rFonts w:hint="eastAsia" w:ascii="宋体" w:hAnsi="宋体" w:cs="宋体"/>
          <w:b/>
          <w:color w:val="auto"/>
          <w:sz w:val="24"/>
          <w:highlight w:val="none"/>
        </w:rPr>
        <w:t>2.8 货物的风险负担</w:t>
      </w:r>
      <w:bookmarkEnd w:id="482"/>
    </w:p>
    <w:p>
      <w:pPr>
        <w:spacing w:line="560" w:lineRule="exact"/>
        <w:ind w:firstLine="480" w:firstLineChars="200"/>
        <w:rPr>
          <w:rFonts w:ascii="宋体" w:hAnsi="宋体" w:cs="宋体"/>
          <w:b/>
          <w:color w:val="auto"/>
          <w:sz w:val="24"/>
          <w:highlight w:val="none"/>
        </w:rPr>
      </w:pPr>
      <w:r>
        <w:rPr>
          <w:rFonts w:hint="eastAsia" w:ascii="宋体" w:hAnsi="宋体" w:cs="宋体"/>
          <w:color w:val="auto"/>
          <w:sz w:val="24"/>
          <w:highlight w:val="none"/>
        </w:rPr>
        <w:t>货物或者在途货物或者交付给第一承运人后的货物毁损、灭失的风险负担详见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pPr>
        <w:spacing w:line="560" w:lineRule="exact"/>
        <w:ind w:firstLine="482" w:firstLineChars="200"/>
        <w:outlineLvl w:val="0"/>
        <w:rPr>
          <w:rFonts w:ascii="宋体" w:hAnsi="宋体" w:cs="宋体"/>
          <w:b/>
          <w:color w:val="auto"/>
          <w:sz w:val="24"/>
          <w:highlight w:val="none"/>
        </w:rPr>
      </w:pPr>
      <w:bookmarkStart w:id="486" w:name="_Toc14055"/>
      <w:r>
        <w:rPr>
          <w:rFonts w:hint="eastAsia" w:ascii="宋体" w:hAnsi="宋体" w:cs="宋体"/>
          <w:b/>
          <w:color w:val="auto"/>
          <w:sz w:val="24"/>
          <w:highlight w:val="none"/>
        </w:rPr>
        <w:t>2.9 延迟交货</w:t>
      </w:r>
      <w:bookmarkEnd w:id="483"/>
      <w:bookmarkEnd w:id="484"/>
      <w:bookmarkEnd w:id="485"/>
      <w:bookmarkEnd w:id="486"/>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宋体" w:hAnsi="宋体" w:cs="宋体"/>
          <w:b/>
          <w:color w:val="auto"/>
          <w:sz w:val="24"/>
          <w:highlight w:val="none"/>
        </w:rPr>
      </w:pPr>
      <w:bookmarkStart w:id="487" w:name="_Toc7502"/>
      <w:bookmarkStart w:id="488" w:name="_Ref467378121"/>
      <w:bookmarkStart w:id="489" w:name="_Toc259093683"/>
      <w:bookmarkStart w:id="490" w:name="_Toc487900364"/>
      <w:bookmarkStart w:id="491" w:name="_Toc279701254"/>
      <w:r>
        <w:rPr>
          <w:rFonts w:hint="eastAsia" w:ascii="宋体" w:hAnsi="宋体" w:cs="宋体"/>
          <w:b/>
          <w:color w:val="auto"/>
          <w:sz w:val="24"/>
          <w:highlight w:val="none"/>
        </w:rPr>
        <w:t>2.10 合同变更</w:t>
      </w:r>
      <w:bookmarkEnd w:id="487"/>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492" w:name="_Toc279701259"/>
      <w:bookmarkStart w:id="493" w:name="_Toc259093688"/>
      <w:bookmarkStart w:id="494" w:name="_Toc487900369"/>
    </w:p>
    <w:p>
      <w:pPr>
        <w:spacing w:line="560" w:lineRule="exact"/>
        <w:ind w:firstLine="482" w:firstLineChars="200"/>
        <w:outlineLvl w:val="0"/>
        <w:rPr>
          <w:rFonts w:ascii="宋体" w:hAnsi="宋体" w:cs="宋体"/>
          <w:b/>
          <w:color w:val="auto"/>
          <w:sz w:val="24"/>
          <w:highlight w:val="none"/>
        </w:rPr>
      </w:pPr>
      <w:bookmarkStart w:id="495" w:name="_Toc22955"/>
      <w:bookmarkStart w:id="496" w:name="_Toc10366"/>
      <w:bookmarkStart w:id="497" w:name="_Toc15237"/>
      <w:r>
        <w:rPr>
          <w:rFonts w:hint="eastAsia" w:ascii="宋体" w:hAnsi="宋体" w:cs="宋体"/>
          <w:b/>
          <w:color w:val="auto"/>
          <w:sz w:val="24"/>
          <w:highlight w:val="none"/>
        </w:rPr>
        <w:t>2.11 合同转让</w:t>
      </w:r>
      <w:bookmarkEnd w:id="492"/>
      <w:bookmarkEnd w:id="493"/>
      <w:bookmarkEnd w:id="494"/>
      <w:r>
        <w:rPr>
          <w:rFonts w:hint="eastAsia" w:ascii="宋体" w:hAnsi="宋体" w:cs="宋体"/>
          <w:b/>
          <w:color w:val="auto"/>
          <w:sz w:val="24"/>
          <w:highlight w:val="none"/>
        </w:rPr>
        <w:t>和分包</w:t>
      </w:r>
      <w:bookmarkEnd w:id="495"/>
      <w:bookmarkEnd w:id="496"/>
      <w:bookmarkEnd w:id="497"/>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2.11.2乙方采取分包方式履行合同的，甲方可直接向分包供应商支付款项。</w:t>
      </w:r>
    </w:p>
    <w:p>
      <w:pPr>
        <w:spacing w:line="560" w:lineRule="exact"/>
        <w:ind w:firstLine="482" w:firstLineChars="200"/>
        <w:outlineLvl w:val="0"/>
        <w:rPr>
          <w:rFonts w:ascii="宋体" w:hAnsi="宋体" w:cs="宋体"/>
          <w:b/>
          <w:color w:val="auto"/>
          <w:sz w:val="24"/>
          <w:highlight w:val="none"/>
        </w:rPr>
      </w:pPr>
      <w:bookmarkStart w:id="498" w:name="_Toc13566"/>
      <w:bookmarkStart w:id="499" w:name="_Toc14066"/>
      <w:bookmarkStart w:id="500" w:name="_Toc16508"/>
      <w:r>
        <w:rPr>
          <w:rFonts w:hint="eastAsia" w:ascii="宋体" w:hAnsi="宋体" w:cs="宋体"/>
          <w:b/>
          <w:color w:val="auto"/>
          <w:sz w:val="24"/>
          <w:highlight w:val="none"/>
        </w:rPr>
        <w:t>2.12 不可抗力</w:t>
      </w:r>
      <w:bookmarkEnd w:id="498"/>
      <w:bookmarkEnd w:id="499"/>
      <w:bookmarkEnd w:id="500"/>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2.12.2 因不可抗力致使不能实现合同目的的，当事人可以解除合同；</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2.12.3 因不可抗力致使合同有变更必要的，双方当事人应在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约定时间内以书面形式变更合同；</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2.12.4受不可抗力影响的一方在不可抗力发生后，应在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约定时间内以书面形式通知对方当事人，并在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约定时间内，将有关部门出具的证明文件送达对方当事人。</w:t>
      </w:r>
    </w:p>
    <w:p>
      <w:pPr>
        <w:spacing w:line="560" w:lineRule="exact"/>
        <w:ind w:firstLine="482" w:firstLineChars="200"/>
        <w:outlineLvl w:val="0"/>
        <w:rPr>
          <w:rFonts w:ascii="宋体" w:hAnsi="宋体" w:cs="宋体"/>
          <w:b/>
          <w:color w:val="auto"/>
          <w:sz w:val="24"/>
          <w:highlight w:val="none"/>
        </w:rPr>
      </w:pPr>
      <w:bookmarkStart w:id="501" w:name="_Toc689"/>
      <w:bookmarkStart w:id="502" w:name="_Toc259093684"/>
      <w:bookmarkStart w:id="503" w:name="_Toc6969"/>
      <w:bookmarkStart w:id="504" w:name="_Toc487900365"/>
      <w:bookmarkStart w:id="505" w:name="_Toc279701255"/>
      <w:bookmarkStart w:id="506" w:name="_Toc30676"/>
      <w:r>
        <w:rPr>
          <w:rFonts w:hint="eastAsia" w:ascii="宋体" w:hAnsi="宋体" w:cs="宋体"/>
          <w:b/>
          <w:color w:val="auto"/>
          <w:sz w:val="24"/>
          <w:highlight w:val="none"/>
        </w:rPr>
        <w:t>2.13 税费</w:t>
      </w:r>
      <w:bookmarkEnd w:id="501"/>
      <w:bookmarkEnd w:id="502"/>
      <w:bookmarkEnd w:id="503"/>
      <w:bookmarkEnd w:id="504"/>
      <w:bookmarkEnd w:id="505"/>
      <w:bookmarkEnd w:id="506"/>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与合同有关的一切税费，均按照中华人民共和国法律的相关规定。</w:t>
      </w:r>
    </w:p>
    <w:p>
      <w:pPr>
        <w:spacing w:line="560" w:lineRule="exact"/>
        <w:ind w:firstLine="482" w:firstLineChars="200"/>
        <w:outlineLvl w:val="0"/>
        <w:rPr>
          <w:rFonts w:ascii="宋体" w:hAnsi="宋体" w:cs="宋体"/>
          <w:b/>
          <w:color w:val="auto"/>
          <w:sz w:val="24"/>
          <w:highlight w:val="none"/>
        </w:rPr>
      </w:pPr>
      <w:bookmarkStart w:id="507" w:name="_Toc16959"/>
      <w:bookmarkStart w:id="508" w:name="_Toc487900368"/>
      <w:bookmarkStart w:id="509" w:name="_Toc7102"/>
      <w:bookmarkStart w:id="510" w:name="_Toc8298"/>
      <w:bookmarkStart w:id="511" w:name="_Toc279701258"/>
      <w:bookmarkStart w:id="512" w:name="_Toc259093687"/>
      <w:r>
        <w:rPr>
          <w:rFonts w:hint="eastAsia" w:ascii="宋体" w:hAnsi="宋体" w:cs="宋体"/>
          <w:b/>
          <w:color w:val="auto"/>
          <w:sz w:val="24"/>
          <w:highlight w:val="none"/>
        </w:rPr>
        <w:t>2.14乙方破产</w:t>
      </w:r>
      <w:bookmarkEnd w:id="507"/>
      <w:bookmarkEnd w:id="508"/>
      <w:bookmarkEnd w:id="509"/>
      <w:bookmarkEnd w:id="510"/>
      <w:bookmarkEnd w:id="511"/>
      <w:bookmarkEnd w:id="512"/>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宋体" w:hAnsi="宋体" w:cs="宋体"/>
          <w:b/>
          <w:color w:val="auto"/>
          <w:sz w:val="24"/>
          <w:highlight w:val="none"/>
        </w:rPr>
      </w:pPr>
      <w:bookmarkStart w:id="513" w:name="_Toc29333"/>
      <w:bookmarkStart w:id="514" w:name="_Toc6134"/>
      <w:bookmarkStart w:id="515" w:name="_Toc15387"/>
      <w:r>
        <w:rPr>
          <w:rFonts w:hint="eastAsia" w:ascii="宋体" w:hAnsi="宋体" w:cs="宋体"/>
          <w:b/>
          <w:color w:val="auto"/>
          <w:sz w:val="24"/>
          <w:highlight w:val="none"/>
        </w:rPr>
        <w:t>2.15 合同中止、终止</w:t>
      </w:r>
      <w:bookmarkEnd w:id="513"/>
      <w:bookmarkEnd w:id="514"/>
      <w:bookmarkEnd w:id="515"/>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2.15.1 双方当事人不得擅自中止或者终止合同；</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宋体" w:hAnsi="宋体" w:cs="宋体"/>
          <w:b/>
          <w:color w:val="auto"/>
          <w:sz w:val="24"/>
          <w:highlight w:val="none"/>
        </w:rPr>
      </w:pPr>
      <w:bookmarkStart w:id="516" w:name="_Toc14563"/>
      <w:bookmarkStart w:id="517" w:name="_Toc1125"/>
      <w:bookmarkStart w:id="518" w:name="_Toc6596"/>
      <w:r>
        <w:rPr>
          <w:rFonts w:hint="eastAsia" w:ascii="宋体" w:hAnsi="宋体" w:cs="宋体"/>
          <w:b/>
          <w:color w:val="auto"/>
          <w:sz w:val="24"/>
          <w:highlight w:val="none"/>
        </w:rPr>
        <w:t>2.16检验和验收</w:t>
      </w:r>
      <w:bookmarkEnd w:id="516"/>
      <w:bookmarkEnd w:id="517"/>
      <w:bookmarkEnd w:id="518"/>
    </w:p>
    <w:p>
      <w:pPr>
        <w:tabs>
          <w:tab w:val="left" w:pos="360"/>
          <w:tab w:val="left" w:pos="540"/>
          <w:tab w:val="left" w:pos="1080"/>
        </w:tabs>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2.16.1货物交付前，乙方应对货物的质量、数量等方面进行详细、全面的检验，并向甲方出具证明货物符合合同约定的文件；货物交付时，甲方在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2.16.3 检验和验收标准、程序等具体内容以及前述验收书的效力详见</w:t>
      </w:r>
      <w:r>
        <w:rPr>
          <w:rFonts w:hint="eastAsia" w:ascii="宋体" w:hAnsi="宋体" w:cs="宋体"/>
          <w:b/>
          <w:i/>
          <w:color w:val="auto"/>
          <w:sz w:val="24"/>
          <w:highlight w:val="none"/>
          <w:u w:val="single"/>
        </w:rPr>
        <w:t>合同专用条款</w:t>
      </w:r>
      <w:r>
        <w:rPr>
          <w:rFonts w:hint="eastAsia" w:ascii="宋体" w:hAnsi="宋体" w:cs="宋体"/>
          <w:i/>
          <w:color w:val="auto"/>
          <w:sz w:val="24"/>
          <w:highlight w:val="none"/>
        </w:rPr>
        <w:t>。</w:t>
      </w:r>
    </w:p>
    <w:bookmarkEnd w:id="488"/>
    <w:bookmarkEnd w:id="489"/>
    <w:bookmarkEnd w:id="490"/>
    <w:bookmarkEnd w:id="491"/>
    <w:p>
      <w:pPr>
        <w:spacing w:line="560" w:lineRule="exact"/>
        <w:ind w:firstLine="482" w:firstLineChars="200"/>
        <w:outlineLvl w:val="0"/>
        <w:rPr>
          <w:rFonts w:ascii="宋体" w:hAnsi="宋体" w:cs="宋体"/>
          <w:b/>
          <w:color w:val="auto"/>
          <w:sz w:val="24"/>
          <w:highlight w:val="none"/>
        </w:rPr>
      </w:pPr>
      <w:bookmarkStart w:id="519" w:name="_Toc279701261"/>
      <w:bookmarkStart w:id="520" w:name="_Toc487900371"/>
      <w:bookmarkStart w:id="521" w:name="_Toc259093690"/>
      <w:bookmarkStart w:id="522" w:name="_Toc11284"/>
      <w:bookmarkStart w:id="523" w:name="_Toc19604"/>
      <w:bookmarkStart w:id="524" w:name="_Toc25182"/>
      <w:r>
        <w:rPr>
          <w:rFonts w:hint="eastAsia" w:ascii="宋体" w:hAnsi="宋体" w:cs="宋体"/>
          <w:b/>
          <w:color w:val="auto"/>
          <w:sz w:val="24"/>
          <w:highlight w:val="none"/>
        </w:rPr>
        <w:t>2.17 通知</w:t>
      </w:r>
      <w:bookmarkEnd w:id="519"/>
      <w:bookmarkEnd w:id="520"/>
      <w:bookmarkEnd w:id="521"/>
      <w:r>
        <w:rPr>
          <w:rFonts w:hint="eastAsia" w:ascii="宋体" w:hAnsi="宋体" w:cs="宋体"/>
          <w:b/>
          <w:color w:val="auto"/>
          <w:sz w:val="24"/>
          <w:highlight w:val="none"/>
        </w:rPr>
        <w:t>和送达</w:t>
      </w:r>
      <w:bookmarkEnd w:id="522"/>
      <w:bookmarkEnd w:id="523"/>
      <w:bookmarkEnd w:id="524"/>
    </w:p>
    <w:p>
      <w:pPr>
        <w:spacing w:line="560" w:lineRule="exact"/>
        <w:ind w:firstLine="480" w:firstLineChars="200"/>
        <w:rPr>
          <w:rFonts w:ascii="宋体" w:hAnsi="宋体" w:cs="宋体"/>
          <w:color w:val="auto"/>
          <w:sz w:val="24"/>
          <w:highlight w:val="none"/>
        </w:rPr>
      </w:pPr>
      <w:bookmarkStart w:id="525" w:name="_Toc6698"/>
      <w:bookmarkStart w:id="526" w:name="_Toc3135"/>
      <w:bookmarkStart w:id="527" w:name="_Toc259093691"/>
      <w:bookmarkStart w:id="528" w:name="_Toc487900372"/>
      <w:bookmarkStart w:id="529" w:name="_Toc279701262"/>
      <w:r>
        <w:rPr>
          <w:rFonts w:hint="eastAsia" w:ascii="宋体" w:hAnsi="宋体" w:cs="宋体"/>
          <w:color w:val="auto"/>
          <w:sz w:val="24"/>
          <w:highlight w:val="none"/>
        </w:rPr>
        <w:t xml:space="preserve">2.17.1任何一方因履行合同而以合同第一部分尾部所列明的传真或电子邮件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发出的所有通知、文件、材料，均视为已向对方当事人送达；任何一方变更上述送达方式或者地址的，应于</w:t>
      </w:r>
      <w:r>
        <w:rPr>
          <w:rFonts w:hint="eastAsia" w:ascii="宋体" w:hAnsi="宋体" w:cs="宋体"/>
          <w:color w:val="auto"/>
          <w:sz w:val="24"/>
          <w:highlight w:val="none"/>
          <w:u w:val="single"/>
        </w:rPr>
        <w:t>3</w:t>
      </w:r>
      <w:r>
        <w:rPr>
          <w:rFonts w:hint="eastAsia" w:ascii="宋体" w:hAnsi="宋体" w:cs="宋体"/>
          <w:color w:val="auto"/>
          <w:sz w:val="24"/>
          <w:highlight w:val="none"/>
        </w:rPr>
        <w:t>个工作日内书面通知对方当事人，在对方当事人收到有关变更通知之前，变更前的约定送达方式或者地址仍视为有效。</w:t>
      </w:r>
      <w:bookmarkEnd w:id="525"/>
      <w:bookmarkEnd w:id="526"/>
    </w:p>
    <w:p>
      <w:pPr>
        <w:spacing w:line="560" w:lineRule="exact"/>
        <w:ind w:firstLine="480" w:firstLineChars="200"/>
        <w:rPr>
          <w:rFonts w:ascii="宋体" w:hAnsi="宋体" w:cs="宋体"/>
          <w:color w:val="auto"/>
          <w:sz w:val="24"/>
          <w:highlight w:val="none"/>
        </w:rPr>
      </w:pPr>
      <w:bookmarkStart w:id="530" w:name="_Toc23128"/>
      <w:bookmarkStart w:id="531" w:name="_Toc23294"/>
      <w:r>
        <w:rPr>
          <w:rFonts w:hint="eastAsia" w:ascii="宋体" w:hAnsi="宋体" w:cs="宋体"/>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30"/>
      <w:bookmarkEnd w:id="531"/>
    </w:p>
    <w:p>
      <w:pPr>
        <w:spacing w:line="560" w:lineRule="exact"/>
        <w:ind w:firstLine="482" w:firstLineChars="200"/>
        <w:outlineLvl w:val="0"/>
        <w:rPr>
          <w:rFonts w:ascii="宋体" w:hAnsi="宋体" w:cs="宋体"/>
          <w:b/>
          <w:color w:val="auto"/>
          <w:sz w:val="24"/>
          <w:highlight w:val="none"/>
        </w:rPr>
      </w:pPr>
      <w:bookmarkStart w:id="532" w:name="_Toc4355"/>
      <w:bookmarkStart w:id="533" w:name="_Toc18540"/>
      <w:bookmarkStart w:id="534" w:name="_Toc30599"/>
      <w:r>
        <w:rPr>
          <w:rFonts w:hint="eastAsia" w:ascii="宋体" w:hAnsi="宋体" w:cs="宋体"/>
          <w:b/>
          <w:color w:val="auto"/>
          <w:sz w:val="24"/>
          <w:highlight w:val="none"/>
        </w:rPr>
        <w:t>2.18 计量单位</w:t>
      </w:r>
      <w:bookmarkEnd w:id="527"/>
      <w:bookmarkEnd w:id="528"/>
      <w:bookmarkEnd w:id="529"/>
      <w:bookmarkEnd w:id="532"/>
      <w:bookmarkEnd w:id="533"/>
      <w:bookmarkEnd w:id="534"/>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除技术规范中另有规定外,合同的计量单位均使用国家法定计量单位。</w:t>
      </w:r>
    </w:p>
    <w:p>
      <w:pPr>
        <w:spacing w:line="560" w:lineRule="exact"/>
        <w:ind w:firstLine="482" w:firstLineChars="200"/>
        <w:outlineLvl w:val="0"/>
        <w:rPr>
          <w:rFonts w:ascii="宋体" w:hAnsi="宋体" w:cs="宋体"/>
          <w:b/>
          <w:color w:val="auto"/>
          <w:sz w:val="24"/>
          <w:highlight w:val="none"/>
        </w:rPr>
      </w:pPr>
      <w:bookmarkStart w:id="535" w:name="_Toc10330"/>
      <w:bookmarkStart w:id="536" w:name="_Toc279701263"/>
      <w:bookmarkStart w:id="537" w:name="_Toc12773"/>
      <w:bookmarkStart w:id="538" w:name="_Toc18567"/>
      <w:bookmarkStart w:id="539" w:name="_Toc487900373"/>
      <w:bookmarkStart w:id="540" w:name="_Toc259093692"/>
      <w:r>
        <w:rPr>
          <w:rFonts w:hint="eastAsia" w:ascii="宋体" w:hAnsi="宋体" w:cs="宋体"/>
          <w:b/>
          <w:color w:val="auto"/>
          <w:sz w:val="24"/>
          <w:highlight w:val="none"/>
        </w:rPr>
        <w:t>2.19 合同使用的文字和适用的法律</w:t>
      </w:r>
      <w:bookmarkEnd w:id="535"/>
      <w:bookmarkEnd w:id="536"/>
      <w:bookmarkEnd w:id="537"/>
      <w:bookmarkEnd w:id="538"/>
      <w:bookmarkEnd w:id="539"/>
      <w:bookmarkEnd w:id="540"/>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2.19.1 合同使用汉语书就、变更和解释；</w:t>
      </w:r>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2.19.2 合同适用中华人民共和国法律。</w:t>
      </w:r>
    </w:p>
    <w:p>
      <w:pPr>
        <w:spacing w:line="560" w:lineRule="exact"/>
        <w:ind w:firstLine="482" w:firstLineChars="200"/>
        <w:outlineLvl w:val="0"/>
        <w:rPr>
          <w:rFonts w:ascii="宋体" w:hAnsi="宋体" w:cs="宋体"/>
          <w:b/>
          <w:color w:val="auto"/>
          <w:sz w:val="24"/>
          <w:highlight w:val="none"/>
        </w:rPr>
      </w:pPr>
      <w:bookmarkStart w:id="541" w:name="_Toc6885"/>
      <w:bookmarkStart w:id="542" w:name="_Toc14001"/>
      <w:bookmarkStart w:id="543" w:name="_Toc19890"/>
      <w:r>
        <w:rPr>
          <w:rFonts w:hint="eastAsia" w:ascii="宋体" w:hAnsi="宋体" w:cs="宋体"/>
          <w:b/>
          <w:color w:val="auto"/>
          <w:sz w:val="24"/>
          <w:highlight w:val="none"/>
        </w:rPr>
        <w:t>2.20 合同份数</w:t>
      </w:r>
      <w:bookmarkEnd w:id="541"/>
      <w:bookmarkEnd w:id="542"/>
      <w:bookmarkEnd w:id="543"/>
    </w:p>
    <w:p>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合同份数按</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规定，每份均具有同等法律效力。</w:t>
      </w:r>
    </w:p>
    <w:p>
      <w:pPr>
        <w:adjustRightInd/>
        <w:spacing w:line="360" w:lineRule="auto"/>
        <w:jc w:val="center"/>
        <w:outlineLvl w:val="0"/>
        <w:rPr>
          <w:rFonts w:ascii="宋体" w:hAnsi="宋体" w:cs="宋体"/>
          <w:b/>
          <w:color w:val="auto"/>
          <w:sz w:val="24"/>
          <w:highlight w:val="none"/>
        </w:rPr>
      </w:pPr>
      <w:r>
        <w:rPr>
          <w:rFonts w:hint="eastAsia" w:ascii="宋体" w:hAnsi="宋体" w:cs="宋体"/>
          <w:b/>
          <w:color w:val="auto"/>
          <w:sz w:val="24"/>
          <w:highlight w:val="none"/>
        </w:rPr>
        <w:t>第三部分  合同专用条款</w:t>
      </w:r>
    </w:p>
    <w:p>
      <w:pPr>
        <w:spacing w:line="560" w:lineRule="exact"/>
        <w:ind w:left="-420" w:leftChars="-200" w:right="-420" w:rightChars="-200" w:firstLine="480" w:firstLineChars="200"/>
        <w:rPr>
          <w:rFonts w:ascii="宋体" w:hAnsi="宋体" w:cs="宋体"/>
          <w:color w:val="auto"/>
          <w:sz w:val="24"/>
          <w:highlight w:val="none"/>
        </w:rPr>
      </w:pPr>
      <w:r>
        <w:rPr>
          <w:rFonts w:hint="eastAsia" w:ascii="宋体" w:hAnsi="宋体" w:cs="宋体"/>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8335"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76"/>
        <w:gridCol w:w="755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776" w:type="dxa"/>
            <w:tcBorders>
              <w:left w:val="single" w:color="auto" w:sz="4" w:space="0"/>
            </w:tcBorders>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条款号</w:t>
            </w:r>
          </w:p>
        </w:tc>
        <w:tc>
          <w:tcPr>
            <w:tcW w:w="7559" w:type="dxa"/>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776"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1.4.2</w:t>
            </w:r>
          </w:p>
        </w:tc>
        <w:tc>
          <w:tcPr>
            <w:tcW w:w="7559" w:type="dxa"/>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776"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1.5.1</w:t>
            </w:r>
          </w:p>
        </w:tc>
        <w:tc>
          <w:tcPr>
            <w:tcW w:w="7559" w:type="dxa"/>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776"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1.5.2 </w:t>
            </w:r>
          </w:p>
        </w:tc>
        <w:tc>
          <w:tcPr>
            <w:tcW w:w="7559" w:type="dxa"/>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776"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1.5.3</w:t>
            </w:r>
          </w:p>
        </w:tc>
        <w:tc>
          <w:tcPr>
            <w:tcW w:w="7559" w:type="dxa"/>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776"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1.6.2</w:t>
            </w:r>
          </w:p>
        </w:tc>
        <w:tc>
          <w:tcPr>
            <w:tcW w:w="7559" w:type="dxa"/>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776"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1.7.1</w:t>
            </w:r>
          </w:p>
        </w:tc>
        <w:tc>
          <w:tcPr>
            <w:tcW w:w="7559" w:type="dxa"/>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776"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1.7.2</w:t>
            </w:r>
          </w:p>
        </w:tc>
        <w:tc>
          <w:tcPr>
            <w:tcW w:w="7559" w:type="dxa"/>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776"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1.7.3</w:t>
            </w:r>
          </w:p>
        </w:tc>
        <w:tc>
          <w:tcPr>
            <w:tcW w:w="7559" w:type="dxa"/>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776"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1.8.6</w:t>
            </w:r>
          </w:p>
        </w:tc>
        <w:tc>
          <w:tcPr>
            <w:tcW w:w="7559" w:type="dxa"/>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776"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1.9</w:t>
            </w:r>
          </w:p>
        </w:tc>
        <w:tc>
          <w:tcPr>
            <w:tcW w:w="7559" w:type="dxa"/>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776"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2.3.2</w:t>
            </w:r>
          </w:p>
        </w:tc>
        <w:tc>
          <w:tcPr>
            <w:tcW w:w="7559" w:type="dxa"/>
            <w:vAlign w:val="center"/>
          </w:tcPr>
          <w:p>
            <w:pPr>
              <w:spacing w:line="360" w:lineRule="auto"/>
              <w:ind w:left="-420" w:leftChars="-200" w:right="-420" w:rightChars="-200" w:firstLine="480" w:firstLineChars="200"/>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776"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2.4.1</w:t>
            </w:r>
          </w:p>
        </w:tc>
        <w:tc>
          <w:tcPr>
            <w:tcW w:w="7559" w:type="dxa"/>
            <w:vAlign w:val="center"/>
          </w:tcPr>
          <w:p>
            <w:pPr>
              <w:spacing w:line="360" w:lineRule="auto"/>
              <w:ind w:left="-420" w:leftChars="-200" w:right="-420" w:rightChars="-200" w:firstLine="480" w:firstLineChars="200"/>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776"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2.4.3</w:t>
            </w:r>
          </w:p>
        </w:tc>
        <w:tc>
          <w:tcPr>
            <w:tcW w:w="7559" w:type="dxa"/>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776" w:type="dxa"/>
            <w:tcBorders>
              <w:left w:val="single" w:color="auto" w:sz="4" w:space="0"/>
            </w:tcBorders>
          </w:tcPr>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2.8 </w:t>
            </w:r>
          </w:p>
        </w:tc>
        <w:tc>
          <w:tcPr>
            <w:tcW w:w="7559" w:type="dxa"/>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776"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2.12.3</w:t>
            </w:r>
          </w:p>
        </w:tc>
        <w:tc>
          <w:tcPr>
            <w:tcW w:w="7559" w:type="dxa"/>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776"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2.12.4</w:t>
            </w:r>
          </w:p>
        </w:tc>
        <w:tc>
          <w:tcPr>
            <w:tcW w:w="7559" w:type="dxa"/>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776"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2.16.1</w:t>
            </w:r>
          </w:p>
        </w:tc>
        <w:tc>
          <w:tcPr>
            <w:tcW w:w="7559" w:type="dxa"/>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776"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2.16.3</w:t>
            </w:r>
          </w:p>
        </w:tc>
        <w:tc>
          <w:tcPr>
            <w:tcW w:w="7559" w:type="dxa"/>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776" w:type="dxa"/>
            <w:tcBorders>
              <w:left w:val="single" w:color="auto" w:sz="4" w:space="0"/>
            </w:tcBorders>
            <w:vAlign w:val="center"/>
          </w:tcPr>
          <w:p>
            <w:pPr>
              <w:spacing w:line="360" w:lineRule="auto"/>
              <w:ind w:left="-420" w:leftChars="-200" w:right="-420" w:rightChars="-200" w:firstLine="480" w:firstLineChars="200"/>
              <w:outlineLvl w:val="0"/>
              <w:rPr>
                <w:rFonts w:ascii="宋体" w:hAnsi="宋体" w:cs="宋体"/>
                <w:color w:val="auto"/>
                <w:sz w:val="24"/>
                <w:highlight w:val="none"/>
              </w:rPr>
            </w:pPr>
            <w:r>
              <w:rPr>
                <w:rFonts w:hint="eastAsia" w:ascii="宋体" w:hAnsi="宋体" w:cs="宋体"/>
                <w:color w:val="auto"/>
                <w:sz w:val="24"/>
                <w:highlight w:val="none"/>
              </w:rPr>
              <w:t xml:space="preserve">2.20 </w:t>
            </w:r>
          </w:p>
        </w:tc>
        <w:tc>
          <w:tcPr>
            <w:tcW w:w="7559" w:type="dxa"/>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776"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2.3.2</w:t>
            </w:r>
          </w:p>
        </w:tc>
        <w:tc>
          <w:tcPr>
            <w:tcW w:w="7559" w:type="dxa"/>
            <w:vAlign w:val="center"/>
          </w:tcPr>
          <w:p>
            <w:pPr>
              <w:spacing w:line="360" w:lineRule="auto"/>
              <w:ind w:left="-420" w:leftChars="-200" w:right="-420" w:rightChars="-200" w:firstLine="480" w:firstLineChars="200"/>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776"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2.5</w:t>
            </w:r>
          </w:p>
        </w:tc>
        <w:tc>
          <w:tcPr>
            <w:tcW w:w="7559" w:type="dxa"/>
            <w:vAlign w:val="center"/>
          </w:tcPr>
          <w:p>
            <w:pPr>
              <w:spacing w:line="360" w:lineRule="auto"/>
              <w:ind w:left="-420" w:leftChars="-200" w:right="-420" w:rightChars="-200" w:firstLine="480" w:firstLineChars="200"/>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776"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2.11.3</w:t>
            </w:r>
          </w:p>
        </w:tc>
        <w:tc>
          <w:tcPr>
            <w:tcW w:w="7559" w:type="dxa"/>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776" w:type="dxa"/>
          </w:tcPr>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2.11.4 </w:t>
            </w:r>
          </w:p>
        </w:tc>
        <w:tc>
          <w:tcPr>
            <w:tcW w:w="7559" w:type="dxa"/>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776"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2.15.1</w:t>
            </w:r>
          </w:p>
        </w:tc>
        <w:tc>
          <w:tcPr>
            <w:tcW w:w="7559" w:type="dxa"/>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776"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2.15.3</w:t>
            </w:r>
          </w:p>
        </w:tc>
        <w:tc>
          <w:tcPr>
            <w:tcW w:w="7559" w:type="dxa"/>
            <w:vAlign w:val="center"/>
          </w:tcPr>
          <w:p>
            <w:pPr>
              <w:spacing w:line="360" w:lineRule="auto"/>
              <w:rPr>
                <w:rFonts w:ascii="宋体" w:hAnsi="宋体" w:cs="宋体"/>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776" w:type="dxa"/>
          </w:tcPr>
          <w:p>
            <w:pPr>
              <w:spacing w:line="360" w:lineRule="auto"/>
              <w:rPr>
                <w:rFonts w:ascii="宋体" w:hAnsi="宋体" w:cs="宋体"/>
                <w:color w:val="auto"/>
                <w:sz w:val="24"/>
                <w:highlight w:val="none"/>
              </w:rPr>
            </w:pPr>
            <w:r>
              <w:rPr>
                <w:rFonts w:hint="eastAsia" w:ascii="宋体" w:hAnsi="宋体" w:cs="宋体"/>
                <w:color w:val="auto"/>
                <w:sz w:val="24"/>
                <w:highlight w:val="none"/>
              </w:rPr>
              <w:t>2.19</w:t>
            </w:r>
          </w:p>
        </w:tc>
        <w:tc>
          <w:tcPr>
            <w:tcW w:w="7559" w:type="dxa"/>
          </w:tcPr>
          <w:p>
            <w:pPr>
              <w:spacing w:line="360" w:lineRule="auto"/>
              <w:rPr>
                <w:rFonts w:ascii="宋体" w:hAnsi="宋体" w:cs="宋体"/>
                <w:color w:val="auto"/>
                <w:sz w:val="24"/>
                <w:highlight w:val="none"/>
              </w:rPr>
            </w:pPr>
          </w:p>
        </w:tc>
      </w:tr>
    </w:tbl>
    <w:p>
      <w:pPr>
        <w:rPr>
          <w:rFonts w:ascii="宋体" w:hAnsi="宋体" w:cs="宋体"/>
          <w:b/>
          <w:color w:val="auto"/>
          <w:sz w:val="36"/>
          <w:szCs w:val="20"/>
          <w:highlight w:val="none"/>
        </w:rPr>
      </w:pPr>
      <w:r>
        <w:rPr>
          <w:rFonts w:hint="eastAsia" w:ascii="宋体" w:hAnsi="宋体" w:cs="宋体"/>
          <w:b/>
          <w:color w:val="auto"/>
          <w:sz w:val="36"/>
          <w:szCs w:val="20"/>
          <w:highlight w:val="none"/>
        </w:rPr>
        <w:br w:type="page"/>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outlineLvl w:val="0"/>
        <w:rPr>
          <w:rFonts w:ascii="宋体" w:hAnsi="宋体" w:cs="宋体"/>
          <w:b/>
          <w:color w:val="auto"/>
          <w:sz w:val="36"/>
          <w:szCs w:val="20"/>
          <w:highlight w:val="none"/>
        </w:rPr>
      </w:pPr>
      <w:r>
        <w:rPr>
          <w:rFonts w:hint="eastAsia" w:ascii="宋体" w:hAnsi="宋体" w:cs="宋体"/>
          <w:b/>
          <w:color w:val="auto"/>
          <w:sz w:val="36"/>
          <w:szCs w:val="20"/>
          <w:highlight w:val="none"/>
        </w:rPr>
        <w:t>第六部分</w:t>
      </w:r>
      <w:bookmarkEnd w:id="393"/>
      <w:r>
        <w:rPr>
          <w:rFonts w:hint="eastAsia" w:ascii="宋体" w:hAnsi="宋体" w:cs="宋体"/>
          <w:b/>
          <w:color w:val="auto"/>
          <w:sz w:val="36"/>
          <w:szCs w:val="20"/>
          <w:highlight w:val="none"/>
        </w:rPr>
        <w:t xml:space="preserve"> </w:t>
      </w:r>
      <w:bookmarkEnd w:id="394"/>
      <w:r>
        <w:rPr>
          <w:rFonts w:hint="eastAsia" w:ascii="宋体" w:hAnsi="宋体" w:cs="宋体"/>
          <w:b/>
          <w:color w:val="auto"/>
          <w:sz w:val="36"/>
          <w:szCs w:val="20"/>
          <w:highlight w:val="none"/>
        </w:rPr>
        <w:t>应提交的有关格式范例</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0"/>
        <w:rPr>
          <w:rFonts w:ascii="宋体" w:hAnsi="宋体" w:cs="宋体"/>
          <w:b/>
          <w:color w:val="auto"/>
          <w:kern w:val="0"/>
          <w:sz w:val="36"/>
          <w:szCs w:val="36"/>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资格文件部分</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pPr>
        <w:spacing w:line="360" w:lineRule="auto"/>
        <w:jc w:val="center"/>
        <w:outlineLvl w:val="0"/>
        <w:rPr>
          <w:rFonts w:ascii="宋体" w:hAnsi="宋体" w:cs="宋体"/>
          <w:b/>
          <w:color w:val="auto"/>
          <w:kern w:val="0"/>
          <w:sz w:val="36"/>
          <w:szCs w:val="36"/>
          <w:highlight w:val="none"/>
        </w:rPr>
      </w:pP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（1）符合参加政府采购活动应当具备的一般条件的承诺函……………（页码）</w:t>
      </w:r>
    </w:p>
    <w:p>
      <w:pPr>
        <w:snapToGrid w:val="0"/>
        <w:spacing w:line="360" w:lineRule="auto"/>
        <w:rPr>
          <w:rFonts w:ascii="宋体" w:hAnsi="宋体" w:cs="宋体"/>
          <w:color w:val="auto"/>
          <w:sz w:val="24"/>
          <w:highlight w:val="none"/>
        </w:rPr>
      </w:pPr>
      <w:r>
        <w:rPr>
          <w:rFonts w:hint="eastAsia" w:ascii="宋体" w:hAnsi="宋体" w:cs="宋体"/>
          <w:snapToGrid w:val="0"/>
          <w:color w:val="auto"/>
          <w:kern w:val="28"/>
          <w:sz w:val="24"/>
          <w:szCs w:val="20"/>
          <w:highlight w:val="none"/>
        </w:rPr>
        <w:t>（2）联合协议</w:t>
      </w:r>
      <w:r>
        <w:rPr>
          <w:rFonts w:hint="eastAsia" w:ascii="宋体" w:hAnsi="宋体" w:cs="宋体"/>
          <w:color w:val="auto"/>
          <w:sz w:val="24"/>
          <w:highlight w:val="none"/>
        </w:rPr>
        <w:t>………………………………………………………………（页码）</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）落实政府采购政策需满足的资格要求………………………………（页码）</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）本项目的特定资格要求………………………………………………（页码）</w:t>
      </w:r>
    </w:p>
    <w:p>
      <w:pP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一、 符合参加政府采购活动应当具备的一般条件的承诺函</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（采购人）、（采购代理机构）：</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我方参与（项目名称）【招标编号：（采购编号）】政府采购活动，郑重承诺：</w:t>
      </w:r>
    </w:p>
    <w:p>
      <w:pPr>
        <w:snapToGrid w:val="0"/>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rPr>
        <w:t>（一）具备《中华人民共和国政府采购法》第二十二条第一款规定的条件：</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2、具有良好的商业信誉和健全的财务会计制度； </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6、具有法律、行政法规规定的其他条件。</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（三）不存在以下情况：</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pPr>
        <w:snapToGrid w:val="0"/>
        <w:spacing w:line="360" w:lineRule="auto"/>
        <w:rPr>
          <w:rFonts w:ascii="宋体" w:hAnsi="宋体" w:cs="宋体"/>
          <w:b/>
          <w:color w:val="auto"/>
          <w:kern w:val="0"/>
          <w:sz w:val="32"/>
          <w:szCs w:val="32"/>
          <w:highlight w:val="none"/>
        </w:rPr>
      </w:pPr>
      <w:r>
        <w:rPr>
          <w:rFonts w:hint="eastAsia" w:ascii="宋体" w:hAnsi="宋体" w:cs="宋体"/>
          <w:color w:val="auto"/>
          <w:kern w:val="0"/>
          <w:sz w:val="24"/>
          <w:highlight w:val="none"/>
          <w:lang w:val="zh-CN"/>
        </w:rPr>
        <w:t xml:space="preserve">                        </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pPr>
        <w:snapToGrid w:val="0"/>
        <w:spacing w:line="360" w:lineRule="auto"/>
        <w:ind w:right="480" w:firstLine="559" w:firstLineChars="233"/>
        <w:jc w:val="left"/>
        <w:rPr>
          <w:rFonts w:ascii="宋体" w:hAnsi="宋体" w:cs="宋体"/>
          <w:b/>
          <w:color w:val="auto"/>
          <w:kern w:val="0"/>
          <w:sz w:val="32"/>
          <w:szCs w:val="32"/>
          <w:highlight w:val="none"/>
        </w:rPr>
      </w:pPr>
      <w:r>
        <w:rPr>
          <w:rFonts w:hint="eastAsia" w:cs="仿宋_GB2312" w:asciiTheme="minorEastAsia" w:hAnsiTheme="minorEastAsia" w:eastAsiaTheme="minorEastAsia"/>
          <w:color w:val="auto"/>
          <w:sz w:val="24"/>
          <w:highlight w:val="none"/>
        </w:rPr>
        <w:t>注：根据《</w:t>
      </w:r>
      <w:r>
        <w:rPr>
          <w:rFonts w:cs="仿宋_GB2312" w:asciiTheme="minorEastAsia" w:hAnsiTheme="minorEastAsia" w:eastAsiaTheme="minorEastAsia"/>
          <w:color w:val="auto"/>
          <w:sz w:val="24"/>
          <w:highlight w:val="none"/>
        </w:rPr>
        <w:t>关于规范政府采购供应商资格设定及资格审查的通知</w:t>
      </w:r>
      <w:r>
        <w:rPr>
          <w:rFonts w:hint="eastAsia" w:cs="仿宋_GB2312" w:asciiTheme="minorEastAsia" w:hAnsiTheme="minorEastAsia" w:eastAsiaTheme="minorEastAsia"/>
          <w:color w:val="auto"/>
          <w:sz w:val="24"/>
          <w:highlight w:val="none"/>
        </w:rPr>
        <w:t>》（</w:t>
      </w:r>
      <w:r>
        <w:rPr>
          <w:rFonts w:cs="仿宋_GB2312" w:asciiTheme="minorEastAsia" w:hAnsiTheme="minorEastAsia" w:eastAsiaTheme="minorEastAsia"/>
          <w:color w:val="auto"/>
          <w:sz w:val="24"/>
          <w:highlight w:val="none"/>
        </w:rPr>
        <w:t>浙财采监[2013]24号</w:t>
      </w:r>
      <w:r>
        <w:rPr>
          <w:rFonts w:hint="eastAsia" w:cs="仿宋_GB2312" w:asciiTheme="minorEastAsia" w:hAnsiTheme="minorEastAsia" w:eastAsiaTheme="minorEastAsia"/>
          <w:color w:val="auto"/>
          <w:sz w:val="24"/>
          <w:highlight w:val="none"/>
        </w:rPr>
        <w:t>）的相关规定，金融、保险、通讯等特定行业的全国性企业所设立的区域性分支机构，以及个体工商户、个人独资企业、合伙企业，参与政府采购活动，如果已经依法办理了工商、税务和社保登记手续，</w:t>
      </w:r>
      <w:r>
        <w:rPr>
          <w:rFonts w:hint="eastAsia" w:cs="仿宋_GB2312" w:asciiTheme="minorEastAsia" w:hAnsiTheme="minorEastAsia" w:eastAsiaTheme="minorEastAsia"/>
          <w:b/>
          <w:color w:val="auto"/>
          <w:sz w:val="24"/>
          <w:highlight w:val="none"/>
          <w:u w:val="single"/>
        </w:rPr>
        <w:t>除提供上述《符合参加政府采购活动应当具备的一般条件的承诺函》外，还需提供下列材料：总公司（总机构）的授权书或提供房产权证或其他有效财产证明材料，证明其具备实际承担责任的能力和法定的缔结合同能力，可以独立参加政府采购活动，由单位负责人签署相关文件材料。</w:t>
      </w:r>
    </w:p>
    <w:p>
      <w:pP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pPr>
        <w:keepNext w:val="0"/>
        <w:keepLines w:val="0"/>
        <w:pageBreakBefore w:val="0"/>
        <w:widowControl/>
        <w:kinsoku/>
        <w:wordWrap/>
        <w:overflowPunct/>
        <w:topLinePunct w:val="0"/>
        <w:autoSpaceDE/>
        <w:autoSpaceDN/>
        <w:bidi w:val="0"/>
        <w:adjustRightInd w:val="0"/>
        <w:snapToGrid w:val="0"/>
        <w:spacing w:line="360" w:lineRule="auto"/>
        <w:ind w:firstLine="643" w:firstLineChars="200"/>
        <w:jc w:val="center"/>
        <w:textAlignment w:val="auto"/>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二、联合协议（如果有）</w:t>
      </w:r>
    </w:p>
    <w:p>
      <w:pPr>
        <w:widowControl/>
        <w:spacing w:line="360" w:lineRule="auto"/>
        <w:ind w:firstLine="482" w:firstLineChars="200"/>
        <w:jc w:val="left"/>
        <w:rPr>
          <w:rFonts w:ascii="宋体" w:hAnsi="宋体" w:cs="宋体"/>
          <w:b/>
          <w:color w:val="auto"/>
          <w:kern w:val="0"/>
          <w:sz w:val="32"/>
          <w:szCs w:val="32"/>
          <w:highlight w:val="none"/>
        </w:rPr>
      </w:pPr>
      <w:r>
        <w:rPr>
          <w:rFonts w:hint="eastAsia" w:ascii="宋体" w:hAnsi="宋体" w:cs="宋体"/>
          <w:b/>
          <w:color w:val="auto"/>
          <w:sz w:val="24"/>
          <w:highlight w:val="none"/>
        </w:rPr>
        <w:t>[以联合体形式投标的，提供联合协议（附件5）；本项目不接受联合体投标或者投标人不以联合体形式投标的，则不需要提供]</w:t>
      </w:r>
    </w:p>
    <w:p>
      <w:pP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三、落实政府采购政策需满足的资格要求</w:t>
      </w:r>
    </w:p>
    <w:p>
      <w:pPr>
        <w:spacing w:line="360" w:lineRule="auto"/>
        <w:rPr>
          <w:rFonts w:ascii="宋体" w:hAnsi="宋体" w:cs="宋体"/>
          <w:color w:val="auto"/>
          <w:sz w:val="24"/>
          <w:highlight w:val="none"/>
        </w:rPr>
      </w:pPr>
      <w:r>
        <w:rPr>
          <w:rFonts w:hint="eastAsia" w:ascii="宋体" w:hAnsi="宋体" w:cs="宋体"/>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A</w:t>
      </w:r>
      <w:r>
        <w:rPr>
          <w:rFonts w:hint="eastAsia" w:ascii="宋体" w:hAnsi="宋体" w:cs="宋体"/>
          <w:color w:val="auto"/>
          <w:sz w:val="24"/>
          <w:highlight w:val="none"/>
        </w:rPr>
        <w:t>.专门面向中小企业，货物全部由符合政策要求的中小企业（或小微企业）制造的，提供相应的中小企业声明函（附件</w:t>
      </w:r>
      <w:r>
        <w:rPr>
          <w:rFonts w:ascii="宋体" w:hAnsi="宋体" w:cs="宋体"/>
          <w:color w:val="auto"/>
          <w:sz w:val="24"/>
          <w:highlight w:val="none"/>
        </w:rPr>
        <w:t>7</w:t>
      </w:r>
      <w:r>
        <w:rPr>
          <w:rFonts w:hint="eastAsia" w:ascii="宋体" w:hAnsi="宋体" w:cs="宋体"/>
          <w:color w:val="auto"/>
          <w:sz w:val="24"/>
          <w:highlight w:val="none"/>
        </w:rPr>
        <w:t xml:space="preserve">）。 </w:t>
      </w:r>
    </w:p>
    <w:p>
      <w:pPr>
        <w:widowControl/>
        <w:spacing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B.</w:t>
      </w:r>
      <w:r>
        <w:rPr>
          <w:rFonts w:hint="eastAsia" w:ascii="宋体" w:hAnsi="宋体" w:cs="宋体"/>
          <w:color w:val="auto"/>
          <w:sz w:val="24"/>
          <w:highlight w:val="none"/>
        </w:rPr>
        <w:t>要求以联合体形式参加的，提供联合协议（附件</w:t>
      </w:r>
      <w:r>
        <w:rPr>
          <w:rFonts w:ascii="宋体" w:hAnsi="宋体" w:cs="宋体"/>
          <w:color w:val="auto"/>
          <w:sz w:val="24"/>
          <w:highlight w:val="none"/>
        </w:rPr>
        <w:t>5</w:t>
      </w:r>
      <w:r>
        <w:rPr>
          <w:rFonts w:hint="eastAsia" w:ascii="宋体" w:hAnsi="宋体" w:cs="宋体"/>
          <w:color w:val="auto"/>
          <w:sz w:val="24"/>
          <w:highlight w:val="none"/>
        </w:rPr>
        <w:t>）和中小企业声明函（附件</w:t>
      </w:r>
      <w:r>
        <w:rPr>
          <w:rFonts w:ascii="宋体" w:hAnsi="宋体" w:cs="宋体"/>
          <w:color w:val="auto"/>
          <w:sz w:val="24"/>
          <w:highlight w:val="none"/>
        </w:rPr>
        <w:t>7</w:t>
      </w:r>
      <w:r>
        <w:rPr>
          <w:rFonts w:hint="eastAsia" w:ascii="宋体" w:hAnsi="宋体" w:cs="宋体"/>
          <w:color w:val="auto"/>
          <w:sz w:val="24"/>
          <w:highlight w:val="none"/>
        </w:rPr>
        <w:t>），联合协议中中小企业合同金额应当达到招标公告载明的比例；如果供应商本身提供所有标的均由中小企业制造的，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视同符合了资格条件，无需再与其他中小企业组成联合体参加政府采购活动，无需提供联合协议。</w:t>
      </w:r>
      <w:r>
        <w:rPr>
          <w:rFonts w:hint="eastAsia" w:ascii="宋体" w:hAnsi="宋体" w:cs="宋体"/>
          <w:b/>
          <w:color w:val="auto"/>
          <w:sz w:val="24"/>
          <w:highlight w:val="none"/>
        </w:rPr>
        <w:t xml:space="preserve">    </w:t>
      </w:r>
    </w:p>
    <w:p>
      <w:pPr>
        <w:spacing w:line="360" w:lineRule="auto"/>
        <w:ind w:firstLine="482" w:firstLineChars="200"/>
        <w:rPr>
          <w:rFonts w:ascii="宋体" w:hAnsi="宋体" w:cs="宋体"/>
          <w:b/>
          <w:color w:val="auto"/>
          <w:kern w:val="0"/>
          <w:sz w:val="32"/>
          <w:szCs w:val="32"/>
          <w:highlight w:val="none"/>
        </w:rPr>
      </w:pPr>
      <w:r>
        <w:rPr>
          <w:rFonts w:hint="eastAsia" w:ascii="宋体" w:hAnsi="宋体" w:cs="宋体"/>
          <w:b/>
          <w:color w:val="auto"/>
          <w:sz w:val="24"/>
          <w:highlight w:val="none"/>
        </w:rPr>
        <w:t>C、</w:t>
      </w:r>
      <w:r>
        <w:rPr>
          <w:rFonts w:hint="eastAsia" w:ascii="宋体" w:hAnsi="宋体" w:cs="宋体"/>
          <w:color w:val="auto"/>
          <w:sz w:val="24"/>
          <w:highlight w:val="none"/>
        </w:rPr>
        <w:t>要求合同分包的，提供分包意向协议（附件6）和中小企业声明函（附件</w:t>
      </w:r>
      <w:r>
        <w:rPr>
          <w:rFonts w:ascii="宋体" w:hAnsi="宋体" w:cs="宋体"/>
          <w:color w:val="auto"/>
          <w:sz w:val="24"/>
          <w:highlight w:val="none"/>
        </w:rPr>
        <w:t>7</w:t>
      </w:r>
      <w:r>
        <w:rPr>
          <w:rFonts w:hint="eastAsia" w:ascii="宋体" w:hAnsi="宋体" w:cs="宋体"/>
          <w:color w:val="auto"/>
          <w:sz w:val="24"/>
          <w:highlight w:val="none"/>
        </w:rPr>
        <w:t>），分包意向协议中中小企业合同金额应当达到招标公告载明的比例；如果供应商本身提供所有标的均由中小企业制造的，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视同符合了资格条件，无需再向中小企业分包，无需提供分包意向协议。</w:t>
      </w:r>
    </w:p>
    <w:p>
      <w:pP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pPr>
        <w:keepNext w:val="0"/>
        <w:keepLines w:val="0"/>
        <w:pageBreakBefore w:val="0"/>
        <w:widowControl/>
        <w:kinsoku/>
        <w:wordWrap/>
        <w:overflowPunct/>
        <w:topLinePunct w:val="0"/>
        <w:autoSpaceDE/>
        <w:autoSpaceDN/>
        <w:bidi w:val="0"/>
        <w:adjustRightInd w:val="0"/>
        <w:snapToGrid w:val="0"/>
        <w:spacing w:line="360" w:lineRule="auto"/>
        <w:ind w:left="0"/>
        <w:jc w:val="center"/>
        <w:textAlignment w:val="auto"/>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四、本项目的特定资格要求</w:t>
      </w: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（根据招标公告本项目的特定资格要求提供相应的材料；未要求的，无需提供）</w:t>
      </w:r>
    </w:p>
    <w:p>
      <w:pPr>
        <w:rPr>
          <w:rFonts w:ascii="宋体" w:hAnsi="宋体" w:cs="宋体"/>
          <w:color w:val="auto"/>
          <w:highlight w:val="none"/>
        </w:rPr>
      </w:pPr>
    </w:p>
    <w:p>
      <w:pPr>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br w:type="page"/>
      </w:r>
    </w:p>
    <w:p>
      <w:pPr>
        <w:spacing w:line="360" w:lineRule="auto"/>
        <w:ind w:right="30" w:rightChars="0"/>
        <w:jc w:val="center"/>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商务技术文件部分</w:t>
      </w:r>
    </w:p>
    <w:p>
      <w:pPr>
        <w:spacing w:line="360" w:lineRule="auto"/>
        <w:ind w:right="420"/>
        <w:jc w:val="center"/>
        <w:rPr>
          <w:rFonts w:hint="eastAsia" w:ascii="宋体" w:hAnsi="宋体" w:eastAsia="宋体" w:cs="宋体"/>
          <w:b/>
          <w:color w:val="auto"/>
          <w:kern w:val="0"/>
          <w:sz w:val="36"/>
          <w:szCs w:val="36"/>
          <w:highlight w:val="none"/>
        </w:rPr>
      </w:pPr>
    </w:p>
    <w:p>
      <w:pPr>
        <w:spacing w:line="360" w:lineRule="auto"/>
        <w:jc w:val="center"/>
        <w:outlineLvl w:val="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目录</w:t>
      </w:r>
    </w:p>
    <w:p>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（1）投标函</w:t>
      </w:r>
      <w:r>
        <w:rPr>
          <w:rFonts w:hint="eastAsia" w:ascii="宋体" w:hAnsi="宋体" w:cs="宋体"/>
          <w:color w:val="auto"/>
          <w:highlight w:val="none"/>
        </w:rPr>
        <w:t>…………………………………………………………………………………（页码）</w:t>
      </w:r>
      <w:r>
        <w:rPr>
          <w:rFonts w:hint="eastAsia" w:ascii="宋体" w:hAnsi="宋体" w:cs="宋体"/>
          <w:color w:val="auto"/>
          <w:sz w:val="24"/>
          <w:highlight w:val="none"/>
        </w:rPr>
        <w:t>（2）授权委托书或法定代表人（单位负责人、自然人本人）身份证明</w:t>
      </w:r>
      <w:r>
        <w:rPr>
          <w:rFonts w:hint="eastAsia" w:ascii="宋体" w:hAnsi="宋体" w:cs="宋体"/>
          <w:color w:val="auto"/>
          <w:highlight w:val="none"/>
        </w:rPr>
        <w:t>………（页码）</w:t>
      </w:r>
    </w:p>
    <w:p>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color w:val="auto"/>
          <w:highlight w:val="none"/>
        </w:rPr>
        <w:t>…………………………………………………………………………（页码）</w:t>
      </w:r>
    </w:p>
    <w:p>
      <w:pPr>
        <w:snapToGrid w:val="0"/>
        <w:spacing w:line="360" w:lineRule="auto"/>
        <w:ind w:firstLine="480" w:firstLineChars="200"/>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）符合性审查资料</w:t>
      </w:r>
      <w:r>
        <w:rPr>
          <w:rFonts w:hint="eastAsia" w:ascii="宋体" w:hAnsi="宋体" w:cs="宋体"/>
          <w:color w:val="auto"/>
          <w:highlight w:val="none"/>
        </w:rPr>
        <w:t>………………………………………………………………………（页码）</w:t>
      </w:r>
    </w:p>
    <w:p>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6</w:t>
      </w:r>
      <w:r>
        <w:rPr>
          <w:rFonts w:hint="eastAsia" w:ascii="宋体" w:hAnsi="宋体" w:cs="宋体"/>
          <w:color w:val="auto"/>
          <w:sz w:val="24"/>
          <w:highlight w:val="none"/>
        </w:rPr>
        <w:t>）投标标的清单</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7</w:t>
      </w:r>
      <w:r>
        <w:rPr>
          <w:rFonts w:hint="eastAsia" w:ascii="宋体" w:hAnsi="宋体" w:cs="宋体"/>
          <w:color w:val="auto"/>
          <w:sz w:val="24"/>
          <w:highlight w:val="none"/>
        </w:rPr>
        <w:t>）商务技术偏离表</w:t>
      </w:r>
      <w:r>
        <w:rPr>
          <w:rFonts w:hint="eastAsia" w:ascii="宋体" w:hAnsi="宋体" w:cs="宋体"/>
          <w:color w:val="auto"/>
          <w:highlight w:val="none"/>
        </w:rPr>
        <w:t>………………………………………………………………………（页码）</w:t>
      </w:r>
    </w:p>
    <w:p>
      <w:pPr>
        <w:snapToGrid w:val="0"/>
        <w:spacing w:line="360" w:lineRule="auto"/>
        <w:ind w:left="479" w:leftChars="228"/>
        <w:rPr>
          <w:rFonts w:ascii="宋体" w:hAnsi="宋体" w:cs="宋体"/>
          <w:b/>
          <w:color w:val="auto"/>
          <w:kern w:val="0"/>
          <w:sz w:val="32"/>
          <w:szCs w:val="32"/>
          <w:highlight w:val="none"/>
        </w:rPr>
      </w:pP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r>
        <w:rPr>
          <w:rFonts w:hint="eastAsia" w:ascii="宋体" w:hAnsi="宋体" w:cs="宋体"/>
          <w:color w:val="auto"/>
          <w:highlight w:val="none"/>
        </w:rPr>
        <w:t>…………………………………………………（页码）</w:t>
      </w:r>
    </w:p>
    <w:p>
      <w:pP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pPr>
        <w:snapToGrid w:val="0"/>
        <w:spacing w:line="360" w:lineRule="auto"/>
        <w:jc w:val="center"/>
        <w:outlineLvl w:val="0"/>
        <w:rPr>
          <w:rFonts w:ascii="宋体" w:hAnsi="宋体" w:cs="宋体"/>
          <w:b/>
          <w:color w:val="auto"/>
          <w:sz w:val="32"/>
          <w:szCs w:val="32"/>
          <w:highlight w:val="none"/>
        </w:rPr>
      </w:pPr>
      <w:r>
        <w:rPr>
          <w:rFonts w:hint="eastAsia" w:ascii="宋体" w:hAnsi="宋体" w:cs="宋体"/>
          <w:b/>
          <w:color w:val="auto"/>
          <w:kern w:val="0"/>
          <w:sz w:val="32"/>
          <w:szCs w:val="32"/>
          <w:highlight w:val="none"/>
        </w:rPr>
        <w:t>一、投标</w:t>
      </w:r>
      <w:r>
        <w:rPr>
          <w:rFonts w:hint="eastAsia" w:ascii="宋体" w:hAnsi="宋体" w:cs="宋体"/>
          <w:b/>
          <w:color w:val="auto"/>
          <w:sz w:val="32"/>
          <w:szCs w:val="32"/>
          <w:highlight w:val="none"/>
        </w:rPr>
        <w:t>函</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（采购人）、（采购代理机构）：</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我方参加你方组织的（项目名称）【招标编号：（采购编号）】招标的有关活动，并对此项目进行投标。为此：</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1、我方承诺投标有效期从提交投标文件的截止之日起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天（不少于90天）</w:t>
      </w:r>
      <w:r>
        <w:rPr>
          <w:rFonts w:hint="eastAsia" w:ascii="宋体" w:hAnsi="宋体" w:cs="宋体"/>
          <w:color w:val="auto"/>
          <w:highlight w:val="none"/>
        </w:rPr>
        <w:t>，</w:t>
      </w:r>
      <w:r>
        <w:rPr>
          <w:rFonts w:hint="eastAsia" w:ascii="宋体" w:hAnsi="宋体" w:cs="宋体"/>
          <w:color w:val="auto"/>
          <w:sz w:val="24"/>
          <w:highlight w:val="none"/>
        </w:rPr>
        <w:t>本投标文件在投标有效期满之前均具有约束力。</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2、我方的投标文件包括以下内容：</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2.1资格文件：</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2.1.1承诺函；</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2.1.2</w:t>
      </w:r>
      <w:r>
        <w:rPr>
          <w:rFonts w:hint="eastAsia" w:ascii="宋体" w:hAnsi="宋体" w:cs="宋体"/>
          <w:snapToGrid w:val="0"/>
          <w:color w:val="auto"/>
          <w:kern w:val="28"/>
          <w:sz w:val="24"/>
          <w:szCs w:val="20"/>
          <w:highlight w:val="none"/>
        </w:rPr>
        <w:t>联合协议（如果有)；</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ascii="宋体" w:hAnsi="宋体" w:cs="宋体"/>
          <w:color w:val="auto"/>
          <w:sz w:val="24"/>
          <w:highlight w:val="none"/>
        </w:rPr>
        <w:t>.1.3</w:t>
      </w:r>
      <w:r>
        <w:rPr>
          <w:rFonts w:hint="eastAsia" w:ascii="宋体" w:hAnsi="宋体" w:cs="宋体"/>
          <w:color w:val="auto"/>
          <w:sz w:val="24"/>
          <w:highlight w:val="none"/>
        </w:rPr>
        <w:t>落实政府采购政策需满足的资格要求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w:t>
      </w: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pPr>
        <w:snapToGrid w:val="0"/>
        <w:spacing w:line="360" w:lineRule="auto"/>
        <w:ind w:left="210" w:leftChars="1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2.2.1投标函；</w:t>
      </w:r>
      <w:r>
        <w:rPr>
          <w:rFonts w:hint="eastAsia" w:ascii="宋体" w:hAnsi="宋体" w:cs="宋体"/>
          <w:color w:val="auto"/>
          <w:sz w:val="24"/>
          <w:highlight w:val="none"/>
          <w:lang w:val="zh-CN"/>
        </w:rPr>
        <w:t xml:space="preserve"> </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2.2.2授权委托书或法定代表人（单位负责人）身份证明；</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4</w:t>
      </w:r>
      <w:r>
        <w:rPr>
          <w:rFonts w:hint="eastAsia" w:ascii="宋体" w:hAnsi="宋体" w:cs="宋体"/>
          <w:color w:val="auto"/>
          <w:sz w:val="24"/>
          <w:highlight w:val="none"/>
        </w:rPr>
        <w:t>符合性审查资料；</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6</w:t>
      </w:r>
      <w:r>
        <w:rPr>
          <w:rFonts w:hint="eastAsia" w:ascii="宋体" w:hAnsi="宋体" w:cs="宋体"/>
          <w:color w:val="auto"/>
          <w:sz w:val="24"/>
          <w:highlight w:val="none"/>
        </w:rPr>
        <w:t>投标标的清单；</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7</w:t>
      </w:r>
      <w:r>
        <w:rPr>
          <w:rFonts w:hint="eastAsia" w:ascii="宋体" w:hAnsi="宋体" w:cs="宋体"/>
          <w:color w:val="auto"/>
          <w:sz w:val="24"/>
          <w:highlight w:val="none"/>
        </w:rPr>
        <w:t>商务技术偏离表；</w:t>
      </w:r>
    </w:p>
    <w:p>
      <w:pPr>
        <w:snapToGrid w:val="0"/>
        <w:spacing w:line="360" w:lineRule="auto"/>
        <w:ind w:left="420" w:leftChars="2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3报价文件</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2.3.1开标一览表（报价表）；</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2.3.2中小企业声明函（如果有）。</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3、我方承诺除商务技术偏离表列出的偏离外，我方响应招标文件的全部要求。</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4、如我方中标，我方承诺：</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4.1在收到中标通知书后，在中标通知书规定的期限内与你方签订合同； </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4.2在签订合同时不向你方提出附加条件； </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4.3按照招标文件要求提交履约保证金； </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4.4在合同约定的期限内完成合同规定的全部义务。 </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5、其他补充说明: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pacing w:line="360" w:lineRule="auto"/>
        <w:ind w:firstLine="3600" w:firstLineChars="1500"/>
        <w:rPr>
          <w:rFonts w:ascii="宋体" w:hAnsi="宋体" w:cs="宋体"/>
          <w:color w:val="auto"/>
          <w:sz w:val="24"/>
          <w:highlight w:val="none"/>
        </w:rPr>
      </w:pPr>
      <w:r>
        <w:rPr>
          <w:rFonts w:hint="eastAsia" w:ascii="宋体" w:hAnsi="宋体" w:cs="宋体"/>
          <w:color w:val="auto"/>
          <w:sz w:val="24"/>
          <w:highlight w:val="none"/>
        </w:rPr>
        <w:t xml:space="preserve">投标人名称（电子签名）：                          </w:t>
      </w:r>
    </w:p>
    <w:p>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 xml:space="preserve">     日期：  年   月   日</w:t>
      </w:r>
    </w:p>
    <w:p>
      <w:pPr>
        <w:snapToGrid w:val="0"/>
        <w:spacing w:line="360" w:lineRule="auto"/>
        <w:ind w:left="420" w:leftChars="200" w:firstLine="4200" w:firstLineChars="1750"/>
        <w:rPr>
          <w:rFonts w:ascii="宋体" w:hAnsi="宋体" w:cs="宋体"/>
          <w:color w:val="auto"/>
          <w:kern w:val="0"/>
          <w:sz w:val="24"/>
          <w:highlight w:val="none"/>
          <w:u w:val="single"/>
        </w:rPr>
      </w:pPr>
    </w:p>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rPr>
          <w:rFonts w:ascii="宋体" w:hAnsi="宋体" w:cs="宋体"/>
          <w:color w:val="auto"/>
          <w:sz w:val="24"/>
          <w:highlight w:val="none"/>
        </w:rPr>
      </w:pPr>
      <w:r>
        <w:rPr>
          <w:rFonts w:hint="eastAsia" w:ascii="宋体" w:hAnsi="宋体" w:cs="宋体"/>
          <w:color w:val="auto"/>
          <w:sz w:val="24"/>
          <w:highlight w:val="none"/>
        </w:rPr>
        <w:br w:type="page"/>
      </w:r>
    </w:p>
    <w:p>
      <w:pPr>
        <w:keepNext w:val="0"/>
        <w:keepLines w:val="0"/>
        <w:pageBreakBefore w:val="0"/>
        <w:widowControl w:val="0"/>
        <w:kinsoku/>
        <w:wordWrap/>
        <w:overflowPunct/>
        <w:topLinePunct w:val="0"/>
        <w:autoSpaceDE/>
        <w:autoSpaceDN/>
        <w:bidi w:val="0"/>
        <w:adjustRightInd w:val="0"/>
        <w:snapToGrid w:val="0"/>
        <w:spacing w:line="360" w:lineRule="auto"/>
        <w:ind w:right="0"/>
        <w:textAlignment w:val="auto"/>
        <w:rPr>
          <w:rFonts w:ascii="宋体" w:hAnsi="宋体" w:cs="宋体"/>
          <w:b/>
          <w:color w:val="auto"/>
          <w:kern w:val="0"/>
          <w:sz w:val="32"/>
          <w:szCs w:val="32"/>
          <w:highlight w:val="none"/>
          <w:lang w:val="zh-CN"/>
        </w:rPr>
      </w:pPr>
      <w:r>
        <w:rPr>
          <w:rFonts w:hint="eastAsia" w:ascii="宋体" w:hAnsi="宋体" w:cs="宋体"/>
          <w:b/>
          <w:color w:val="auto"/>
          <w:kern w:val="0"/>
          <w:sz w:val="32"/>
          <w:szCs w:val="32"/>
          <w:highlight w:val="none"/>
          <w:lang w:val="zh-CN"/>
        </w:rPr>
        <w:t>二、授权委托书或法定代表人（单位负责人、自然人本人）身份证明</w:t>
      </w:r>
    </w:p>
    <w:p>
      <w:pPr>
        <w:snapToGrid w:val="0"/>
        <w:spacing w:line="360" w:lineRule="auto"/>
        <w:rPr>
          <w:rFonts w:ascii="宋体" w:hAnsi="宋体" w:cs="宋体"/>
          <w:color w:val="auto"/>
          <w:sz w:val="24"/>
          <w:highlight w:val="none"/>
        </w:rPr>
      </w:pPr>
      <w:r>
        <w:rPr>
          <w:rFonts w:hint="eastAsia" w:ascii="宋体" w:hAnsi="宋体" w:cs="宋体"/>
          <w:color w:val="auto"/>
          <w:kern w:val="0"/>
          <w:sz w:val="24"/>
          <w:highlight w:val="none"/>
          <w:lang w:val="zh-CN"/>
        </w:rPr>
        <w:t>注：▲供应商委派不在本单位缴纳社保的人员作为授权代表（代理人）的，应当在投标（响应）文件中，说明具体原因、授权代表缴纳社保的单位，并附列该授权代表缴纳社保清单。</w:t>
      </w:r>
    </w:p>
    <w:p>
      <w:pPr>
        <w:rPr>
          <w:rFonts w:hint="eastAsia" w:ascii="宋体" w:hAnsi="宋体" w:cs="宋体"/>
          <w:b/>
          <w:color w:val="auto"/>
          <w:kern w:val="0"/>
          <w:sz w:val="32"/>
          <w:szCs w:val="32"/>
          <w:highlight w:val="none"/>
          <w:lang w:val="zh-CN"/>
        </w:rPr>
      </w:pPr>
      <w:r>
        <w:rPr>
          <w:rFonts w:hint="eastAsia" w:ascii="宋体" w:hAnsi="宋体" w:cs="宋体"/>
          <w:b/>
          <w:color w:val="auto"/>
          <w:kern w:val="0"/>
          <w:sz w:val="32"/>
          <w:szCs w:val="32"/>
          <w:highlight w:val="none"/>
          <w:lang w:val="zh-CN"/>
        </w:rPr>
        <w:br w:type="page"/>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ascii="宋体" w:hAnsi="宋体" w:cs="宋体"/>
          <w:color w:val="auto"/>
          <w:highlight w:val="none"/>
        </w:rPr>
      </w:pPr>
      <w:r>
        <w:rPr>
          <w:rFonts w:hint="eastAsia" w:ascii="宋体" w:hAnsi="宋体" w:cs="宋体"/>
          <w:b/>
          <w:color w:val="auto"/>
          <w:kern w:val="0"/>
          <w:sz w:val="32"/>
          <w:szCs w:val="32"/>
          <w:highlight w:val="none"/>
          <w:lang w:val="zh-CN"/>
        </w:rPr>
        <w:t>授权委托书（适用于非联合体投标）</w:t>
      </w:r>
    </w:p>
    <w:p>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政府采购投标的一切事项，其法律后果由我方承担。</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投标人名称(电子签名)：</w:t>
      </w:r>
    </w:p>
    <w:p>
      <w:pPr>
        <w:snapToGrid w:val="0"/>
        <w:spacing w:line="360" w:lineRule="auto"/>
        <w:rPr>
          <w:rFonts w:ascii="宋体" w:hAnsi="宋体" w:cs="宋体"/>
          <w:color w:val="auto"/>
          <w:sz w:val="24"/>
          <w:highlight w:val="none"/>
        </w:rPr>
      </w:pPr>
      <w:r>
        <w:rPr>
          <w:rFonts w:hint="eastAsia" w:ascii="宋体" w:hAnsi="宋体" w:cs="宋体"/>
          <w:color w:val="auto"/>
          <w:kern w:val="0"/>
          <w:sz w:val="24"/>
          <w:highlight w:val="none"/>
          <w:lang w:val="zh-CN"/>
        </w:rPr>
        <w:t xml:space="preserve">                                                 签发日期：  年  月   日</w:t>
      </w:r>
    </w:p>
    <w:p>
      <w:pPr>
        <w:rPr>
          <w:rFonts w:hint="eastAsia" w:ascii="宋体" w:hAnsi="宋体" w:cs="宋体"/>
          <w:b/>
          <w:color w:val="auto"/>
          <w:kern w:val="0"/>
          <w:sz w:val="32"/>
          <w:szCs w:val="32"/>
          <w:highlight w:val="none"/>
          <w:lang w:val="zh-CN"/>
        </w:rPr>
      </w:pPr>
      <w:r>
        <w:rPr>
          <w:rFonts w:hint="eastAsia" w:ascii="宋体" w:hAnsi="宋体" w:cs="宋体"/>
          <w:b/>
          <w:color w:val="auto"/>
          <w:kern w:val="0"/>
          <w:sz w:val="32"/>
          <w:szCs w:val="32"/>
          <w:highlight w:val="none"/>
          <w:lang w:val="zh-CN"/>
        </w:rPr>
        <w:br w:type="page"/>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宋体" w:hAnsi="宋体" w:cs="宋体"/>
          <w:b/>
          <w:color w:val="auto"/>
          <w:kern w:val="0"/>
          <w:sz w:val="32"/>
          <w:szCs w:val="32"/>
          <w:highlight w:val="none"/>
        </w:rPr>
      </w:pPr>
      <w:r>
        <w:rPr>
          <w:rFonts w:hint="eastAsia" w:ascii="宋体" w:hAnsi="宋体" w:cs="宋体"/>
          <w:b/>
          <w:color w:val="auto"/>
          <w:kern w:val="0"/>
          <w:sz w:val="32"/>
          <w:szCs w:val="32"/>
          <w:highlight w:val="none"/>
          <w:lang w:val="zh-CN"/>
        </w:rPr>
        <w:t>授权委托书（适用于联合体投标）</w:t>
      </w:r>
    </w:p>
    <w:p>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政府采购投标的一切事项，其法律后果由我方承担。</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pPr>
        <w:snapToGrid w:val="0"/>
        <w:spacing w:line="360" w:lineRule="auto"/>
        <w:rPr>
          <w:rFonts w:ascii="宋体" w:hAnsi="宋体" w:cs="宋体"/>
          <w:b/>
          <w:color w:val="auto"/>
          <w:kern w:val="0"/>
          <w:sz w:val="32"/>
          <w:szCs w:val="32"/>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pPr>
        <w:rPr>
          <w:rFonts w:ascii="宋体" w:hAnsi="宋体" w:cs="宋体"/>
          <w:color w:val="auto"/>
          <w:highlight w:val="none"/>
        </w:rPr>
      </w:pPr>
    </w:p>
    <w:p>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pPr>
        <w:rPr>
          <w:rFonts w:hint="eastAsia" w:ascii="宋体" w:hAnsi="宋体" w:cs="宋体"/>
          <w:b/>
          <w:color w:val="auto"/>
          <w:kern w:val="0"/>
          <w:sz w:val="32"/>
          <w:szCs w:val="32"/>
          <w:highlight w:val="none"/>
          <w:lang w:val="zh-CN"/>
        </w:rPr>
      </w:pPr>
      <w:r>
        <w:rPr>
          <w:rFonts w:hint="eastAsia" w:ascii="宋体" w:hAnsi="宋体" w:cs="宋体"/>
          <w:b/>
          <w:color w:val="auto"/>
          <w:kern w:val="0"/>
          <w:sz w:val="32"/>
          <w:szCs w:val="32"/>
          <w:highlight w:val="none"/>
          <w:lang w:val="zh-CN"/>
        </w:rPr>
        <w:br w:type="page"/>
      </w:r>
    </w:p>
    <w:p>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宋体" w:hAnsi="宋体" w:cs="宋体"/>
          <w:b/>
          <w:color w:val="auto"/>
          <w:sz w:val="24"/>
          <w:highlight w:val="none"/>
        </w:rPr>
      </w:pPr>
      <w:r>
        <w:rPr>
          <w:rFonts w:hint="eastAsia" w:ascii="宋体" w:hAnsi="宋体" w:cs="宋体"/>
          <w:b/>
          <w:color w:val="auto"/>
          <w:kern w:val="0"/>
          <w:sz w:val="32"/>
          <w:szCs w:val="32"/>
          <w:highlight w:val="none"/>
          <w:lang w:val="zh-CN"/>
        </w:rPr>
        <w:t>法定代表人、单位负责人或自然人本人</w:t>
      </w:r>
      <w:r>
        <w:rPr>
          <w:rFonts w:hint="eastAsia" w:ascii="宋体" w:hAnsi="宋体" w:cs="宋体"/>
          <w:b/>
          <w:color w:val="auto"/>
          <w:sz w:val="32"/>
          <w:szCs w:val="32"/>
          <w:highlight w:val="none"/>
        </w:rPr>
        <w:t>的身份证明</w:t>
      </w:r>
      <w:r>
        <w:rPr>
          <w:rFonts w:hint="eastAsia" w:ascii="宋体" w:hAnsi="宋体" w:cs="宋体"/>
          <w:b/>
          <w:color w:val="auto"/>
          <w:sz w:val="30"/>
          <w:szCs w:val="30"/>
          <w:highlight w:val="none"/>
        </w:rPr>
        <w:t>（适用于法定代表人、单位负责人或者自然人本人代表投标人参加投标）</w:t>
      </w:r>
    </w:p>
    <w:p>
      <w:pPr>
        <w:pStyle w:val="146"/>
        <w:spacing w:line="360" w:lineRule="auto"/>
        <w:rPr>
          <w:rFonts w:hAnsi="宋体" w:cs="宋体"/>
          <w:bCs/>
          <w:color w:val="auto"/>
          <w:sz w:val="24"/>
          <w:highlight w:val="none"/>
        </w:rPr>
      </w:pPr>
      <w:r>
        <w:rPr>
          <w:rFonts w:hint="eastAsia" w:hAnsi="宋体" w:cs="宋体"/>
          <w:bCs/>
          <w:color w:val="auto"/>
          <w:sz w:val="24"/>
          <w:highlight w:val="none"/>
        </w:rPr>
        <w:t>身份证件扫描件：</w:t>
      </w:r>
    </w:p>
    <w:tbl>
      <w:tblPr>
        <w:tblStyle w:val="62"/>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12" w:hRule="atLeast"/>
          <w:jc w:val="center"/>
        </w:trPr>
        <w:tc>
          <w:tcPr>
            <w:tcW w:w="9207" w:type="dxa"/>
          </w:tcPr>
          <w:p>
            <w:pPr>
              <w:pStyle w:val="146"/>
              <w:adjustRightInd w:val="0"/>
              <w:spacing w:line="360" w:lineRule="auto"/>
              <w:rPr>
                <w:rFonts w:hAnsi="宋体" w:cs="宋体"/>
                <w:bCs/>
                <w:color w:val="auto"/>
                <w:sz w:val="24"/>
                <w:highlight w:val="none"/>
              </w:rPr>
            </w:pPr>
            <w:r>
              <w:rPr>
                <w:rFonts w:hint="eastAsia" w:hAnsi="宋体" w:cs="宋体"/>
                <w:bCs/>
                <w:color w:val="auto"/>
                <w:sz w:val="24"/>
                <w:highlight w:val="none"/>
              </w:rPr>
              <w:t>正面：                                 反面：</w:t>
            </w:r>
          </w:p>
          <w:p>
            <w:pPr>
              <w:pStyle w:val="146"/>
              <w:adjustRightInd w:val="0"/>
              <w:spacing w:line="360" w:lineRule="auto"/>
              <w:rPr>
                <w:rFonts w:hAnsi="宋体" w:cs="宋体"/>
                <w:bCs/>
                <w:color w:val="auto"/>
                <w:sz w:val="24"/>
                <w:highlight w:val="none"/>
              </w:rPr>
            </w:pPr>
          </w:p>
        </w:tc>
      </w:tr>
    </w:tbl>
    <w:p>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             </w:t>
      </w:r>
    </w:p>
    <w:p>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pP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三、分包意向协议（如果有）</w:t>
      </w:r>
    </w:p>
    <w:p>
      <w:pPr>
        <w:widowControl/>
        <w:spacing w:line="360" w:lineRule="auto"/>
        <w:ind w:firstLine="120" w:firstLineChars="50"/>
        <w:jc w:val="left"/>
        <w:rPr>
          <w:rFonts w:ascii="宋体" w:hAnsi="宋体" w:cs="宋体"/>
          <w:color w:val="auto"/>
          <w:sz w:val="24"/>
          <w:highlight w:val="none"/>
        </w:rPr>
      </w:pPr>
      <w:bookmarkStart w:id="544" w:name="_Hlk101169080"/>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中标后以分包方式履行合同的，提供分包意向协议(附件6</w:t>
      </w:r>
      <w:r>
        <w:rPr>
          <w:rFonts w:ascii="宋体" w:hAnsi="宋体" w:cs="宋体"/>
          <w:b/>
          <w:color w:val="auto"/>
          <w:sz w:val="24"/>
          <w:highlight w:val="none"/>
        </w:rPr>
        <w:t>)</w:t>
      </w:r>
      <w:r>
        <w:rPr>
          <w:rFonts w:hint="eastAsia" w:ascii="宋体" w:hAnsi="宋体" w:cs="宋体"/>
          <w:b/>
          <w:color w:val="auto"/>
          <w:sz w:val="24"/>
          <w:highlight w:val="none"/>
        </w:rPr>
        <w:t>；采购人不同意分包或者投标人中标后不以分包方式履行合同的，则不需要提供。</w:t>
      </w:r>
      <w:r>
        <w:rPr>
          <w:rFonts w:hint="eastAsia" w:ascii="宋体" w:hAnsi="宋体" w:cs="宋体"/>
          <w:color w:val="auto"/>
          <w:sz w:val="24"/>
          <w:highlight w:val="none"/>
        </w:rPr>
        <w:t>]</w:t>
      </w:r>
    </w:p>
    <w:bookmarkEnd w:id="544"/>
    <w:p>
      <w:pP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四、符合性审查资料</w:t>
      </w: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4991" w:type="dxa"/>
            <w:vAlign w:val="center"/>
          </w:tcPr>
          <w:p>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实质性要求</w:t>
            </w:r>
          </w:p>
        </w:tc>
        <w:tc>
          <w:tcPr>
            <w:tcW w:w="2551" w:type="dxa"/>
            <w:vAlign w:val="center"/>
          </w:tcPr>
          <w:p>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需要提供的符合性审查资料</w:t>
            </w:r>
          </w:p>
        </w:tc>
        <w:tc>
          <w:tcPr>
            <w:tcW w:w="1418" w:type="dxa"/>
            <w:vAlign w:val="center"/>
          </w:tcPr>
          <w:p>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投标文件中的</w:t>
            </w:r>
          </w:p>
          <w:p>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1</w:t>
            </w:r>
          </w:p>
        </w:tc>
        <w:tc>
          <w:tcPr>
            <w:tcW w:w="4991" w:type="dxa"/>
          </w:tcPr>
          <w:p>
            <w:pPr>
              <w:spacing w:line="360" w:lineRule="auto"/>
              <w:rPr>
                <w:rFonts w:ascii="宋体" w:hAnsi="宋体" w:cs="宋体"/>
                <w:color w:val="auto"/>
                <w:sz w:val="24"/>
                <w:highlight w:val="none"/>
              </w:rPr>
            </w:pPr>
            <w:r>
              <w:rPr>
                <w:rFonts w:hint="eastAsia" w:ascii="宋体" w:hAnsi="宋体" w:cs="宋体"/>
                <w:color w:val="auto"/>
                <w:sz w:val="24"/>
                <w:highlight w:val="none"/>
              </w:rPr>
              <w:t>投标文件按照招标文件要求签署、盖章。</w:t>
            </w:r>
          </w:p>
        </w:tc>
        <w:tc>
          <w:tcPr>
            <w:tcW w:w="2551" w:type="dxa"/>
            <w:vAlign w:val="center"/>
          </w:tcPr>
          <w:p>
            <w:pPr>
              <w:rPr>
                <w:rFonts w:ascii="宋体" w:hAnsi="宋体" w:cs="宋体"/>
                <w:color w:val="auto"/>
                <w:sz w:val="24"/>
                <w:highlight w:val="none"/>
              </w:rPr>
            </w:pPr>
            <w:r>
              <w:rPr>
                <w:rFonts w:hint="eastAsia" w:ascii="宋体" w:hAnsi="宋体" w:cs="宋体"/>
                <w:color w:val="auto"/>
                <w:sz w:val="24"/>
                <w:highlight w:val="none"/>
              </w:rPr>
              <w:t>需要使用电子签名或者签字盖章的投标文件的组成部分</w:t>
            </w:r>
          </w:p>
        </w:tc>
        <w:tc>
          <w:tcPr>
            <w:tcW w:w="1418" w:type="dxa"/>
          </w:tcPr>
          <w:p>
            <w:pPr>
              <w:rPr>
                <w:rFonts w:ascii="宋体" w:hAnsi="宋体" w:cs="宋体"/>
                <w:color w:val="auto"/>
                <w:sz w:val="24"/>
                <w:highlight w:val="none"/>
              </w:rPr>
            </w:pPr>
          </w:p>
          <w:p>
            <w:pPr>
              <w:rPr>
                <w:rFonts w:ascii="宋体" w:hAnsi="宋体" w:cs="宋体"/>
                <w:color w:val="auto"/>
                <w:sz w:val="24"/>
                <w:highlight w:val="none"/>
              </w:rPr>
            </w:pPr>
            <w:r>
              <w:rPr>
                <w:rFonts w:hint="eastAsia" w:ascii="宋体" w:hAnsi="宋体" w:cs="宋体"/>
                <w:color w:val="auto"/>
                <w:sz w:val="24"/>
                <w:highlight w:val="none"/>
              </w:rPr>
              <w:t>见投标文件</w:t>
            </w:r>
          </w:p>
          <w:p>
            <w:pPr>
              <w:rPr>
                <w:rFonts w:ascii="宋体" w:hAnsi="宋体" w:cs="宋体"/>
                <w:color w:val="auto"/>
                <w:highlight w:val="none"/>
              </w:rPr>
            </w:pPr>
            <w:r>
              <w:rPr>
                <w:rFonts w:hint="eastAsia" w:ascii="宋体" w:hAnsi="宋体" w:cs="宋体"/>
                <w:color w:val="auto"/>
                <w:sz w:val="24"/>
                <w:highlight w:val="none"/>
              </w:rPr>
              <w:t>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2</w:t>
            </w:r>
          </w:p>
        </w:tc>
        <w:tc>
          <w:tcPr>
            <w:tcW w:w="4991" w:type="dxa"/>
          </w:tcPr>
          <w:p>
            <w:pPr>
              <w:spacing w:line="360" w:lineRule="auto"/>
              <w:rPr>
                <w:rFonts w:ascii="宋体" w:hAnsi="宋体" w:cs="宋体"/>
                <w:color w:val="auto"/>
                <w:sz w:val="24"/>
                <w:highlight w:val="none"/>
              </w:rPr>
            </w:pPr>
            <w:r>
              <w:rPr>
                <w:rFonts w:hint="eastAsia" w:ascii="宋体" w:hAnsi="宋体" w:cs="宋体"/>
                <w:color w:val="auto"/>
                <w:sz w:val="24"/>
                <w:highlight w:val="none"/>
              </w:rPr>
              <w:t>投标文件中承诺的投标有效期不少于招标文件中载明的投标有效期。</w:t>
            </w:r>
          </w:p>
        </w:tc>
        <w:tc>
          <w:tcPr>
            <w:tcW w:w="2551" w:type="dxa"/>
            <w:vAlign w:val="center"/>
          </w:tcPr>
          <w:p>
            <w:pPr>
              <w:rPr>
                <w:rFonts w:ascii="宋体" w:hAnsi="宋体" w:cs="宋体"/>
                <w:color w:val="auto"/>
                <w:sz w:val="24"/>
                <w:highlight w:val="none"/>
              </w:rPr>
            </w:pPr>
            <w:r>
              <w:rPr>
                <w:rFonts w:hint="eastAsia" w:ascii="宋体" w:hAnsi="宋体" w:cs="宋体"/>
                <w:color w:val="auto"/>
                <w:sz w:val="24"/>
                <w:highlight w:val="none"/>
              </w:rPr>
              <w:t>投标函</w:t>
            </w:r>
          </w:p>
        </w:tc>
        <w:tc>
          <w:tcPr>
            <w:tcW w:w="1418" w:type="dxa"/>
          </w:tcPr>
          <w:p>
            <w:pPr>
              <w:rPr>
                <w:rFonts w:ascii="宋体" w:hAnsi="宋体" w:cs="宋体"/>
                <w:color w:val="auto"/>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3</w:t>
            </w:r>
          </w:p>
        </w:tc>
        <w:tc>
          <w:tcPr>
            <w:tcW w:w="4991" w:type="dxa"/>
          </w:tcPr>
          <w:p>
            <w:pPr>
              <w:spacing w:line="360" w:lineRule="auto"/>
              <w:rPr>
                <w:rFonts w:ascii="宋体" w:hAnsi="宋体" w:cs="宋体"/>
                <w:color w:val="auto"/>
                <w:sz w:val="24"/>
                <w:highlight w:val="none"/>
              </w:rPr>
            </w:pPr>
            <w:r>
              <w:rPr>
                <w:rFonts w:hint="eastAsia" w:ascii="宋体" w:hAnsi="宋体" w:cs="宋体"/>
                <w:color w:val="auto"/>
                <w:sz w:val="24"/>
                <w:highlight w:val="none"/>
              </w:rPr>
              <w:t>投标文件满足招标文件的其它实质性要求。</w:t>
            </w:r>
          </w:p>
        </w:tc>
        <w:tc>
          <w:tcPr>
            <w:tcW w:w="2551" w:type="dxa"/>
            <w:vAlign w:val="center"/>
          </w:tcPr>
          <w:p>
            <w:pPr>
              <w:rPr>
                <w:rFonts w:ascii="宋体" w:hAnsi="宋体" w:cs="宋体"/>
                <w:color w:val="auto"/>
                <w:sz w:val="24"/>
                <w:highlight w:val="none"/>
              </w:rPr>
            </w:pPr>
            <w:r>
              <w:rPr>
                <w:rFonts w:hint="eastAsia" w:ascii="宋体" w:hAnsi="宋体" w:cs="宋体"/>
                <w:color w:val="auto"/>
                <w:kern w:val="0"/>
                <w:sz w:val="24"/>
                <w:highlight w:val="none"/>
              </w:rPr>
              <w:t>招标文件其它实质性要求相应的材料（“▲” 系指实质性要求条款，招标文件无其它实质性要求的，无需提供）</w:t>
            </w:r>
          </w:p>
        </w:tc>
        <w:tc>
          <w:tcPr>
            <w:tcW w:w="1418" w:type="dxa"/>
          </w:tcPr>
          <w:p>
            <w:pPr>
              <w:rPr>
                <w:rFonts w:ascii="宋体" w:hAnsi="宋体" w:cs="宋体"/>
                <w:color w:val="auto"/>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bl>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宋体" w:hAnsi="宋体" w:cs="宋体"/>
          <w:color w:val="auto"/>
          <w:highlight w:val="none"/>
        </w:rPr>
      </w:pPr>
      <w:r>
        <w:rPr>
          <w:rFonts w:hint="eastAsia" w:ascii="宋体" w:hAnsi="宋体" w:cs="宋体"/>
          <w:b/>
          <w:color w:val="auto"/>
          <w:kern w:val="0"/>
          <w:sz w:val="32"/>
          <w:szCs w:val="32"/>
          <w:highlight w:val="none"/>
        </w:rPr>
        <w:t>五、评标标准相应的商务技术资料</w:t>
      </w:r>
    </w:p>
    <w:p>
      <w:pPr>
        <w:snapToGrid w:val="0"/>
        <w:spacing w:line="360" w:lineRule="auto"/>
        <w:jc w:val="left"/>
        <w:rPr>
          <w:rFonts w:ascii="宋体" w:hAnsi="宋体" w:cs="宋体"/>
          <w:b/>
          <w:color w:val="auto"/>
          <w:sz w:val="24"/>
          <w:highlight w:val="none"/>
        </w:rPr>
      </w:pPr>
      <w:r>
        <w:rPr>
          <w:rFonts w:hint="eastAsia" w:ascii="宋体" w:hAnsi="宋体" w:cs="宋体"/>
          <w:b/>
          <w:color w:val="auto"/>
          <w:sz w:val="24"/>
          <w:highlight w:val="none"/>
        </w:rPr>
        <w:t>（按招标文件第四部分评标办法前附表中“投标文件中评标标准相应的商务技术资料目录”提供资料。）</w:t>
      </w:r>
    </w:p>
    <w:p>
      <w:pP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六、投标标的清单</w:t>
      </w:r>
    </w:p>
    <w:tbl>
      <w:tblPr>
        <w:tblStyle w:val="62"/>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名称</w:t>
            </w:r>
          </w:p>
        </w:tc>
        <w:tc>
          <w:tcPr>
            <w:tcW w:w="1114"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s="宋体"/>
                <w:b/>
                <w:color w:val="auto"/>
                <w:sz w:val="24"/>
                <w:highlight w:val="none"/>
              </w:rPr>
            </w:pPr>
          </w:p>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数量</w:t>
            </w: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p>
        </w:tc>
      </w:tr>
    </w:tbl>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七、商务技术偏离表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b/>
                <w:bCs/>
                <w:color w:val="auto"/>
                <w:sz w:val="24"/>
                <w:highlight w:val="none"/>
              </w:rPr>
            </w:pPr>
            <w:r>
              <w:rPr>
                <w:rFonts w:hint="eastAsia" w:ascii="宋体" w:hAnsi="宋体" w:cs="宋体"/>
                <w:b/>
                <w:bCs/>
                <w:color w:val="auto"/>
                <w:sz w:val="24"/>
                <w:highlight w:val="none"/>
              </w:rPr>
              <w:t>序号</w:t>
            </w:r>
          </w:p>
        </w:tc>
        <w:tc>
          <w:tcPr>
            <w:tcW w:w="3683" w:type="dxa"/>
          </w:tcPr>
          <w:p>
            <w:pPr>
              <w:jc w:val="center"/>
              <w:rPr>
                <w:rFonts w:ascii="宋体" w:hAnsi="宋体" w:cs="宋体"/>
                <w:b/>
                <w:bCs/>
                <w:color w:val="auto"/>
                <w:sz w:val="24"/>
                <w:highlight w:val="none"/>
              </w:rPr>
            </w:pPr>
            <w:r>
              <w:rPr>
                <w:rFonts w:hint="eastAsia" w:ascii="宋体" w:hAnsi="宋体" w:cs="宋体"/>
                <w:b/>
                <w:bCs/>
                <w:color w:val="auto"/>
                <w:sz w:val="24"/>
                <w:highlight w:val="none"/>
              </w:rPr>
              <w:t>招标文件章节及具体内容</w:t>
            </w:r>
          </w:p>
        </w:tc>
        <w:tc>
          <w:tcPr>
            <w:tcW w:w="3546" w:type="dxa"/>
          </w:tcPr>
          <w:p>
            <w:pPr>
              <w:jc w:val="center"/>
              <w:rPr>
                <w:rFonts w:ascii="宋体" w:hAnsi="宋体" w:cs="宋体"/>
                <w:b/>
                <w:bCs/>
                <w:color w:val="auto"/>
                <w:sz w:val="24"/>
                <w:highlight w:val="none"/>
              </w:rPr>
            </w:pPr>
            <w:r>
              <w:rPr>
                <w:rFonts w:hint="eastAsia" w:ascii="宋体" w:hAnsi="宋体" w:cs="宋体"/>
                <w:b/>
                <w:bCs/>
                <w:color w:val="auto"/>
                <w:sz w:val="24"/>
                <w:highlight w:val="none"/>
              </w:rPr>
              <w:t>投标文件章节及具体内容</w:t>
            </w:r>
          </w:p>
        </w:tc>
        <w:tc>
          <w:tcPr>
            <w:tcW w:w="1276" w:type="dxa"/>
          </w:tcPr>
          <w:p>
            <w:pPr>
              <w:jc w:val="center"/>
              <w:rPr>
                <w:rFonts w:ascii="宋体" w:hAnsi="宋体" w:cs="宋体"/>
                <w:b/>
                <w:bCs/>
                <w:color w:val="auto"/>
                <w:sz w:val="24"/>
                <w:highlight w:val="none"/>
              </w:rPr>
            </w:pPr>
            <w:r>
              <w:rPr>
                <w:rFonts w:hint="eastAsia" w:ascii="宋体" w:hAnsi="宋体" w:cs="宋体"/>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3683" w:type="dxa"/>
          </w:tcPr>
          <w:p>
            <w:pPr>
              <w:jc w:val="center"/>
              <w:rPr>
                <w:rFonts w:ascii="宋体" w:hAnsi="宋体" w:cs="宋体"/>
                <w:b/>
                <w:color w:val="auto"/>
                <w:kern w:val="0"/>
                <w:sz w:val="32"/>
                <w:szCs w:val="32"/>
                <w:highlight w:val="none"/>
              </w:rPr>
            </w:pPr>
          </w:p>
        </w:tc>
        <w:tc>
          <w:tcPr>
            <w:tcW w:w="3546" w:type="dxa"/>
          </w:tcPr>
          <w:p>
            <w:pPr>
              <w:jc w:val="center"/>
              <w:rPr>
                <w:rFonts w:ascii="宋体" w:hAnsi="宋体" w:cs="宋体"/>
                <w:b/>
                <w:color w:val="auto"/>
                <w:kern w:val="0"/>
                <w:sz w:val="32"/>
                <w:szCs w:val="32"/>
                <w:highlight w:val="none"/>
              </w:rPr>
            </w:pPr>
          </w:p>
        </w:tc>
        <w:tc>
          <w:tcPr>
            <w:tcW w:w="1276" w:type="dxa"/>
          </w:tcPr>
          <w:p>
            <w:pPr>
              <w:jc w:val="center"/>
              <w:rPr>
                <w:rFonts w:ascii="宋体" w:hAnsi="宋体" w:cs="宋体"/>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3683" w:type="dxa"/>
          </w:tcPr>
          <w:p>
            <w:pPr>
              <w:jc w:val="center"/>
              <w:rPr>
                <w:rFonts w:ascii="宋体" w:hAnsi="宋体" w:cs="宋体"/>
                <w:b/>
                <w:color w:val="auto"/>
                <w:kern w:val="0"/>
                <w:sz w:val="32"/>
                <w:szCs w:val="32"/>
                <w:highlight w:val="none"/>
              </w:rPr>
            </w:pPr>
          </w:p>
        </w:tc>
        <w:tc>
          <w:tcPr>
            <w:tcW w:w="3546" w:type="dxa"/>
          </w:tcPr>
          <w:p>
            <w:pPr>
              <w:jc w:val="center"/>
              <w:rPr>
                <w:rFonts w:ascii="宋体" w:hAnsi="宋体" w:cs="宋体"/>
                <w:b/>
                <w:color w:val="auto"/>
                <w:kern w:val="0"/>
                <w:sz w:val="32"/>
                <w:szCs w:val="32"/>
                <w:highlight w:val="none"/>
              </w:rPr>
            </w:pPr>
          </w:p>
        </w:tc>
        <w:tc>
          <w:tcPr>
            <w:tcW w:w="1276" w:type="dxa"/>
          </w:tcPr>
          <w:p>
            <w:pPr>
              <w:jc w:val="center"/>
              <w:rPr>
                <w:rFonts w:ascii="宋体" w:hAnsi="宋体" w:cs="宋体"/>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3683" w:type="dxa"/>
          </w:tcPr>
          <w:p>
            <w:pPr>
              <w:jc w:val="center"/>
              <w:rPr>
                <w:rFonts w:ascii="宋体" w:hAnsi="宋体" w:cs="宋体"/>
                <w:b/>
                <w:color w:val="auto"/>
                <w:kern w:val="0"/>
                <w:sz w:val="32"/>
                <w:szCs w:val="32"/>
                <w:highlight w:val="none"/>
              </w:rPr>
            </w:pPr>
          </w:p>
        </w:tc>
        <w:tc>
          <w:tcPr>
            <w:tcW w:w="3546" w:type="dxa"/>
          </w:tcPr>
          <w:p>
            <w:pPr>
              <w:jc w:val="center"/>
              <w:rPr>
                <w:rFonts w:ascii="宋体" w:hAnsi="宋体" w:cs="宋体"/>
                <w:b/>
                <w:color w:val="auto"/>
                <w:kern w:val="0"/>
                <w:sz w:val="32"/>
                <w:szCs w:val="32"/>
                <w:highlight w:val="none"/>
              </w:rPr>
            </w:pPr>
          </w:p>
        </w:tc>
        <w:tc>
          <w:tcPr>
            <w:tcW w:w="1276" w:type="dxa"/>
          </w:tcPr>
          <w:p>
            <w:pPr>
              <w:jc w:val="center"/>
              <w:rPr>
                <w:rFonts w:ascii="宋体" w:hAnsi="宋体" w:cs="宋体"/>
                <w:b/>
                <w:color w:val="auto"/>
                <w:kern w:val="0"/>
                <w:sz w:val="32"/>
                <w:szCs w:val="32"/>
                <w:highlight w:val="none"/>
              </w:rPr>
            </w:pPr>
          </w:p>
        </w:tc>
      </w:tr>
    </w:tbl>
    <w:p>
      <w:pPr>
        <w:jc w:val="left"/>
        <w:rPr>
          <w:rFonts w:hint="eastAsia" w:ascii="宋体" w:hAnsi="宋体" w:cs="宋体"/>
          <w:color w:val="auto"/>
          <w:kern w:val="0"/>
          <w:sz w:val="24"/>
          <w:highlight w:val="none"/>
        </w:rPr>
      </w:pPr>
      <w:r>
        <w:rPr>
          <w:rFonts w:hint="eastAsia" w:ascii="宋体" w:hAnsi="宋体" w:cs="宋体"/>
          <w:color w:val="auto"/>
          <w:kern w:val="0"/>
          <w:sz w:val="24"/>
          <w:highlight w:val="none"/>
        </w:rPr>
        <w:t>投标人保证：除商务技术偏离表列出的偏离外，投标人响应招标文件的全部要求</w:t>
      </w:r>
    </w:p>
    <w:p>
      <w:pPr>
        <w:jc w:val="left"/>
        <w:rPr>
          <w:rFonts w:hint="eastAsia" w:ascii="宋体" w:hAnsi="宋体" w:eastAsia="宋体" w:cs="宋体"/>
          <w:color w:val="auto"/>
          <w:kern w:val="0"/>
          <w:sz w:val="24"/>
          <w:highlight w:val="none"/>
        </w:rPr>
      </w:pPr>
    </w:p>
    <w:p>
      <w:pPr>
        <w:spacing w:line="360" w:lineRule="auto"/>
        <w:ind w:right="420"/>
        <w:rPr>
          <w:rFonts w:hint="eastAsia" w:ascii="宋体" w:hAnsi="宋体" w:cs="宋体"/>
          <w:color w:val="auto"/>
          <w:sz w:val="24"/>
          <w:highlight w:val="none"/>
        </w:rPr>
      </w:pPr>
      <w:r>
        <w:rPr>
          <w:rFonts w:hint="eastAsia" w:ascii="宋体" w:hAnsi="宋体" w:cs="宋体"/>
          <w:color w:val="auto"/>
          <w:sz w:val="24"/>
          <w:highlight w:val="none"/>
        </w:rPr>
        <w:t>注：按本格式和要求提供。</w:t>
      </w:r>
    </w:p>
    <w:p>
      <w:pPr>
        <w:rPr>
          <w:rFonts w:hint="eastAsia" w:ascii="宋体" w:hAnsi="宋体" w:cs="宋体"/>
          <w:color w:val="auto"/>
          <w:sz w:val="24"/>
          <w:highlight w:val="none"/>
        </w:rPr>
      </w:pPr>
      <w:r>
        <w:rPr>
          <w:rFonts w:hint="eastAsia" w:ascii="宋体" w:hAnsi="宋体" w:cs="宋体"/>
          <w:color w:val="auto"/>
          <w:sz w:val="24"/>
          <w:highlight w:val="none"/>
        </w:rPr>
        <w:br w:type="page"/>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ascii="宋体" w:hAnsi="宋体" w:cs="宋体"/>
          <w:color w:val="auto"/>
          <w:sz w:val="24"/>
          <w:highlight w:val="none"/>
        </w:rPr>
      </w:pPr>
      <w:r>
        <w:rPr>
          <w:rFonts w:hint="eastAsia" w:ascii="宋体" w:hAnsi="宋体" w:cs="宋体"/>
          <w:b/>
          <w:bCs/>
          <w:color w:val="auto"/>
          <w:sz w:val="32"/>
          <w:szCs w:val="32"/>
          <w:highlight w:val="none"/>
        </w:rPr>
        <w:t>八</w:t>
      </w:r>
      <w:r>
        <w:rPr>
          <w:rFonts w:hint="eastAsia" w:ascii="宋体" w:hAnsi="宋体" w:cs="宋体"/>
          <w:b/>
          <w:color w:val="auto"/>
          <w:kern w:val="0"/>
          <w:sz w:val="32"/>
          <w:szCs w:val="32"/>
          <w:highlight w:val="none"/>
        </w:rPr>
        <w:t>、</w:t>
      </w:r>
      <w:r>
        <w:rPr>
          <w:rFonts w:hint="eastAsia" w:ascii="宋体" w:hAnsi="宋体" w:cs="宋体"/>
          <w:b/>
          <w:color w:val="auto"/>
          <w:kern w:val="0"/>
          <w:sz w:val="32"/>
          <w:szCs w:val="32"/>
          <w:highlight w:val="none"/>
          <w:lang w:val="zh-CN"/>
        </w:rPr>
        <w:t>政府采购供应商廉洁自律承诺书</w:t>
      </w:r>
    </w:p>
    <w:p>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我单位响应你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好处；</w:t>
      </w:r>
    </w:p>
    <w:p>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六、严格遵守《</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政府采购法》《</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招标投标</w:t>
      </w:r>
    </w:p>
    <w:p>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法》</w:t>
      </w:r>
      <w:r>
        <w:rPr>
          <w:rFonts w:hint="eastAsia" w:ascii="宋体" w:hAnsi="宋体" w:cs="宋体"/>
          <w:color w:val="auto"/>
          <w:sz w:val="24"/>
          <w:highlight w:val="none"/>
          <w:lang w:val="zh-CN"/>
        </w:rPr>
        <w:t>《中华人民共和国民法典》</w:t>
      </w:r>
      <w:r>
        <w:rPr>
          <w:rFonts w:hint="eastAsia" w:ascii="宋体" w:hAnsi="宋体" w:cs="宋体"/>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如违反上述承诺，你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有权立即取消我单位投标、中标或在建项目的建设资格，有权拒绝我单位在一定时期内进入你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leftChars="1" w:right="1120" w:firstLine="4560" w:firstLineChars="19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投标人名称（</w:t>
      </w:r>
      <w:r>
        <w:rPr>
          <w:rFonts w:hint="eastAsia" w:ascii="宋体" w:hAnsi="宋体" w:cs="宋体"/>
          <w:color w:val="auto"/>
          <w:sz w:val="24"/>
          <w:highlight w:val="none"/>
        </w:rPr>
        <w:t>电子签名</w:t>
      </w:r>
      <w:r>
        <w:rPr>
          <w:rFonts w:hint="eastAsia" w:ascii="宋体" w:hAnsi="宋体" w:cs="宋体"/>
          <w:color w:val="auto"/>
          <w:kern w:val="0"/>
          <w:sz w:val="24"/>
          <w:highlight w:val="none"/>
          <w:lang w:val="zh-CN"/>
        </w:rPr>
        <w:t xml:space="preserve">）：                      </w:t>
      </w:r>
    </w:p>
    <w:p>
      <w:pPr>
        <w:spacing w:line="360" w:lineRule="auto"/>
        <w:ind w:left="4620" w:leftChars="2200"/>
        <w:rPr>
          <w:rFonts w:ascii="宋体" w:hAnsi="宋体" w:cs="宋体"/>
          <w:color w:val="auto"/>
          <w:sz w:val="24"/>
          <w:highlight w:val="none"/>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 xml:space="preserve">   年   月   日</w:t>
      </w:r>
    </w:p>
    <w:p>
      <w:pPr>
        <w:spacing w:line="360" w:lineRule="auto"/>
        <w:jc w:val="center"/>
        <w:rPr>
          <w:rFonts w:ascii="宋体" w:hAnsi="宋体" w:cs="宋体"/>
          <w:b/>
          <w:bCs/>
          <w:color w:val="auto"/>
          <w:sz w:val="24"/>
          <w:highlight w:val="none"/>
        </w:rPr>
      </w:pPr>
    </w:p>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br w:type="page"/>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报价文件部分</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pPr>
        <w:spacing w:line="360" w:lineRule="auto"/>
        <w:jc w:val="both"/>
        <w:outlineLvl w:val="0"/>
        <w:rPr>
          <w:rFonts w:ascii="宋体" w:hAnsi="宋体" w:cs="宋体"/>
          <w:b/>
          <w:color w:val="auto"/>
          <w:kern w:val="0"/>
          <w:sz w:val="36"/>
          <w:szCs w:val="36"/>
          <w:highlight w:val="none"/>
        </w:rPr>
      </w:pP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（1）开标一览表（报价表）………………………………………………………（页码）</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（2）中小企业声明函………………………………………………………………（页码）</w:t>
      </w:r>
    </w:p>
    <w:p>
      <w:pPr>
        <w:snapToGrid w:val="0"/>
        <w:spacing w:line="360" w:lineRule="auto"/>
        <w:ind w:right="480"/>
        <w:jc w:val="center"/>
        <w:rPr>
          <w:rFonts w:ascii="宋体" w:hAnsi="宋体" w:cs="宋体"/>
          <w:b/>
          <w:color w:val="auto"/>
          <w:kern w:val="0"/>
          <w:sz w:val="32"/>
          <w:szCs w:val="32"/>
          <w:highlight w:val="none"/>
        </w:rPr>
      </w:pPr>
    </w:p>
    <w:p>
      <w:pPr>
        <w:pStyle w:val="690"/>
        <w:keepNext w:val="0"/>
        <w:pageBreakBefore w:val="0"/>
        <w:tabs>
          <w:tab w:val="clear" w:pos="720"/>
        </w:tabs>
        <w:snapToGrid w:val="0"/>
        <w:spacing w:before="120" w:after="120"/>
        <w:jc w:val="both"/>
        <w:outlineLvl w:val="9"/>
        <w:rPr>
          <w:rFonts w:ascii="宋体" w:hAnsi="宋体" w:eastAsia="宋体" w:cs="宋体"/>
          <w:color w:val="auto"/>
          <w:kern w:val="2"/>
          <w:sz w:val="32"/>
          <w:szCs w:val="32"/>
          <w:highlight w:val="none"/>
        </w:rPr>
        <w:sectPr>
          <w:pgSz w:w="11906" w:h="16838"/>
          <w:pgMar w:top="1276" w:right="1418" w:bottom="1247" w:left="1418" w:header="851" w:footer="992" w:gutter="0"/>
          <w:cols w:space="720" w:num="1"/>
          <w:titlePg/>
          <w:docGrid w:linePitch="312" w:charSpace="0"/>
        </w:sectPr>
      </w:pPr>
    </w:p>
    <w:p>
      <w:pPr>
        <w:pStyle w:val="690"/>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rPr>
        <w:t>一、开标一览表（报价表）</w:t>
      </w:r>
    </w:p>
    <w:p>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pPr>
        <w:snapToGrid w:val="0"/>
        <w:spacing w:line="360" w:lineRule="auto"/>
        <w:ind w:firstLine="482"/>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sz w:val="24"/>
          <w:highlight w:val="none"/>
        </w:rPr>
        <w:t>（项目名称）</w:t>
      </w:r>
      <w:r>
        <w:rPr>
          <w:rFonts w:hint="eastAsia" w:ascii="宋体" w:hAnsi="宋体" w:cs="宋体"/>
          <w:color w:val="auto"/>
          <w:kern w:val="0"/>
          <w:sz w:val="24"/>
          <w:highlight w:val="none"/>
          <w:lang w:val="zh-CN"/>
        </w:rPr>
        <w:t>【招标编号：</w:t>
      </w:r>
      <w:r>
        <w:rPr>
          <w:rFonts w:hint="eastAsia" w:ascii="宋体" w:hAnsi="宋体" w:cs="宋体"/>
          <w:color w:val="auto"/>
          <w:sz w:val="24"/>
          <w:highlight w:val="none"/>
        </w:rPr>
        <w:t>（采购编号）】的实施</w:t>
      </w:r>
      <w:r>
        <w:rPr>
          <w:rFonts w:hint="eastAsia" w:ascii="宋体" w:hAnsi="宋体" w:cs="宋体"/>
          <w:color w:val="auto"/>
          <w:kern w:val="0"/>
          <w:sz w:val="24"/>
          <w:highlight w:val="none"/>
          <w:lang w:val="zh-CN"/>
        </w:rPr>
        <w:t>。</w:t>
      </w:r>
    </w:p>
    <w:p>
      <w:pPr>
        <w:spacing w:line="360" w:lineRule="auto"/>
        <w:jc w:val="center"/>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417" w:type="dxa"/>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名称</w:t>
            </w:r>
          </w:p>
        </w:tc>
        <w:tc>
          <w:tcPr>
            <w:tcW w:w="1843" w:type="dxa"/>
          </w:tcPr>
          <w:p>
            <w:pPr>
              <w:spacing w:line="360" w:lineRule="auto"/>
              <w:jc w:val="center"/>
              <w:rPr>
                <w:rFonts w:ascii="宋体" w:hAnsi="宋体" w:cs="宋体"/>
                <w:b/>
                <w:color w:val="auto"/>
                <w:sz w:val="24"/>
                <w:highlight w:val="none"/>
              </w:rPr>
            </w:pPr>
          </w:p>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品牌（如果有）</w:t>
            </w:r>
          </w:p>
        </w:tc>
        <w:tc>
          <w:tcPr>
            <w:tcW w:w="3118" w:type="dxa"/>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规格型号</w:t>
            </w:r>
          </w:p>
        </w:tc>
        <w:tc>
          <w:tcPr>
            <w:tcW w:w="993" w:type="dxa"/>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数量</w:t>
            </w:r>
          </w:p>
        </w:tc>
        <w:tc>
          <w:tcPr>
            <w:tcW w:w="1559" w:type="dxa"/>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单价</w:t>
            </w:r>
          </w:p>
        </w:tc>
        <w:tc>
          <w:tcPr>
            <w:tcW w:w="1984" w:type="dxa"/>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合计</w:t>
            </w:r>
          </w:p>
        </w:tc>
        <w:tc>
          <w:tcPr>
            <w:tcW w:w="3119" w:type="dxa"/>
            <w:vAlign w:val="center"/>
          </w:tcPr>
          <w:p>
            <w:pPr>
              <w:spacing w:line="360" w:lineRule="auto"/>
              <w:jc w:val="center"/>
              <w:rPr>
                <w:rFonts w:ascii="宋体" w:hAnsi="宋体" w:cs="宋体"/>
                <w:b/>
                <w:color w:val="auto"/>
                <w:sz w:val="24"/>
                <w:highlight w:val="none"/>
              </w:rPr>
            </w:pPr>
          </w:p>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备注（如果有）</w:t>
            </w:r>
          </w:p>
          <w:p>
            <w:pPr>
              <w:spacing w:line="360" w:lineRule="auto"/>
              <w:jc w:val="center"/>
              <w:rPr>
                <w:rFonts w:ascii="宋体" w:hAnsi="宋体" w:cs="宋体"/>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417"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843" w:type="dxa"/>
            <w:vAlign w:val="center"/>
          </w:tcPr>
          <w:p>
            <w:pPr>
              <w:snapToGrid w:val="0"/>
              <w:spacing w:line="360" w:lineRule="auto"/>
              <w:jc w:val="center"/>
              <w:rPr>
                <w:rFonts w:ascii="宋体" w:hAnsi="宋体" w:cs="宋体"/>
                <w:color w:val="auto"/>
                <w:sz w:val="24"/>
                <w:highlight w:val="none"/>
              </w:rPr>
            </w:pPr>
          </w:p>
        </w:tc>
        <w:tc>
          <w:tcPr>
            <w:tcW w:w="3118" w:type="dxa"/>
            <w:vAlign w:val="center"/>
          </w:tcPr>
          <w:p>
            <w:pPr>
              <w:snapToGrid w:val="0"/>
              <w:spacing w:line="360" w:lineRule="auto"/>
              <w:jc w:val="center"/>
              <w:rPr>
                <w:rFonts w:ascii="宋体" w:hAnsi="宋体" w:cs="宋体"/>
                <w:color w:val="auto"/>
                <w:sz w:val="24"/>
                <w:highlight w:val="none"/>
              </w:rPr>
            </w:pPr>
          </w:p>
        </w:tc>
        <w:tc>
          <w:tcPr>
            <w:tcW w:w="993" w:type="dxa"/>
            <w:vAlign w:val="center"/>
          </w:tcPr>
          <w:p>
            <w:pPr>
              <w:snapToGrid w:val="0"/>
              <w:spacing w:line="360" w:lineRule="auto"/>
              <w:jc w:val="center"/>
              <w:rPr>
                <w:rFonts w:ascii="宋体" w:hAnsi="宋体" w:cs="宋体"/>
                <w:color w:val="auto"/>
                <w:sz w:val="24"/>
                <w:highlight w:val="none"/>
              </w:rPr>
            </w:pPr>
          </w:p>
        </w:tc>
        <w:tc>
          <w:tcPr>
            <w:tcW w:w="1559" w:type="dxa"/>
            <w:vAlign w:val="center"/>
          </w:tcPr>
          <w:p>
            <w:pPr>
              <w:spacing w:line="360" w:lineRule="auto"/>
              <w:jc w:val="center"/>
              <w:rPr>
                <w:rFonts w:ascii="宋体" w:hAnsi="宋体" w:cs="宋体"/>
                <w:color w:val="auto"/>
                <w:sz w:val="24"/>
                <w:highlight w:val="none"/>
              </w:rPr>
            </w:pPr>
          </w:p>
        </w:tc>
        <w:tc>
          <w:tcPr>
            <w:tcW w:w="1984" w:type="dxa"/>
            <w:vAlign w:val="center"/>
          </w:tcPr>
          <w:p>
            <w:pPr>
              <w:spacing w:line="360" w:lineRule="auto"/>
              <w:jc w:val="center"/>
              <w:rPr>
                <w:rFonts w:ascii="宋体" w:hAnsi="宋体" w:cs="宋体"/>
                <w:color w:val="auto"/>
                <w:sz w:val="24"/>
                <w:highlight w:val="none"/>
              </w:rPr>
            </w:pPr>
          </w:p>
        </w:tc>
        <w:tc>
          <w:tcPr>
            <w:tcW w:w="3119"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417"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843" w:type="dxa"/>
            <w:vAlign w:val="center"/>
          </w:tcPr>
          <w:p>
            <w:pPr>
              <w:snapToGrid w:val="0"/>
              <w:spacing w:line="360" w:lineRule="auto"/>
              <w:jc w:val="center"/>
              <w:rPr>
                <w:rFonts w:ascii="宋体" w:hAnsi="宋体" w:cs="宋体"/>
                <w:color w:val="auto"/>
                <w:sz w:val="24"/>
                <w:highlight w:val="none"/>
              </w:rPr>
            </w:pPr>
          </w:p>
        </w:tc>
        <w:tc>
          <w:tcPr>
            <w:tcW w:w="3118" w:type="dxa"/>
            <w:vAlign w:val="center"/>
          </w:tcPr>
          <w:p>
            <w:pPr>
              <w:snapToGrid w:val="0"/>
              <w:spacing w:line="360" w:lineRule="auto"/>
              <w:jc w:val="center"/>
              <w:rPr>
                <w:rFonts w:ascii="宋体" w:hAnsi="宋体" w:cs="宋体"/>
                <w:color w:val="auto"/>
                <w:sz w:val="24"/>
                <w:highlight w:val="none"/>
              </w:rPr>
            </w:pPr>
          </w:p>
        </w:tc>
        <w:tc>
          <w:tcPr>
            <w:tcW w:w="993" w:type="dxa"/>
            <w:vAlign w:val="center"/>
          </w:tcPr>
          <w:p>
            <w:pPr>
              <w:snapToGrid w:val="0"/>
              <w:spacing w:line="360" w:lineRule="auto"/>
              <w:jc w:val="center"/>
              <w:rPr>
                <w:rFonts w:ascii="宋体" w:hAnsi="宋体" w:cs="宋体"/>
                <w:color w:val="auto"/>
                <w:sz w:val="24"/>
                <w:highlight w:val="none"/>
              </w:rPr>
            </w:pPr>
          </w:p>
        </w:tc>
        <w:tc>
          <w:tcPr>
            <w:tcW w:w="1559" w:type="dxa"/>
            <w:vAlign w:val="center"/>
          </w:tcPr>
          <w:p>
            <w:pPr>
              <w:spacing w:line="360" w:lineRule="auto"/>
              <w:jc w:val="center"/>
              <w:rPr>
                <w:rFonts w:ascii="宋体" w:hAnsi="宋体" w:cs="宋体"/>
                <w:color w:val="auto"/>
                <w:sz w:val="24"/>
                <w:highlight w:val="none"/>
              </w:rPr>
            </w:pPr>
          </w:p>
        </w:tc>
        <w:tc>
          <w:tcPr>
            <w:tcW w:w="1984" w:type="dxa"/>
            <w:vAlign w:val="center"/>
          </w:tcPr>
          <w:p>
            <w:pPr>
              <w:spacing w:line="360" w:lineRule="auto"/>
              <w:jc w:val="center"/>
              <w:rPr>
                <w:rFonts w:ascii="宋体" w:hAnsi="宋体" w:cs="宋体"/>
                <w:color w:val="auto"/>
                <w:sz w:val="24"/>
                <w:highlight w:val="none"/>
              </w:rPr>
            </w:pPr>
          </w:p>
        </w:tc>
        <w:tc>
          <w:tcPr>
            <w:tcW w:w="3119"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417" w:type="dxa"/>
            <w:vAlign w:val="center"/>
          </w:tcPr>
          <w:p>
            <w:pPr>
              <w:snapToGrid w:val="0"/>
              <w:spacing w:line="360" w:lineRule="auto"/>
              <w:jc w:val="center"/>
              <w:rPr>
                <w:rFonts w:ascii="宋体" w:hAnsi="宋体" w:cs="宋体"/>
                <w:color w:val="auto"/>
                <w:sz w:val="24"/>
                <w:highlight w:val="none"/>
              </w:rPr>
            </w:pPr>
          </w:p>
        </w:tc>
        <w:tc>
          <w:tcPr>
            <w:tcW w:w="1843" w:type="dxa"/>
            <w:vAlign w:val="center"/>
          </w:tcPr>
          <w:p>
            <w:pPr>
              <w:snapToGrid w:val="0"/>
              <w:spacing w:line="360" w:lineRule="auto"/>
              <w:jc w:val="center"/>
              <w:rPr>
                <w:rFonts w:ascii="宋体" w:hAnsi="宋体" w:cs="宋体"/>
                <w:color w:val="auto"/>
                <w:sz w:val="24"/>
                <w:highlight w:val="none"/>
              </w:rPr>
            </w:pPr>
          </w:p>
        </w:tc>
        <w:tc>
          <w:tcPr>
            <w:tcW w:w="3118" w:type="dxa"/>
            <w:vAlign w:val="center"/>
          </w:tcPr>
          <w:p>
            <w:pPr>
              <w:snapToGrid w:val="0"/>
              <w:spacing w:line="360" w:lineRule="auto"/>
              <w:jc w:val="center"/>
              <w:rPr>
                <w:rFonts w:ascii="宋体" w:hAnsi="宋体" w:cs="宋体"/>
                <w:color w:val="auto"/>
                <w:sz w:val="24"/>
                <w:highlight w:val="none"/>
              </w:rPr>
            </w:pPr>
          </w:p>
        </w:tc>
        <w:tc>
          <w:tcPr>
            <w:tcW w:w="993" w:type="dxa"/>
            <w:vAlign w:val="center"/>
          </w:tcPr>
          <w:p>
            <w:pPr>
              <w:snapToGrid w:val="0"/>
              <w:spacing w:line="360" w:lineRule="auto"/>
              <w:jc w:val="center"/>
              <w:rPr>
                <w:rFonts w:ascii="宋体" w:hAnsi="宋体" w:cs="宋体"/>
                <w:color w:val="auto"/>
                <w:sz w:val="24"/>
                <w:highlight w:val="none"/>
              </w:rPr>
            </w:pPr>
          </w:p>
        </w:tc>
        <w:tc>
          <w:tcPr>
            <w:tcW w:w="1559" w:type="dxa"/>
            <w:vAlign w:val="center"/>
          </w:tcPr>
          <w:p>
            <w:pPr>
              <w:spacing w:line="360" w:lineRule="auto"/>
              <w:jc w:val="center"/>
              <w:rPr>
                <w:rFonts w:ascii="宋体" w:hAnsi="宋体" w:cs="宋体"/>
                <w:color w:val="auto"/>
                <w:sz w:val="24"/>
                <w:highlight w:val="none"/>
              </w:rPr>
            </w:pPr>
          </w:p>
        </w:tc>
        <w:tc>
          <w:tcPr>
            <w:tcW w:w="1984" w:type="dxa"/>
            <w:vAlign w:val="center"/>
          </w:tcPr>
          <w:p>
            <w:pPr>
              <w:spacing w:line="360" w:lineRule="auto"/>
              <w:jc w:val="center"/>
              <w:rPr>
                <w:rFonts w:ascii="宋体" w:hAnsi="宋体" w:cs="宋体"/>
                <w:color w:val="auto"/>
                <w:sz w:val="24"/>
                <w:highlight w:val="none"/>
              </w:rPr>
            </w:pPr>
          </w:p>
        </w:tc>
        <w:tc>
          <w:tcPr>
            <w:tcW w:w="3119"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color w:val="auto"/>
                <w:sz w:val="24"/>
                <w:highlight w:val="none"/>
              </w:rPr>
            </w:pPr>
          </w:p>
        </w:tc>
        <w:tc>
          <w:tcPr>
            <w:tcW w:w="1417" w:type="dxa"/>
            <w:vAlign w:val="center"/>
          </w:tcPr>
          <w:p>
            <w:pPr>
              <w:snapToGrid w:val="0"/>
              <w:spacing w:line="360" w:lineRule="auto"/>
              <w:jc w:val="center"/>
              <w:rPr>
                <w:rFonts w:ascii="宋体" w:hAnsi="宋体" w:cs="宋体"/>
                <w:color w:val="auto"/>
                <w:sz w:val="24"/>
                <w:highlight w:val="none"/>
              </w:rPr>
            </w:pPr>
          </w:p>
        </w:tc>
        <w:tc>
          <w:tcPr>
            <w:tcW w:w="1843" w:type="dxa"/>
            <w:vAlign w:val="center"/>
          </w:tcPr>
          <w:p>
            <w:pPr>
              <w:snapToGrid w:val="0"/>
              <w:spacing w:line="360" w:lineRule="auto"/>
              <w:jc w:val="center"/>
              <w:rPr>
                <w:rFonts w:ascii="宋体" w:hAnsi="宋体" w:cs="宋体"/>
                <w:color w:val="auto"/>
                <w:sz w:val="24"/>
                <w:highlight w:val="none"/>
              </w:rPr>
            </w:pPr>
          </w:p>
        </w:tc>
        <w:tc>
          <w:tcPr>
            <w:tcW w:w="3118" w:type="dxa"/>
            <w:vAlign w:val="center"/>
          </w:tcPr>
          <w:p>
            <w:pPr>
              <w:snapToGrid w:val="0"/>
              <w:spacing w:line="360" w:lineRule="auto"/>
              <w:jc w:val="center"/>
              <w:rPr>
                <w:rFonts w:ascii="宋体" w:hAnsi="宋体" w:cs="宋体"/>
                <w:color w:val="auto"/>
                <w:sz w:val="24"/>
                <w:highlight w:val="none"/>
              </w:rPr>
            </w:pPr>
          </w:p>
        </w:tc>
        <w:tc>
          <w:tcPr>
            <w:tcW w:w="993" w:type="dxa"/>
            <w:vAlign w:val="center"/>
          </w:tcPr>
          <w:p>
            <w:pPr>
              <w:snapToGrid w:val="0"/>
              <w:spacing w:line="360" w:lineRule="auto"/>
              <w:jc w:val="center"/>
              <w:rPr>
                <w:rFonts w:ascii="宋体" w:hAnsi="宋体" w:cs="宋体"/>
                <w:color w:val="auto"/>
                <w:sz w:val="24"/>
                <w:highlight w:val="none"/>
              </w:rPr>
            </w:pPr>
          </w:p>
        </w:tc>
        <w:tc>
          <w:tcPr>
            <w:tcW w:w="1559" w:type="dxa"/>
            <w:vAlign w:val="center"/>
          </w:tcPr>
          <w:p>
            <w:pPr>
              <w:spacing w:line="360" w:lineRule="auto"/>
              <w:jc w:val="center"/>
              <w:rPr>
                <w:rFonts w:ascii="宋体" w:hAnsi="宋体" w:cs="宋体"/>
                <w:color w:val="auto"/>
                <w:sz w:val="24"/>
                <w:highlight w:val="none"/>
              </w:rPr>
            </w:pPr>
          </w:p>
        </w:tc>
        <w:tc>
          <w:tcPr>
            <w:tcW w:w="1984" w:type="dxa"/>
            <w:vAlign w:val="center"/>
          </w:tcPr>
          <w:p>
            <w:pPr>
              <w:spacing w:line="360" w:lineRule="auto"/>
              <w:jc w:val="center"/>
              <w:rPr>
                <w:rFonts w:ascii="宋体" w:hAnsi="宋体" w:cs="宋体"/>
                <w:color w:val="auto"/>
                <w:sz w:val="24"/>
                <w:highlight w:val="none"/>
              </w:rPr>
            </w:pPr>
          </w:p>
        </w:tc>
        <w:tc>
          <w:tcPr>
            <w:tcW w:w="3119"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color w:val="auto"/>
                <w:sz w:val="24"/>
                <w:highlight w:val="none"/>
              </w:rPr>
            </w:pPr>
          </w:p>
        </w:tc>
        <w:tc>
          <w:tcPr>
            <w:tcW w:w="1417" w:type="dxa"/>
            <w:vAlign w:val="center"/>
          </w:tcPr>
          <w:p>
            <w:pPr>
              <w:snapToGrid w:val="0"/>
              <w:spacing w:line="360" w:lineRule="auto"/>
              <w:jc w:val="center"/>
              <w:rPr>
                <w:rFonts w:ascii="宋体" w:hAnsi="宋体" w:cs="宋体"/>
                <w:color w:val="auto"/>
                <w:sz w:val="24"/>
                <w:highlight w:val="none"/>
              </w:rPr>
            </w:pPr>
          </w:p>
        </w:tc>
        <w:tc>
          <w:tcPr>
            <w:tcW w:w="1843" w:type="dxa"/>
            <w:vAlign w:val="center"/>
          </w:tcPr>
          <w:p>
            <w:pPr>
              <w:snapToGrid w:val="0"/>
              <w:spacing w:line="360" w:lineRule="auto"/>
              <w:jc w:val="center"/>
              <w:rPr>
                <w:rFonts w:ascii="宋体" w:hAnsi="宋体" w:cs="宋体"/>
                <w:color w:val="auto"/>
                <w:sz w:val="24"/>
                <w:highlight w:val="none"/>
              </w:rPr>
            </w:pPr>
          </w:p>
        </w:tc>
        <w:tc>
          <w:tcPr>
            <w:tcW w:w="3118" w:type="dxa"/>
            <w:vAlign w:val="center"/>
          </w:tcPr>
          <w:p>
            <w:pPr>
              <w:snapToGrid w:val="0"/>
              <w:spacing w:line="360" w:lineRule="auto"/>
              <w:jc w:val="center"/>
              <w:rPr>
                <w:rFonts w:ascii="宋体" w:hAnsi="宋体" w:cs="宋体"/>
                <w:color w:val="auto"/>
                <w:sz w:val="24"/>
                <w:highlight w:val="none"/>
              </w:rPr>
            </w:pPr>
          </w:p>
        </w:tc>
        <w:tc>
          <w:tcPr>
            <w:tcW w:w="993" w:type="dxa"/>
            <w:vAlign w:val="center"/>
          </w:tcPr>
          <w:p>
            <w:pPr>
              <w:snapToGrid w:val="0"/>
              <w:spacing w:line="360" w:lineRule="auto"/>
              <w:jc w:val="center"/>
              <w:rPr>
                <w:rFonts w:ascii="宋体" w:hAnsi="宋体" w:cs="宋体"/>
                <w:color w:val="auto"/>
                <w:sz w:val="24"/>
                <w:highlight w:val="none"/>
              </w:rPr>
            </w:pPr>
          </w:p>
        </w:tc>
        <w:tc>
          <w:tcPr>
            <w:tcW w:w="1559" w:type="dxa"/>
            <w:vAlign w:val="center"/>
          </w:tcPr>
          <w:p>
            <w:pPr>
              <w:spacing w:line="360" w:lineRule="auto"/>
              <w:jc w:val="center"/>
              <w:rPr>
                <w:rFonts w:ascii="宋体" w:hAnsi="宋体" w:cs="宋体"/>
                <w:color w:val="auto"/>
                <w:sz w:val="24"/>
                <w:highlight w:val="none"/>
              </w:rPr>
            </w:pPr>
          </w:p>
        </w:tc>
        <w:tc>
          <w:tcPr>
            <w:tcW w:w="1984" w:type="dxa"/>
            <w:vAlign w:val="center"/>
          </w:tcPr>
          <w:p>
            <w:pPr>
              <w:spacing w:line="360" w:lineRule="auto"/>
              <w:jc w:val="center"/>
              <w:rPr>
                <w:rFonts w:ascii="宋体" w:hAnsi="宋体" w:cs="宋体"/>
                <w:color w:val="auto"/>
                <w:sz w:val="24"/>
                <w:highlight w:val="none"/>
              </w:rPr>
            </w:pPr>
          </w:p>
        </w:tc>
        <w:tc>
          <w:tcPr>
            <w:tcW w:w="3119"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投标报价（小写）</w:t>
            </w:r>
          </w:p>
        </w:tc>
        <w:tc>
          <w:tcPr>
            <w:tcW w:w="7655" w:type="dxa"/>
            <w:gridSpan w:val="4"/>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投标报价（大写）</w:t>
            </w:r>
          </w:p>
        </w:tc>
        <w:tc>
          <w:tcPr>
            <w:tcW w:w="7655" w:type="dxa"/>
            <w:gridSpan w:val="4"/>
            <w:vAlign w:val="center"/>
          </w:tcPr>
          <w:p>
            <w:pPr>
              <w:spacing w:line="360" w:lineRule="auto"/>
              <w:jc w:val="center"/>
              <w:rPr>
                <w:rFonts w:ascii="宋体" w:hAnsi="宋体" w:cs="宋体"/>
                <w:color w:val="auto"/>
                <w:sz w:val="24"/>
                <w:highlight w:val="none"/>
              </w:rPr>
            </w:pPr>
          </w:p>
        </w:tc>
      </w:tr>
    </w:tbl>
    <w:p>
      <w:pPr>
        <w:snapToGrid w:val="0"/>
        <w:spacing w:line="360" w:lineRule="auto"/>
        <w:ind w:left="480"/>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注：</w:t>
      </w:r>
    </w:p>
    <w:p>
      <w:pPr>
        <w:spacing w:line="360" w:lineRule="auto"/>
        <w:ind w:left="-2" w:leftChars="-1"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1、投标人需按本表格式填写</w:t>
      </w:r>
      <w:r>
        <w:rPr>
          <w:rFonts w:hint="eastAsia" w:ascii="宋体" w:hAnsi="宋体" w:cs="宋体"/>
          <w:b/>
          <w:color w:val="auto"/>
          <w:kern w:val="0"/>
          <w:sz w:val="24"/>
          <w:highlight w:val="none"/>
          <w:lang w:val="zh-CN"/>
        </w:rPr>
        <w:t>，</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投标文件含有采购人不能接受的附加条件，投标无效</w:t>
      </w:r>
      <w:r>
        <w:rPr>
          <w:rFonts w:hint="eastAsia" w:ascii="宋体" w:hAnsi="宋体" w:cs="宋体"/>
          <w:color w:val="auto"/>
          <w:kern w:val="0"/>
          <w:sz w:val="24"/>
          <w:highlight w:val="none"/>
          <w:lang w:val="zh-CN"/>
        </w:rPr>
        <w:t>。</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lang w:val="zh-CN"/>
        </w:rPr>
        <w:t>2、有关本项目实施所涉及的一切费用均计入报价。有关本项目实施所涉及的一切费用均计入报价。</w:t>
      </w:r>
      <w:r>
        <w:rPr>
          <w:rFonts w:hint="eastAsia" w:ascii="宋体" w:hAnsi="宋体" w:cs="宋体"/>
          <w:b/>
          <w:color w:val="auto"/>
          <w:kern w:val="0"/>
          <w:sz w:val="24"/>
          <w:highlight w:val="none"/>
          <w:lang w:val="zh-CN"/>
        </w:rPr>
        <w:t>采购人将以合同形式有偿取得货物或服务，不接受投标人给予的赠品、回扣或者与采购无关的其他商品、服务；采购内容未包含在《开标一览表（报价表）》名称栏中，投标人不能作出合理解释的，</w:t>
      </w:r>
      <w:r>
        <w:rPr>
          <w:rFonts w:hint="eastAsia" w:ascii="宋体" w:hAnsi="宋体" w:cs="宋体"/>
          <w:b/>
          <w:color w:val="auto"/>
          <w:kern w:val="0"/>
          <w:sz w:val="24"/>
          <w:highlight w:val="none"/>
        </w:rPr>
        <w:t>视为</w:t>
      </w:r>
      <w:r>
        <w:rPr>
          <w:rFonts w:hint="eastAsia" w:ascii="宋体" w:hAnsi="宋体" w:cs="宋体"/>
          <w:b/>
          <w:color w:val="auto"/>
          <w:sz w:val="24"/>
          <w:highlight w:val="none"/>
        </w:rPr>
        <w:t>投标文件含有采购人不能接受的附加条件的，投标无效。</w:t>
      </w:r>
    </w:p>
    <w:p>
      <w:pPr>
        <w:snapToGrid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宋体" w:hAnsi="宋体" w:cs="宋体"/>
          <w:color w:val="auto"/>
          <w:kern w:val="0"/>
          <w:sz w:val="24"/>
          <w:highlight w:val="none"/>
          <w:lang w:val="zh-CN"/>
        </w:rPr>
      </w:pPr>
      <w:r>
        <w:rPr>
          <w:rFonts w:ascii="宋体" w:hAnsi="宋体" w:cs="宋体"/>
          <w:color w:val="auto"/>
          <w:kern w:val="0"/>
          <w:sz w:val="24"/>
          <w:szCs w:val="22"/>
          <w:highlight w:val="none"/>
          <w:lang w:val="zh-CN"/>
        </w:rPr>
        <w:t>4</w:t>
      </w:r>
      <w:r>
        <w:rPr>
          <w:rFonts w:hint="eastAsia" w:ascii="宋体" w:hAnsi="宋体" w:cs="宋体"/>
          <w:color w:val="auto"/>
          <w:kern w:val="0"/>
          <w:sz w:val="24"/>
          <w:szCs w:val="22"/>
          <w:highlight w:val="none"/>
          <w:lang w:val="zh-CN"/>
        </w:rPr>
        <w:t>、</w:t>
      </w:r>
      <w:r>
        <w:rPr>
          <w:rFonts w:hint="eastAsia" w:ascii="宋体" w:hAnsi="宋体" w:cs="宋体"/>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宋体" w:hAnsi="宋体" w:cs="宋体"/>
          <w:b/>
          <w:color w:val="auto"/>
          <w:kern w:val="0"/>
          <w:sz w:val="24"/>
          <w:highlight w:val="none"/>
        </w:rPr>
      </w:pPr>
      <w:r>
        <w:rPr>
          <w:rFonts w:hint="eastAsia" w:ascii="宋体" w:hAnsi="宋体" w:cs="宋体"/>
          <w:b/>
          <w:color w:val="auto"/>
          <w:sz w:val="24"/>
          <w:highlight w:val="none"/>
        </w:rPr>
        <w:t>5、特别说明：▲供应商报价低于项目预算50%的，应当在报价文件中详细阐述不影响产品质量或者诚信履约的具体原因，未做阐述说明的，投标无效。</w:t>
      </w:r>
    </w:p>
    <w:p>
      <w:pPr>
        <w:rPr>
          <w:rFonts w:ascii="宋体" w:hAnsi="宋体" w:cs="宋体"/>
          <w:color w:val="auto"/>
          <w:sz w:val="32"/>
          <w:szCs w:val="32"/>
          <w:highlight w:val="none"/>
        </w:rPr>
      </w:pPr>
      <w:r>
        <w:rPr>
          <w:rFonts w:ascii="宋体" w:hAnsi="宋体" w:cs="宋体"/>
          <w:color w:val="auto"/>
          <w:sz w:val="32"/>
          <w:szCs w:val="32"/>
          <w:highlight w:val="none"/>
        </w:rPr>
        <w:br w:type="page"/>
      </w:r>
    </w:p>
    <w:p>
      <w:pPr>
        <w:pStyle w:val="690"/>
        <w:keepNext w:val="0"/>
        <w:pageBreakBefore w:val="0"/>
        <w:tabs>
          <w:tab w:val="clear" w:pos="720"/>
        </w:tabs>
        <w:snapToGrid w:val="0"/>
        <w:spacing w:before="120" w:after="120"/>
        <w:ind w:firstLine="643"/>
        <w:jc w:val="both"/>
        <w:outlineLvl w:val="9"/>
        <w:rPr>
          <w:rFonts w:ascii="宋体" w:hAnsi="宋体" w:eastAsia="宋体" w:cs="宋体"/>
          <w:color w:val="auto"/>
          <w:kern w:val="2"/>
          <w:sz w:val="32"/>
          <w:szCs w:val="32"/>
          <w:highlight w:val="none"/>
        </w:rPr>
        <w:sectPr>
          <w:pgSz w:w="16838" w:h="11906" w:orient="landscape"/>
          <w:pgMar w:top="1418" w:right="1247" w:bottom="1418" w:left="1276" w:header="851" w:footer="992" w:gutter="0"/>
          <w:cols w:space="720" w:num="1"/>
          <w:docGrid w:linePitch="312" w:charSpace="0"/>
        </w:sectPr>
      </w:pPr>
    </w:p>
    <w:p>
      <w:pPr>
        <w:pStyle w:val="690"/>
        <w:keepNext w:val="0"/>
        <w:keepLines w:val="0"/>
        <w:pageBreakBefore w:val="0"/>
        <w:widowControl w:val="0"/>
        <w:tabs>
          <w:tab w:val="clear" w:pos="720"/>
        </w:tabs>
        <w:kinsoku/>
        <w:wordWrap/>
        <w:overflowPunct/>
        <w:topLinePunct w:val="0"/>
        <w:autoSpaceDE/>
        <w:autoSpaceDN/>
        <w:bidi w:val="0"/>
        <w:adjustRightInd w:val="0"/>
        <w:snapToGrid w:val="0"/>
        <w:textAlignment w:val="auto"/>
        <w:outlineLvl w:val="9"/>
        <w:rPr>
          <w:rFonts w:ascii="宋体" w:hAnsi="宋体" w:eastAsia="宋体" w:cs="宋体"/>
          <w:color w:val="auto"/>
          <w:sz w:val="32"/>
          <w:szCs w:val="32"/>
          <w:highlight w:val="none"/>
        </w:rPr>
      </w:pPr>
      <w:r>
        <w:rPr>
          <w:rFonts w:hint="eastAsia" w:ascii="宋体" w:hAnsi="宋体" w:eastAsia="宋体" w:cs="宋体"/>
          <w:color w:val="auto"/>
          <w:kern w:val="2"/>
          <w:sz w:val="32"/>
          <w:szCs w:val="32"/>
          <w:highlight w:val="none"/>
        </w:rPr>
        <w:t>二、</w:t>
      </w:r>
      <w:r>
        <w:rPr>
          <w:rFonts w:hint="eastAsia" w:ascii="宋体" w:hAnsi="宋体" w:eastAsia="宋体" w:cs="宋体"/>
          <w:color w:val="auto"/>
          <w:sz w:val="32"/>
          <w:szCs w:val="32"/>
          <w:highlight w:val="none"/>
        </w:rPr>
        <w:t>中小企业声明函</w:t>
      </w:r>
      <w:bookmarkStart w:id="545" w:name="_Hlk101259491"/>
      <w:r>
        <w:rPr>
          <w:rFonts w:hint="eastAsia" w:ascii="宋体" w:hAnsi="宋体" w:eastAsia="宋体" w:cs="宋体"/>
          <w:color w:val="auto"/>
          <w:sz w:val="32"/>
          <w:szCs w:val="32"/>
          <w:highlight w:val="none"/>
        </w:rPr>
        <w:t>（如果有）</w:t>
      </w:r>
      <w:bookmarkEnd w:id="545"/>
    </w:p>
    <w:p>
      <w:pPr>
        <w:widowControl/>
        <w:spacing w:line="360" w:lineRule="auto"/>
        <w:ind w:firstLine="120" w:firstLineChars="50"/>
        <w:jc w:val="left"/>
        <w:rPr>
          <w:rFonts w:hint="eastAsia" w:ascii="宋体" w:hAnsi="宋体" w:cs="宋体"/>
          <w:b/>
          <w:color w:val="auto"/>
          <w:sz w:val="24"/>
          <w:highlight w:val="none"/>
        </w:rPr>
      </w:pPr>
      <w:r>
        <w:rPr>
          <w:rFonts w:hint="eastAsia" w:ascii="宋体" w:hAnsi="宋体" w:cs="宋体"/>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color w:val="auto"/>
          <w:sz w:val="24"/>
          <w:highlight w:val="none"/>
        </w:rPr>
        <w:t>7</w:t>
      </w:r>
      <w:r>
        <w:rPr>
          <w:rFonts w:hint="eastAsia" w:ascii="宋体" w:hAnsi="宋体" w:cs="宋体"/>
          <w:b/>
          <w:color w:val="auto"/>
          <w:sz w:val="24"/>
          <w:highlight w:val="none"/>
        </w:rPr>
        <w:t>）。]</w:t>
      </w:r>
    </w:p>
    <w:p>
      <w:pPr>
        <w:rPr>
          <w:rFonts w:hint="eastAsia" w:ascii="宋体" w:hAnsi="宋体" w:cs="宋体"/>
          <w:b/>
          <w:color w:val="auto"/>
          <w:sz w:val="24"/>
          <w:highlight w:val="none"/>
        </w:rPr>
      </w:pPr>
      <w:r>
        <w:rPr>
          <w:rFonts w:hint="eastAsia" w:ascii="宋体" w:hAnsi="宋体" w:cs="宋体"/>
          <w:b/>
          <w:color w:val="auto"/>
          <w:sz w:val="24"/>
          <w:highlight w:val="none"/>
        </w:rPr>
        <w:br w:type="page"/>
      </w:r>
    </w:p>
    <w:p>
      <w:pPr>
        <w:pStyle w:val="3"/>
        <w:keepNext w:val="0"/>
        <w:keepLines w:val="0"/>
        <w:pageBreakBefore/>
        <w:widowControl/>
        <w:spacing w:before="100" w:beforeAutospacing="1" w:after="100" w:afterAutospacing="1" w:line="360" w:lineRule="auto"/>
        <w:ind w:left="0" w:firstLine="0"/>
        <w:jc w:val="center"/>
        <w:rPr>
          <w:rFonts w:ascii="宋体" w:hAnsi="宋体" w:cs="宋体"/>
          <w:color w:val="auto"/>
          <w:sz w:val="32"/>
          <w:szCs w:val="32"/>
          <w:highlight w:val="none"/>
        </w:rPr>
      </w:pPr>
      <w:bookmarkStart w:id="546" w:name="_Toc465665161"/>
      <w:r>
        <w:rPr>
          <w:rFonts w:hint="eastAsia" w:ascii="宋体" w:hAnsi="宋体" w:cs="宋体"/>
          <w:color w:val="auto"/>
          <w:sz w:val="32"/>
          <w:szCs w:val="32"/>
          <w:highlight w:val="none"/>
        </w:rPr>
        <w:t>附件</w:t>
      </w:r>
      <w:bookmarkEnd w:id="546"/>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附件1：</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宋体" w:hAnsi="宋体" w:cs="宋体"/>
          <w:b/>
          <w:color w:val="auto"/>
          <w:spacing w:val="6"/>
          <w:sz w:val="32"/>
          <w:szCs w:val="32"/>
          <w:highlight w:val="none"/>
        </w:rPr>
      </w:pPr>
      <w:bookmarkStart w:id="547" w:name="OLE_LINK14"/>
      <w:bookmarkStart w:id="548" w:name="OLE_LINK13"/>
      <w:r>
        <w:rPr>
          <w:rFonts w:hint="eastAsia" w:ascii="宋体" w:hAnsi="宋体" w:cs="宋体"/>
          <w:b/>
          <w:color w:val="auto"/>
          <w:spacing w:val="6"/>
          <w:sz w:val="32"/>
          <w:szCs w:val="32"/>
          <w:highlight w:val="none"/>
        </w:rPr>
        <w:t>残疾人福利性单位声明函</w:t>
      </w:r>
    </w:p>
    <w:bookmarkEnd w:id="547"/>
    <w:bookmarkEnd w:id="548"/>
    <w:p>
      <w:pPr>
        <w:spacing w:line="360" w:lineRule="auto"/>
        <w:rPr>
          <w:rFonts w:ascii="宋体" w:hAnsi="宋体" w:cs="宋体"/>
          <w:b/>
          <w:color w:val="auto"/>
          <w:spacing w:val="6"/>
          <w:sz w:val="30"/>
          <w:szCs w:val="30"/>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color w:val="auto"/>
          <w:sz w:val="24"/>
          <w:highlight w:val="none"/>
          <w:u w:val="single"/>
        </w:rPr>
        <w:t>（采购人）</w:t>
      </w:r>
      <w:r>
        <w:rPr>
          <w:rFonts w:hint="eastAsia" w:ascii="宋体" w:hAnsi="宋体" w:cs="宋体"/>
          <w:color w:val="auto"/>
          <w:sz w:val="24"/>
          <w:highlight w:val="none"/>
        </w:rPr>
        <w:t>_单位的_</w:t>
      </w:r>
      <w:r>
        <w:rPr>
          <w:rFonts w:hint="eastAsia" w:ascii="宋体" w:hAnsi="宋体" w:cs="宋体"/>
          <w:color w:val="auto"/>
          <w:sz w:val="24"/>
          <w:highlight w:val="none"/>
          <w:u w:val="single"/>
        </w:rPr>
        <w:t>（项目名称）</w:t>
      </w:r>
      <w:r>
        <w:rPr>
          <w:rFonts w:hint="eastAsia" w:ascii="宋体" w:hAnsi="宋体" w:cs="宋体"/>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pPr>
        <w:spacing w:line="360" w:lineRule="auto"/>
        <w:ind w:firstLine="480" w:firstLineChars="200"/>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p>
    <w:p>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kern w:val="0"/>
          <w:sz w:val="24"/>
          <w:highlight w:val="none"/>
          <w:lang w:val="zh-CN"/>
        </w:rPr>
        <w:t>投标人名称（电子签名）</w:t>
      </w:r>
      <w:r>
        <w:rPr>
          <w:rFonts w:hint="eastAsia" w:ascii="宋体" w:hAnsi="宋体" w:cs="宋体"/>
          <w:color w:val="auto"/>
          <w:sz w:val="24"/>
          <w:highlight w:val="none"/>
        </w:rPr>
        <w:t>：</w:t>
      </w:r>
    </w:p>
    <w:p>
      <w:pPr>
        <w:tabs>
          <w:tab w:val="left" w:pos="4860"/>
        </w:tabs>
        <w:spacing w:line="360" w:lineRule="auto"/>
        <w:ind w:right="1560" w:firstLine="480" w:firstLineChars="200"/>
        <w:jc w:val="center"/>
        <w:rPr>
          <w:rFonts w:ascii="宋体" w:hAnsi="宋体" w:cs="宋体"/>
          <w:b/>
          <w:color w:val="auto"/>
          <w:sz w:val="24"/>
          <w:highlight w:val="none"/>
        </w:rPr>
      </w:pPr>
      <w:r>
        <w:rPr>
          <w:rFonts w:hint="eastAsia" w:ascii="宋体" w:hAnsi="宋体" w:cs="宋体"/>
          <w:color w:val="auto"/>
          <w:sz w:val="24"/>
          <w:highlight w:val="none"/>
        </w:rPr>
        <w:t xml:space="preserve">       日  期：</w:t>
      </w:r>
    </w:p>
    <w:p>
      <w:pP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br w:type="page"/>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附件2：质疑函范本及制作说明</w:t>
      </w:r>
    </w:p>
    <w:p>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质疑函范本</w:t>
      </w:r>
    </w:p>
    <w:p>
      <w:pPr>
        <w:snapToGrid w:val="0"/>
        <w:spacing w:before="240" w:beforeLines="100" w:line="360" w:lineRule="auto"/>
        <w:rPr>
          <w:rFonts w:ascii="宋体" w:hAnsi="宋体" w:cs="宋体"/>
          <w:bCs/>
          <w:color w:val="auto"/>
          <w:sz w:val="24"/>
          <w:highlight w:val="none"/>
        </w:rPr>
      </w:pPr>
      <w:r>
        <w:rPr>
          <w:rFonts w:hint="eastAsia" w:ascii="宋体" w:hAnsi="宋体" w:cs="宋体"/>
          <w:bCs/>
          <w:color w:val="auto"/>
          <w:sz w:val="24"/>
          <w:highlight w:val="none"/>
        </w:rPr>
        <w:t>一、质疑供应商基本信息</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质疑供应商：</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地址：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地址： </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二、质疑项目基本情况</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质疑项目的名称：</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采购文件获取日期：</w:t>
      </w:r>
      <w:r>
        <w:rPr>
          <w:rFonts w:hint="eastAsia" w:ascii="宋体" w:hAnsi="宋体" w:cs="宋体"/>
          <w:color w:val="auto"/>
          <w:sz w:val="24"/>
          <w:highlight w:val="none"/>
          <w:u w:val="dotted"/>
        </w:rPr>
        <w:t xml:space="preserve">                                           </w:t>
      </w:r>
    </w:p>
    <w:p>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三、质疑事项具体内容</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质疑事项1：</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质疑事项2</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p>
    <w:p>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四、与质疑事项相关的质疑请求</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pPr>
        <w:spacing w:line="360" w:lineRule="auto"/>
        <w:rPr>
          <w:rFonts w:ascii="宋体" w:hAnsi="宋体" w:cs="宋体"/>
          <w:b/>
          <w:color w:val="auto"/>
          <w:sz w:val="24"/>
          <w:highlight w:val="none"/>
        </w:rPr>
      </w:pPr>
      <w:r>
        <w:rPr>
          <w:rFonts w:hint="eastAsia" w:ascii="宋体" w:hAnsi="宋体" w:cs="宋体"/>
          <w:b/>
          <w:color w:val="auto"/>
          <w:sz w:val="24"/>
          <w:highlight w:val="none"/>
        </w:rPr>
        <w:t>质疑函制作说明：</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1.供应商提出质疑时，应提交质疑函和必要的证明材料。</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2.质疑供应商若委托代理人进行质疑的，质疑函应按要求列明“授权代表”的有关内容，并在附件中提交由质疑</w:t>
      </w:r>
      <w:r>
        <w:rPr>
          <w:rFonts w:hint="eastAsia" w:ascii="宋体" w:hAnsi="宋体" w:cs="宋体"/>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3.质疑供应商若对项目的某一分包进行质疑，质疑函中应列明具体分包号。</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4.质疑函的质疑事项应具体、明确，并有必要的事实依据和法律依据。</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5.质疑函的质疑请求应与质疑事项相关。</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pP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br w:type="page"/>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宋体" w:hAnsi="宋体" w:cs="宋体"/>
          <w:b/>
          <w:color w:val="auto"/>
          <w:sz w:val="32"/>
          <w:szCs w:val="32"/>
          <w:highlight w:val="none"/>
        </w:rPr>
      </w:pPr>
      <w:r>
        <w:rPr>
          <w:rFonts w:hint="eastAsia" w:ascii="宋体" w:hAnsi="宋体" w:cs="宋体"/>
          <w:b/>
          <w:color w:val="auto"/>
          <w:spacing w:val="6"/>
          <w:sz w:val="32"/>
          <w:szCs w:val="32"/>
          <w:highlight w:val="none"/>
        </w:rPr>
        <w:t>附件3：投诉书范本及制作说明</w:t>
      </w:r>
    </w:p>
    <w:p>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投诉书范本</w:t>
      </w:r>
    </w:p>
    <w:p>
      <w:pPr>
        <w:spacing w:line="360" w:lineRule="auto"/>
        <w:rPr>
          <w:rFonts w:ascii="宋体" w:hAnsi="宋体" w:cs="宋体"/>
          <w:color w:val="auto"/>
          <w:sz w:val="24"/>
          <w:highlight w:val="none"/>
        </w:rPr>
      </w:pPr>
      <w:r>
        <w:rPr>
          <w:rFonts w:hint="eastAsia" w:ascii="宋体" w:hAnsi="宋体" w:cs="宋体"/>
          <w:color w:val="auto"/>
          <w:sz w:val="24"/>
          <w:highlight w:val="none"/>
        </w:rPr>
        <w:t>一、投诉相关主体基本情况</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投诉人：</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tabs>
          <w:tab w:val="left" w:pos="6510"/>
        </w:tabs>
        <w:spacing w:line="360" w:lineRule="auto"/>
        <w:jc w:val="left"/>
        <w:rPr>
          <w:rFonts w:ascii="宋体" w:hAnsi="宋体" w:cs="宋体"/>
          <w:color w:val="auto"/>
          <w:sz w:val="24"/>
          <w:highlight w:val="none"/>
        </w:rPr>
      </w:pPr>
      <w:r>
        <w:rPr>
          <w:rFonts w:hint="eastAsia" w:ascii="宋体" w:hAnsi="宋体" w:cs="宋体"/>
          <w:color w:val="auto"/>
          <w:sz w:val="24"/>
          <w:highlight w:val="none"/>
        </w:rPr>
        <w:t>法定代表人/主要负责人：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pPr>
        <w:tabs>
          <w:tab w:val="left" w:pos="6510"/>
        </w:tabs>
        <w:spacing w:line="360" w:lineRule="auto"/>
        <w:rPr>
          <w:rFonts w:ascii="宋体" w:hAnsi="宋体" w:cs="宋体"/>
          <w:color w:val="auto"/>
          <w:sz w:val="24"/>
          <w:highlight w:val="none"/>
          <w:u w:val="dotted"/>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被投诉人1：</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被投诉人2</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相关供应商：</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二、投诉项目基本情况</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采购项目名称：</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采购项目编号：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代理机构名称：</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采购文件公告: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采购结果公告: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三、质疑基本情况</w:t>
      </w:r>
    </w:p>
    <w:p>
      <w:pPr>
        <w:spacing w:line="360" w:lineRule="auto"/>
        <w:ind w:firstLine="480" w:firstLineChars="200"/>
        <w:rPr>
          <w:rFonts w:ascii="宋体" w:hAnsi="宋体" w:cs="宋体"/>
          <w:color w:val="auto"/>
          <w:sz w:val="24"/>
          <w:highlight w:val="none"/>
          <w:u w:val="dotted"/>
        </w:rPr>
      </w:pPr>
      <w:r>
        <w:rPr>
          <w:rFonts w:hint="eastAsia" w:ascii="宋体" w:hAnsi="宋体" w:cs="宋体"/>
          <w:color w:val="auto"/>
          <w:sz w:val="24"/>
          <w:highlight w:val="none"/>
        </w:rPr>
        <w:t>投诉人于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日,向</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提出质疑，质疑事项为：</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pPr>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u w:val="dotted"/>
        </w:rPr>
        <w:t>采购人/代理机构</w:t>
      </w:r>
      <w:r>
        <w:rPr>
          <w:rFonts w:hint="eastAsia" w:ascii="宋体" w:hAnsi="宋体" w:cs="宋体"/>
          <w:color w:val="auto"/>
          <w:sz w:val="24"/>
          <w:highlight w:val="none"/>
        </w:rPr>
        <w:t>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日,就质疑事项作出了答复/没有在法定期限内作出答复。</w:t>
      </w:r>
    </w:p>
    <w:p>
      <w:pPr>
        <w:spacing w:line="360" w:lineRule="auto"/>
        <w:rPr>
          <w:rFonts w:ascii="宋体" w:hAnsi="宋体" w:cs="宋体"/>
          <w:color w:val="auto"/>
          <w:sz w:val="24"/>
          <w:highlight w:val="none"/>
        </w:rPr>
      </w:pPr>
      <w:r>
        <w:rPr>
          <w:rFonts w:hint="eastAsia" w:ascii="宋体" w:hAnsi="宋体" w:cs="宋体"/>
          <w:color w:val="auto"/>
          <w:sz w:val="24"/>
          <w:highlight w:val="none"/>
        </w:rPr>
        <w:t>四、投诉事项具体内容</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投诉事项 1：</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投诉事项2</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pPr>
        <w:spacing w:line="360" w:lineRule="auto"/>
        <w:rPr>
          <w:rFonts w:ascii="宋体" w:hAnsi="宋体" w:cs="宋体"/>
          <w:color w:val="auto"/>
          <w:sz w:val="24"/>
          <w:highlight w:val="none"/>
        </w:rPr>
      </w:pPr>
      <w:r>
        <w:rPr>
          <w:rFonts w:hint="eastAsia" w:ascii="宋体" w:hAnsi="宋体" w:cs="宋体"/>
          <w:color w:val="auto"/>
          <w:sz w:val="24"/>
          <w:highlight w:val="none"/>
        </w:rPr>
        <w:t>五、与投诉事项相关的投诉请求</w:t>
      </w:r>
    </w:p>
    <w:p>
      <w:pPr>
        <w:spacing w:line="360" w:lineRule="auto"/>
        <w:rPr>
          <w:rFonts w:ascii="宋体" w:hAnsi="宋体" w:cs="宋体"/>
          <w:color w:val="auto"/>
          <w:sz w:val="24"/>
          <w:highlight w:val="none"/>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pPr>
        <w:spacing w:line="360" w:lineRule="auto"/>
        <w:rPr>
          <w:rFonts w:ascii="宋体" w:hAnsi="宋体" w:cs="宋体"/>
          <w:b/>
          <w:color w:val="auto"/>
          <w:sz w:val="24"/>
          <w:highlight w:val="none"/>
        </w:rPr>
      </w:pPr>
      <w:r>
        <w:rPr>
          <w:rFonts w:hint="eastAsia" w:ascii="宋体" w:hAnsi="宋体" w:cs="宋体"/>
          <w:color w:val="auto"/>
          <w:sz w:val="24"/>
          <w:highlight w:val="none"/>
        </w:rPr>
        <w:t xml:space="preserve">日期：    </w:t>
      </w:r>
    </w:p>
    <w:p>
      <w:pPr>
        <w:spacing w:line="360" w:lineRule="auto"/>
        <w:rPr>
          <w:rFonts w:ascii="宋体" w:hAnsi="宋体" w:cs="宋体"/>
          <w:b/>
          <w:color w:val="auto"/>
          <w:sz w:val="24"/>
          <w:highlight w:val="none"/>
        </w:rPr>
      </w:pPr>
      <w:r>
        <w:rPr>
          <w:rFonts w:hint="eastAsia" w:ascii="宋体" w:hAnsi="宋体" w:cs="宋体"/>
          <w:b/>
          <w:color w:val="auto"/>
          <w:sz w:val="24"/>
          <w:highlight w:val="none"/>
        </w:rPr>
        <w:t>投诉书制作说明：</w:t>
      </w:r>
    </w:p>
    <w:p>
      <w:pPr>
        <w:widowControl/>
        <w:spacing w:line="360" w:lineRule="auto"/>
        <w:ind w:firstLine="480" w:firstLineChars="200"/>
        <w:rPr>
          <w:rFonts w:ascii="宋体" w:hAnsi="宋体" w:cs="宋体"/>
          <w:color w:val="auto"/>
          <w:kern w:val="0"/>
          <w:sz w:val="24"/>
          <w:highlight w:val="none"/>
        </w:rPr>
      </w:pPr>
      <w:r>
        <w:rPr>
          <w:rFonts w:hint="eastAsia" w:ascii="宋体" w:hAnsi="宋体" w:cs="宋体"/>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2.投诉人若委托代理人进行投诉的，投诉书应按照要求列明“授权代表”的有关内容，并在附件中提交由</w:t>
      </w:r>
      <w:r>
        <w:rPr>
          <w:rFonts w:hint="eastAsia" w:ascii="宋体" w:hAnsi="宋体" w:cs="宋体"/>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3.投诉人若对项目的某一分包进行投诉，投诉书应列明具体分包号。</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4.投诉书应简要列明质疑事项，质疑函、质疑答复等作为附件材料提供。</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5.投诉书的投诉事项应具体、明确，并有必要的事实依据和法律依据。</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6.投诉书的投诉请求应与投诉事项相关。</w:t>
      </w:r>
    </w:p>
    <w:p>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pP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br w:type="page"/>
      </w:r>
    </w:p>
    <w:p>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宋体" w:hAnsi="宋体" w:cs="宋体"/>
          <w:color w:val="auto"/>
          <w:sz w:val="24"/>
          <w:highlight w:val="none"/>
          <w:u w:val="single"/>
        </w:rPr>
      </w:pPr>
      <w:r>
        <w:rPr>
          <w:rFonts w:hint="eastAsia" w:ascii="宋体" w:hAnsi="宋体" w:cs="宋体"/>
          <w:b/>
          <w:color w:val="auto"/>
          <w:spacing w:val="6"/>
          <w:sz w:val="32"/>
          <w:szCs w:val="32"/>
          <w:highlight w:val="none"/>
        </w:rPr>
        <w:t>附件4：</w:t>
      </w:r>
      <w:r>
        <w:rPr>
          <w:rFonts w:hint="eastAsia" w:ascii="宋体" w:hAnsi="宋体" w:cs="宋体"/>
          <w:b/>
          <w:bCs/>
          <w:color w:val="auto"/>
          <w:sz w:val="32"/>
          <w:szCs w:val="32"/>
          <w:highlight w:val="none"/>
        </w:rPr>
        <w:t>业务专用章使用说明函</w:t>
      </w:r>
    </w:p>
    <w:p>
      <w:pPr>
        <w:spacing w:line="360" w:lineRule="auto"/>
        <w:rPr>
          <w:rFonts w:ascii="宋体" w:hAnsi="宋体" w:cs="宋体"/>
          <w:color w:val="auto"/>
          <w:sz w:val="24"/>
          <w:highlight w:val="none"/>
        </w:rPr>
      </w:pPr>
      <w:r>
        <w:rPr>
          <w:rFonts w:hint="eastAsia" w:ascii="宋体" w:hAnsi="宋体" w:cs="宋体"/>
          <w:color w:val="auto"/>
          <w:sz w:val="24"/>
          <w:highlight w:val="none"/>
          <w:u w:val="single"/>
        </w:rPr>
        <w:t>（采购人）、（采购代理机构）：</w:t>
      </w:r>
    </w:p>
    <w:p>
      <w:pPr>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lang w:val="zh-CN"/>
        </w:rPr>
        <w:t>我方</w:t>
      </w:r>
      <w:r>
        <w:rPr>
          <w:rFonts w:hint="eastAsia" w:ascii="宋体" w:hAnsi="宋体" w:cs="宋体"/>
          <w:color w:val="auto"/>
          <w:kern w:val="0"/>
          <w:sz w:val="24"/>
          <w:highlight w:val="none"/>
          <w:u w:val="single"/>
          <w:lang w:val="zh-CN"/>
        </w:rPr>
        <w:t xml:space="preserve">                         </w:t>
      </w:r>
      <w:r>
        <w:rPr>
          <w:rFonts w:hint="eastAsia" w:ascii="宋体" w:hAnsi="宋体" w:cs="宋体"/>
          <w:color w:val="auto"/>
          <w:sz w:val="24"/>
          <w:highlight w:val="none"/>
        </w:rPr>
        <w:t>(投标人全称)是中华人民共和国依法登记注册的合法企业，</w:t>
      </w:r>
      <w:r>
        <w:rPr>
          <w:rFonts w:hint="eastAsia" w:ascii="宋体" w:hAnsi="宋体" w:cs="宋体"/>
          <w:bCs/>
          <w:color w:val="auto"/>
          <w:sz w:val="24"/>
          <w:highlight w:val="none"/>
        </w:rPr>
        <w:t>在参加</w:t>
      </w:r>
      <w:r>
        <w:rPr>
          <w:rFonts w:hint="eastAsia" w:ascii="宋体" w:hAnsi="宋体" w:cs="宋体"/>
          <w:color w:val="auto"/>
          <w:sz w:val="24"/>
          <w:highlight w:val="none"/>
        </w:rPr>
        <w:t>你方组织的（项目名称）【招标编号：（采购编号）】</w:t>
      </w:r>
      <w:r>
        <w:rPr>
          <w:rFonts w:hint="eastAsia" w:ascii="宋体" w:hAnsi="宋体" w:cs="宋体"/>
          <w:bCs/>
          <w:color w:val="auto"/>
          <w:sz w:val="24"/>
          <w:highlight w:val="none"/>
        </w:rPr>
        <w:t>投标活动中作如下说明：</w:t>
      </w:r>
      <w:r>
        <w:rPr>
          <w:rFonts w:hint="eastAsia" w:ascii="宋体" w:hAnsi="宋体" w:cs="宋体"/>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特此说明。</w:t>
      </w:r>
    </w:p>
    <w:p>
      <w:pPr>
        <w:spacing w:line="360" w:lineRule="auto"/>
        <w:ind w:firstLine="494"/>
        <w:rPr>
          <w:rFonts w:ascii="宋体" w:hAnsi="宋体" w:cs="宋体"/>
          <w:color w:val="auto"/>
          <w:sz w:val="24"/>
          <w:highlight w:val="none"/>
        </w:rPr>
      </w:pPr>
    </w:p>
    <w:p>
      <w:pPr>
        <w:spacing w:line="360" w:lineRule="auto"/>
        <w:ind w:firstLine="420" w:firstLineChars="0"/>
        <w:rPr>
          <w:rFonts w:ascii="宋体" w:hAnsi="宋体" w:cs="宋体"/>
          <w:color w:val="auto"/>
          <w:sz w:val="24"/>
          <w:highlight w:val="none"/>
        </w:rPr>
      </w:pPr>
    </w:p>
    <w:p>
      <w:pPr>
        <w:spacing w:line="360" w:lineRule="auto"/>
        <w:ind w:firstLine="420" w:firstLineChars="0"/>
        <w:rPr>
          <w:rFonts w:ascii="宋体" w:hAnsi="宋体" w:cs="宋体"/>
          <w:color w:val="auto"/>
          <w:sz w:val="24"/>
          <w:highlight w:val="none"/>
        </w:rPr>
      </w:pPr>
    </w:p>
    <w:p>
      <w:pPr>
        <w:spacing w:line="360" w:lineRule="auto"/>
        <w:ind w:right="480" w:firstLine="4080" w:firstLineChars="1700"/>
        <w:rPr>
          <w:rFonts w:ascii="宋体" w:hAnsi="宋体" w:cs="宋体"/>
          <w:color w:val="auto"/>
          <w:sz w:val="24"/>
          <w:highlight w:val="none"/>
        </w:rPr>
      </w:pPr>
      <w:r>
        <w:rPr>
          <w:rFonts w:hint="eastAsia" w:ascii="宋体" w:hAnsi="宋体" w:cs="宋体"/>
          <w:color w:val="auto"/>
          <w:sz w:val="24"/>
          <w:highlight w:val="none"/>
        </w:rPr>
        <w:t>投标单位（法定名称章）：</w:t>
      </w:r>
    </w:p>
    <w:p>
      <w:pPr>
        <w:ind w:right="1440" w:firstLine="494"/>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pPr>
        <w:rPr>
          <w:rFonts w:ascii="宋体" w:hAnsi="宋体" w:cs="宋体"/>
          <w:color w:val="auto"/>
          <w:sz w:val="24"/>
          <w:highlight w:val="none"/>
        </w:rPr>
      </w:pPr>
      <w:r>
        <w:rPr>
          <w:rFonts w:hint="eastAsia" w:ascii="宋体" w:hAnsi="宋体" w:cs="宋体"/>
          <w:b/>
          <w:bCs/>
          <w:color w:val="auto"/>
          <w:sz w:val="24"/>
          <w:highlight w:val="none"/>
        </w:rPr>
        <w:t>附：</w:t>
      </w:r>
    </w:p>
    <w:p>
      <w:pPr>
        <w:spacing w:line="360" w:lineRule="auto"/>
        <w:rPr>
          <w:rFonts w:ascii="宋体" w:hAnsi="宋体" w:cs="宋体"/>
          <w:bCs/>
          <w:color w:val="auto"/>
          <w:sz w:val="24"/>
          <w:highlight w:val="none"/>
        </w:rPr>
      </w:pPr>
      <w:r>
        <w:rPr>
          <w:rFonts w:hint="eastAsia" w:ascii="宋体" w:hAnsi="宋体" w:cs="宋体"/>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color w:val="auto"/>
          <w:sz w:val="24"/>
          <w:highlight w:val="none"/>
        </w:rPr>
        <w:t>投标单位法定名称章（印模）                投标单位“XX专用章”（印模）</w:t>
      </w: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r>
        <w:rPr>
          <w:rFonts w:ascii="宋体" w:hAnsi="宋体" w:cs="宋体"/>
          <w:b/>
          <w:color w:val="auto"/>
          <w:kern w:val="0"/>
          <w:sz w:val="32"/>
          <w:szCs w:val="32"/>
          <w:highlight w:val="none"/>
        </w:rPr>
        <w:t>5</w:t>
      </w:r>
      <w:r>
        <w:rPr>
          <w:rFonts w:hint="eastAsia" w:ascii="宋体" w:hAnsi="宋体" w:cs="宋体"/>
          <w:b/>
          <w:color w:val="auto"/>
          <w:kern w:val="0"/>
          <w:sz w:val="32"/>
          <w:szCs w:val="32"/>
          <w:highlight w:val="none"/>
        </w:rPr>
        <w:t>：联合协议</w:t>
      </w:r>
    </w:p>
    <w:p>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（联合体所有成员名称）</w:t>
      </w:r>
      <w:r>
        <w:rPr>
          <w:rFonts w:hint="eastAsia" w:ascii="宋体" w:hAnsi="宋体" w:cs="宋体"/>
          <w:color w:val="auto"/>
          <w:kern w:val="0"/>
          <w:sz w:val="24"/>
          <w:highlight w:val="none"/>
        </w:rPr>
        <w:t>自愿</w:t>
      </w:r>
      <w:r>
        <w:rPr>
          <w:rFonts w:hint="eastAsia" w:ascii="宋体" w:hAnsi="宋体" w:cs="宋体"/>
          <w:color w:val="auto"/>
          <w:kern w:val="0"/>
          <w:sz w:val="24"/>
          <w:highlight w:val="none"/>
          <w:lang w:val="zh-CN"/>
        </w:rPr>
        <w:t>组成一个联合体，以一个投标人的身份</w:t>
      </w:r>
      <w:r>
        <w:rPr>
          <w:rFonts w:hint="eastAsia" w:ascii="宋体" w:hAnsi="宋体" w:cs="宋体"/>
          <w:color w:val="auto"/>
          <w:kern w:val="0"/>
          <w:sz w:val="24"/>
          <w:highlight w:val="none"/>
        </w:rPr>
        <w:t>参加</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 xml:space="preserve">投标。 </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一、各方一致决定，</w:t>
      </w:r>
      <w:r>
        <w:rPr>
          <w:rFonts w:hint="eastAsia" w:ascii="宋体" w:hAnsi="宋体" w:cs="宋体"/>
          <w:color w:val="auto"/>
          <w:kern w:val="0"/>
          <w:sz w:val="24"/>
          <w:highlight w:val="none"/>
          <w:u w:val="single"/>
        </w:rPr>
        <w:t>（某联合体成员名称）</w:t>
      </w:r>
      <w:r>
        <w:rPr>
          <w:rFonts w:hint="eastAsia" w:ascii="宋体" w:hAnsi="宋体" w:cs="宋体"/>
          <w:color w:val="auto"/>
          <w:kern w:val="0"/>
          <w:sz w:val="24"/>
          <w:highlight w:val="none"/>
        </w:rPr>
        <w:t>为联合体</w:t>
      </w:r>
      <w:r>
        <w:rPr>
          <w:rFonts w:hint="eastAsia" w:ascii="宋体" w:hAnsi="宋体" w:cs="宋体"/>
          <w:color w:val="auto"/>
          <w:kern w:val="0"/>
          <w:sz w:val="24"/>
          <w:highlight w:val="none"/>
          <w:lang w:val="zh-CN"/>
        </w:rPr>
        <w:t>牵头人</w:t>
      </w:r>
      <w:r>
        <w:rPr>
          <w:rFonts w:hint="eastAsia" w:ascii="宋体" w:hAnsi="宋体" w:cs="宋体"/>
          <w:color w:val="auto"/>
          <w:sz w:val="24"/>
          <w:highlight w:val="none"/>
        </w:rPr>
        <w:t>，代表所有联合体成员负责投标和合同实施阶段的主办、协调工作</w:t>
      </w:r>
      <w:r>
        <w:rPr>
          <w:rFonts w:hint="eastAsia" w:ascii="宋体" w:hAnsi="宋体" w:cs="宋体"/>
          <w:color w:val="auto"/>
          <w:kern w:val="0"/>
          <w:sz w:val="24"/>
          <w:highlight w:val="none"/>
          <w:lang w:val="zh-CN"/>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w:t>
      </w:r>
      <w:r>
        <w:rPr>
          <w:rFonts w:hint="eastAsia" w:ascii="宋体" w:hAnsi="宋体" w:cs="宋体"/>
          <w:color w:val="auto"/>
          <w:sz w:val="24"/>
          <w:highlight w:val="none"/>
        </w:rPr>
        <w:t>所有联合体成员各方签署授权书，授权书载明的</w:t>
      </w:r>
      <w:r>
        <w:rPr>
          <w:rFonts w:hint="eastAsia" w:ascii="宋体" w:hAnsi="宋体" w:cs="宋体"/>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三、本次联合投标中，分工如下：</w:t>
      </w:r>
    </w:p>
    <w:p>
      <w:pPr>
        <w:snapToGrid w:val="0"/>
        <w:spacing w:line="360" w:lineRule="auto"/>
        <w:ind w:firstLine="576"/>
        <w:rPr>
          <w:rFonts w:ascii="宋体" w:hAnsi="宋体" w:cs="宋体"/>
          <w:color w:val="auto"/>
          <w:kern w:val="0"/>
          <w:sz w:val="24"/>
          <w:highlight w:val="none"/>
          <w:lang w:val="zh-CN"/>
        </w:rPr>
      </w:pPr>
      <w:bookmarkStart w:id="549" w:name="_Hlk101134295"/>
      <w:r>
        <w:rPr>
          <w:rFonts w:hint="eastAsia" w:ascii="宋体" w:hAnsi="宋体" w:cs="宋体"/>
          <w:color w:val="auto"/>
          <w:kern w:val="0"/>
          <w:sz w:val="24"/>
          <w:highlight w:val="none"/>
          <w:u w:val="single"/>
        </w:rPr>
        <w:t>（联合体成员1）</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2</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w:t>
      </w:r>
    </w:p>
    <w:bookmarkEnd w:id="549"/>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四、联合体成员中小企业合同份额。</w:t>
      </w:r>
    </w:p>
    <w:p>
      <w:pPr>
        <w:snapToGrid w:val="0"/>
        <w:spacing w:line="360" w:lineRule="auto"/>
        <w:ind w:firstLine="576"/>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1、</w:t>
      </w: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X,</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rPr>
        <w:t>提供的全部货物由小微企业制造，其合同份额占到合同总金额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未预留份额专门面向中小企业采购的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sz w:val="24"/>
          <w:highlight w:val="none"/>
        </w:rPr>
        <w:t>2、中小企业合同金额达到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color w:val="auto"/>
          <w:kern w:val="0"/>
          <w:sz w:val="24"/>
          <w:highlight w:val="none"/>
          <w:lang w:val="zh-CN"/>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五、如果中标，</w:t>
      </w:r>
      <w:r>
        <w:rPr>
          <w:rFonts w:hint="eastAsia" w:ascii="宋体" w:hAnsi="宋体" w:cs="宋体"/>
          <w:color w:val="auto"/>
          <w:sz w:val="24"/>
          <w:highlight w:val="none"/>
        </w:rPr>
        <w:t>联合体各成员方共同与采购人签订合同，并就采购合同约定的事项对采购人承担连带责任。</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六、有关本次联合投标的其他事宜：</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pPr>
        <w:snapToGrid w:val="0"/>
        <w:spacing w:line="360" w:lineRule="auto"/>
        <w:ind w:right="960"/>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r>
        <w:rPr>
          <w:rFonts w:ascii="宋体" w:hAnsi="宋体" w:cs="宋体"/>
          <w:b/>
          <w:color w:val="auto"/>
          <w:kern w:val="0"/>
          <w:sz w:val="32"/>
          <w:szCs w:val="32"/>
          <w:highlight w:val="none"/>
        </w:rPr>
        <w:t>6</w:t>
      </w:r>
      <w:r>
        <w:rPr>
          <w:rFonts w:hint="eastAsia" w:ascii="宋体" w:hAnsi="宋体" w:cs="宋体"/>
          <w:b/>
          <w:color w:val="auto"/>
          <w:kern w:val="0"/>
          <w:sz w:val="32"/>
          <w:szCs w:val="32"/>
          <w:highlight w:val="none"/>
        </w:rPr>
        <w:t>：分包意向协议</w:t>
      </w:r>
    </w:p>
    <w:p>
      <w:pPr>
        <w:widowControl/>
        <w:spacing w:line="360" w:lineRule="auto"/>
        <w:ind w:firstLine="120" w:firstLineChars="50"/>
        <w:jc w:val="left"/>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中标后以分包方式履行合同的，提供分包意向协议；采购人不同意分包或者投标人中标后不以分包方式履行合同的，则不需要提供。</w:t>
      </w:r>
      <w:r>
        <w:rPr>
          <w:rFonts w:hint="eastAsia" w:ascii="宋体" w:hAnsi="宋体" w:cs="宋体"/>
          <w:color w:val="auto"/>
          <w:sz w:val="24"/>
          <w:highlight w:val="none"/>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若成为</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的中标供应商，将依法采取分包方式履行合同。</w:t>
      </w: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rPr>
        <w:t>与</w:t>
      </w:r>
      <w:r>
        <w:rPr>
          <w:rFonts w:hint="eastAsia" w:ascii="宋体" w:hAnsi="宋体" w:cs="宋体"/>
          <w:color w:val="auto"/>
          <w:kern w:val="0"/>
          <w:sz w:val="24"/>
          <w:highlight w:val="none"/>
          <w:u w:val="single"/>
        </w:rPr>
        <w:t>（所有分包供应商名称）</w:t>
      </w:r>
      <w:r>
        <w:rPr>
          <w:rFonts w:hint="eastAsia" w:ascii="宋体" w:hAnsi="宋体" w:cs="宋体"/>
          <w:color w:val="auto"/>
          <w:kern w:val="0"/>
          <w:sz w:val="24"/>
          <w:highlight w:val="none"/>
        </w:rPr>
        <w:t>达成分包意向协议</w:t>
      </w:r>
      <w:r>
        <w:rPr>
          <w:rFonts w:hint="eastAsia" w:ascii="宋体" w:hAnsi="宋体" w:cs="宋体"/>
          <w:color w:val="auto"/>
          <w:kern w:val="0"/>
          <w:sz w:val="24"/>
          <w:highlight w:val="none"/>
          <w:lang w:val="zh-CN"/>
        </w:rPr>
        <w:t xml:space="preserve">。 </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一、分包标的及数量</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w:t>
      </w:r>
      <w:r>
        <w:rPr>
          <w:rFonts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具备承</w:t>
      </w:r>
      <w:r>
        <w:rPr>
          <w:rFonts w:hint="eastAsia" w:ascii="宋体" w:hAnsi="宋体" w:cs="宋体"/>
          <w:color w:val="auto"/>
          <w:kern w:val="0"/>
          <w:sz w:val="24"/>
          <w:highlight w:val="none"/>
        </w:rPr>
        <w:t>担</w:t>
      </w:r>
      <w:r>
        <w:rPr>
          <w:rFonts w:hint="eastAsia" w:ascii="宋体" w:hAnsi="宋体" w:cs="宋体"/>
          <w:color w:val="auto"/>
          <w:kern w:val="0"/>
          <w:sz w:val="24"/>
          <w:highlight w:val="none"/>
          <w:u w:val="single"/>
          <w:lang w:val="zh-CN"/>
        </w:rPr>
        <w:t>XX工作内容</w:t>
      </w:r>
      <w:r>
        <w:rPr>
          <w:rFonts w:hint="eastAsia" w:ascii="宋体" w:hAnsi="宋体" w:cs="宋体"/>
          <w:color w:val="auto"/>
          <w:kern w:val="0"/>
          <w:sz w:val="24"/>
          <w:highlight w:val="none"/>
          <w:lang w:val="zh-CN"/>
        </w:rPr>
        <w:t>相应资质条件且不得再次分包；</w:t>
      </w:r>
    </w:p>
    <w:p>
      <w:pPr>
        <w:pStyle w:val="4"/>
        <w:ind w:left="664" w:leftChars="316" w:firstLine="229" w:firstLineChars="95"/>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二、分包供应商中小企业合同份额</w:t>
      </w:r>
    </w:p>
    <w:p>
      <w:pPr>
        <w:snapToGrid w:val="0"/>
        <w:spacing w:line="360" w:lineRule="auto"/>
        <w:ind w:firstLine="576"/>
        <w:rPr>
          <w:rFonts w:ascii="宋体" w:hAnsi="宋体" w:cs="宋体"/>
          <w:b/>
          <w:color w:val="auto"/>
          <w:kern w:val="0"/>
          <w:sz w:val="24"/>
          <w:highlight w:val="none"/>
          <w:lang w:val="zh-CN"/>
        </w:rPr>
      </w:pPr>
      <w:r>
        <w:rPr>
          <w:rFonts w:ascii="宋体" w:hAnsi="宋体" w:cs="宋体"/>
          <w:color w:val="auto"/>
          <w:kern w:val="0"/>
          <w:sz w:val="24"/>
          <w:highlight w:val="none"/>
        </w:rPr>
        <w:t>1、</w:t>
      </w:r>
      <w:r>
        <w:rPr>
          <w:rFonts w:hint="eastAsia" w:ascii="宋体" w:hAnsi="宋体" w:cs="宋体"/>
          <w:color w:val="auto"/>
          <w:kern w:val="0"/>
          <w:sz w:val="24"/>
          <w:highlight w:val="none"/>
          <w:u w:val="single"/>
        </w:rPr>
        <w:t>（分包供应商X</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……）提供的货物全部由小微企业制造，</w:t>
      </w:r>
      <w:r>
        <w:rPr>
          <w:rFonts w:hint="eastAsia" w:ascii="宋体" w:hAnsi="宋体" w:cs="宋体"/>
          <w:color w:val="auto"/>
          <w:kern w:val="0"/>
          <w:sz w:val="24"/>
          <w:highlight w:val="none"/>
        </w:rPr>
        <w:t>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highlight w:val="none"/>
        </w:rPr>
        <w:t>。</w:t>
      </w:r>
      <w:r>
        <w:rPr>
          <w:rFonts w:hint="eastAsia" w:ascii="宋体" w:hAnsi="宋体" w:cs="宋体"/>
          <w:b/>
          <w:color w:val="auto"/>
          <w:kern w:val="0"/>
          <w:sz w:val="24"/>
          <w:highlight w:val="none"/>
          <w:lang w:val="zh-CN"/>
        </w:rPr>
        <w:t>（未预留份额专门面向中小企业采购的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pPr>
        <w:spacing w:line="360" w:lineRule="auto"/>
        <w:ind w:firstLine="480" w:firstLineChars="200"/>
        <w:rPr>
          <w:rFonts w:ascii="宋体" w:hAnsi="宋体" w:cs="宋体"/>
          <w:b/>
          <w:bCs/>
          <w:color w:val="auto"/>
          <w:kern w:val="0"/>
          <w:sz w:val="24"/>
          <w:highlight w:val="none"/>
          <w:lang w:val="zh-CN"/>
        </w:rPr>
      </w:pPr>
      <w:r>
        <w:rPr>
          <w:rFonts w:hint="eastAsia" w:ascii="宋体" w:hAnsi="宋体" w:cs="宋体"/>
          <w:color w:val="auto"/>
          <w:sz w:val="24"/>
          <w:highlight w:val="none"/>
        </w:rPr>
        <w:t>2、</w:t>
      </w:r>
      <w:bookmarkStart w:id="550" w:name="_Hlk101133173"/>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要求合同分包形式参加的项目或采购包，供应商按招标文件第一部分招标公告申请人的资格要求中规定的</w:t>
      </w:r>
      <w:r>
        <w:rPr>
          <w:rFonts w:hint="eastAsia" w:ascii="宋体" w:hAnsi="宋体" w:cs="宋体"/>
          <w:b/>
          <w:color w:val="auto"/>
          <w:kern w:val="0"/>
          <w:sz w:val="24"/>
          <w:highlight w:val="none"/>
          <w:lang w:val="zh-CN"/>
        </w:rPr>
        <w:t>分包意向协议</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bookmarkEnd w:id="550"/>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三、分包工作履行期限、地点、方式</w:t>
      </w:r>
    </w:p>
    <w:p>
      <w:pPr>
        <w:snapToGrid w:val="0"/>
        <w:spacing w:line="360" w:lineRule="auto"/>
        <w:ind w:firstLine="576"/>
        <w:rPr>
          <w:rFonts w:ascii="宋体" w:hAnsi="宋体" w:cs="宋体"/>
          <w:color w:val="auto"/>
          <w:highlight w:val="none"/>
          <w:u w:val="single"/>
        </w:rPr>
      </w:pPr>
      <w:r>
        <w:rPr>
          <w:rFonts w:hint="eastAsia" w:ascii="宋体" w:hAnsi="宋体" w:cs="宋体"/>
          <w:color w:val="auto"/>
          <w:highlight w:val="none"/>
          <w:u w:val="single"/>
        </w:rPr>
        <w:t xml:space="preserve">                                                                                  </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四、质量</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五、价款或者报酬</w:t>
      </w:r>
    </w:p>
    <w:p>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六、违约责任</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七、争议解决的办法</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pPr>
        <w:snapToGrid w:val="0"/>
        <w:spacing w:line="360" w:lineRule="auto"/>
        <w:ind w:left="5758" w:leftChars="342" w:hanging="5040" w:hanging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w:t>
      </w:r>
    </w:p>
    <w:p>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分包供应商名称(电子签名/公章)：</w:t>
      </w:r>
    </w:p>
    <w:p>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rPr>
          <w:rFonts w:ascii="宋体" w:hAnsi="宋体" w:cs="宋体"/>
          <w:b/>
          <w:color w:val="auto"/>
          <w:kern w:val="0"/>
          <w:sz w:val="44"/>
          <w:szCs w:val="44"/>
          <w:highlight w:val="none"/>
        </w:rPr>
      </w:pPr>
      <w:r>
        <w:rPr>
          <w:rFonts w:hint="eastAsia" w:ascii="宋体" w:hAnsi="宋体" w:cs="宋体"/>
          <w:b/>
          <w:color w:val="auto"/>
          <w:kern w:val="0"/>
          <w:sz w:val="44"/>
          <w:szCs w:val="44"/>
          <w:highlight w:val="none"/>
        </w:rPr>
        <w:br w:type="page"/>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附件7：中小企业声明函</w:t>
      </w:r>
    </w:p>
    <w:p>
      <w:pPr>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中小企业声明函（货物）</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本公司（联合体）郑重声明，根据《政府采购促进中小企业发展管理办法》（财库﹝2020﹞46 号）的规定，本公司（联合体）参加 </w:t>
      </w:r>
      <w:r>
        <w:rPr>
          <w:rFonts w:hint="eastAsia" w:ascii="宋体" w:hAnsi="宋体" w:cs="宋体"/>
          <w:color w:val="auto"/>
          <w:sz w:val="24"/>
          <w:highlight w:val="none"/>
          <w:u w:val="single"/>
        </w:rPr>
        <w:t xml:space="preserve">（采购人） </w:t>
      </w:r>
      <w:r>
        <w:rPr>
          <w:rFonts w:hint="eastAsia" w:ascii="宋体" w:hAnsi="宋体" w:cs="宋体"/>
          <w:color w:val="auto"/>
          <w:sz w:val="24"/>
          <w:highlight w:val="none"/>
        </w:rPr>
        <w:t xml:space="preserve">的 </w:t>
      </w:r>
      <w:r>
        <w:rPr>
          <w:rFonts w:hint="eastAsia" w:ascii="宋体" w:hAnsi="宋体" w:cs="宋体"/>
          <w:color w:val="auto"/>
          <w:sz w:val="24"/>
          <w:highlight w:val="none"/>
          <w:u w:val="single"/>
        </w:rPr>
        <w:t>（项目名称）</w:t>
      </w:r>
      <w:r>
        <w:rPr>
          <w:rFonts w:hint="eastAsia" w:ascii="宋体" w:hAnsi="宋体" w:cs="宋体"/>
          <w:color w:val="auto"/>
          <w:sz w:val="24"/>
          <w:highlight w:val="none"/>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highlight w:val="none"/>
        </w:rPr>
        <w:t xml:space="preserve"> </w:t>
      </w:r>
      <w:r>
        <w:rPr>
          <w:rFonts w:hint="eastAsia" w:ascii="宋体" w:hAnsi="宋体" w:cs="宋体"/>
          <w:color w:val="auto"/>
          <w:sz w:val="24"/>
          <w:highlight w:val="none"/>
          <w:u w:val="single"/>
        </w:rPr>
        <w:t>（标的名称）</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（采购文件中明确的所属行业）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highlight w:val="none"/>
        </w:rPr>
        <w:t xml:space="preserve"> </w:t>
      </w:r>
      <w:r>
        <w:rPr>
          <w:rFonts w:hint="eastAsia" w:ascii="宋体" w:hAnsi="宋体" w:cs="宋体"/>
          <w:color w:val="auto"/>
          <w:sz w:val="24"/>
          <w:highlight w:val="none"/>
          <w:u w:val="single"/>
        </w:rPr>
        <w:t>（标的名称）</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（采购文件中明确的所属行业）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本企业对上述声明内容的真实性负责。如有虚假，将依法承担相应责任。</w:t>
      </w:r>
    </w:p>
    <w:p>
      <w:pPr>
        <w:snapToGrid w:val="0"/>
        <w:spacing w:line="360" w:lineRule="auto"/>
        <w:ind w:firstLine="5160" w:firstLineChars="215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pPr>
        <w:spacing w:line="360" w:lineRule="auto"/>
        <w:ind w:firstLine="310" w:firstLineChars="147"/>
        <w:jc w:val="left"/>
        <w:rPr>
          <w:rFonts w:hint="eastAsia" w:ascii="宋体" w:hAnsi="宋体" w:cs="宋体"/>
          <w:b/>
          <w:color w:val="auto"/>
          <w:szCs w:val="21"/>
          <w:highlight w:val="none"/>
        </w:rPr>
      </w:pPr>
      <w:r>
        <w:rPr>
          <w:rFonts w:hint="eastAsia" w:ascii="宋体" w:hAnsi="宋体" w:cs="宋体"/>
          <w:b/>
          <w:color w:val="auto"/>
          <w:szCs w:val="21"/>
          <w:highlight w:val="none"/>
        </w:rPr>
        <w:t>从业人员、营业收入、资产总额填报上一年度数据，无上一年度数据的新成立企业可不填报。</w:t>
      </w:r>
    </w:p>
    <w:p>
      <w:pPr>
        <w:spacing w:line="360" w:lineRule="auto"/>
        <w:ind w:right="420" w:firstLine="480" w:firstLineChars="200"/>
        <w:rPr>
          <w:rFonts w:ascii="宋体" w:hAnsi="宋体" w:cs="宋体"/>
          <w:color w:val="auto"/>
          <w:sz w:val="24"/>
          <w:highlight w:val="none"/>
        </w:rPr>
      </w:pPr>
      <w:r>
        <w:rPr>
          <w:rFonts w:hint="eastAsia" w:ascii="宋体" w:hAnsi="宋体" w:cs="宋体"/>
          <w:color w:val="auto"/>
          <w:sz w:val="24"/>
          <w:highlight w:val="none"/>
        </w:rPr>
        <w:t>注：</w:t>
      </w:r>
    </w:p>
    <w:p>
      <w:pPr>
        <w:spacing w:line="360" w:lineRule="auto"/>
        <w:ind w:right="420" w:firstLine="480" w:firstLineChars="200"/>
        <w:rPr>
          <w:rFonts w:ascii="宋体" w:hAnsi="宋体" w:cs="宋体"/>
          <w:color w:val="auto"/>
          <w:sz w:val="24"/>
          <w:highlight w:val="none"/>
        </w:rPr>
      </w:pPr>
      <w:r>
        <w:rPr>
          <w:rFonts w:hint="eastAsia" w:ascii="宋体" w:hAnsi="宋体" w:cs="宋体"/>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宋体" w:hAnsi="宋体" w:cs="宋体"/>
          <w:b/>
          <w:color w:val="auto"/>
          <w:sz w:val="32"/>
          <w:szCs w:val="32"/>
          <w:highlight w:val="none"/>
        </w:rPr>
      </w:pPr>
      <w:r>
        <w:rPr>
          <w:rFonts w:hint="eastAsia" w:ascii="宋体" w:hAnsi="宋体" w:cs="宋体"/>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rPr>
          <w:color w:val="auto"/>
          <w:highlight w:val="none"/>
        </w:rPr>
      </w:pPr>
      <w:r>
        <w:rPr>
          <w:rFonts w:hint="eastAsia"/>
          <w:color w:val="auto"/>
          <w:highlight w:val="none"/>
        </w:rPr>
        <w:br w:type="page"/>
      </w:r>
    </w:p>
    <w:p>
      <w:pPr>
        <w:pStyle w:val="4"/>
        <w:keepNext/>
        <w:keepLines/>
        <w:pageBreakBefore w:val="0"/>
        <w:widowControl w:val="0"/>
        <w:kinsoku/>
        <w:wordWrap/>
        <w:overflowPunct/>
        <w:topLinePunct w:val="0"/>
        <w:autoSpaceDE/>
        <w:autoSpaceDN/>
        <w:bidi w:val="0"/>
        <w:adjustRightInd/>
        <w:snapToGrid w:val="0"/>
        <w:ind w:left="0" w:firstLine="0"/>
        <w:jc w:val="center"/>
        <w:textAlignment w:val="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highlight w:val="none"/>
        </w:rPr>
        <w:t>附件</w:t>
      </w:r>
      <w:r>
        <w:rPr>
          <w:rFonts w:hint="eastAsia" w:asciiTheme="minorEastAsia" w:hAnsiTheme="minorEastAsia" w:eastAsiaTheme="minorEastAsia" w:cstheme="minorEastAsia"/>
          <w:color w:val="auto"/>
          <w:highlight w:val="none"/>
          <w:lang w:val="en-US"/>
        </w:rPr>
        <w:t>8</w:t>
      </w:r>
      <w:r>
        <w:rPr>
          <w:rFonts w:hint="eastAsia" w:asciiTheme="minorEastAsia" w:hAnsiTheme="minorEastAsia" w:eastAsiaTheme="minorEastAsia" w:cstheme="minorEastAsia"/>
          <w:color w:val="auto"/>
          <w:highlight w:val="none"/>
        </w:rPr>
        <w:t>样品（演示）授权委托书</w:t>
      </w:r>
    </w:p>
    <w:p>
      <w:pPr>
        <w:jc w:val="center"/>
        <w:rPr>
          <w:color w:val="auto"/>
          <w:sz w:val="40"/>
          <w:highlight w:val="none"/>
        </w:rPr>
      </w:pPr>
      <w:r>
        <w:rPr>
          <w:rFonts w:hint="eastAsia"/>
          <w:color w:val="auto"/>
          <w:sz w:val="40"/>
          <w:highlight w:val="none"/>
        </w:rPr>
        <w:t>样品（演示）授权委托书</w:t>
      </w:r>
    </w:p>
    <w:p>
      <w:pPr>
        <w:jc w:val="center"/>
        <w:rPr>
          <w:color w:val="auto"/>
          <w:sz w:val="40"/>
          <w:highlight w:val="none"/>
        </w:rPr>
      </w:pPr>
    </w:p>
    <w:p>
      <w:pPr>
        <w:snapToGrid w:val="0"/>
        <w:spacing w:line="360" w:lineRule="auto"/>
        <w:rPr>
          <w:rFonts w:cs="仿宋"/>
          <w:color w:val="auto"/>
          <w:highlight w:val="none"/>
        </w:rPr>
      </w:pPr>
      <w:r>
        <w:rPr>
          <w:rFonts w:hint="eastAsia" w:cs="仿宋_GB2312"/>
          <w:color w:val="auto"/>
          <w:highlight w:val="none"/>
        </w:rPr>
        <w:t>XXX（单位名称或采购机构名称）</w:t>
      </w:r>
      <w:r>
        <w:rPr>
          <w:rFonts w:hint="eastAsia" w:cs="仿宋"/>
          <w:color w:val="auto"/>
          <w:highlight w:val="none"/>
          <w:lang w:val="zh-CN"/>
        </w:rPr>
        <w:t>：</w:t>
      </w:r>
    </w:p>
    <w:p>
      <w:pPr>
        <w:snapToGrid w:val="0"/>
        <w:spacing w:line="360" w:lineRule="auto"/>
        <w:ind w:left="254" w:leftChars="121" w:firstLine="420" w:firstLineChars="200"/>
        <w:rPr>
          <w:rFonts w:cs="仿宋"/>
          <w:color w:val="auto"/>
          <w:highlight w:val="none"/>
          <w:u w:val="single"/>
          <w:lang w:val="zh-CN"/>
        </w:rPr>
      </w:pPr>
      <w:r>
        <w:rPr>
          <w:rFonts w:hint="eastAsia" w:cs="仿宋"/>
          <w:color w:val="auto"/>
          <w:highlight w:val="none"/>
          <w:lang w:val="zh-CN"/>
        </w:rPr>
        <w:t>兹委派</w:t>
      </w:r>
      <w:r>
        <w:rPr>
          <w:rFonts w:hint="eastAsia" w:cs="仿宋"/>
          <w:color w:val="auto"/>
          <w:highlight w:val="none"/>
          <w:u w:val="single"/>
          <w:lang w:val="zh-CN"/>
        </w:rPr>
        <w:t xml:space="preserve">                </w:t>
      </w:r>
      <w:r>
        <w:rPr>
          <w:rFonts w:hint="eastAsia" w:cs="仿宋"/>
          <w:color w:val="auto"/>
          <w:highlight w:val="none"/>
          <w:lang w:val="zh-CN"/>
        </w:rPr>
        <w:t>先生/女士，身份证号：</w:t>
      </w:r>
      <w:r>
        <w:rPr>
          <w:rFonts w:hint="eastAsia" w:cs="仿宋"/>
          <w:color w:val="auto"/>
          <w:highlight w:val="none"/>
          <w:u w:val="single"/>
          <w:lang w:val="zh-CN"/>
        </w:rPr>
        <w:t xml:space="preserve"> </w:t>
      </w:r>
      <w:r>
        <w:rPr>
          <w:rFonts w:cs="仿宋"/>
          <w:color w:val="auto"/>
          <w:highlight w:val="none"/>
          <w:u w:val="single"/>
          <w:lang w:val="zh-CN"/>
        </w:rPr>
        <w:t xml:space="preserve">                  </w:t>
      </w:r>
    </w:p>
    <w:p>
      <w:pPr>
        <w:snapToGrid w:val="0"/>
        <w:spacing w:line="360" w:lineRule="auto"/>
        <w:ind w:left="254" w:leftChars="121" w:firstLine="420" w:firstLineChars="200"/>
        <w:rPr>
          <w:rFonts w:cs="仿宋"/>
          <w:color w:val="auto"/>
          <w:highlight w:val="none"/>
        </w:rPr>
      </w:pPr>
      <w:r>
        <w:rPr>
          <w:rFonts w:hint="eastAsia" w:cs="仿宋"/>
          <w:color w:val="auto"/>
          <w:highlight w:val="none"/>
          <w:lang w:val="zh-CN"/>
        </w:rPr>
        <w:t>手机：</w:t>
      </w:r>
      <w:r>
        <w:rPr>
          <w:rFonts w:hint="eastAsia" w:cs="仿宋"/>
          <w:color w:val="auto"/>
          <w:highlight w:val="none"/>
          <w:u w:val="single"/>
          <w:lang w:val="zh-CN"/>
        </w:rPr>
        <w:t xml:space="preserve">      </w:t>
      </w:r>
      <w:r>
        <w:rPr>
          <w:rFonts w:cs="仿宋"/>
          <w:color w:val="auto"/>
          <w:highlight w:val="none"/>
          <w:u w:val="single"/>
          <w:lang w:val="zh-CN"/>
        </w:rPr>
        <w:t xml:space="preserve">     </w:t>
      </w:r>
      <w:r>
        <w:rPr>
          <w:rFonts w:hint="eastAsia" w:cs="仿宋"/>
          <w:color w:val="auto"/>
          <w:highlight w:val="none"/>
          <w:u w:val="single"/>
          <w:lang w:val="zh-CN"/>
        </w:rPr>
        <w:t xml:space="preserve">  </w:t>
      </w:r>
      <w:r>
        <w:rPr>
          <w:rFonts w:hint="eastAsia" w:cs="仿宋"/>
          <w:color w:val="auto"/>
          <w:highlight w:val="none"/>
          <w:lang w:val="zh-CN"/>
        </w:rPr>
        <w:t>，代表我公司前来递交</w:t>
      </w:r>
      <w:r>
        <w:rPr>
          <w:rFonts w:cs="仿宋"/>
          <w:color w:val="auto"/>
          <w:highlight w:val="none"/>
          <w:u w:val="single"/>
          <w:lang w:val="zh-CN"/>
        </w:rPr>
        <w:t xml:space="preserve">                           </w:t>
      </w:r>
      <w:r>
        <w:rPr>
          <w:rFonts w:hint="eastAsia" w:cs="仿宋"/>
          <w:color w:val="auto"/>
          <w:highlight w:val="none"/>
          <w:u w:val="single"/>
          <w:lang w:val="zh-CN"/>
        </w:rPr>
        <w:t>采购项目</w:t>
      </w:r>
      <w:r>
        <w:rPr>
          <w:rFonts w:hint="eastAsia" w:cs="仿宋"/>
          <w:color w:val="auto"/>
          <w:highlight w:val="none"/>
          <w:lang w:val="zh-CN"/>
        </w:rPr>
        <w:t>【项目编号：</w:t>
      </w:r>
      <w:r>
        <w:rPr>
          <w:rFonts w:cs="仿宋"/>
          <w:color w:val="auto"/>
          <w:highlight w:val="none"/>
          <w:lang w:val="zh-CN"/>
        </w:rPr>
        <w:t xml:space="preserve">              </w:t>
      </w:r>
      <w:r>
        <w:rPr>
          <w:rFonts w:hint="eastAsia" w:cs="仿宋"/>
          <w:color w:val="auto"/>
          <w:highlight w:val="none"/>
          <w:lang w:val="zh-CN"/>
        </w:rPr>
        <w:t xml:space="preserve">】（标项号： </w:t>
      </w:r>
      <w:r>
        <w:rPr>
          <w:rFonts w:cs="仿宋"/>
          <w:color w:val="auto"/>
          <w:highlight w:val="none"/>
          <w:lang w:val="zh-CN"/>
        </w:rPr>
        <w:t xml:space="preserve"> </w:t>
      </w:r>
      <w:r>
        <w:rPr>
          <w:rFonts w:hint="eastAsia" w:cs="仿宋"/>
          <w:color w:val="auto"/>
          <w:highlight w:val="none"/>
          <w:lang w:val="zh-CN"/>
        </w:rPr>
        <w:t>）投标样品或参加演示，并全权负责标后取回样品等其他处理事宜。</w:t>
      </w:r>
    </w:p>
    <w:p>
      <w:pPr>
        <w:snapToGrid w:val="0"/>
        <w:spacing w:line="360" w:lineRule="auto"/>
        <w:rPr>
          <w:rFonts w:cs="仿宋"/>
          <w:color w:val="auto"/>
          <w:highlight w:val="none"/>
          <w:lang w:val="zh-CN"/>
        </w:rPr>
      </w:pPr>
      <w:r>
        <w:rPr>
          <w:rFonts w:hint="eastAsia" w:cs="仿宋"/>
          <w:color w:val="auto"/>
          <w:highlight w:val="none"/>
          <w:lang w:val="zh-CN"/>
        </w:rPr>
        <w:t xml:space="preserve">  </w:t>
      </w:r>
    </w:p>
    <w:p>
      <w:pPr>
        <w:snapToGrid w:val="0"/>
        <w:spacing w:line="360" w:lineRule="auto"/>
        <w:rPr>
          <w:rFonts w:cs="仿宋"/>
          <w:color w:val="auto"/>
          <w:highlight w:val="none"/>
        </w:rPr>
      </w:pPr>
      <w:r>
        <w:rPr>
          <w:rFonts w:hint="eastAsia" w:cs="仿宋"/>
          <w:color w:val="auto"/>
          <w:highlight w:val="none"/>
          <w:lang w:val="zh-CN"/>
        </w:rPr>
        <w:t xml:space="preserve">    特此告知。</w:t>
      </w:r>
    </w:p>
    <w:p>
      <w:pPr>
        <w:snapToGrid w:val="0"/>
        <w:spacing w:line="360" w:lineRule="auto"/>
        <w:rPr>
          <w:rFonts w:cs="仿宋"/>
          <w:color w:val="auto"/>
          <w:highlight w:val="none"/>
        </w:rPr>
      </w:pPr>
      <w:r>
        <w:rPr>
          <w:rFonts w:hint="eastAsia" w:cs="仿宋"/>
          <w:color w:val="auto"/>
          <w:highlight w:val="none"/>
          <w:lang w:val="zh-CN"/>
        </w:rPr>
        <w:t xml:space="preserve">                                                  投标人名称(公章)：</w:t>
      </w:r>
    </w:p>
    <w:p>
      <w:pPr>
        <w:snapToGrid w:val="0"/>
        <w:spacing w:line="360" w:lineRule="auto"/>
        <w:rPr>
          <w:rFonts w:cs="仿宋"/>
          <w:color w:val="auto"/>
          <w:highlight w:val="none"/>
        </w:rPr>
      </w:pPr>
      <w:r>
        <w:rPr>
          <w:rFonts w:hint="eastAsia" w:cs="仿宋"/>
          <w:color w:val="auto"/>
          <w:highlight w:val="none"/>
          <w:lang w:val="zh-CN"/>
        </w:rPr>
        <w:t xml:space="preserve">                                                  </w:t>
      </w:r>
    </w:p>
    <w:p>
      <w:pPr>
        <w:snapToGrid w:val="0"/>
        <w:spacing w:line="360" w:lineRule="auto"/>
        <w:ind w:right="240"/>
        <w:jc w:val="right"/>
        <w:rPr>
          <w:rFonts w:cs="仿宋"/>
          <w:color w:val="auto"/>
          <w:highlight w:val="none"/>
          <w:lang w:val="zh-CN"/>
        </w:rPr>
      </w:pPr>
      <w:r>
        <w:rPr>
          <w:rFonts w:hint="eastAsia" w:cs="仿宋"/>
          <w:color w:val="auto"/>
          <w:highlight w:val="none"/>
          <w:lang w:val="zh-CN"/>
        </w:rPr>
        <w:t>签发日期：  年  月   日</w:t>
      </w:r>
    </w:p>
    <w:p>
      <w:pPr>
        <w:snapToGrid w:val="0"/>
        <w:spacing w:line="360" w:lineRule="auto"/>
        <w:ind w:right="240"/>
        <w:jc w:val="right"/>
        <w:rPr>
          <w:rFonts w:cs="仿宋"/>
          <w:color w:val="auto"/>
          <w:highlight w:val="none"/>
          <w:lang w:val="zh-CN"/>
        </w:rPr>
      </w:pPr>
    </w:p>
    <w:p>
      <w:pPr>
        <w:snapToGrid w:val="0"/>
        <w:spacing w:line="360" w:lineRule="auto"/>
        <w:ind w:right="1920"/>
        <w:rPr>
          <w:rFonts w:cs="仿宋"/>
          <w:color w:val="auto"/>
          <w:highlight w:val="none"/>
          <w:lang w:val="zh-CN"/>
        </w:rPr>
      </w:pPr>
    </w:p>
    <w:p>
      <w:pPr>
        <w:snapToGrid w:val="0"/>
        <w:spacing w:line="360" w:lineRule="auto"/>
        <w:ind w:right="240"/>
        <w:jc w:val="right"/>
        <w:rPr>
          <w:rFonts w:cs="仿宋"/>
          <w:color w:val="auto"/>
          <w:highlight w:val="none"/>
          <w:lang w:val="zh-CN"/>
        </w:rPr>
      </w:pPr>
    </w:p>
    <w:p>
      <w:pPr>
        <w:snapToGrid w:val="0"/>
        <w:spacing w:line="360" w:lineRule="auto"/>
        <w:ind w:right="240"/>
        <w:rPr>
          <w:rFonts w:cs="仿宋"/>
          <w:color w:val="auto"/>
          <w:highlight w:val="none"/>
          <w:lang w:val="zh-CN"/>
        </w:rPr>
      </w:pPr>
      <w:r>
        <w:rPr>
          <w:rFonts w:hint="eastAsia" w:cs="仿宋"/>
          <w:color w:val="auto"/>
          <w:highlight w:val="none"/>
        </w:rPr>
        <w:t>受委托人</w:t>
      </w:r>
      <w:r>
        <w:rPr>
          <w:rFonts w:hint="eastAsia" w:cs="仿宋"/>
          <w:color w:val="auto"/>
          <w:highlight w:val="none"/>
          <w:lang w:val="zh-CN"/>
        </w:rPr>
        <w:t>身份证复印件：</w:t>
      </w:r>
    </w:p>
    <w:p>
      <w:pPr>
        <w:snapToGrid w:val="0"/>
        <w:spacing w:line="360" w:lineRule="auto"/>
        <w:ind w:right="240"/>
        <w:rPr>
          <w:rFonts w:cs="仿宋"/>
          <w:color w:val="auto"/>
          <w:highlight w:val="none"/>
          <w:lang w:val="zh-CN"/>
        </w:rPr>
      </w:pPr>
    </w:p>
    <w:p>
      <w:pPr>
        <w:snapToGrid w:val="0"/>
        <w:spacing w:line="360" w:lineRule="auto"/>
        <w:ind w:right="240"/>
        <w:rPr>
          <w:rFonts w:cs="仿宋"/>
          <w:color w:val="auto"/>
          <w:highlight w:val="none"/>
          <w:lang w:val="zh-CN"/>
        </w:rPr>
      </w:pPr>
      <w:r>
        <w:rPr>
          <w:rFonts w:hint="eastAsia" w:cs="仿宋"/>
          <w:color w:val="auto"/>
          <w:highlight w:val="none"/>
          <w:lang w:val="zh-CN"/>
        </w:rPr>
        <w:t>说明：本委托书在有样品或演示时由受委托人携带至指定地点。</w:t>
      </w:r>
    </w:p>
    <w:p>
      <w:pPr>
        <w:spacing w:line="360" w:lineRule="auto"/>
        <w:rPr>
          <w:rFonts w:ascii="宋体" w:hAnsi="宋体" w:cs="宋体"/>
          <w:bCs/>
          <w:color w:val="auto"/>
          <w:sz w:val="24"/>
          <w:highlight w:val="none"/>
        </w:rPr>
      </w:pPr>
      <w:r>
        <w:rPr>
          <w:rFonts w:cs="仿宋_GB2312"/>
          <w:b/>
          <w:color w:val="auto"/>
          <w:highlight w:val="none"/>
        </w:rPr>
        <w:t>同时有样品和演示的</w:t>
      </w:r>
      <w:r>
        <w:rPr>
          <w:rFonts w:hint="eastAsia" w:cs="仿宋_GB2312"/>
          <w:b/>
          <w:color w:val="auto"/>
          <w:highlight w:val="none"/>
        </w:rPr>
        <w:t>，</w:t>
      </w:r>
      <w:r>
        <w:rPr>
          <w:rFonts w:cs="仿宋_GB2312"/>
          <w:b/>
          <w:color w:val="auto"/>
          <w:highlight w:val="none"/>
        </w:rPr>
        <w:t>可委托不同人员</w:t>
      </w:r>
      <w:r>
        <w:rPr>
          <w:rFonts w:hint="eastAsia" w:cs="仿宋_GB2312"/>
          <w:b/>
          <w:color w:val="auto"/>
          <w:highlight w:val="none"/>
        </w:rPr>
        <w:t>。</w:t>
      </w:r>
    </w:p>
    <w:sectPr>
      <w:footerReference r:id="rId7" w:type="even"/>
      <w:pgSz w:w="11906" w:h="16838"/>
      <w:pgMar w:top="1276" w:right="1418" w:bottom="1247"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华文中宋"/>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华文中宋"/>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panose1 w:val="020B0504020202030204"/>
    <w:charset w:val="00"/>
    <w:family w:val="swiss"/>
    <w:pitch w:val="default"/>
    <w:sig w:usb0="00000007" w:usb1="00000000" w:usb2="00000000" w:usb3="00000000" w:csb0="00000093" w:csb1="00000000"/>
  </w:font>
  <w:font w:name="Cumberland">
    <w:altName w:val="华文中宋"/>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1"/>
    <w:family w:val="roman"/>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华文中宋"/>
    <w:panose1 w:val="00000000000000000000"/>
    <w:charset w:val="00"/>
    <w:family w:val="modern"/>
    <w:pitch w:val="default"/>
    <w:sig w:usb0="00000000" w:usb1="00000000" w:usb2="00000000" w:usb3="00000000" w:csb0="00040001" w:csb1="00000000"/>
  </w:font>
  <w:font w:name="Malgun Gothic">
    <w:panose1 w:val="020B0503020000020004"/>
    <w:charset w:val="81"/>
    <w:family w:val="swiss"/>
    <w:pitch w:val="default"/>
    <w:sig w:usb0="9000002F" w:usb1="29D77CFB" w:usb2="00000012" w:usb3="00000000" w:csb0="00080001" w:csb1="00000000"/>
  </w:font>
  <w:font w:name="MS Gothic">
    <w:panose1 w:val="020B0609070205080204"/>
    <w:charset w:val="80"/>
    <w:family w:val="modern"/>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 w:name="Sitka Text">
    <w:panose1 w:val="02000505000000020004"/>
    <w:charset w:val="00"/>
    <w:family w:val="auto"/>
    <w:pitch w:val="default"/>
    <w:sig w:usb0="A00002EF" w:usb1="4000204B" w:usb2="00000000" w:usb3="00000000" w:csb0="2000019F" w:csb1="00000000"/>
  </w:font>
  <w:font w:name="Segoe UI Semilight">
    <w:panose1 w:val="020B04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74</w:t>
    </w:r>
    <w:r>
      <w:rPr>
        <w:rFonts w:hint="eastAsia" w:ascii="仿宋_GB2312" w:eastAsia="仿宋_GB2312"/>
        <w:kern w:val="0"/>
      </w:rPr>
      <w:fldChar w:fldCharType="end"/>
    </w:r>
    <w:r>
      <w:rPr>
        <w:rFonts w:hint="eastAsia" w:ascii="仿宋_GB2312" w:eastAsia="仿宋_GB2312"/>
        <w:kern w:val="0"/>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74</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2"/>
      </w:rPr>
    </w:pPr>
    <w:r>
      <w:fldChar w:fldCharType="begin"/>
    </w:r>
    <w:r>
      <w:rPr>
        <w:rStyle w:val="72"/>
      </w:rPr>
      <w:instrText xml:space="preserve">PAGE  </w:instrText>
    </w:r>
    <w:r>
      <w:fldChar w:fldCharType="end"/>
    </w:r>
  </w:p>
  <w:p>
    <w:pPr>
      <w:pStyle w:val="3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right"/>
      <w:rPr>
        <w:rFonts w:ascii="仿宋_GB2312" w:eastAsia="仿宋_GB2312"/>
        <w:b/>
        <w:i/>
        <w:u w:val="single"/>
      </w:rPr>
    </w:pPr>
    <w:r>
      <w:rPr>
        <w:rFonts w:hint="eastAsia"/>
      </w:rPr>
      <w:t xml:space="preserve">                                  </w:t>
    </w:r>
    <w:r>
      <w:t>杭州市政府采购公开招标文件</w:t>
    </w:r>
  </w:p>
  <w:p>
    <w:pPr>
      <w:rPr>
        <w:rFonts w:ascii="仿宋_GB2312" w:eastAsia="仿宋_GB2312"/>
        <w:b/>
        <w:i/>
        <w:sz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right"/>
      <w:rPr>
        <w:rFonts w:ascii="仿宋_GB2312" w:eastAsia="仿宋_GB2312"/>
        <w:b/>
        <w:i/>
        <w:u w:val="single"/>
      </w:rPr>
    </w:pPr>
    <w:r>
      <w:t>杭州市政府采购公开招标文件</w:t>
    </w:r>
  </w:p>
  <w:p>
    <w:pPr>
      <w:rPr>
        <w:rFonts w:ascii="仿宋_GB2312" w:eastAsia="仿宋_GB2312"/>
        <w:b/>
        <w:i/>
        <w:sz w:val="1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F2C3E6"/>
    <w:multiLevelType w:val="singleLevel"/>
    <w:tmpl w:val="A7F2C3E6"/>
    <w:lvl w:ilvl="0" w:tentative="0">
      <w:start w:val="4"/>
      <w:numFmt w:val="decimal"/>
      <w:suff w:val="space"/>
      <w:lvlText w:val="%1."/>
      <w:lvlJc w:val="left"/>
    </w:lvl>
  </w:abstractNum>
  <w:abstractNum w:abstractNumId="1">
    <w:nsid w:val="EFA6B940"/>
    <w:multiLevelType w:val="singleLevel"/>
    <w:tmpl w:val="EFA6B940"/>
    <w:lvl w:ilvl="0" w:tentative="0">
      <w:start w:val="8"/>
      <w:numFmt w:val="decimal"/>
      <w:suff w:val="space"/>
      <w:lvlText w:val="%1."/>
      <w:lvlJc w:val="left"/>
    </w:lvl>
  </w:abstractNum>
  <w:abstractNum w:abstractNumId="2">
    <w:nsid w:val="FEBA56D7"/>
    <w:multiLevelType w:val="singleLevel"/>
    <w:tmpl w:val="FEBA56D7"/>
    <w:lvl w:ilvl="0" w:tentative="0">
      <w:start w:val="1"/>
      <w:numFmt w:val="chineseCounting"/>
      <w:suff w:val="space"/>
      <w:lvlText w:val="第%1部分"/>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1"/>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g2ZDg1MDQxYTFhNTJmYzkzNDRiZGU1ZjI0YjZiNTk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0994"/>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821"/>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119"/>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68F"/>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249"/>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1F6449"/>
    <w:rsid w:val="01236AFB"/>
    <w:rsid w:val="019F7441"/>
    <w:rsid w:val="01B24DAF"/>
    <w:rsid w:val="01B37585"/>
    <w:rsid w:val="01B6046E"/>
    <w:rsid w:val="01D55165"/>
    <w:rsid w:val="01DF6BF8"/>
    <w:rsid w:val="01EC2C57"/>
    <w:rsid w:val="025F0711"/>
    <w:rsid w:val="026B2E25"/>
    <w:rsid w:val="02824D4D"/>
    <w:rsid w:val="02931780"/>
    <w:rsid w:val="02987538"/>
    <w:rsid w:val="02CF085A"/>
    <w:rsid w:val="02DC4B10"/>
    <w:rsid w:val="02DD76CE"/>
    <w:rsid w:val="02F36323"/>
    <w:rsid w:val="02F5619C"/>
    <w:rsid w:val="030B0B04"/>
    <w:rsid w:val="0326446A"/>
    <w:rsid w:val="032D5555"/>
    <w:rsid w:val="036634D2"/>
    <w:rsid w:val="03A64F8A"/>
    <w:rsid w:val="03B74E41"/>
    <w:rsid w:val="03DD35E4"/>
    <w:rsid w:val="03EC66E4"/>
    <w:rsid w:val="04076900"/>
    <w:rsid w:val="041A5A3B"/>
    <w:rsid w:val="042311BA"/>
    <w:rsid w:val="042B157A"/>
    <w:rsid w:val="044955CA"/>
    <w:rsid w:val="04824B9E"/>
    <w:rsid w:val="048F763B"/>
    <w:rsid w:val="049F330E"/>
    <w:rsid w:val="04AA775C"/>
    <w:rsid w:val="04AF1889"/>
    <w:rsid w:val="04F66F48"/>
    <w:rsid w:val="05251E14"/>
    <w:rsid w:val="05A16594"/>
    <w:rsid w:val="05A33A8F"/>
    <w:rsid w:val="05A7762D"/>
    <w:rsid w:val="060E5941"/>
    <w:rsid w:val="06110FAF"/>
    <w:rsid w:val="06493CA7"/>
    <w:rsid w:val="064F3545"/>
    <w:rsid w:val="065A6178"/>
    <w:rsid w:val="066F1CF3"/>
    <w:rsid w:val="06930BB8"/>
    <w:rsid w:val="06A92350"/>
    <w:rsid w:val="07245D42"/>
    <w:rsid w:val="07264C62"/>
    <w:rsid w:val="0779354C"/>
    <w:rsid w:val="077C0455"/>
    <w:rsid w:val="08061376"/>
    <w:rsid w:val="081E49CC"/>
    <w:rsid w:val="08452D77"/>
    <w:rsid w:val="086401F8"/>
    <w:rsid w:val="08751CAA"/>
    <w:rsid w:val="087E4C40"/>
    <w:rsid w:val="08A871D0"/>
    <w:rsid w:val="08D66AD6"/>
    <w:rsid w:val="08DA33A3"/>
    <w:rsid w:val="08E80F13"/>
    <w:rsid w:val="09335624"/>
    <w:rsid w:val="0944690F"/>
    <w:rsid w:val="09535675"/>
    <w:rsid w:val="095F057D"/>
    <w:rsid w:val="09642282"/>
    <w:rsid w:val="09733572"/>
    <w:rsid w:val="09772C16"/>
    <w:rsid w:val="098353B5"/>
    <w:rsid w:val="09A92330"/>
    <w:rsid w:val="09B06B87"/>
    <w:rsid w:val="09B110B8"/>
    <w:rsid w:val="09C13146"/>
    <w:rsid w:val="09E04166"/>
    <w:rsid w:val="0A1C0718"/>
    <w:rsid w:val="0A3E7710"/>
    <w:rsid w:val="0A5B7E63"/>
    <w:rsid w:val="0A756EBC"/>
    <w:rsid w:val="0AA374A5"/>
    <w:rsid w:val="0AAB7649"/>
    <w:rsid w:val="0ABC5606"/>
    <w:rsid w:val="0AF67B2D"/>
    <w:rsid w:val="0B30404E"/>
    <w:rsid w:val="0B4C6C14"/>
    <w:rsid w:val="0B547599"/>
    <w:rsid w:val="0B631A88"/>
    <w:rsid w:val="0B683D45"/>
    <w:rsid w:val="0B7F3F11"/>
    <w:rsid w:val="0B884417"/>
    <w:rsid w:val="0B911FA3"/>
    <w:rsid w:val="0BF6188C"/>
    <w:rsid w:val="0BF73C91"/>
    <w:rsid w:val="0C170175"/>
    <w:rsid w:val="0C300E1D"/>
    <w:rsid w:val="0C571A41"/>
    <w:rsid w:val="0C5C1171"/>
    <w:rsid w:val="0C5E1CBC"/>
    <w:rsid w:val="0C615B50"/>
    <w:rsid w:val="0C8445DA"/>
    <w:rsid w:val="0C87121B"/>
    <w:rsid w:val="0CAA755C"/>
    <w:rsid w:val="0CC007F7"/>
    <w:rsid w:val="0CC617AC"/>
    <w:rsid w:val="0CC70BCA"/>
    <w:rsid w:val="0CE618DF"/>
    <w:rsid w:val="0CFE707A"/>
    <w:rsid w:val="0D063BDA"/>
    <w:rsid w:val="0D08375F"/>
    <w:rsid w:val="0D0F7E0C"/>
    <w:rsid w:val="0D184CFB"/>
    <w:rsid w:val="0D4A7419"/>
    <w:rsid w:val="0D827401"/>
    <w:rsid w:val="0D84094E"/>
    <w:rsid w:val="0D8A00E9"/>
    <w:rsid w:val="0D8D589E"/>
    <w:rsid w:val="0DA01C73"/>
    <w:rsid w:val="0DC76277"/>
    <w:rsid w:val="0DD63300"/>
    <w:rsid w:val="0DF50604"/>
    <w:rsid w:val="0DF702FE"/>
    <w:rsid w:val="0E060E51"/>
    <w:rsid w:val="0E076439"/>
    <w:rsid w:val="0E4E33A5"/>
    <w:rsid w:val="0E5604B2"/>
    <w:rsid w:val="0E6D5D79"/>
    <w:rsid w:val="0E96785C"/>
    <w:rsid w:val="0E9D0089"/>
    <w:rsid w:val="0EB803EE"/>
    <w:rsid w:val="0EF94D4B"/>
    <w:rsid w:val="0F4958DC"/>
    <w:rsid w:val="0F515DF7"/>
    <w:rsid w:val="0F596BA8"/>
    <w:rsid w:val="0F6248D2"/>
    <w:rsid w:val="0F693536"/>
    <w:rsid w:val="0F7B0511"/>
    <w:rsid w:val="0F7B76D9"/>
    <w:rsid w:val="0F816ACD"/>
    <w:rsid w:val="0F9832DB"/>
    <w:rsid w:val="0FBF3FD2"/>
    <w:rsid w:val="0FBF7FF3"/>
    <w:rsid w:val="10646583"/>
    <w:rsid w:val="107D4B15"/>
    <w:rsid w:val="108A3C80"/>
    <w:rsid w:val="10B62239"/>
    <w:rsid w:val="10C26171"/>
    <w:rsid w:val="10F33360"/>
    <w:rsid w:val="10F64513"/>
    <w:rsid w:val="10FC16EA"/>
    <w:rsid w:val="10FC6AD8"/>
    <w:rsid w:val="110F1D40"/>
    <w:rsid w:val="11266F33"/>
    <w:rsid w:val="118963A1"/>
    <w:rsid w:val="11C6522A"/>
    <w:rsid w:val="11E104CC"/>
    <w:rsid w:val="11E20309"/>
    <w:rsid w:val="12255233"/>
    <w:rsid w:val="122672BC"/>
    <w:rsid w:val="12530213"/>
    <w:rsid w:val="127723A9"/>
    <w:rsid w:val="12862074"/>
    <w:rsid w:val="12883966"/>
    <w:rsid w:val="129E45B4"/>
    <w:rsid w:val="12D81596"/>
    <w:rsid w:val="13072A44"/>
    <w:rsid w:val="132810EB"/>
    <w:rsid w:val="135F4BE2"/>
    <w:rsid w:val="139B1A0A"/>
    <w:rsid w:val="139D25C7"/>
    <w:rsid w:val="13BF3CE4"/>
    <w:rsid w:val="141008D8"/>
    <w:rsid w:val="14125FE6"/>
    <w:rsid w:val="1415556D"/>
    <w:rsid w:val="146D271E"/>
    <w:rsid w:val="14982588"/>
    <w:rsid w:val="149A5AD9"/>
    <w:rsid w:val="14A7619D"/>
    <w:rsid w:val="150536C3"/>
    <w:rsid w:val="150C1963"/>
    <w:rsid w:val="151447A0"/>
    <w:rsid w:val="154A6454"/>
    <w:rsid w:val="15762120"/>
    <w:rsid w:val="15E61092"/>
    <w:rsid w:val="16A8729C"/>
    <w:rsid w:val="16B33777"/>
    <w:rsid w:val="16BC70A7"/>
    <w:rsid w:val="16C6339E"/>
    <w:rsid w:val="172F2D79"/>
    <w:rsid w:val="17557BEF"/>
    <w:rsid w:val="179D019C"/>
    <w:rsid w:val="17C10528"/>
    <w:rsid w:val="17D349C1"/>
    <w:rsid w:val="18135C26"/>
    <w:rsid w:val="18244F26"/>
    <w:rsid w:val="1830729E"/>
    <w:rsid w:val="183D7318"/>
    <w:rsid w:val="18650755"/>
    <w:rsid w:val="1870062C"/>
    <w:rsid w:val="187B448D"/>
    <w:rsid w:val="18817102"/>
    <w:rsid w:val="18830A15"/>
    <w:rsid w:val="18852B28"/>
    <w:rsid w:val="188B5321"/>
    <w:rsid w:val="19224166"/>
    <w:rsid w:val="19563CB9"/>
    <w:rsid w:val="19932372"/>
    <w:rsid w:val="19A20DD5"/>
    <w:rsid w:val="19A838D1"/>
    <w:rsid w:val="19AE03F1"/>
    <w:rsid w:val="19C35482"/>
    <w:rsid w:val="1A071A03"/>
    <w:rsid w:val="1A1F16AE"/>
    <w:rsid w:val="1A3B5C77"/>
    <w:rsid w:val="1A984BAD"/>
    <w:rsid w:val="1AB8220E"/>
    <w:rsid w:val="1AE4166C"/>
    <w:rsid w:val="1AF06CFB"/>
    <w:rsid w:val="1AF11B8D"/>
    <w:rsid w:val="1B11359C"/>
    <w:rsid w:val="1B2A271F"/>
    <w:rsid w:val="1B530544"/>
    <w:rsid w:val="1B713184"/>
    <w:rsid w:val="1BA209CF"/>
    <w:rsid w:val="1BB4777D"/>
    <w:rsid w:val="1BD75AB8"/>
    <w:rsid w:val="1C0459C2"/>
    <w:rsid w:val="1C1B3B4A"/>
    <w:rsid w:val="1C88086E"/>
    <w:rsid w:val="1D266CE1"/>
    <w:rsid w:val="1D3963AF"/>
    <w:rsid w:val="1D6A673C"/>
    <w:rsid w:val="1D9247AE"/>
    <w:rsid w:val="1DB567EC"/>
    <w:rsid w:val="1DEF6D8A"/>
    <w:rsid w:val="1DF51A98"/>
    <w:rsid w:val="1E051CD9"/>
    <w:rsid w:val="1E3D060F"/>
    <w:rsid w:val="1E3F7D2E"/>
    <w:rsid w:val="1E4134E4"/>
    <w:rsid w:val="1E5062B3"/>
    <w:rsid w:val="1E523514"/>
    <w:rsid w:val="1E714A66"/>
    <w:rsid w:val="1E802593"/>
    <w:rsid w:val="1E8B6156"/>
    <w:rsid w:val="1EA703CC"/>
    <w:rsid w:val="1EB7330C"/>
    <w:rsid w:val="1F0A0FF3"/>
    <w:rsid w:val="1F4639C1"/>
    <w:rsid w:val="1F5771FF"/>
    <w:rsid w:val="1F876076"/>
    <w:rsid w:val="1FD52574"/>
    <w:rsid w:val="1FE868A9"/>
    <w:rsid w:val="20034907"/>
    <w:rsid w:val="20173E4B"/>
    <w:rsid w:val="204E48BC"/>
    <w:rsid w:val="205D622D"/>
    <w:rsid w:val="2074045F"/>
    <w:rsid w:val="208921B3"/>
    <w:rsid w:val="20895DCF"/>
    <w:rsid w:val="208D5628"/>
    <w:rsid w:val="20973DEB"/>
    <w:rsid w:val="20AF0D9B"/>
    <w:rsid w:val="20B26522"/>
    <w:rsid w:val="20B44310"/>
    <w:rsid w:val="211116EB"/>
    <w:rsid w:val="216133FC"/>
    <w:rsid w:val="21D56769"/>
    <w:rsid w:val="21E52EF3"/>
    <w:rsid w:val="21FB5D7B"/>
    <w:rsid w:val="22015E94"/>
    <w:rsid w:val="220B1C3D"/>
    <w:rsid w:val="221D1D20"/>
    <w:rsid w:val="22334A87"/>
    <w:rsid w:val="225B3FD4"/>
    <w:rsid w:val="227A4A01"/>
    <w:rsid w:val="22BE6801"/>
    <w:rsid w:val="22CA6735"/>
    <w:rsid w:val="22E91B93"/>
    <w:rsid w:val="233500BF"/>
    <w:rsid w:val="23377FF7"/>
    <w:rsid w:val="236B425F"/>
    <w:rsid w:val="23836192"/>
    <w:rsid w:val="23863492"/>
    <w:rsid w:val="23901F29"/>
    <w:rsid w:val="239C0061"/>
    <w:rsid w:val="239F2FC5"/>
    <w:rsid w:val="23A17E8B"/>
    <w:rsid w:val="23B908A4"/>
    <w:rsid w:val="23BA7198"/>
    <w:rsid w:val="23E95BEF"/>
    <w:rsid w:val="23FD0064"/>
    <w:rsid w:val="244F484B"/>
    <w:rsid w:val="245375B0"/>
    <w:rsid w:val="24642C0A"/>
    <w:rsid w:val="246F6E98"/>
    <w:rsid w:val="24B22173"/>
    <w:rsid w:val="24B95AD9"/>
    <w:rsid w:val="24BE24DA"/>
    <w:rsid w:val="24CF5825"/>
    <w:rsid w:val="24D663E6"/>
    <w:rsid w:val="24D77F2B"/>
    <w:rsid w:val="2567270B"/>
    <w:rsid w:val="258B00E2"/>
    <w:rsid w:val="25A917A6"/>
    <w:rsid w:val="25BE27CC"/>
    <w:rsid w:val="25F74A5C"/>
    <w:rsid w:val="2628662C"/>
    <w:rsid w:val="262D45DE"/>
    <w:rsid w:val="26871DC8"/>
    <w:rsid w:val="26A53EF9"/>
    <w:rsid w:val="26A94201"/>
    <w:rsid w:val="26AC274F"/>
    <w:rsid w:val="26DA1852"/>
    <w:rsid w:val="26EE5512"/>
    <w:rsid w:val="27044A29"/>
    <w:rsid w:val="271D34C8"/>
    <w:rsid w:val="276142BF"/>
    <w:rsid w:val="27783712"/>
    <w:rsid w:val="278639AF"/>
    <w:rsid w:val="27907362"/>
    <w:rsid w:val="28333E1D"/>
    <w:rsid w:val="28454BD6"/>
    <w:rsid w:val="28455253"/>
    <w:rsid w:val="28551971"/>
    <w:rsid w:val="285B1C53"/>
    <w:rsid w:val="289F7086"/>
    <w:rsid w:val="28C32028"/>
    <w:rsid w:val="28CC490F"/>
    <w:rsid w:val="28DE40AA"/>
    <w:rsid w:val="28E6013B"/>
    <w:rsid w:val="29345E77"/>
    <w:rsid w:val="294C65AD"/>
    <w:rsid w:val="29806583"/>
    <w:rsid w:val="298B3C4C"/>
    <w:rsid w:val="298C36DF"/>
    <w:rsid w:val="29E67BCF"/>
    <w:rsid w:val="29F26D24"/>
    <w:rsid w:val="2A15033F"/>
    <w:rsid w:val="2A1662C1"/>
    <w:rsid w:val="2A1C7367"/>
    <w:rsid w:val="2A2815FA"/>
    <w:rsid w:val="2A387F08"/>
    <w:rsid w:val="2A6D6092"/>
    <w:rsid w:val="2A7D76B4"/>
    <w:rsid w:val="2B437463"/>
    <w:rsid w:val="2B7807EE"/>
    <w:rsid w:val="2BA50BF7"/>
    <w:rsid w:val="2BBF00EC"/>
    <w:rsid w:val="2BC37CFD"/>
    <w:rsid w:val="2BD5237F"/>
    <w:rsid w:val="2BE536CE"/>
    <w:rsid w:val="2BE758D9"/>
    <w:rsid w:val="2BF346BB"/>
    <w:rsid w:val="2C09049E"/>
    <w:rsid w:val="2C0A653C"/>
    <w:rsid w:val="2C191F85"/>
    <w:rsid w:val="2C266948"/>
    <w:rsid w:val="2C6A0BFA"/>
    <w:rsid w:val="2CE82D6F"/>
    <w:rsid w:val="2D343236"/>
    <w:rsid w:val="2D575011"/>
    <w:rsid w:val="2D5E35E4"/>
    <w:rsid w:val="2DD15014"/>
    <w:rsid w:val="2DF72DE4"/>
    <w:rsid w:val="2E0220AF"/>
    <w:rsid w:val="2E4B082A"/>
    <w:rsid w:val="2E5D4E86"/>
    <w:rsid w:val="2E5D790B"/>
    <w:rsid w:val="2E9A3C18"/>
    <w:rsid w:val="2EBB0FEE"/>
    <w:rsid w:val="2EC63002"/>
    <w:rsid w:val="2F0A6B38"/>
    <w:rsid w:val="2F946CCB"/>
    <w:rsid w:val="2FD25781"/>
    <w:rsid w:val="2FDC745C"/>
    <w:rsid w:val="2FFD7934"/>
    <w:rsid w:val="30733ACD"/>
    <w:rsid w:val="308C3862"/>
    <w:rsid w:val="309379D8"/>
    <w:rsid w:val="30A270F7"/>
    <w:rsid w:val="30DF1478"/>
    <w:rsid w:val="30EC586F"/>
    <w:rsid w:val="310E70FE"/>
    <w:rsid w:val="319C6071"/>
    <w:rsid w:val="31A76597"/>
    <w:rsid w:val="31AC537E"/>
    <w:rsid w:val="31E3679B"/>
    <w:rsid w:val="31E732FD"/>
    <w:rsid w:val="31F4794D"/>
    <w:rsid w:val="3236068C"/>
    <w:rsid w:val="32517576"/>
    <w:rsid w:val="32613990"/>
    <w:rsid w:val="32B516B6"/>
    <w:rsid w:val="32BE5C2C"/>
    <w:rsid w:val="32FB6478"/>
    <w:rsid w:val="33263B3F"/>
    <w:rsid w:val="336963EB"/>
    <w:rsid w:val="33816EEB"/>
    <w:rsid w:val="33EB55CD"/>
    <w:rsid w:val="33EC4C02"/>
    <w:rsid w:val="340D2360"/>
    <w:rsid w:val="3410665D"/>
    <w:rsid w:val="34211214"/>
    <w:rsid w:val="342E63AB"/>
    <w:rsid w:val="34592853"/>
    <w:rsid w:val="34950E68"/>
    <w:rsid w:val="34986E94"/>
    <w:rsid w:val="34AF62C9"/>
    <w:rsid w:val="34CB4388"/>
    <w:rsid w:val="34FA6E12"/>
    <w:rsid w:val="354D7158"/>
    <w:rsid w:val="358D5588"/>
    <w:rsid w:val="359327BC"/>
    <w:rsid w:val="363A3B40"/>
    <w:rsid w:val="365302AE"/>
    <w:rsid w:val="36607A0A"/>
    <w:rsid w:val="366E227C"/>
    <w:rsid w:val="366F2E0D"/>
    <w:rsid w:val="367B6A5C"/>
    <w:rsid w:val="36A74ADA"/>
    <w:rsid w:val="36AD60D5"/>
    <w:rsid w:val="36B224F9"/>
    <w:rsid w:val="36EC0CC9"/>
    <w:rsid w:val="373F410B"/>
    <w:rsid w:val="376D4844"/>
    <w:rsid w:val="37EE7094"/>
    <w:rsid w:val="37EF4D50"/>
    <w:rsid w:val="38296C89"/>
    <w:rsid w:val="383002EB"/>
    <w:rsid w:val="38303DCF"/>
    <w:rsid w:val="38586797"/>
    <w:rsid w:val="385D15DF"/>
    <w:rsid w:val="38A00F55"/>
    <w:rsid w:val="38BC0149"/>
    <w:rsid w:val="38D87D1C"/>
    <w:rsid w:val="39186D3D"/>
    <w:rsid w:val="39636459"/>
    <w:rsid w:val="396A2B4D"/>
    <w:rsid w:val="396B7F6C"/>
    <w:rsid w:val="39B417A9"/>
    <w:rsid w:val="39FC5695"/>
    <w:rsid w:val="3A006D8E"/>
    <w:rsid w:val="3A136626"/>
    <w:rsid w:val="3A1E0383"/>
    <w:rsid w:val="3A3567FE"/>
    <w:rsid w:val="3A3651E5"/>
    <w:rsid w:val="3A744481"/>
    <w:rsid w:val="3A8211AE"/>
    <w:rsid w:val="3A8C7BEF"/>
    <w:rsid w:val="3A906246"/>
    <w:rsid w:val="3B2349B7"/>
    <w:rsid w:val="3B616CFF"/>
    <w:rsid w:val="3B6259F6"/>
    <w:rsid w:val="3B976654"/>
    <w:rsid w:val="3BB03CB1"/>
    <w:rsid w:val="3BB16FD5"/>
    <w:rsid w:val="3BC01EFC"/>
    <w:rsid w:val="3BCA786A"/>
    <w:rsid w:val="3BD31E2F"/>
    <w:rsid w:val="3BF15831"/>
    <w:rsid w:val="3C0331F7"/>
    <w:rsid w:val="3C105946"/>
    <w:rsid w:val="3C471448"/>
    <w:rsid w:val="3C5F759A"/>
    <w:rsid w:val="3C6C525A"/>
    <w:rsid w:val="3CCE23CB"/>
    <w:rsid w:val="3CD17D17"/>
    <w:rsid w:val="3D3C7F39"/>
    <w:rsid w:val="3D43120E"/>
    <w:rsid w:val="3D440F09"/>
    <w:rsid w:val="3D4504A0"/>
    <w:rsid w:val="3D762284"/>
    <w:rsid w:val="3D8734BB"/>
    <w:rsid w:val="3D9616FC"/>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F4836"/>
    <w:rsid w:val="3EC33DFA"/>
    <w:rsid w:val="3F060E16"/>
    <w:rsid w:val="3F1D1096"/>
    <w:rsid w:val="3F2F0234"/>
    <w:rsid w:val="3F3A3A46"/>
    <w:rsid w:val="3F6363FE"/>
    <w:rsid w:val="3F756B8F"/>
    <w:rsid w:val="3F8C3FE1"/>
    <w:rsid w:val="3F95482B"/>
    <w:rsid w:val="4019356B"/>
    <w:rsid w:val="40592157"/>
    <w:rsid w:val="406E1CAE"/>
    <w:rsid w:val="40A0133A"/>
    <w:rsid w:val="40C31A53"/>
    <w:rsid w:val="40E40233"/>
    <w:rsid w:val="40FC6F44"/>
    <w:rsid w:val="40FE01E6"/>
    <w:rsid w:val="40FF545D"/>
    <w:rsid w:val="410067C8"/>
    <w:rsid w:val="418F0D2A"/>
    <w:rsid w:val="41D01505"/>
    <w:rsid w:val="42474939"/>
    <w:rsid w:val="424C3C57"/>
    <w:rsid w:val="42613FF3"/>
    <w:rsid w:val="42660D96"/>
    <w:rsid w:val="428667D2"/>
    <w:rsid w:val="42B04A1B"/>
    <w:rsid w:val="42CD1CE0"/>
    <w:rsid w:val="42E07C76"/>
    <w:rsid w:val="42E1381E"/>
    <w:rsid w:val="42ED6459"/>
    <w:rsid w:val="42FE58DD"/>
    <w:rsid w:val="43174B3D"/>
    <w:rsid w:val="434B790E"/>
    <w:rsid w:val="4360274F"/>
    <w:rsid w:val="43977AB6"/>
    <w:rsid w:val="43A3342B"/>
    <w:rsid w:val="43C77C27"/>
    <w:rsid w:val="43DE09EE"/>
    <w:rsid w:val="44002FAD"/>
    <w:rsid w:val="449101DD"/>
    <w:rsid w:val="44DE1391"/>
    <w:rsid w:val="44F97EDF"/>
    <w:rsid w:val="451B225C"/>
    <w:rsid w:val="452410C9"/>
    <w:rsid w:val="45317DFB"/>
    <w:rsid w:val="456D3CE4"/>
    <w:rsid w:val="4579042C"/>
    <w:rsid w:val="457F0571"/>
    <w:rsid w:val="45851176"/>
    <w:rsid w:val="45C63B94"/>
    <w:rsid w:val="460E7DA5"/>
    <w:rsid w:val="46422483"/>
    <w:rsid w:val="4659254A"/>
    <w:rsid w:val="465B0637"/>
    <w:rsid w:val="465E3F0D"/>
    <w:rsid w:val="466A16E6"/>
    <w:rsid w:val="46893F2B"/>
    <w:rsid w:val="46C4686E"/>
    <w:rsid w:val="47060B1D"/>
    <w:rsid w:val="477B778F"/>
    <w:rsid w:val="478203EC"/>
    <w:rsid w:val="47B025FA"/>
    <w:rsid w:val="4809698F"/>
    <w:rsid w:val="4811697D"/>
    <w:rsid w:val="48360F8E"/>
    <w:rsid w:val="487A3E25"/>
    <w:rsid w:val="488B5503"/>
    <w:rsid w:val="48937E21"/>
    <w:rsid w:val="489A0361"/>
    <w:rsid w:val="48B94FF3"/>
    <w:rsid w:val="48E37AAB"/>
    <w:rsid w:val="48FD4B4C"/>
    <w:rsid w:val="4904108C"/>
    <w:rsid w:val="490A68E0"/>
    <w:rsid w:val="491055FE"/>
    <w:rsid w:val="495F5B3E"/>
    <w:rsid w:val="496F77D7"/>
    <w:rsid w:val="497654FD"/>
    <w:rsid w:val="49B64211"/>
    <w:rsid w:val="49D722FD"/>
    <w:rsid w:val="49F6167F"/>
    <w:rsid w:val="49FC20D8"/>
    <w:rsid w:val="4A064FA0"/>
    <w:rsid w:val="4A16615C"/>
    <w:rsid w:val="4A4424D7"/>
    <w:rsid w:val="4AA04DE4"/>
    <w:rsid w:val="4AB82D0F"/>
    <w:rsid w:val="4AEB7664"/>
    <w:rsid w:val="4AFD7C19"/>
    <w:rsid w:val="4AFF7F4E"/>
    <w:rsid w:val="4B0567D1"/>
    <w:rsid w:val="4B236AAE"/>
    <w:rsid w:val="4B707271"/>
    <w:rsid w:val="4B9739F7"/>
    <w:rsid w:val="4B983D0E"/>
    <w:rsid w:val="4BEE2503"/>
    <w:rsid w:val="4C245A30"/>
    <w:rsid w:val="4CB6685F"/>
    <w:rsid w:val="4CC367FE"/>
    <w:rsid w:val="4D077F3C"/>
    <w:rsid w:val="4D123355"/>
    <w:rsid w:val="4D2A3B31"/>
    <w:rsid w:val="4D312C52"/>
    <w:rsid w:val="4D905305"/>
    <w:rsid w:val="4D964A72"/>
    <w:rsid w:val="4D987FF5"/>
    <w:rsid w:val="4D9C1254"/>
    <w:rsid w:val="4E661EA1"/>
    <w:rsid w:val="4E793892"/>
    <w:rsid w:val="4E800872"/>
    <w:rsid w:val="4E98249A"/>
    <w:rsid w:val="4EAC03F1"/>
    <w:rsid w:val="4EC569ED"/>
    <w:rsid w:val="4ED50EA1"/>
    <w:rsid w:val="4EEC050C"/>
    <w:rsid w:val="4F104EC3"/>
    <w:rsid w:val="4F47354A"/>
    <w:rsid w:val="4F911C54"/>
    <w:rsid w:val="4FE625E0"/>
    <w:rsid w:val="501949CE"/>
    <w:rsid w:val="501F67AB"/>
    <w:rsid w:val="5021480F"/>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1CA49AC"/>
    <w:rsid w:val="51CE76CE"/>
    <w:rsid w:val="522E4CC3"/>
    <w:rsid w:val="5244713B"/>
    <w:rsid w:val="52615633"/>
    <w:rsid w:val="526F4DE4"/>
    <w:rsid w:val="52977FD4"/>
    <w:rsid w:val="52A25790"/>
    <w:rsid w:val="52A96B6F"/>
    <w:rsid w:val="52B45975"/>
    <w:rsid w:val="52CC5BE8"/>
    <w:rsid w:val="52D94AA4"/>
    <w:rsid w:val="52EA3A62"/>
    <w:rsid w:val="52F50BB8"/>
    <w:rsid w:val="52FF7816"/>
    <w:rsid w:val="53097272"/>
    <w:rsid w:val="530B3D85"/>
    <w:rsid w:val="530E3F03"/>
    <w:rsid w:val="53544462"/>
    <w:rsid w:val="53794678"/>
    <w:rsid w:val="5397158E"/>
    <w:rsid w:val="53A72B6C"/>
    <w:rsid w:val="53E775E0"/>
    <w:rsid w:val="54013861"/>
    <w:rsid w:val="54487265"/>
    <w:rsid w:val="544D6070"/>
    <w:rsid w:val="54544735"/>
    <w:rsid w:val="54605E1E"/>
    <w:rsid w:val="547E6196"/>
    <w:rsid w:val="54B3506A"/>
    <w:rsid w:val="54CA0D16"/>
    <w:rsid w:val="54DD4057"/>
    <w:rsid w:val="54E7490F"/>
    <w:rsid w:val="550764A4"/>
    <w:rsid w:val="550B2BF6"/>
    <w:rsid w:val="55214EB5"/>
    <w:rsid w:val="55364EFD"/>
    <w:rsid w:val="555D4828"/>
    <w:rsid w:val="55757FC6"/>
    <w:rsid w:val="557A4C8B"/>
    <w:rsid w:val="558931E1"/>
    <w:rsid w:val="55923347"/>
    <w:rsid w:val="55925180"/>
    <w:rsid w:val="55983B1B"/>
    <w:rsid w:val="55A8376B"/>
    <w:rsid w:val="55BD4ECD"/>
    <w:rsid w:val="55DC29B6"/>
    <w:rsid w:val="55DD4241"/>
    <w:rsid w:val="561B338B"/>
    <w:rsid w:val="563C0438"/>
    <w:rsid w:val="566B6D1E"/>
    <w:rsid w:val="56941CA1"/>
    <w:rsid w:val="56D71D47"/>
    <w:rsid w:val="56F65000"/>
    <w:rsid w:val="57032A2C"/>
    <w:rsid w:val="570F5219"/>
    <w:rsid w:val="57382C1F"/>
    <w:rsid w:val="575D12B5"/>
    <w:rsid w:val="57610A87"/>
    <w:rsid w:val="577B1140"/>
    <w:rsid w:val="577B7F21"/>
    <w:rsid w:val="577F181B"/>
    <w:rsid w:val="57921984"/>
    <w:rsid w:val="579737F0"/>
    <w:rsid w:val="57A940C6"/>
    <w:rsid w:val="57AB7B30"/>
    <w:rsid w:val="57AF5251"/>
    <w:rsid w:val="57B26373"/>
    <w:rsid w:val="57B63F04"/>
    <w:rsid w:val="57BF6015"/>
    <w:rsid w:val="57CD20C2"/>
    <w:rsid w:val="57D675AB"/>
    <w:rsid w:val="57D73717"/>
    <w:rsid w:val="57D95FDD"/>
    <w:rsid w:val="57F124AD"/>
    <w:rsid w:val="58917D2F"/>
    <w:rsid w:val="5894085C"/>
    <w:rsid w:val="58AE4F0C"/>
    <w:rsid w:val="58B85899"/>
    <w:rsid w:val="58E363A9"/>
    <w:rsid w:val="59166304"/>
    <w:rsid w:val="595E1678"/>
    <w:rsid w:val="596D5BD4"/>
    <w:rsid w:val="597E3DD8"/>
    <w:rsid w:val="598F49A2"/>
    <w:rsid w:val="59F80043"/>
    <w:rsid w:val="5A09252F"/>
    <w:rsid w:val="5A0B2778"/>
    <w:rsid w:val="5A2A7C7B"/>
    <w:rsid w:val="5A3E2560"/>
    <w:rsid w:val="5A5D3B6E"/>
    <w:rsid w:val="5A637A76"/>
    <w:rsid w:val="5A6D33BA"/>
    <w:rsid w:val="5A792B1F"/>
    <w:rsid w:val="5A874767"/>
    <w:rsid w:val="5AA85BE2"/>
    <w:rsid w:val="5AAD6F28"/>
    <w:rsid w:val="5AD63A24"/>
    <w:rsid w:val="5AE71988"/>
    <w:rsid w:val="5B2E1A1D"/>
    <w:rsid w:val="5B843A1C"/>
    <w:rsid w:val="5B873E3F"/>
    <w:rsid w:val="5BCB7CB2"/>
    <w:rsid w:val="5C02690E"/>
    <w:rsid w:val="5C196DA7"/>
    <w:rsid w:val="5C2A048C"/>
    <w:rsid w:val="5C327B4C"/>
    <w:rsid w:val="5C576C88"/>
    <w:rsid w:val="5C80234E"/>
    <w:rsid w:val="5C8A680C"/>
    <w:rsid w:val="5D0C4701"/>
    <w:rsid w:val="5D0F0395"/>
    <w:rsid w:val="5D1DE5DA"/>
    <w:rsid w:val="5D221076"/>
    <w:rsid w:val="5D397964"/>
    <w:rsid w:val="5D5A391C"/>
    <w:rsid w:val="5D5F10C0"/>
    <w:rsid w:val="5D891B7B"/>
    <w:rsid w:val="5DAD38EE"/>
    <w:rsid w:val="5DF9063C"/>
    <w:rsid w:val="5E006862"/>
    <w:rsid w:val="5E0207B9"/>
    <w:rsid w:val="5E1834A1"/>
    <w:rsid w:val="5E261785"/>
    <w:rsid w:val="5E4A7017"/>
    <w:rsid w:val="5E552BBA"/>
    <w:rsid w:val="5E5C4BB1"/>
    <w:rsid w:val="5E611C10"/>
    <w:rsid w:val="5E7A0F3F"/>
    <w:rsid w:val="5EFC7377"/>
    <w:rsid w:val="5F06174D"/>
    <w:rsid w:val="5F3A3602"/>
    <w:rsid w:val="5F45733B"/>
    <w:rsid w:val="5F482646"/>
    <w:rsid w:val="5F6277C6"/>
    <w:rsid w:val="5F6D0B1D"/>
    <w:rsid w:val="5F7B12E5"/>
    <w:rsid w:val="5F8D0B82"/>
    <w:rsid w:val="5FA40637"/>
    <w:rsid w:val="5FCC5339"/>
    <w:rsid w:val="5FDC4810"/>
    <w:rsid w:val="5FE34A5B"/>
    <w:rsid w:val="5FFE1E36"/>
    <w:rsid w:val="60232584"/>
    <w:rsid w:val="60362FE4"/>
    <w:rsid w:val="607330CE"/>
    <w:rsid w:val="60825176"/>
    <w:rsid w:val="609F2AC4"/>
    <w:rsid w:val="60E23609"/>
    <w:rsid w:val="60FA2EE8"/>
    <w:rsid w:val="61054A27"/>
    <w:rsid w:val="610A52BC"/>
    <w:rsid w:val="611D2366"/>
    <w:rsid w:val="61421856"/>
    <w:rsid w:val="615227C4"/>
    <w:rsid w:val="61654E3F"/>
    <w:rsid w:val="616B102E"/>
    <w:rsid w:val="6182292A"/>
    <w:rsid w:val="619F7F92"/>
    <w:rsid w:val="61C64CD9"/>
    <w:rsid w:val="61F94C26"/>
    <w:rsid w:val="62000E56"/>
    <w:rsid w:val="621A3965"/>
    <w:rsid w:val="624F3E49"/>
    <w:rsid w:val="62632286"/>
    <w:rsid w:val="62885958"/>
    <w:rsid w:val="62F40B65"/>
    <w:rsid w:val="62FC2CFE"/>
    <w:rsid w:val="63024505"/>
    <w:rsid w:val="635600A5"/>
    <w:rsid w:val="635805C7"/>
    <w:rsid w:val="635B1DB5"/>
    <w:rsid w:val="63711FED"/>
    <w:rsid w:val="63880DDC"/>
    <w:rsid w:val="638D750D"/>
    <w:rsid w:val="63AC6CC0"/>
    <w:rsid w:val="63D0374E"/>
    <w:rsid w:val="63FC0E86"/>
    <w:rsid w:val="64055776"/>
    <w:rsid w:val="64240056"/>
    <w:rsid w:val="643E143A"/>
    <w:rsid w:val="64491666"/>
    <w:rsid w:val="648B6EEF"/>
    <w:rsid w:val="64C158BF"/>
    <w:rsid w:val="64CE2EAA"/>
    <w:rsid w:val="653C3090"/>
    <w:rsid w:val="65661F83"/>
    <w:rsid w:val="65854376"/>
    <w:rsid w:val="658767BE"/>
    <w:rsid w:val="65892531"/>
    <w:rsid w:val="66195831"/>
    <w:rsid w:val="662E75B1"/>
    <w:rsid w:val="66342C2E"/>
    <w:rsid w:val="663E784C"/>
    <w:rsid w:val="66864476"/>
    <w:rsid w:val="668B6A45"/>
    <w:rsid w:val="66930034"/>
    <w:rsid w:val="672F3F24"/>
    <w:rsid w:val="673E055F"/>
    <w:rsid w:val="67551CE3"/>
    <w:rsid w:val="67A22552"/>
    <w:rsid w:val="67B22DCC"/>
    <w:rsid w:val="67BE71AA"/>
    <w:rsid w:val="67C823EF"/>
    <w:rsid w:val="67D90273"/>
    <w:rsid w:val="67DE5875"/>
    <w:rsid w:val="67E55852"/>
    <w:rsid w:val="67EB1AB4"/>
    <w:rsid w:val="67FA1285"/>
    <w:rsid w:val="682269E1"/>
    <w:rsid w:val="68551F4F"/>
    <w:rsid w:val="687C10C9"/>
    <w:rsid w:val="68840C16"/>
    <w:rsid w:val="68876EFB"/>
    <w:rsid w:val="68884654"/>
    <w:rsid w:val="689F444F"/>
    <w:rsid w:val="68B96DBB"/>
    <w:rsid w:val="68BC69A9"/>
    <w:rsid w:val="68CA2805"/>
    <w:rsid w:val="68D40692"/>
    <w:rsid w:val="68E937A3"/>
    <w:rsid w:val="693E15D3"/>
    <w:rsid w:val="694035C3"/>
    <w:rsid w:val="69627681"/>
    <w:rsid w:val="6977531D"/>
    <w:rsid w:val="69CC2BFF"/>
    <w:rsid w:val="69FD55B8"/>
    <w:rsid w:val="6A0B1C62"/>
    <w:rsid w:val="6A2406C8"/>
    <w:rsid w:val="6A31115D"/>
    <w:rsid w:val="6A7A6FA8"/>
    <w:rsid w:val="6A9A6D03"/>
    <w:rsid w:val="6ADE0BD1"/>
    <w:rsid w:val="6AE26EFF"/>
    <w:rsid w:val="6AE96859"/>
    <w:rsid w:val="6B040620"/>
    <w:rsid w:val="6B147746"/>
    <w:rsid w:val="6B24787C"/>
    <w:rsid w:val="6B573233"/>
    <w:rsid w:val="6B5B6274"/>
    <w:rsid w:val="6B935D53"/>
    <w:rsid w:val="6BEB1251"/>
    <w:rsid w:val="6BFC1CF3"/>
    <w:rsid w:val="6C196F71"/>
    <w:rsid w:val="6C226FCB"/>
    <w:rsid w:val="6C31226F"/>
    <w:rsid w:val="6C552F0B"/>
    <w:rsid w:val="6C8C67B7"/>
    <w:rsid w:val="6C9D744C"/>
    <w:rsid w:val="6D167928"/>
    <w:rsid w:val="6D26299B"/>
    <w:rsid w:val="6D4772EC"/>
    <w:rsid w:val="6D9078AF"/>
    <w:rsid w:val="6DAA3FEF"/>
    <w:rsid w:val="6DC0172B"/>
    <w:rsid w:val="6DCB690C"/>
    <w:rsid w:val="6DD41A5B"/>
    <w:rsid w:val="6DF43C2E"/>
    <w:rsid w:val="6DF51CA3"/>
    <w:rsid w:val="6E8335BD"/>
    <w:rsid w:val="6E8E12EF"/>
    <w:rsid w:val="6E972936"/>
    <w:rsid w:val="6E9F2B3A"/>
    <w:rsid w:val="6ED446C5"/>
    <w:rsid w:val="6F2A7D94"/>
    <w:rsid w:val="6F8331F1"/>
    <w:rsid w:val="6FAE1A09"/>
    <w:rsid w:val="6FD75BF8"/>
    <w:rsid w:val="704F0094"/>
    <w:rsid w:val="70713D1E"/>
    <w:rsid w:val="707723D0"/>
    <w:rsid w:val="70943440"/>
    <w:rsid w:val="70983CE4"/>
    <w:rsid w:val="70F5661B"/>
    <w:rsid w:val="71110B7D"/>
    <w:rsid w:val="71360107"/>
    <w:rsid w:val="713B688E"/>
    <w:rsid w:val="719F449E"/>
    <w:rsid w:val="71A67CC3"/>
    <w:rsid w:val="71D43752"/>
    <w:rsid w:val="71DB115E"/>
    <w:rsid w:val="71F1796A"/>
    <w:rsid w:val="71F7F5A0"/>
    <w:rsid w:val="72154626"/>
    <w:rsid w:val="72262B5D"/>
    <w:rsid w:val="72283FF7"/>
    <w:rsid w:val="722E7212"/>
    <w:rsid w:val="723A0474"/>
    <w:rsid w:val="725923E4"/>
    <w:rsid w:val="725D6F93"/>
    <w:rsid w:val="72864BF7"/>
    <w:rsid w:val="729023FC"/>
    <w:rsid w:val="72ED47BB"/>
    <w:rsid w:val="73C0646E"/>
    <w:rsid w:val="742222F5"/>
    <w:rsid w:val="74476126"/>
    <w:rsid w:val="74706664"/>
    <w:rsid w:val="747F3682"/>
    <w:rsid w:val="749C4185"/>
    <w:rsid w:val="74C257AA"/>
    <w:rsid w:val="75067759"/>
    <w:rsid w:val="751002ED"/>
    <w:rsid w:val="752E6DCD"/>
    <w:rsid w:val="7551380D"/>
    <w:rsid w:val="75600BE5"/>
    <w:rsid w:val="7564475C"/>
    <w:rsid w:val="757C5983"/>
    <w:rsid w:val="7583797F"/>
    <w:rsid w:val="75CD66A7"/>
    <w:rsid w:val="75D20F1D"/>
    <w:rsid w:val="75DA2C18"/>
    <w:rsid w:val="75F54412"/>
    <w:rsid w:val="761D08E0"/>
    <w:rsid w:val="765D347C"/>
    <w:rsid w:val="76826699"/>
    <w:rsid w:val="76873BC1"/>
    <w:rsid w:val="76C87133"/>
    <w:rsid w:val="76CD08D5"/>
    <w:rsid w:val="76DB4B92"/>
    <w:rsid w:val="76ED481A"/>
    <w:rsid w:val="76FF5330"/>
    <w:rsid w:val="77052AA4"/>
    <w:rsid w:val="77136511"/>
    <w:rsid w:val="77167A87"/>
    <w:rsid w:val="7730111A"/>
    <w:rsid w:val="77340A39"/>
    <w:rsid w:val="77351FD0"/>
    <w:rsid w:val="77472422"/>
    <w:rsid w:val="777728A5"/>
    <w:rsid w:val="777F31F2"/>
    <w:rsid w:val="77D1700D"/>
    <w:rsid w:val="77D53A70"/>
    <w:rsid w:val="77EA74CC"/>
    <w:rsid w:val="77EC04CC"/>
    <w:rsid w:val="77F5604F"/>
    <w:rsid w:val="784604CA"/>
    <w:rsid w:val="78775729"/>
    <w:rsid w:val="78A42DB0"/>
    <w:rsid w:val="78A656AB"/>
    <w:rsid w:val="78B2245C"/>
    <w:rsid w:val="78E172CC"/>
    <w:rsid w:val="78EA1D1F"/>
    <w:rsid w:val="7904172F"/>
    <w:rsid w:val="790F7E27"/>
    <w:rsid w:val="792A231A"/>
    <w:rsid w:val="79316829"/>
    <w:rsid w:val="79635B60"/>
    <w:rsid w:val="797E66A9"/>
    <w:rsid w:val="798518A4"/>
    <w:rsid w:val="79A97383"/>
    <w:rsid w:val="79E27E8B"/>
    <w:rsid w:val="79F850CE"/>
    <w:rsid w:val="79FD443C"/>
    <w:rsid w:val="79FFDFAF"/>
    <w:rsid w:val="7A1D1975"/>
    <w:rsid w:val="7A3E5150"/>
    <w:rsid w:val="7A4670D6"/>
    <w:rsid w:val="7A534B63"/>
    <w:rsid w:val="7A615382"/>
    <w:rsid w:val="7A616556"/>
    <w:rsid w:val="7A67303B"/>
    <w:rsid w:val="7AAB1D04"/>
    <w:rsid w:val="7ABA4368"/>
    <w:rsid w:val="7AD05746"/>
    <w:rsid w:val="7B257FFD"/>
    <w:rsid w:val="7B343476"/>
    <w:rsid w:val="7B5A2978"/>
    <w:rsid w:val="7B5A7E4C"/>
    <w:rsid w:val="7B667AF9"/>
    <w:rsid w:val="7B7468F8"/>
    <w:rsid w:val="7BEE0103"/>
    <w:rsid w:val="7C0A0FE4"/>
    <w:rsid w:val="7C254906"/>
    <w:rsid w:val="7C590818"/>
    <w:rsid w:val="7C6732F0"/>
    <w:rsid w:val="7C7C10F6"/>
    <w:rsid w:val="7C853BEA"/>
    <w:rsid w:val="7C881368"/>
    <w:rsid w:val="7CB4549E"/>
    <w:rsid w:val="7CE27788"/>
    <w:rsid w:val="7D0B29E4"/>
    <w:rsid w:val="7D0C32F1"/>
    <w:rsid w:val="7D0F408D"/>
    <w:rsid w:val="7D491C6C"/>
    <w:rsid w:val="7D5429C0"/>
    <w:rsid w:val="7D6E6D43"/>
    <w:rsid w:val="7DB57A34"/>
    <w:rsid w:val="7DE60973"/>
    <w:rsid w:val="7DEF0916"/>
    <w:rsid w:val="7E1E5218"/>
    <w:rsid w:val="7E75F580"/>
    <w:rsid w:val="7E9A4E1F"/>
    <w:rsid w:val="7EA7723A"/>
    <w:rsid w:val="7EBC253F"/>
    <w:rsid w:val="7EBE8AB3"/>
    <w:rsid w:val="7EF56FBB"/>
    <w:rsid w:val="7F0768EB"/>
    <w:rsid w:val="7F143BEC"/>
    <w:rsid w:val="7F715AF2"/>
    <w:rsid w:val="7F886E69"/>
    <w:rsid w:val="7F9DEFDD"/>
    <w:rsid w:val="7FC8608A"/>
    <w:rsid w:val="7FDF7E14"/>
    <w:rsid w:val="97759934"/>
    <w:rsid w:val="9C2DC1F0"/>
    <w:rsid w:val="9EFF1932"/>
    <w:rsid w:val="BB7FA927"/>
    <w:rsid w:val="BE17C5AF"/>
    <w:rsid w:val="CBAF19EA"/>
    <w:rsid w:val="CD7FFC07"/>
    <w:rsid w:val="DDBBFFF0"/>
    <w:rsid w:val="DEFB09E1"/>
    <w:rsid w:val="DFDB6642"/>
    <w:rsid w:val="EFFFB235"/>
    <w:rsid w:val="F5FFD31F"/>
    <w:rsid w:val="F63D9962"/>
    <w:rsid w:val="F7FF2692"/>
    <w:rsid w:val="FA7FF16F"/>
    <w:rsid w:val="FAFF2305"/>
    <w:rsid w:val="FBDC34C1"/>
    <w:rsid w:val="FCFFC6AD"/>
    <w:rsid w:val="FDCFA97F"/>
    <w:rsid w:val="FE7FD5FC"/>
    <w:rsid w:val="FF1FA7A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0"/>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1"/>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2">
    <w:name w:val="heading 4"/>
    <w:basedOn w:val="1"/>
    <w:next w:val="1"/>
    <w:link w:val="324"/>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0"/>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4"/>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4"/>
    <w:autoRedefine/>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5"/>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79"/>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autoRedefine/>
    <w:semiHidden/>
    <w:unhideWhenUsed/>
    <w:qFormat/>
    <w:uiPriority w:val="1"/>
  </w:style>
  <w:style w:type="table" w:default="1" w:styleId="62">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0"/>
    <w:pPr>
      <w:ind w:left="2520" w:leftChars="1200"/>
    </w:pPr>
  </w:style>
  <w:style w:type="paragraph" w:styleId="12">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autoRedefine/>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link w:val="190"/>
    <w:autoRedefine/>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26"/>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link w:val="199"/>
    <w:autoRedefine/>
    <w:qFormat/>
    <w:uiPriority w:val="0"/>
    <w:pPr>
      <w:shd w:val="clear" w:color="auto" w:fill="000080"/>
    </w:pPr>
  </w:style>
  <w:style w:type="paragraph" w:styleId="19">
    <w:name w:val="annotation text"/>
    <w:basedOn w:val="1"/>
    <w:link w:val="341"/>
    <w:autoRedefine/>
    <w:qFormat/>
    <w:uiPriority w:val="99"/>
    <w:pPr>
      <w:jc w:val="left"/>
    </w:pPr>
  </w:style>
  <w:style w:type="paragraph" w:styleId="20">
    <w:name w:val="Salutation"/>
    <w:basedOn w:val="1"/>
    <w:next w:val="1"/>
    <w:link w:val="295"/>
    <w:autoRedefine/>
    <w:qFormat/>
    <w:uiPriority w:val="0"/>
    <w:rPr>
      <w:rFonts w:ascii="仿宋_GB2312" w:eastAsia="仿宋_GB2312"/>
      <w:sz w:val="28"/>
      <w:szCs w:val="20"/>
    </w:rPr>
  </w:style>
  <w:style w:type="paragraph" w:styleId="21">
    <w:name w:val="Body Text 3"/>
    <w:basedOn w:val="1"/>
    <w:link w:val="327"/>
    <w:autoRedefine/>
    <w:qFormat/>
    <w:uiPriority w:val="0"/>
    <w:pPr>
      <w:jc w:val="center"/>
    </w:pPr>
    <w:rPr>
      <w:szCs w:val="20"/>
    </w:rPr>
  </w:style>
  <w:style w:type="paragraph" w:styleId="22">
    <w:name w:val="List Bullet 3"/>
    <w:basedOn w:val="1"/>
    <w:autoRedefine/>
    <w:unhideWhenUsed/>
    <w:qFormat/>
    <w:uiPriority w:val="0"/>
    <w:pPr>
      <w:snapToGrid w:val="0"/>
      <w:spacing w:line="360" w:lineRule="auto"/>
      <w:ind w:left="360" w:right="238" w:hanging="360"/>
      <w:contextualSpacing/>
    </w:pPr>
    <w:rPr>
      <w:sz w:val="24"/>
    </w:rPr>
  </w:style>
  <w:style w:type="paragraph" w:styleId="23">
    <w:name w:val="Body Text"/>
    <w:basedOn w:val="1"/>
    <w:link w:val="427"/>
    <w:autoRedefine/>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2"/>
    <w:autoRedefine/>
    <w:qFormat/>
    <w:uiPriority w:val="0"/>
    <w:pPr>
      <w:spacing w:line="480" w:lineRule="exact"/>
      <w:ind w:firstLine="480" w:firstLineChars="200"/>
    </w:pPr>
    <w:rPr>
      <w:rFonts w:ascii="宋体" w:hAnsi="宋体"/>
      <w:sz w:val="24"/>
    </w:rPr>
  </w:style>
  <w:style w:type="paragraph" w:styleId="25">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autoRedefine/>
    <w:qFormat/>
    <w:uiPriority w:val="0"/>
    <w:pPr>
      <w:adjustRightInd/>
      <w:spacing w:line="360" w:lineRule="auto"/>
      <w:ind w:left="100" w:leftChars="200" w:hanging="200" w:hangingChars="200"/>
    </w:pPr>
    <w:rPr>
      <w:rFonts w:eastAsia="微软雅黑"/>
    </w:rPr>
  </w:style>
  <w:style w:type="paragraph" w:styleId="27">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6"/>
    <w:autoRedefine/>
    <w:qFormat/>
    <w:uiPriority w:val="0"/>
    <w:pPr>
      <w:widowControl/>
      <w:adjustRightInd/>
      <w:ind w:firstLine="200" w:firstLineChars="200"/>
      <w:jc w:val="left"/>
    </w:pPr>
    <w:rPr>
      <w:rFonts w:ascii="宋体" w:hAnsi="宋体"/>
      <w:i/>
      <w:iCs/>
      <w:kern w:val="0"/>
      <w:sz w:val="24"/>
    </w:rPr>
  </w:style>
  <w:style w:type="paragraph" w:styleId="30">
    <w:name w:val="toc 5"/>
    <w:basedOn w:val="1"/>
    <w:next w:val="1"/>
    <w:autoRedefine/>
    <w:qFormat/>
    <w:uiPriority w:val="0"/>
    <w:pPr>
      <w:ind w:left="1680" w:leftChars="800"/>
    </w:pPr>
  </w:style>
  <w:style w:type="paragraph" w:styleId="31">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2"/>
    <w:autoRedefine/>
    <w:qFormat/>
    <w:uiPriority w:val="0"/>
    <w:rPr>
      <w:rFonts w:ascii="宋体" w:hAnsi="Courier New" w:cs="Arial"/>
      <w:snapToGrid w:val="0"/>
      <w:szCs w:val="21"/>
    </w:rPr>
  </w:style>
  <w:style w:type="paragraph" w:styleId="33">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autoRedefine/>
    <w:qFormat/>
    <w:uiPriority w:val="0"/>
    <w:pPr>
      <w:ind w:left="2940" w:leftChars="1400"/>
    </w:pPr>
  </w:style>
  <w:style w:type="paragraph" w:styleId="35">
    <w:name w:val="Date"/>
    <w:basedOn w:val="1"/>
    <w:next w:val="1"/>
    <w:link w:val="178"/>
    <w:autoRedefine/>
    <w:qFormat/>
    <w:uiPriority w:val="0"/>
    <w:pPr>
      <w:ind w:left="100" w:leftChars="2500"/>
    </w:pPr>
    <w:rPr>
      <w:rFonts w:ascii="宋体"/>
      <w:sz w:val="24"/>
      <w:szCs w:val="21"/>
      <w:lang w:val="zh-CN"/>
    </w:rPr>
  </w:style>
  <w:style w:type="paragraph" w:styleId="36">
    <w:name w:val="Body Text Indent 2"/>
    <w:basedOn w:val="1"/>
    <w:link w:val="305"/>
    <w:autoRedefine/>
    <w:qFormat/>
    <w:uiPriority w:val="0"/>
    <w:pPr>
      <w:spacing w:line="360" w:lineRule="auto"/>
      <w:ind w:firstLine="601"/>
      <w:textAlignment w:val="baseline"/>
    </w:pPr>
    <w:rPr>
      <w:rFonts w:ascii="宋体"/>
      <w:kern w:val="0"/>
      <w:sz w:val="28"/>
      <w:szCs w:val="20"/>
    </w:rPr>
  </w:style>
  <w:style w:type="paragraph" w:styleId="37">
    <w:name w:val="endnote text"/>
    <w:basedOn w:val="1"/>
    <w:link w:val="929"/>
    <w:autoRedefine/>
    <w:qFormat/>
    <w:uiPriority w:val="0"/>
    <w:rPr>
      <w:lang w:val="zh-CN"/>
    </w:rPr>
  </w:style>
  <w:style w:type="paragraph" w:styleId="38">
    <w:name w:val="Balloon Text"/>
    <w:basedOn w:val="1"/>
    <w:link w:val="185"/>
    <w:autoRedefine/>
    <w:qFormat/>
    <w:uiPriority w:val="0"/>
    <w:rPr>
      <w:sz w:val="18"/>
      <w:szCs w:val="18"/>
    </w:rPr>
  </w:style>
  <w:style w:type="paragraph" w:styleId="39">
    <w:name w:val="footer"/>
    <w:basedOn w:val="1"/>
    <w:link w:val="380"/>
    <w:autoRedefine/>
    <w:qFormat/>
    <w:uiPriority w:val="99"/>
    <w:pPr>
      <w:tabs>
        <w:tab w:val="center" w:pos="4153"/>
        <w:tab w:val="right" w:pos="8306"/>
      </w:tabs>
      <w:snapToGrid w:val="0"/>
      <w:jc w:val="left"/>
    </w:pPr>
    <w:rPr>
      <w:sz w:val="18"/>
      <w:szCs w:val="18"/>
    </w:rPr>
  </w:style>
  <w:style w:type="paragraph" w:styleId="40">
    <w:name w:val="header"/>
    <w:basedOn w:val="1"/>
    <w:link w:val="389"/>
    <w:autoRedefine/>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2"/>
    <w:autoRedefine/>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autoRedefine/>
    <w:qFormat/>
    <w:uiPriority w:val="0"/>
  </w:style>
  <w:style w:type="paragraph" w:styleId="43">
    <w:name w:val="toc 4"/>
    <w:basedOn w:val="1"/>
    <w:next w:val="1"/>
    <w:autoRedefine/>
    <w:qFormat/>
    <w:uiPriority w:val="0"/>
    <w:pPr>
      <w:ind w:left="1260" w:leftChars="600"/>
    </w:pPr>
  </w:style>
  <w:style w:type="paragraph" w:styleId="44">
    <w:name w:val="index heading"/>
    <w:basedOn w:val="1"/>
    <w:next w:val="45"/>
    <w:autoRedefine/>
    <w:qFormat/>
    <w:uiPriority w:val="0"/>
    <w:pPr>
      <w:adjustRightInd/>
      <w:ind w:firstLine="200" w:firstLineChars="200"/>
    </w:pPr>
  </w:style>
  <w:style w:type="paragraph" w:styleId="45">
    <w:name w:val="index 1"/>
    <w:basedOn w:val="1"/>
    <w:next w:val="1"/>
    <w:autoRedefine/>
    <w:qFormat/>
    <w:uiPriority w:val="0"/>
    <w:pPr>
      <w:adjustRightInd/>
      <w:spacing w:line="360" w:lineRule="auto"/>
      <w:ind w:firstLine="200" w:firstLineChars="200"/>
      <w:jc w:val="center"/>
    </w:pPr>
    <w:rPr>
      <w:sz w:val="24"/>
      <w:szCs w:val="20"/>
    </w:rPr>
  </w:style>
  <w:style w:type="paragraph" w:styleId="46">
    <w:name w:val="Subtitle"/>
    <w:link w:val="130"/>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autoRedefine/>
    <w:qFormat/>
    <w:uiPriority w:val="0"/>
    <w:pPr>
      <w:tabs>
        <w:tab w:val="left" w:pos="902"/>
      </w:tabs>
      <w:adjustRightInd/>
      <w:spacing w:line="400" w:lineRule="exact"/>
      <w:ind w:left="902" w:hanging="420"/>
    </w:pPr>
    <w:rPr>
      <w:sz w:val="24"/>
      <w:szCs w:val="20"/>
    </w:rPr>
  </w:style>
  <w:style w:type="paragraph" w:styleId="48">
    <w:name w:val="List"/>
    <w:basedOn w:val="1"/>
    <w:autoRedefine/>
    <w:qFormat/>
    <w:uiPriority w:val="0"/>
    <w:pPr>
      <w:ind w:left="200" w:hanging="200" w:hangingChars="200"/>
    </w:pPr>
  </w:style>
  <w:style w:type="paragraph" w:styleId="49">
    <w:name w:val="footnote text"/>
    <w:basedOn w:val="15"/>
    <w:link w:val="307"/>
    <w:autoRedefine/>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autoRedefine/>
    <w:qFormat/>
    <w:uiPriority w:val="0"/>
    <w:pPr>
      <w:ind w:left="2100" w:leftChars="1000"/>
    </w:pPr>
  </w:style>
  <w:style w:type="paragraph" w:styleId="51">
    <w:name w:val="List 5"/>
    <w:basedOn w:val="1"/>
    <w:autoRedefine/>
    <w:qFormat/>
    <w:uiPriority w:val="0"/>
    <w:pPr>
      <w:adjustRightInd/>
      <w:ind w:left="100" w:leftChars="800" w:hanging="200" w:hangingChars="200"/>
    </w:pPr>
  </w:style>
  <w:style w:type="paragraph" w:styleId="52">
    <w:name w:val="Body Text Indent 3"/>
    <w:basedOn w:val="1"/>
    <w:link w:val="372"/>
    <w:autoRedefine/>
    <w:qFormat/>
    <w:uiPriority w:val="0"/>
    <w:pPr>
      <w:spacing w:line="360" w:lineRule="auto"/>
      <w:ind w:firstLine="420"/>
    </w:pPr>
    <w:rPr>
      <w:sz w:val="24"/>
      <w:szCs w:val="20"/>
    </w:rPr>
  </w:style>
  <w:style w:type="paragraph" w:styleId="53">
    <w:name w:val="toc 2"/>
    <w:basedOn w:val="1"/>
    <w:next w:val="1"/>
    <w:autoRedefine/>
    <w:qFormat/>
    <w:uiPriority w:val="0"/>
    <w:pPr>
      <w:ind w:left="420" w:leftChars="200"/>
    </w:pPr>
  </w:style>
  <w:style w:type="paragraph" w:styleId="54">
    <w:name w:val="toc 9"/>
    <w:basedOn w:val="1"/>
    <w:next w:val="1"/>
    <w:autoRedefine/>
    <w:qFormat/>
    <w:uiPriority w:val="0"/>
    <w:pPr>
      <w:ind w:left="3360" w:leftChars="1600"/>
    </w:pPr>
  </w:style>
  <w:style w:type="paragraph" w:styleId="55">
    <w:name w:val="Body Text 2"/>
    <w:basedOn w:val="1"/>
    <w:link w:val="299"/>
    <w:autoRedefine/>
    <w:qFormat/>
    <w:uiPriority w:val="0"/>
    <w:pPr>
      <w:spacing w:after="120" w:line="480" w:lineRule="auto"/>
    </w:pPr>
  </w:style>
  <w:style w:type="paragraph" w:styleId="56">
    <w:name w:val="HTML Preformatted"/>
    <w:basedOn w:val="1"/>
    <w:link w:val="298"/>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3"/>
    <w:autoRedefine/>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3"/>
    <w:autoRedefine/>
    <w:qFormat/>
    <w:uiPriority w:val="0"/>
    <w:rPr>
      <w:b/>
      <w:bCs/>
    </w:rPr>
  </w:style>
  <w:style w:type="paragraph" w:styleId="60">
    <w:name w:val="Body Text First Indent"/>
    <w:basedOn w:val="23"/>
    <w:link w:val="318"/>
    <w:autoRedefine/>
    <w:qFormat/>
    <w:uiPriority w:val="0"/>
    <w:pPr>
      <w:ind w:firstLine="420"/>
    </w:pPr>
    <w:rPr>
      <w:rFonts w:hAnsi="Calibri" w:cs="Times New Roman"/>
      <w:snapToGrid/>
      <w:szCs w:val="20"/>
    </w:rPr>
  </w:style>
  <w:style w:type="paragraph" w:styleId="61">
    <w:name w:val="Body Text First Indent 2"/>
    <w:basedOn w:val="24"/>
    <w:link w:val="118"/>
    <w:autoRedefine/>
    <w:qFormat/>
    <w:uiPriority w:val="0"/>
    <w:pPr>
      <w:adjustRightInd/>
      <w:spacing w:after="120" w:line="240" w:lineRule="auto"/>
      <w:ind w:left="420" w:leftChars="200" w:firstLine="210"/>
    </w:pPr>
    <w:rPr>
      <w:sz w:val="21"/>
    </w:rPr>
  </w:style>
  <w:style w:type="table" w:styleId="63">
    <w:name w:val="Table Grid"/>
    <w:basedOn w:val="6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autoRedefine/>
    <w:qFormat/>
    <w:uiPriority w:val="22"/>
    <w:rPr>
      <w:b/>
      <w:bCs/>
    </w:rPr>
  </w:style>
  <w:style w:type="character" w:styleId="71">
    <w:name w:val="endnote reference"/>
    <w:autoRedefine/>
    <w:qFormat/>
    <w:uiPriority w:val="0"/>
    <w:rPr>
      <w:vertAlign w:val="superscript"/>
    </w:rPr>
  </w:style>
  <w:style w:type="character" w:styleId="72">
    <w:name w:val="page number"/>
    <w:basedOn w:val="69"/>
    <w:autoRedefine/>
    <w:qFormat/>
    <w:uiPriority w:val="0"/>
    <w:rPr>
      <w:rFonts w:ascii="Arial" w:hAnsi="Arial" w:eastAsia="黑体" w:cs="Arial"/>
      <w:snapToGrid w:val="0"/>
      <w:kern w:val="0"/>
      <w:szCs w:val="21"/>
    </w:rPr>
  </w:style>
  <w:style w:type="character" w:styleId="73">
    <w:name w:val="FollowedHyperlink"/>
    <w:autoRedefine/>
    <w:qFormat/>
    <w:uiPriority w:val="99"/>
    <w:rPr>
      <w:rFonts w:ascii="Arial" w:hAnsi="Arial" w:eastAsia="黑体" w:cs="Arial"/>
      <w:snapToGrid w:val="0"/>
      <w:color w:val="000000"/>
      <w:kern w:val="0"/>
      <w:sz w:val="18"/>
      <w:szCs w:val="18"/>
      <w:u w:val="none"/>
    </w:rPr>
  </w:style>
  <w:style w:type="character" w:styleId="74">
    <w:name w:val="Emphasis"/>
    <w:autoRedefine/>
    <w:qFormat/>
    <w:uiPriority w:val="20"/>
    <w:rPr>
      <w:color w:val="CC0033"/>
    </w:rPr>
  </w:style>
  <w:style w:type="character" w:styleId="75">
    <w:name w:val="line number"/>
    <w:basedOn w:val="69"/>
    <w:autoRedefine/>
    <w:qFormat/>
    <w:uiPriority w:val="0"/>
    <w:rPr>
      <w:rFonts w:ascii="Arial" w:hAnsi="Arial" w:eastAsia="黑体" w:cs="Arial"/>
      <w:snapToGrid w:val="0"/>
      <w:kern w:val="0"/>
      <w:szCs w:val="21"/>
    </w:rPr>
  </w:style>
  <w:style w:type="character" w:styleId="76">
    <w:name w:val="Hyperlink"/>
    <w:autoRedefine/>
    <w:qFormat/>
    <w:uiPriority w:val="99"/>
    <w:rPr>
      <w:rFonts w:ascii="Arial" w:hAnsi="Arial" w:eastAsia="黑体" w:cs="Arial"/>
      <w:snapToGrid w:val="0"/>
      <w:color w:val="000000"/>
      <w:kern w:val="0"/>
      <w:sz w:val="18"/>
      <w:szCs w:val="18"/>
      <w:u w:val="none"/>
    </w:rPr>
  </w:style>
  <w:style w:type="character" w:styleId="77">
    <w:name w:val="HTML Code"/>
    <w:autoRedefine/>
    <w:qFormat/>
    <w:uiPriority w:val="0"/>
    <w:rPr>
      <w:rFonts w:ascii="黑体" w:hAnsi="Courier New" w:eastAsia="黑体" w:cs="楷体_GB2312"/>
      <w:sz w:val="20"/>
      <w:szCs w:val="20"/>
    </w:rPr>
  </w:style>
  <w:style w:type="character" w:styleId="78">
    <w:name w:val="annotation reference"/>
    <w:autoRedefine/>
    <w:qFormat/>
    <w:uiPriority w:val="99"/>
    <w:rPr>
      <w:sz w:val="21"/>
      <w:szCs w:val="21"/>
    </w:rPr>
  </w:style>
  <w:style w:type="character" w:customStyle="1" w:styleId="79">
    <w:name w:val="表格非标题文字 Char"/>
    <w:link w:val="80"/>
    <w:autoRedefine/>
    <w:qFormat/>
    <w:uiPriority w:val="0"/>
    <w:rPr>
      <w:rFonts w:ascii="Futura Bk" w:hAnsi="Futura Bk"/>
      <w:kern w:val="2"/>
      <w:sz w:val="18"/>
      <w:szCs w:val="21"/>
      <w:lang w:val="en-US" w:eastAsia="zh-CN" w:bidi="ar-SA"/>
    </w:rPr>
  </w:style>
  <w:style w:type="paragraph" w:customStyle="1" w:styleId="80">
    <w:name w:val="表格非标题文字"/>
    <w:link w:val="79"/>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1">
    <w:name w:val="*正文 Char"/>
    <w:link w:val="82"/>
    <w:autoRedefine/>
    <w:qFormat/>
    <w:locked/>
    <w:uiPriority w:val="0"/>
    <w:rPr>
      <w:rFonts w:ascii="宋体" w:hAnsi="宋体"/>
      <w:sz w:val="24"/>
    </w:rPr>
  </w:style>
  <w:style w:type="paragraph" w:customStyle="1" w:styleId="82">
    <w:name w:val="*正文"/>
    <w:basedOn w:val="1"/>
    <w:link w:val="81"/>
    <w:autoRedefine/>
    <w:qFormat/>
    <w:uiPriority w:val="0"/>
    <w:pPr>
      <w:snapToGrid w:val="0"/>
      <w:spacing w:line="360" w:lineRule="auto"/>
      <w:ind w:firstLine="482"/>
      <w:jc w:val="left"/>
    </w:pPr>
    <w:rPr>
      <w:rFonts w:ascii="宋体" w:hAnsi="宋体"/>
      <w:kern w:val="0"/>
      <w:sz w:val="24"/>
      <w:szCs w:val="20"/>
    </w:rPr>
  </w:style>
  <w:style w:type="character" w:customStyle="1" w:styleId="83">
    <w:name w:val="Char Char71"/>
    <w:autoRedefine/>
    <w:semiHidden/>
    <w:qFormat/>
    <w:uiPriority w:val="0"/>
    <w:rPr>
      <w:rFonts w:eastAsia="宋体"/>
      <w:kern w:val="2"/>
      <w:sz w:val="21"/>
      <w:szCs w:val="24"/>
      <w:lang w:val="en-US" w:eastAsia="zh-CN" w:bidi="ar-SA"/>
    </w:rPr>
  </w:style>
  <w:style w:type="character" w:customStyle="1" w:styleId="84">
    <w:name w:val="Char Char6"/>
    <w:autoRedefine/>
    <w:qFormat/>
    <w:uiPriority w:val="0"/>
    <w:rPr>
      <w:rFonts w:eastAsia="宋体"/>
      <w:kern w:val="2"/>
      <w:sz w:val="21"/>
      <w:szCs w:val="24"/>
      <w:lang w:val="en-US" w:eastAsia="zh-CN" w:bidi="ar-SA"/>
    </w:rPr>
  </w:style>
  <w:style w:type="character" w:customStyle="1" w:styleId="85">
    <w:name w:val="正文缩进 Char"/>
    <w:autoRedefine/>
    <w:qFormat/>
    <w:uiPriority w:val="0"/>
    <w:rPr>
      <w:rFonts w:eastAsia="宋体"/>
      <w:kern w:val="2"/>
      <w:sz w:val="21"/>
      <w:lang w:val="en-US" w:eastAsia="zh-CN"/>
    </w:rPr>
  </w:style>
  <w:style w:type="character" w:customStyle="1" w:styleId="86">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87">
    <w:name w:val="Char Char28"/>
    <w:autoRedefine/>
    <w:qFormat/>
    <w:uiPriority w:val="6"/>
    <w:rPr>
      <w:rFonts w:ascii="仿宋_GB2312" w:hAnsi="仿宋_GB2312" w:eastAsia="仿宋_GB2312"/>
      <w:kern w:val="1"/>
      <w:sz w:val="28"/>
    </w:rPr>
  </w:style>
  <w:style w:type="character" w:customStyle="1" w:styleId="88">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89">
    <w:name w:val="Heading 1 Char"/>
    <w:autoRedefine/>
    <w:qFormat/>
    <w:uiPriority w:val="6"/>
    <w:rPr>
      <w:rFonts w:ascii="Times New Roman" w:hAnsi="Times New Roman" w:eastAsia="黑体" w:cs="Times New Roman"/>
      <w:b/>
      <w:kern w:val="0"/>
      <w:sz w:val="24"/>
      <w:szCs w:val="24"/>
    </w:rPr>
  </w:style>
  <w:style w:type="character" w:customStyle="1" w:styleId="90">
    <w:name w:val="U_正文 Char"/>
    <w:link w:val="91"/>
    <w:autoRedefine/>
    <w:qFormat/>
    <w:uiPriority w:val="0"/>
    <w:rPr>
      <w:sz w:val="24"/>
      <w:szCs w:val="24"/>
    </w:rPr>
  </w:style>
  <w:style w:type="paragraph" w:customStyle="1" w:styleId="91">
    <w:name w:val="U_正文"/>
    <w:basedOn w:val="1"/>
    <w:link w:val="90"/>
    <w:autoRedefine/>
    <w:qFormat/>
    <w:uiPriority w:val="0"/>
    <w:pPr>
      <w:adjustRightInd/>
      <w:spacing w:beforeLines="20" w:afterLines="20" w:line="300" w:lineRule="auto"/>
      <w:ind w:firstLine="200" w:firstLineChars="200"/>
    </w:pPr>
    <w:rPr>
      <w:kern w:val="0"/>
      <w:sz w:val="24"/>
    </w:rPr>
  </w:style>
  <w:style w:type="character" w:customStyle="1" w:styleId="92">
    <w:name w:val="HTML 地址 Char1"/>
    <w:autoRedefine/>
    <w:qFormat/>
    <w:uiPriority w:val="0"/>
    <w:rPr>
      <w:rFonts w:ascii="Times New Roman" w:hAnsi="Times New Roman" w:eastAsia="宋体" w:cs="Times New Roman"/>
      <w:i/>
      <w:iCs/>
      <w:szCs w:val="24"/>
    </w:rPr>
  </w:style>
  <w:style w:type="character" w:customStyle="1" w:styleId="93">
    <w:name w:val="批注主题 字符"/>
    <w:link w:val="59"/>
    <w:autoRedefine/>
    <w:qFormat/>
    <w:uiPriority w:val="0"/>
    <w:rPr>
      <w:b/>
      <w:bCs/>
      <w:kern w:val="2"/>
      <w:sz w:val="21"/>
      <w:szCs w:val="24"/>
    </w:rPr>
  </w:style>
  <w:style w:type="character" w:customStyle="1" w:styleId="94">
    <w:name w:val="Char Char51"/>
    <w:autoRedefine/>
    <w:qFormat/>
    <w:uiPriority w:val="0"/>
    <w:rPr>
      <w:rFonts w:ascii="宋体" w:hAnsi="Courier New" w:eastAsia="宋体"/>
      <w:kern w:val="2"/>
      <w:sz w:val="21"/>
      <w:lang w:val="en-US" w:eastAsia="zh-CN"/>
    </w:rPr>
  </w:style>
  <w:style w:type="character" w:customStyle="1" w:styleId="95">
    <w:name w:val="表正文 Char"/>
    <w:autoRedefine/>
    <w:qFormat/>
    <w:uiPriority w:val="0"/>
    <w:rPr>
      <w:rFonts w:ascii="宋体" w:eastAsia="宋体"/>
      <w:snapToGrid w:val="0"/>
      <w:color w:val="000000"/>
      <w:kern w:val="28"/>
      <w:sz w:val="28"/>
      <w:lang w:val="en-US" w:eastAsia="zh-CN" w:bidi="ar-SA"/>
    </w:rPr>
  </w:style>
  <w:style w:type="character" w:customStyle="1" w:styleId="96">
    <w:name w:val="Char Char34"/>
    <w:autoRedefine/>
    <w:qFormat/>
    <w:uiPriority w:val="6"/>
    <w:rPr>
      <w:b/>
      <w:kern w:val="1"/>
      <w:sz w:val="28"/>
      <w:szCs w:val="28"/>
    </w:rPr>
  </w:style>
  <w:style w:type="character" w:customStyle="1" w:styleId="97">
    <w:name w:val="Normal Indent Char"/>
    <w:autoRedefine/>
    <w:qFormat/>
    <w:locked/>
    <w:uiPriority w:val="0"/>
    <w:rPr>
      <w:rFonts w:ascii="Calibri" w:hAnsi="Calibri" w:eastAsia="宋体" w:cs="黑体"/>
      <w:snapToGrid w:val="0"/>
      <w:kern w:val="2"/>
      <w:sz w:val="24"/>
      <w:szCs w:val="22"/>
      <w:lang w:val="en-US" w:eastAsia="zh-CN" w:bidi="ar-SA"/>
    </w:rPr>
  </w:style>
  <w:style w:type="character" w:customStyle="1" w:styleId="98">
    <w:name w:val="哈哈正文 Char"/>
    <w:link w:val="99"/>
    <w:autoRedefine/>
    <w:qFormat/>
    <w:uiPriority w:val="0"/>
    <w:rPr>
      <w:rFonts w:ascii="宋体" w:hAnsi="宋体" w:eastAsia="宋体"/>
      <w:kern w:val="2"/>
      <w:sz w:val="24"/>
      <w:lang w:bidi="ar-SA"/>
    </w:rPr>
  </w:style>
  <w:style w:type="paragraph" w:customStyle="1" w:styleId="99">
    <w:name w:val="哈哈正文"/>
    <w:basedOn w:val="1"/>
    <w:link w:val="98"/>
    <w:autoRedefine/>
    <w:qFormat/>
    <w:uiPriority w:val="0"/>
    <w:pPr>
      <w:adjustRightInd/>
      <w:spacing w:line="360" w:lineRule="auto"/>
      <w:ind w:firstLine="200" w:firstLineChars="200"/>
    </w:pPr>
    <w:rPr>
      <w:rFonts w:ascii="宋体" w:hAnsi="宋体"/>
      <w:sz w:val="24"/>
      <w:szCs w:val="20"/>
    </w:rPr>
  </w:style>
  <w:style w:type="character" w:customStyle="1" w:styleId="100">
    <w:name w:val="未处理的提及1"/>
    <w:autoRedefine/>
    <w:qFormat/>
    <w:uiPriority w:val="0"/>
    <w:rPr>
      <w:color w:val="808080"/>
      <w:shd w:val="clear" w:color="auto" w:fill="E6E6E6"/>
    </w:rPr>
  </w:style>
  <w:style w:type="character" w:customStyle="1" w:styleId="101">
    <w:name w:val="txt"/>
    <w:autoRedefine/>
    <w:qFormat/>
    <w:uiPriority w:val="0"/>
    <w:rPr>
      <w:rFonts w:ascii="仿宋_GB2312" w:eastAsia="微软雅黑"/>
      <w:b/>
      <w:kern w:val="2"/>
      <w:sz w:val="32"/>
      <w:szCs w:val="32"/>
      <w:lang w:val="en-US" w:eastAsia="zh-CN" w:bidi="ar-SA"/>
    </w:rPr>
  </w:style>
  <w:style w:type="character" w:customStyle="1" w:styleId="102">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3">
    <w:name w:val="Char Char32"/>
    <w:autoRedefine/>
    <w:qFormat/>
    <w:uiPriority w:val="6"/>
    <w:rPr>
      <w:b/>
      <w:kern w:val="1"/>
      <w:sz w:val="24"/>
      <w:szCs w:val="24"/>
    </w:rPr>
  </w:style>
  <w:style w:type="character" w:customStyle="1" w:styleId="104">
    <w:name w:val="PI Char1"/>
    <w:autoRedefine/>
    <w:qFormat/>
    <w:uiPriority w:val="0"/>
    <w:rPr>
      <w:rFonts w:ascii="宋体" w:hAnsi="宋体"/>
      <w:kern w:val="2"/>
      <w:sz w:val="24"/>
      <w:szCs w:val="24"/>
    </w:rPr>
  </w:style>
  <w:style w:type="character" w:customStyle="1" w:styleId="105">
    <w:name w:val="tw4winTerm"/>
    <w:autoRedefine/>
    <w:qFormat/>
    <w:uiPriority w:val="0"/>
    <w:rPr>
      <w:color w:val="0000FF"/>
    </w:rPr>
  </w:style>
  <w:style w:type="character" w:customStyle="1" w:styleId="106">
    <w:name w:val="Footer Char"/>
    <w:autoRedefine/>
    <w:qFormat/>
    <w:locked/>
    <w:uiPriority w:val="0"/>
    <w:rPr>
      <w:rFonts w:eastAsia="宋体"/>
      <w:kern w:val="2"/>
      <w:sz w:val="18"/>
      <w:lang w:val="en-US" w:eastAsia="zh-CN" w:bidi="ar-SA"/>
    </w:rPr>
  </w:style>
  <w:style w:type="character" w:customStyle="1" w:styleId="107">
    <w:name w:val="普通文字 Char Char1"/>
    <w:autoRedefine/>
    <w:qFormat/>
    <w:uiPriority w:val="0"/>
    <w:rPr>
      <w:rFonts w:ascii="宋体" w:hAnsi="Courier New"/>
      <w:kern w:val="2"/>
      <w:sz w:val="21"/>
    </w:rPr>
  </w:style>
  <w:style w:type="character" w:customStyle="1" w:styleId="108">
    <w:name w:val="Char Char101"/>
    <w:autoRedefine/>
    <w:qFormat/>
    <w:uiPriority w:val="6"/>
    <w:rPr>
      <w:rFonts w:ascii="宋体" w:hAnsi="宋体"/>
      <w:kern w:val="2"/>
      <w:sz w:val="21"/>
      <w:szCs w:val="24"/>
      <w:lang w:val="en-US" w:eastAsia="zh-CN"/>
    </w:rPr>
  </w:style>
  <w:style w:type="character" w:customStyle="1" w:styleId="109">
    <w:name w:val="标题 4 Char"/>
    <w:autoRedefine/>
    <w:qFormat/>
    <w:uiPriority w:val="0"/>
    <w:rPr>
      <w:rFonts w:ascii="Arial" w:hAnsi="Arial" w:eastAsia="黑体"/>
      <w:b/>
      <w:kern w:val="2"/>
      <w:sz w:val="28"/>
    </w:rPr>
  </w:style>
  <w:style w:type="character" w:customStyle="1" w:styleId="110">
    <w:name w:val="链接"/>
    <w:autoRedefine/>
    <w:qFormat/>
    <w:uiPriority w:val="0"/>
    <w:rPr>
      <w:color w:val="0000FF"/>
      <w:sz w:val="21"/>
      <w:szCs w:val="21"/>
      <w:u w:val="single"/>
    </w:rPr>
  </w:style>
  <w:style w:type="character" w:customStyle="1" w:styleId="111">
    <w:name w:val="h4 Char"/>
    <w:autoRedefine/>
    <w:qFormat/>
    <w:uiPriority w:val="0"/>
    <w:rPr>
      <w:rFonts w:ascii="Arial" w:hAnsi="Arial" w:eastAsia="黑体"/>
      <w:b/>
      <w:bCs/>
      <w:kern w:val="2"/>
      <w:sz w:val="28"/>
      <w:szCs w:val="28"/>
      <w:lang w:val="zh-CN" w:eastAsia="zh-CN" w:bidi="ar-SA"/>
    </w:rPr>
  </w:style>
  <w:style w:type="character" w:customStyle="1" w:styleId="112">
    <w:name w:val="5正文 Char"/>
    <w:link w:val="113"/>
    <w:autoRedefine/>
    <w:qFormat/>
    <w:uiPriority w:val="0"/>
    <w:rPr>
      <w:rFonts w:ascii="仿宋_GB2312" w:hAnsi="微软雅黑" w:eastAsia="仿宋_GB2312"/>
      <w:sz w:val="28"/>
      <w:szCs w:val="21"/>
    </w:rPr>
  </w:style>
  <w:style w:type="paragraph" w:customStyle="1" w:styleId="113">
    <w:name w:val="5正文"/>
    <w:basedOn w:val="1"/>
    <w:link w:val="112"/>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4">
    <w:name w:val="标题 3 字符"/>
    <w:autoRedefine/>
    <w:qFormat/>
    <w:uiPriority w:val="9"/>
    <w:rPr>
      <w:b/>
      <w:bCs/>
      <w:kern w:val="2"/>
      <w:sz w:val="32"/>
      <w:szCs w:val="32"/>
    </w:rPr>
  </w:style>
  <w:style w:type="character" w:customStyle="1" w:styleId="115">
    <w:name w:val="样式6 Char"/>
    <w:autoRedefine/>
    <w:qFormat/>
    <w:uiPriority w:val="0"/>
    <w:rPr>
      <w:rFonts w:ascii="仿宋_GB2312" w:hAnsi="宋体" w:eastAsia="仿宋_GB2312"/>
      <w:b/>
      <w:bCs/>
      <w:kern w:val="2"/>
      <w:sz w:val="24"/>
      <w:szCs w:val="24"/>
      <w:lang w:val="en-US" w:eastAsia="zh-CN" w:bidi="ar-SA"/>
    </w:rPr>
  </w:style>
  <w:style w:type="character" w:customStyle="1" w:styleId="116">
    <w:name w:val="Char Char14"/>
    <w:autoRedefine/>
    <w:qFormat/>
    <w:uiPriority w:val="6"/>
    <w:rPr>
      <w:rFonts w:ascii="黑体" w:hAnsi="黑体" w:eastAsia="黑体"/>
    </w:rPr>
  </w:style>
  <w:style w:type="character" w:customStyle="1" w:styleId="117">
    <w:name w:val="Heading 2 Hidden Char"/>
    <w:autoRedefine/>
    <w:qFormat/>
    <w:uiPriority w:val="0"/>
    <w:rPr>
      <w:rFonts w:ascii="仿宋_GB2312" w:eastAsia="仿宋_GB2312"/>
      <w:b/>
      <w:bCs/>
      <w:kern w:val="2"/>
      <w:sz w:val="24"/>
      <w:szCs w:val="24"/>
      <w:lang w:val="zh-CN" w:eastAsia="zh-CN" w:bidi="ar-SA"/>
    </w:rPr>
  </w:style>
  <w:style w:type="character" w:customStyle="1" w:styleId="118">
    <w:name w:val="正文首行缩进 2 字符"/>
    <w:link w:val="61"/>
    <w:autoRedefine/>
    <w:qFormat/>
    <w:uiPriority w:val="0"/>
    <w:rPr>
      <w:rFonts w:ascii="宋体" w:hAnsi="宋体"/>
      <w:kern w:val="2"/>
      <w:sz w:val="21"/>
      <w:szCs w:val="24"/>
    </w:rPr>
  </w:style>
  <w:style w:type="character" w:customStyle="1" w:styleId="119">
    <w:name w:val="font11"/>
    <w:autoRedefine/>
    <w:qFormat/>
    <w:uiPriority w:val="0"/>
    <w:rPr>
      <w:rFonts w:hint="default" w:ascii="Times New Roman" w:hAnsi="Times New Roman" w:cs="Times New Roman"/>
      <w:color w:val="000000"/>
      <w:sz w:val="22"/>
      <w:szCs w:val="22"/>
      <w:u w:val="none"/>
    </w:rPr>
  </w:style>
  <w:style w:type="character" w:customStyle="1" w:styleId="120">
    <w:name w:val="表正文 Char1"/>
    <w:autoRedefine/>
    <w:qFormat/>
    <w:uiPriority w:val="0"/>
    <w:rPr>
      <w:rFonts w:ascii="宋体" w:eastAsia="宋体"/>
      <w:snapToGrid w:val="0"/>
      <w:color w:val="000000"/>
      <w:kern w:val="28"/>
      <w:sz w:val="28"/>
    </w:rPr>
  </w:style>
  <w:style w:type="character" w:customStyle="1" w:styleId="121">
    <w:name w:val="blue1"/>
    <w:basedOn w:val="69"/>
    <w:autoRedefine/>
    <w:qFormat/>
    <w:uiPriority w:val="0"/>
    <w:rPr>
      <w:rFonts w:ascii="Arial" w:hAnsi="Arial" w:eastAsia="黑体" w:cs="Arial"/>
      <w:snapToGrid w:val="0"/>
      <w:kern w:val="0"/>
      <w:szCs w:val="21"/>
    </w:rPr>
  </w:style>
  <w:style w:type="character" w:customStyle="1" w:styleId="122">
    <w:name w:val="纯文本 字符1"/>
    <w:link w:val="32"/>
    <w:autoRedefine/>
    <w:qFormat/>
    <w:uiPriority w:val="0"/>
    <w:rPr>
      <w:rFonts w:ascii="宋体" w:hAnsi="Courier New" w:eastAsia="宋体" w:cs="Arial"/>
      <w:snapToGrid w:val="0"/>
      <w:kern w:val="2"/>
      <w:sz w:val="21"/>
      <w:szCs w:val="21"/>
      <w:lang w:val="en-US" w:eastAsia="zh-CN" w:bidi="ar-SA"/>
    </w:rPr>
  </w:style>
  <w:style w:type="character" w:customStyle="1" w:styleId="123">
    <w:name w:val="标书1 Char"/>
    <w:autoRedefine/>
    <w:qFormat/>
    <w:uiPriority w:val="0"/>
    <w:rPr>
      <w:rFonts w:eastAsia="宋体"/>
      <w:b/>
      <w:bCs/>
      <w:kern w:val="44"/>
      <w:sz w:val="44"/>
      <w:szCs w:val="44"/>
      <w:lang w:val="en-US" w:eastAsia="zh-CN" w:bidi="ar-SA"/>
    </w:rPr>
  </w:style>
  <w:style w:type="character" w:customStyle="1" w:styleId="124">
    <w:name w:val="样式5 Char"/>
    <w:autoRedefine/>
    <w:qFormat/>
    <w:uiPriority w:val="0"/>
    <w:rPr>
      <w:rFonts w:ascii="仿宋_GB2312" w:hAnsi="仿宋" w:eastAsia="仿宋_GB2312"/>
      <w:kern w:val="2"/>
      <w:sz w:val="24"/>
      <w:szCs w:val="24"/>
    </w:rPr>
  </w:style>
  <w:style w:type="character" w:customStyle="1" w:styleId="125">
    <w:name w:val="样式4 Char"/>
    <w:autoRedefine/>
    <w:qFormat/>
    <w:uiPriority w:val="0"/>
    <w:rPr>
      <w:rFonts w:ascii="仿宋_GB2312" w:hAnsi="仿宋" w:eastAsia="仿宋_GB2312"/>
      <w:b/>
      <w:kern w:val="2"/>
      <w:sz w:val="32"/>
      <w:szCs w:val="32"/>
      <w:lang w:bidi="ar-SA"/>
    </w:rPr>
  </w:style>
  <w:style w:type="character" w:customStyle="1" w:styleId="126">
    <w:name w:val="插图说明 Char"/>
    <w:autoRedefine/>
    <w:qFormat/>
    <w:uiPriority w:val="0"/>
    <w:rPr>
      <w:rFonts w:eastAsia="黑体"/>
      <w:sz w:val="24"/>
      <w:lang w:val="en-US" w:eastAsia="zh-CN"/>
    </w:rPr>
  </w:style>
  <w:style w:type="character" w:customStyle="1" w:styleId="127">
    <w:name w:val="正文2 Char Char"/>
    <w:link w:val="128"/>
    <w:autoRedefine/>
    <w:qFormat/>
    <w:uiPriority w:val="0"/>
    <w:rPr>
      <w:rFonts w:eastAsia="宋体"/>
      <w:kern w:val="2"/>
      <w:sz w:val="24"/>
      <w:lang w:val="en-US" w:eastAsia="zh-CN" w:bidi="ar-SA"/>
    </w:rPr>
  </w:style>
  <w:style w:type="paragraph" w:customStyle="1" w:styleId="128">
    <w:name w:val="正文2"/>
    <w:basedOn w:val="1"/>
    <w:link w:val="127"/>
    <w:autoRedefine/>
    <w:qFormat/>
    <w:uiPriority w:val="0"/>
    <w:pPr>
      <w:spacing w:before="156" w:line="360" w:lineRule="auto"/>
      <w:ind w:firstLine="510" w:firstLineChars="200"/>
    </w:pPr>
    <w:rPr>
      <w:sz w:val="24"/>
      <w:szCs w:val="20"/>
    </w:rPr>
  </w:style>
  <w:style w:type="character" w:customStyle="1" w:styleId="129">
    <w:name w:val="Char Char24"/>
    <w:autoRedefine/>
    <w:qFormat/>
    <w:uiPriority w:val="6"/>
    <w:rPr>
      <w:kern w:val="1"/>
      <w:sz w:val="21"/>
    </w:rPr>
  </w:style>
  <w:style w:type="character" w:customStyle="1" w:styleId="130">
    <w:name w:val="副标题 字符"/>
    <w:link w:val="46"/>
    <w:autoRedefine/>
    <w:qFormat/>
    <w:uiPriority w:val="0"/>
    <w:rPr>
      <w:rFonts w:ascii="Arial" w:hAnsi="Arial" w:eastAsia="隶书"/>
      <w:b/>
      <w:bCs/>
      <w:kern w:val="28"/>
      <w:sz w:val="44"/>
      <w:szCs w:val="32"/>
      <w:lang w:val="en-US" w:eastAsia="zh-CN" w:bidi="ar-SA"/>
    </w:rPr>
  </w:style>
  <w:style w:type="character" w:customStyle="1" w:styleId="131">
    <w:name w:val="普通文字 Char1 Char"/>
    <w:autoRedefine/>
    <w:qFormat/>
    <w:uiPriority w:val="0"/>
    <w:rPr>
      <w:rFonts w:ascii="宋体" w:hAnsi="Courier New" w:eastAsia="宋体"/>
      <w:kern w:val="2"/>
      <w:sz w:val="21"/>
      <w:szCs w:val="24"/>
      <w:lang w:val="en-US" w:eastAsia="zh-CN" w:bidi="ar-SA"/>
    </w:rPr>
  </w:style>
  <w:style w:type="character" w:customStyle="1" w:styleId="132">
    <w:name w:val="h3 Char1"/>
    <w:autoRedefine/>
    <w:qFormat/>
    <w:uiPriority w:val="0"/>
    <w:rPr>
      <w:rFonts w:eastAsia="宋体"/>
      <w:b/>
      <w:bCs/>
      <w:kern w:val="2"/>
      <w:sz w:val="32"/>
      <w:szCs w:val="32"/>
      <w:lang w:bidi="ar-SA"/>
    </w:rPr>
  </w:style>
  <w:style w:type="character" w:customStyle="1" w:styleId="133">
    <w:name w:val="标题 Char1"/>
    <w:autoRedefine/>
    <w:qFormat/>
    <w:uiPriority w:val="0"/>
    <w:rPr>
      <w:rFonts w:ascii="Cambria" w:hAnsi="Cambria" w:eastAsia="宋体" w:cs="Times New Roman"/>
      <w:b/>
      <w:bCs/>
      <w:sz w:val="32"/>
      <w:szCs w:val="32"/>
      <w:lang w:bidi="ar-SA"/>
    </w:rPr>
  </w:style>
  <w:style w:type="character" w:customStyle="1" w:styleId="134">
    <w:name w:val="gf正文1 Char"/>
    <w:autoRedefine/>
    <w:qFormat/>
    <w:uiPriority w:val="0"/>
    <w:rPr>
      <w:rFonts w:ascii="宋体" w:hAnsi="宋体" w:eastAsia="宋体" w:cs="宋体"/>
      <w:kern w:val="2"/>
      <w:sz w:val="24"/>
      <w:szCs w:val="24"/>
      <w:lang w:val="en-US" w:eastAsia="zh-CN" w:bidi="ar-SA"/>
    </w:rPr>
  </w:style>
  <w:style w:type="character" w:customStyle="1" w:styleId="135">
    <w:name w:val="正文文本缩进 Char1"/>
    <w:autoRedefine/>
    <w:qFormat/>
    <w:uiPriority w:val="0"/>
    <w:rPr>
      <w:rFonts w:ascii="Calibri" w:hAnsi="Calibri"/>
      <w:sz w:val="28"/>
    </w:rPr>
  </w:style>
  <w:style w:type="character" w:customStyle="1" w:styleId="136">
    <w:name w:val="No Spacing Char"/>
    <w:link w:val="137"/>
    <w:autoRedefine/>
    <w:qFormat/>
    <w:uiPriority w:val="1"/>
    <w:rPr>
      <w:sz w:val="22"/>
      <w:szCs w:val="22"/>
      <w:lang w:val="en-US" w:eastAsia="zh-CN" w:bidi="ar-SA"/>
    </w:rPr>
  </w:style>
  <w:style w:type="paragraph" w:customStyle="1" w:styleId="137">
    <w:name w:val="无间隔1"/>
    <w:link w:val="136"/>
    <w:autoRedefine/>
    <w:qFormat/>
    <w:uiPriority w:val="1"/>
    <w:rPr>
      <w:rFonts w:ascii="Times New Roman" w:hAnsi="Times New Roman" w:eastAsia="宋体" w:cs="Times New Roman"/>
      <w:sz w:val="22"/>
      <w:szCs w:val="22"/>
      <w:lang w:val="en-US" w:eastAsia="zh-CN" w:bidi="ar-SA"/>
    </w:rPr>
  </w:style>
  <w:style w:type="character" w:customStyle="1" w:styleId="138">
    <w:name w:val="样式7 Char"/>
    <w:autoRedefine/>
    <w:qFormat/>
    <w:uiPriority w:val="0"/>
    <w:rPr>
      <w:rFonts w:ascii="仿宋_GB2312" w:hAnsi="仿宋" w:eastAsia="仿宋_GB2312"/>
      <w:b/>
      <w:kern w:val="2"/>
      <w:sz w:val="24"/>
      <w:szCs w:val="24"/>
    </w:rPr>
  </w:style>
  <w:style w:type="character" w:customStyle="1" w:styleId="139">
    <w:name w:val="font12gray1"/>
    <w:autoRedefine/>
    <w:qFormat/>
    <w:uiPriority w:val="0"/>
    <w:rPr>
      <w:rFonts w:ascii="仿宋_GB2312" w:eastAsia="微软雅黑"/>
      <w:b/>
      <w:spacing w:val="300"/>
      <w:kern w:val="2"/>
      <w:sz w:val="18"/>
      <w:szCs w:val="18"/>
      <w:lang w:val="en-US" w:eastAsia="zh-CN" w:bidi="ar-SA"/>
    </w:rPr>
  </w:style>
  <w:style w:type="character" w:customStyle="1" w:styleId="140">
    <w:name w:val="Char Char7"/>
    <w:autoRedefine/>
    <w:semiHidden/>
    <w:qFormat/>
    <w:uiPriority w:val="0"/>
    <w:rPr>
      <w:rFonts w:eastAsia="宋体"/>
      <w:kern w:val="2"/>
      <w:sz w:val="21"/>
      <w:szCs w:val="24"/>
      <w:lang w:val="en-US" w:eastAsia="zh-CN" w:bidi="ar-SA"/>
    </w:rPr>
  </w:style>
  <w:style w:type="character" w:customStyle="1" w:styleId="141">
    <w:name w:val="表名 Char"/>
    <w:autoRedefine/>
    <w:qFormat/>
    <w:uiPriority w:val="0"/>
    <w:rPr>
      <w:rFonts w:eastAsia="宋体"/>
      <w:b/>
      <w:bCs/>
      <w:kern w:val="2"/>
      <w:sz w:val="24"/>
      <w:szCs w:val="24"/>
      <w:lang w:val="en-US" w:eastAsia="zh-CN" w:bidi="ar-SA"/>
    </w:rPr>
  </w:style>
  <w:style w:type="character" w:customStyle="1" w:styleId="142">
    <w:name w:val="Document Map Char"/>
    <w:autoRedefine/>
    <w:qFormat/>
    <w:locked/>
    <w:uiPriority w:val="0"/>
    <w:rPr>
      <w:rFonts w:eastAsia="宋体"/>
      <w:kern w:val="2"/>
      <w:sz w:val="21"/>
      <w:szCs w:val="24"/>
      <w:lang w:val="en-US" w:eastAsia="zh-CN" w:bidi="ar-SA"/>
    </w:rPr>
  </w:style>
  <w:style w:type="character" w:customStyle="1" w:styleId="143">
    <w:name w:val="font41"/>
    <w:autoRedefine/>
    <w:qFormat/>
    <w:uiPriority w:val="0"/>
    <w:rPr>
      <w:rFonts w:hint="eastAsia" w:ascii="仿宋_GB2312" w:eastAsia="仿宋_GB2312" w:cs="仿宋_GB2312"/>
      <w:color w:val="000000"/>
      <w:sz w:val="22"/>
      <w:szCs w:val="22"/>
      <w:u w:val="none"/>
    </w:rPr>
  </w:style>
  <w:style w:type="character" w:customStyle="1" w:styleId="144">
    <w:name w:val="标题 6 字符"/>
    <w:link w:val="7"/>
    <w:autoRedefine/>
    <w:qFormat/>
    <w:uiPriority w:val="0"/>
    <w:rPr>
      <w:rFonts w:ascii="Arial" w:hAnsi="Arial" w:eastAsia="黑体"/>
      <w:b/>
      <w:bCs/>
      <w:kern w:val="2"/>
      <w:sz w:val="24"/>
      <w:szCs w:val="24"/>
    </w:rPr>
  </w:style>
  <w:style w:type="character" w:customStyle="1" w:styleId="145">
    <w:name w:val="纯文本 Char_0"/>
    <w:link w:val="146"/>
    <w:autoRedefine/>
    <w:qFormat/>
    <w:uiPriority w:val="0"/>
    <w:rPr>
      <w:rFonts w:ascii="宋体" w:hAnsi="Courier New"/>
      <w:kern w:val="2"/>
      <w:sz w:val="21"/>
      <w:szCs w:val="21"/>
      <w:lang w:val="en-US" w:eastAsia="zh-CN"/>
    </w:rPr>
  </w:style>
  <w:style w:type="paragraph" w:customStyle="1" w:styleId="146">
    <w:name w:val="纯文本_0_0"/>
    <w:basedOn w:val="147"/>
    <w:link w:val="145"/>
    <w:autoRedefine/>
    <w:qFormat/>
    <w:uiPriority w:val="0"/>
    <w:rPr>
      <w:rFonts w:ascii="宋体" w:hAnsi="Courier New"/>
      <w:szCs w:val="21"/>
    </w:rPr>
  </w:style>
  <w:style w:type="paragraph" w:customStyle="1" w:styleId="147">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48">
    <w:name w:val="Balloon Text Char"/>
    <w:autoRedefine/>
    <w:qFormat/>
    <w:locked/>
    <w:uiPriority w:val="0"/>
    <w:rPr>
      <w:rFonts w:eastAsia="宋体"/>
      <w:kern w:val="2"/>
      <w:sz w:val="18"/>
      <w:szCs w:val="18"/>
      <w:lang w:val="en-US" w:eastAsia="zh-CN" w:bidi="ar-SA"/>
    </w:rPr>
  </w:style>
  <w:style w:type="character" w:customStyle="1" w:styleId="149">
    <w:name w:val="正文 项目2 Char"/>
    <w:basedOn w:val="150"/>
    <w:autoRedefine/>
    <w:qFormat/>
    <w:uiPriority w:val="0"/>
    <w:rPr>
      <w:rFonts w:ascii="仿宋_GB2312" w:hAnsi="仿宋_GB2312" w:eastAsia="仿宋_GB2312"/>
      <w:kern w:val="2"/>
      <w:sz w:val="24"/>
      <w:lang w:bidi="ar-SA"/>
    </w:rPr>
  </w:style>
  <w:style w:type="character" w:customStyle="1" w:styleId="150">
    <w:name w:val="正文 项目 Char"/>
    <w:autoRedefine/>
    <w:qFormat/>
    <w:uiPriority w:val="0"/>
    <w:rPr>
      <w:rFonts w:ascii="仿宋_GB2312" w:hAnsi="仿宋_GB2312" w:eastAsia="仿宋_GB2312"/>
      <w:kern w:val="2"/>
      <w:sz w:val="24"/>
      <w:lang w:bidi="ar-SA"/>
    </w:rPr>
  </w:style>
  <w:style w:type="character" w:customStyle="1" w:styleId="151">
    <w:name w:val="h Char Char1"/>
    <w:autoRedefine/>
    <w:qFormat/>
    <w:uiPriority w:val="0"/>
    <w:rPr>
      <w:rFonts w:eastAsia="宋体"/>
      <w:kern w:val="2"/>
      <w:sz w:val="18"/>
      <w:szCs w:val="18"/>
      <w:lang w:val="en-US" w:eastAsia="zh-CN" w:bidi="ar-SA"/>
    </w:rPr>
  </w:style>
  <w:style w:type="character" w:customStyle="1" w:styleId="152">
    <w:name w:val="Char Char27"/>
    <w:autoRedefine/>
    <w:qFormat/>
    <w:uiPriority w:val="6"/>
    <w:rPr>
      <w:rFonts w:ascii="宋体" w:hAnsi="宋体" w:eastAsia="宋体"/>
      <w:color w:val="000000"/>
      <w:kern w:val="1"/>
      <w:sz w:val="28"/>
      <w:lang w:val="en-US" w:eastAsia="zh-CN" w:bidi="ar-SA"/>
    </w:rPr>
  </w:style>
  <w:style w:type="character" w:customStyle="1" w:styleId="153">
    <w:name w:val="px14"/>
    <w:autoRedefine/>
    <w:qFormat/>
    <w:uiPriority w:val="0"/>
    <w:rPr>
      <w:rFonts w:ascii="仿宋_GB2312" w:eastAsia="微软雅黑" w:cs="Times New Roman"/>
      <w:b/>
      <w:kern w:val="2"/>
      <w:sz w:val="32"/>
      <w:szCs w:val="32"/>
      <w:lang w:val="en-US" w:eastAsia="zh-CN" w:bidi="ar-SA"/>
    </w:rPr>
  </w:style>
  <w:style w:type="character" w:customStyle="1" w:styleId="154">
    <w:name w:val="HTML 预设格式 Char1"/>
    <w:autoRedefine/>
    <w:qFormat/>
    <w:uiPriority w:val="0"/>
    <w:rPr>
      <w:rFonts w:ascii="Courier New" w:hAnsi="Courier New" w:eastAsia="宋体" w:cs="Courier New"/>
      <w:sz w:val="20"/>
      <w:szCs w:val="20"/>
    </w:rPr>
  </w:style>
  <w:style w:type="character" w:customStyle="1" w:styleId="155">
    <w:name w:val="普通文字 Char1"/>
    <w:autoRedefine/>
    <w:qFormat/>
    <w:uiPriority w:val="0"/>
    <w:rPr>
      <w:rFonts w:ascii="宋体" w:hAnsi="Courier New" w:eastAsia="宋体"/>
      <w:kern w:val="2"/>
      <w:sz w:val="21"/>
      <w:lang w:val="en-US" w:eastAsia="zh-CN"/>
    </w:rPr>
  </w:style>
  <w:style w:type="character" w:customStyle="1" w:styleId="156">
    <w:name w:val="hei16b1"/>
    <w:autoRedefine/>
    <w:qFormat/>
    <w:uiPriority w:val="0"/>
    <w:rPr>
      <w:rFonts w:hint="default" w:ascii="Arial" w:hAnsi="Arial" w:cs="Arial"/>
      <w:b/>
      <w:bCs/>
      <w:color w:val="000000"/>
      <w:sz w:val="24"/>
      <w:szCs w:val="24"/>
    </w:rPr>
  </w:style>
  <w:style w:type="character" w:customStyle="1" w:styleId="157">
    <w:name w:val="正文（绿盟科技） Char"/>
    <w:link w:val="158"/>
    <w:autoRedefine/>
    <w:qFormat/>
    <w:uiPriority w:val="0"/>
    <w:rPr>
      <w:rFonts w:ascii="Arial" w:hAnsi="Arial"/>
      <w:sz w:val="21"/>
      <w:szCs w:val="21"/>
    </w:rPr>
  </w:style>
  <w:style w:type="paragraph" w:customStyle="1" w:styleId="158">
    <w:name w:val="正文（绿盟科技）"/>
    <w:link w:val="157"/>
    <w:autoRedefine/>
    <w:qFormat/>
    <w:uiPriority w:val="0"/>
    <w:pPr>
      <w:spacing w:line="300" w:lineRule="auto"/>
    </w:pPr>
    <w:rPr>
      <w:rFonts w:ascii="Arial" w:hAnsi="Arial" w:eastAsia="宋体" w:cs="Times New Roman"/>
      <w:sz w:val="21"/>
      <w:szCs w:val="21"/>
      <w:lang w:val="en-US" w:eastAsia="zh-CN" w:bidi="ar-SA"/>
    </w:rPr>
  </w:style>
  <w:style w:type="character" w:customStyle="1" w:styleId="159">
    <w:name w:val="Char Char19"/>
    <w:autoRedefine/>
    <w:qFormat/>
    <w:uiPriority w:val="6"/>
    <w:rPr>
      <w:rFonts w:ascii="宋体" w:hAnsi="宋体"/>
      <w:i/>
      <w:sz w:val="24"/>
      <w:szCs w:val="24"/>
    </w:rPr>
  </w:style>
  <w:style w:type="character" w:customStyle="1" w:styleId="160">
    <w:name w:val="页脚 Char"/>
    <w:autoRedefine/>
    <w:qFormat/>
    <w:uiPriority w:val="0"/>
    <w:rPr>
      <w:rFonts w:eastAsia="仿宋_GB2312"/>
      <w:kern w:val="2"/>
      <w:sz w:val="18"/>
      <w:lang w:val="en-US" w:eastAsia="zh-CN"/>
    </w:rPr>
  </w:style>
  <w:style w:type="character" w:customStyle="1" w:styleId="161">
    <w:name w:val="批注主题 Char"/>
    <w:autoRedefine/>
    <w:qFormat/>
    <w:uiPriority w:val="0"/>
    <w:rPr>
      <w:rFonts w:eastAsia="宋体"/>
      <w:b/>
      <w:bCs/>
      <w:kern w:val="2"/>
      <w:sz w:val="21"/>
      <w:szCs w:val="24"/>
      <w:lang w:val="en-US" w:eastAsia="zh-CN" w:bidi="ar-SA"/>
    </w:rPr>
  </w:style>
  <w:style w:type="character" w:customStyle="1" w:styleId="162">
    <w:name w:val="Comment Text Char"/>
    <w:autoRedefine/>
    <w:qFormat/>
    <w:locked/>
    <w:uiPriority w:val="0"/>
    <w:rPr>
      <w:rFonts w:ascii="宋体" w:hAnsi="宋体" w:eastAsia="宋体"/>
      <w:kern w:val="2"/>
      <w:sz w:val="24"/>
      <w:lang w:val="en-US" w:eastAsia="zh-CN" w:bidi="ar-SA"/>
    </w:rPr>
  </w:style>
  <w:style w:type="character" w:customStyle="1" w:styleId="163">
    <w:name w:val="标题 2 字符"/>
    <w:autoRedefine/>
    <w:qFormat/>
    <w:uiPriority w:val="1"/>
    <w:rPr>
      <w:rFonts w:ascii="仿宋_GB2312" w:hAnsi="Times New Roman" w:eastAsia="仿宋_GB2312" w:cs="Times New Roman"/>
      <w:b/>
      <w:kern w:val="2"/>
      <w:sz w:val="24"/>
      <w:lang w:val="zh-CN"/>
    </w:rPr>
  </w:style>
  <w:style w:type="character" w:customStyle="1" w:styleId="164">
    <w:name w:val="Char Char72"/>
    <w:autoRedefine/>
    <w:qFormat/>
    <w:uiPriority w:val="0"/>
    <w:rPr>
      <w:rFonts w:eastAsia="宋体"/>
      <w:kern w:val="2"/>
      <w:sz w:val="21"/>
      <w:szCs w:val="24"/>
      <w:lang w:val="en-US" w:eastAsia="zh-CN" w:bidi="ar-SA"/>
    </w:rPr>
  </w:style>
  <w:style w:type="character" w:customStyle="1" w:styleId="165">
    <w:name w:val="正文文本缩进 Char2"/>
    <w:autoRedefine/>
    <w:qFormat/>
    <w:uiPriority w:val="0"/>
    <w:rPr>
      <w:rFonts w:ascii="Times New Roman" w:hAnsi="Times New Roman" w:eastAsia="宋体" w:cs="Times New Roman"/>
      <w:snapToGrid w:val="0"/>
      <w:kern w:val="0"/>
      <w:szCs w:val="24"/>
    </w:rPr>
  </w:style>
  <w:style w:type="character" w:customStyle="1" w:styleId="166">
    <w:name w:val="样式2 Char"/>
    <w:autoRedefine/>
    <w:qFormat/>
    <w:uiPriority w:val="0"/>
    <w:rPr>
      <w:rFonts w:ascii="仿宋_GB2312" w:hAnsi="仿宋" w:eastAsia="仿宋_GB2312" w:cs="仿宋_GB2312"/>
      <w:b/>
      <w:bCs/>
      <w:sz w:val="32"/>
      <w:szCs w:val="30"/>
      <w:lang w:val="zh-CN"/>
    </w:rPr>
  </w:style>
  <w:style w:type="character" w:customStyle="1" w:styleId="167">
    <w:name w:val="表格名称[858D7CFB-ED40-4347-BF05-701D383B685F]"/>
    <w:link w:val="168"/>
    <w:autoRedefine/>
    <w:qFormat/>
    <w:uiPriority w:val="0"/>
    <w:rPr>
      <w:sz w:val="32"/>
    </w:rPr>
  </w:style>
  <w:style w:type="paragraph" w:customStyle="1" w:styleId="168">
    <w:name w:val="表格名称"/>
    <w:basedOn w:val="4"/>
    <w:link w:val="167"/>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69">
    <w:name w:val="Char Char4"/>
    <w:autoRedefine/>
    <w:qFormat/>
    <w:uiPriority w:val="0"/>
    <w:rPr>
      <w:rFonts w:eastAsia="宋体"/>
      <w:b/>
      <w:sz w:val="24"/>
      <w:lang w:val="en-GB" w:eastAsia="zh-CN" w:bidi="ar-SA"/>
    </w:rPr>
  </w:style>
  <w:style w:type="character" w:customStyle="1" w:styleId="170">
    <w:name w:val="c7 style3"/>
    <w:autoRedefine/>
    <w:qFormat/>
    <w:uiPriority w:val="0"/>
  </w:style>
  <w:style w:type="character" w:customStyle="1" w:styleId="171">
    <w:name w:val="正文文本 3 Char1"/>
    <w:autoRedefine/>
    <w:semiHidden/>
    <w:qFormat/>
    <w:uiPriority w:val="99"/>
    <w:rPr>
      <w:rFonts w:ascii="Times New Roman" w:hAnsi="Times New Roman" w:eastAsia="宋体" w:cs="Times New Roman"/>
      <w:sz w:val="16"/>
      <w:szCs w:val="16"/>
    </w:rPr>
  </w:style>
  <w:style w:type="character" w:customStyle="1" w:styleId="172">
    <w:name w:val="tw4winInternal"/>
    <w:autoRedefine/>
    <w:qFormat/>
    <w:uiPriority w:val="0"/>
    <w:rPr>
      <w:rFonts w:ascii="Courier New" w:hAnsi="Courier New" w:cs="Courier New"/>
      <w:color w:val="FF0000"/>
      <w:lang w:val="en-US" w:eastAsia="zh-CN"/>
    </w:rPr>
  </w:style>
  <w:style w:type="character" w:customStyle="1" w:styleId="173">
    <w:name w:val="Char Char10"/>
    <w:autoRedefine/>
    <w:semiHidden/>
    <w:qFormat/>
    <w:uiPriority w:val="0"/>
    <w:rPr>
      <w:rFonts w:ascii="宋体" w:hAnsi="宋体"/>
      <w:kern w:val="2"/>
      <w:sz w:val="21"/>
      <w:szCs w:val="24"/>
      <w:lang w:val="en-US" w:eastAsia="zh-CN"/>
    </w:rPr>
  </w:style>
  <w:style w:type="character" w:customStyle="1" w:styleId="174">
    <w:name w:val="shadow11"/>
    <w:autoRedefine/>
    <w:qFormat/>
    <w:uiPriority w:val="0"/>
    <w:rPr>
      <w:color w:val="000000"/>
      <w:sz w:val="21"/>
    </w:rPr>
  </w:style>
  <w:style w:type="character" w:customStyle="1" w:styleId="175">
    <w:name w:val="正文非缩进 Char3"/>
    <w:autoRedefine/>
    <w:qFormat/>
    <w:uiPriority w:val="0"/>
    <w:rPr>
      <w:rFonts w:ascii="宋体" w:eastAsia="宋体"/>
      <w:snapToGrid w:val="0"/>
      <w:color w:val="000000"/>
      <w:kern w:val="28"/>
      <w:sz w:val="28"/>
      <w:lang w:val="en-US" w:eastAsia="zh-CN" w:bidi="ar-SA"/>
    </w:rPr>
  </w:style>
  <w:style w:type="character" w:customStyle="1" w:styleId="176">
    <w:name w:val="Char Char"/>
    <w:autoRedefine/>
    <w:qFormat/>
    <w:uiPriority w:val="0"/>
    <w:rPr>
      <w:rFonts w:ascii="宋体" w:hAnsi="Courier New" w:eastAsia="宋体"/>
      <w:kern w:val="2"/>
      <w:sz w:val="21"/>
      <w:lang w:val="en-US" w:eastAsia="zh-CN" w:bidi="ar-SA"/>
    </w:rPr>
  </w:style>
  <w:style w:type="character" w:customStyle="1" w:styleId="177">
    <w:name w:val="签名 Char1"/>
    <w:autoRedefine/>
    <w:qFormat/>
    <w:uiPriority w:val="0"/>
    <w:rPr>
      <w:rFonts w:ascii="Times New Roman" w:hAnsi="Times New Roman" w:eastAsia="宋体" w:cs="Times New Roman"/>
      <w:szCs w:val="24"/>
    </w:rPr>
  </w:style>
  <w:style w:type="character" w:customStyle="1" w:styleId="178">
    <w:name w:val="日期 字符"/>
    <w:link w:val="35"/>
    <w:autoRedefine/>
    <w:qFormat/>
    <w:uiPriority w:val="0"/>
    <w:rPr>
      <w:rFonts w:ascii="宋体"/>
      <w:kern w:val="2"/>
      <w:sz w:val="24"/>
      <w:szCs w:val="21"/>
      <w:lang w:val="zh-CN"/>
    </w:rPr>
  </w:style>
  <w:style w:type="character" w:customStyle="1" w:styleId="179">
    <w:name w:val="标题 9 字符"/>
    <w:link w:val="10"/>
    <w:autoRedefine/>
    <w:qFormat/>
    <w:uiPriority w:val="0"/>
    <w:rPr>
      <w:rFonts w:ascii="Arial" w:hAnsi="Arial" w:eastAsia="黑体"/>
      <w:kern w:val="2"/>
      <w:sz w:val="21"/>
      <w:szCs w:val="21"/>
    </w:rPr>
  </w:style>
  <w:style w:type="character" w:customStyle="1" w:styleId="180">
    <w:name w:val="Char Char18"/>
    <w:autoRedefine/>
    <w:qFormat/>
    <w:uiPriority w:val="6"/>
    <w:rPr>
      <w:rFonts w:ascii="宋体" w:hAnsi="宋体"/>
      <w:sz w:val="28"/>
    </w:rPr>
  </w:style>
  <w:style w:type="character" w:customStyle="1" w:styleId="181">
    <w:name w:val="批注文字 Char"/>
    <w:autoRedefine/>
    <w:qFormat/>
    <w:uiPriority w:val="0"/>
    <w:rPr>
      <w:kern w:val="2"/>
      <w:sz w:val="21"/>
      <w:szCs w:val="24"/>
    </w:rPr>
  </w:style>
  <w:style w:type="character" w:customStyle="1" w:styleId="182">
    <w:name w:val="Char Char22"/>
    <w:autoRedefine/>
    <w:qFormat/>
    <w:uiPriority w:val="6"/>
    <w:rPr>
      <w:rFonts w:ascii="宋体" w:hAnsi="宋体"/>
      <w:kern w:val="1"/>
      <w:sz w:val="24"/>
      <w:szCs w:val="24"/>
    </w:rPr>
  </w:style>
  <w:style w:type="character" w:customStyle="1" w:styleId="183">
    <w:name w:val="pt141"/>
    <w:autoRedefine/>
    <w:qFormat/>
    <w:uiPriority w:val="0"/>
    <w:rPr>
      <w:color w:val="330066"/>
      <w:sz w:val="22"/>
      <w:szCs w:val="22"/>
    </w:rPr>
  </w:style>
  <w:style w:type="character" w:customStyle="1" w:styleId="184">
    <w:name w:val="正文文本缩进 2 Char1"/>
    <w:autoRedefine/>
    <w:semiHidden/>
    <w:qFormat/>
    <w:uiPriority w:val="99"/>
    <w:rPr>
      <w:rFonts w:ascii="Times New Roman" w:hAnsi="Times New Roman" w:eastAsia="宋体" w:cs="Times New Roman"/>
      <w:szCs w:val="24"/>
    </w:rPr>
  </w:style>
  <w:style w:type="character" w:customStyle="1" w:styleId="185">
    <w:name w:val="批注框文本 字符1"/>
    <w:link w:val="38"/>
    <w:autoRedefine/>
    <w:qFormat/>
    <w:uiPriority w:val="0"/>
    <w:rPr>
      <w:kern w:val="2"/>
      <w:sz w:val="18"/>
      <w:szCs w:val="18"/>
    </w:rPr>
  </w:style>
  <w:style w:type="character" w:customStyle="1" w:styleId="186">
    <w:name w:val="Char Char611"/>
    <w:autoRedefine/>
    <w:qFormat/>
    <w:uiPriority w:val="0"/>
    <w:rPr>
      <w:rFonts w:eastAsia="宋体"/>
      <w:kern w:val="2"/>
      <w:sz w:val="21"/>
      <w:szCs w:val="24"/>
      <w:lang w:val="en-US" w:eastAsia="zh-CN" w:bidi="ar-SA"/>
    </w:rPr>
  </w:style>
  <w:style w:type="character" w:customStyle="1" w:styleId="187">
    <w:name w:val="highlight1"/>
    <w:autoRedefine/>
    <w:qFormat/>
    <w:uiPriority w:val="0"/>
    <w:rPr>
      <w:rFonts w:ascii="仿宋_GB2312" w:eastAsia="微软雅黑"/>
      <w:b/>
      <w:kern w:val="2"/>
      <w:sz w:val="23"/>
      <w:szCs w:val="23"/>
      <w:lang w:val="en-US" w:eastAsia="zh-CN" w:bidi="ar-SA"/>
    </w:rPr>
  </w:style>
  <w:style w:type="character" w:customStyle="1" w:styleId="188">
    <w:name w:val="my正文 Char"/>
    <w:link w:val="189"/>
    <w:autoRedefine/>
    <w:qFormat/>
    <w:locked/>
    <w:uiPriority w:val="0"/>
    <w:rPr>
      <w:rFonts w:ascii="Tahoma" w:hAnsi="Tahoma"/>
      <w:sz w:val="24"/>
      <w:szCs w:val="24"/>
    </w:rPr>
  </w:style>
  <w:style w:type="paragraph" w:customStyle="1" w:styleId="189">
    <w:name w:val="my正文"/>
    <w:basedOn w:val="1"/>
    <w:link w:val="188"/>
    <w:autoRedefine/>
    <w:qFormat/>
    <w:uiPriority w:val="0"/>
    <w:pPr>
      <w:adjustRightInd/>
      <w:spacing w:line="360" w:lineRule="auto"/>
      <w:ind w:firstLine="480" w:firstLineChars="200"/>
    </w:pPr>
    <w:rPr>
      <w:rFonts w:ascii="Tahoma" w:hAnsi="Tahoma"/>
      <w:kern w:val="0"/>
      <w:sz w:val="24"/>
    </w:rPr>
  </w:style>
  <w:style w:type="character" w:customStyle="1" w:styleId="190">
    <w:name w:val="正文缩进 字符2"/>
    <w:link w:val="15"/>
    <w:autoRedefine/>
    <w:qFormat/>
    <w:uiPriority w:val="0"/>
    <w:rPr>
      <w:rFonts w:ascii="宋体" w:eastAsia="宋体"/>
      <w:snapToGrid w:val="0"/>
      <w:color w:val="000000"/>
      <w:kern w:val="28"/>
      <w:sz w:val="28"/>
      <w:lang w:val="en-US" w:eastAsia="zh-CN" w:bidi="ar-SA"/>
    </w:rPr>
  </w:style>
  <w:style w:type="character" w:customStyle="1" w:styleId="191">
    <w:name w:val="Used by Word for text of Help footnotes Char Char1"/>
    <w:autoRedefine/>
    <w:qFormat/>
    <w:uiPriority w:val="0"/>
    <w:rPr>
      <w:color w:val="0000FF"/>
      <w:sz w:val="21"/>
    </w:rPr>
  </w:style>
  <w:style w:type="character" w:customStyle="1" w:styleId="192">
    <w:name w:val="页眉 Char"/>
    <w:autoRedefine/>
    <w:qFormat/>
    <w:uiPriority w:val="0"/>
    <w:rPr>
      <w:rFonts w:eastAsia="仿宋_GB2312"/>
      <w:kern w:val="2"/>
      <w:sz w:val="18"/>
      <w:lang w:val="en-US" w:eastAsia="zh-CN"/>
    </w:rPr>
  </w:style>
  <w:style w:type="character" w:customStyle="1" w:styleId="193">
    <w:name w:val="FA正文 Char Char"/>
    <w:autoRedefine/>
    <w:qFormat/>
    <w:uiPriority w:val="0"/>
    <w:rPr>
      <w:rFonts w:hAnsi="宋体"/>
      <w:kern w:val="2"/>
      <w:sz w:val="24"/>
      <w:lang w:bidi="ar-SA"/>
    </w:rPr>
  </w:style>
  <w:style w:type="character" w:customStyle="1" w:styleId="194">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5">
    <w:name w:val="3级 Char"/>
    <w:link w:val="196"/>
    <w:autoRedefine/>
    <w:qFormat/>
    <w:uiPriority w:val="0"/>
    <w:rPr>
      <w:rFonts w:ascii="宋体" w:hAnsi="宋体"/>
      <w:b/>
      <w:bCs/>
      <w:snapToGrid/>
      <w:sz w:val="28"/>
    </w:rPr>
  </w:style>
  <w:style w:type="paragraph" w:customStyle="1" w:styleId="196">
    <w:name w:val="3级"/>
    <w:basedOn w:val="197"/>
    <w:link w:val="195"/>
    <w:autoRedefine/>
    <w:qFormat/>
    <w:uiPriority w:val="0"/>
    <w:pPr>
      <w:ind w:left="0" w:right="466" w:firstLine="288"/>
    </w:pPr>
    <w:rPr>
      <w:rFonts w:hAnsi="宋体"/>
      <w:snapToGrid/>
    </w:rPr>
  </w:style>
  <w:style w:type="paragraph" w:customStyle="1" w:styleId="197">
    <w:name w:val="样式 标题 3h33rd level3BOD 0H3l3CTHeading 3 - oldLevel 3 He..."/>
    <w:basedOn w:val="5"/>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198">
    <w:name w:val="myp11"/>
    <w:autoRedefine/>
    <w:qFormat/>
    <w:uiPriority w:val="0"/>
    <w:rPr>
      <w:rFonts w:ascii="仿宋_GB2312" w:eastAsia="微软雅黑"/>
      <w:b/>
      <w:kern w:val="2"/>
      <w:sz w:val="32"/>
      <w:szCs w:val="32"/>
      <w:lang w:val="en-US" w:eastAsia="zh-CN" w:bidi="ar-SA"/>
    </w:rPr>
  </w:style>
  <w:style w:type="character" w:customStyle="1" w:styleId="199">
    <w:name w:val="文档结构图 字符"/>
    <w:link w:val="18"/>
    <w:autoRedefine/>
    <w:qFormat/>
    <w:uiPriority w:val="0"/>
    <w:rPr>
      <w:kern w:val="2"/>
      <w:sz w:val="21"/>
      <w:szCs w:val="24"/>
      <w:shd w:val="clear" w:color="auto" w:fill="000080"/>
    </w:rPr>
  </w:style>
  <w:style w:type="character" w:customStyle="1" w:styleId="200">
    <w:name w:val="H6 Char"/>
    <w:autoRedefine/>
    <w:qFormat/>
    <w:uiPriority w:val="0"/>
    <w:rPr>
      <w:rFonts w:ascii="Arial" w:hAnsi="Arial" w:eastAsia="黑体"/>
      <w:b/>
      <w:bCs/>
      <w:kern w:val="2"/>
      <w:sz w:val="24"/>
      <w:szCs w:val="24"/>
    </w:rPr>
  </w:style>
  <w:style w:type="character" w:customStyle="1" w:styleId="201">
    <w:name w:val="Char Char91"/>
    <w:autoRedefine/>
    <w:qFormat/>
    <w:uiPriority w:val="0"/>
    <w:rPr>
      <w:rFonts w:eastAsia="宋体"/>
      <w:kern w:val="2"/>
      <w:sz w:val="18"/>
      <w:szCs w:val="18"/>
      <w:lang w:val="en-US" w:eastAsia="zh-CN" w:bidi="ar-SA"/>
    </w:rPr>
  </w:style>
  <w:style w:type="character" w:customStyle="1" w:styleId="202">
    <w:name w:val="副标题 Char1"/>
    <w:autoRedefine/>
    <w:qFormat/>
    <w:uiPriority w:val="0"/>
    <w:rPr>
      <w:rFonts w:ascii="Cambria" w:hAnsi="Cambria" w:eastAsia="宋体" w:cs="Times New Roman"/>
      <w:b/>
      <w:bCs/>
      <w:snapToGrid w:val="0"/>
      <w:kern w:val="28"/>
      <w:sz w:val="32"/>
      <w:szCs w:val="32"/>
    </w:rPr>
  </w:style>
  <w:style w:type="character" w:customStyle="1" w:styleId="203">
    <w:name w:val="font61"/>
    <w:autoRedefine/>
    <w:qFormat/>
    <w:uiPriority w:val="0"/>
    <w:rPr>
      <w:rFonts w:hint="eastAsia" w:ascii="仿宋" w:hAnsi="仿宋" w:eastAsia="仿宋" w:cs="仿宋"/>
      <w:color w:val="000000"/>
      <w:sz w:val="20"/>
      <w:szCs w:val="20"/>
      <w:u w:val="none"/>
    </w:rPr>
  </w:style>
  <w:style w:type="character" w:customStyle="1" w:styleId="204">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5">
    <w:name w:val="Char Char211"/>
    <w:autoRedefine/>
    <w:qFormat/>
    <w:uiPriority w:val="0"/>
    <w:rPr>
      <w:rFonts w:eastAsia="宋体"/>
      <w:b/>
      <w:bCs/>
      <w:kern w:val="2"/>
      <w:sz w:val="21"/>
      <w:szCs w:val="24"/>
      <w:lang w:val="en-US" w:eastAsia="zh-CN" w:bidi="ar-SA"/>
    </w:rPr>
  </w:style>
  <w:style w:type="character" w:customStyle="1" w:styleId="206">
    <w:name w:val="标题 2 Char"/>
    <w:autoRedefine/>
    <w:qFormat/>
    <w:uiPriority w:val="0"/>
    <w:rPr>
      <w:rFonts w:ascii="Arial" w:hAnsi="Arial" w:eastAsia="黑体"/>
      <w:b/>
      <w:kern w:val="2"/>
      <w:sz w:val="32"/>
      <w:lang w:val="en-US" w:eastAsia="zh-CN"/>
    </w:rPr>
  </w:style>
  <w:style w:type="character" w:customStyle="1" w:styleId="207">
    <w:name w:val="maywed421"/>
    <w:autoRedefine/>
    <w:qFormat/>
    <w:uiPriority w:val="0"/>
    <w:rPr>
      <w:color w:val="366FB6"/>
      <w:u w:val="none"/>
    </w:rPr>
  </w:style>
  <w:style w:type="character" w:customStyle="1" w:styleId="208">
    <w:name w:val="正文文本缩进 Char"/>
    <w:autoRedefine/>
    <w:qFormat/>
    <w:uiPriority w:val="0"/>
    <w:rPr>
      <w:rFonts w:ascii="宋体" w:hAnsi="宋体"/>
      <w:kern w:val="2"/>
      <w:sz w:val="24"/>
      <w:szCs w:val="24"/>
    </w:rPr>
  </w:style>
  <w:style w:type="character" w:customStyle="1" w:styleId="209">
    <w:name w:val="Char Char102"/>
    <w:autoRedefine/>
    <w:semiHidden/>
    <w:qFormat/>
    <w:uiPriority w:val="0"/>
    <w:rPr>
      <w:rFonts w:ascii="宋体" w:hAnsi="宋体"/>
      <w:kern w:val="2"/>
      <w:sz w:val="21"/>
      <w:szCs w:val="24"/>
      <w:lang w:val="en-US" w:eastAsia="zh-CN"/>
    </w:rPr>
  </w:style>
  <w:style w:type="character" w:customStyle="1" w:styleId="210">
    <w:name w:val="页眉 Char1"/>
    <w:autoRedefine/>
    <w:qFormat/>
    <w:uiPriority w:val="0"/>
    <w:rPr>
      <w:rFonts w:eastAsia="宋体"/>
      <w:kern w:val="2"/>
      <w:sz w:val="18"/>
      <w:szCs w:val="18"/>
      <w:lang w:val="en-US" w:eastAsia="zh-CN" w:bidi="ar-SA"/>
    </w:rPr>
  </w:style>
  <w:style w:type="character" w:customStyle="1" w:styleId="211">
    <w:name w:val="md"/>
    <w:basedOn w:val="69"/>
    <w:autoRedefine/>
    <w:qFormat/>
    <w:uiPriority w:val="0"/>
    <w:rPr>
      <w:rFonts w:ascii="Arial" w:hAnsi="Arial" w:eastAsia="黑体" w:cs="Arial"/>
      <w:snapToGrid w:val="0"/>
      <w:kern w:val="0"/>
      <w:szCs w:val="21"/>
    </w:rPr>
  </w:style>
  <w:style w:type="character" w:customStyle="1" w:styleId="212">
    <w:name w:val="big1"/>
    <w:autoRedefine/>
    <w:qFormat/>
    <w:uiPriority w:val="0"/>
    <w:rPr>
      <w:rFonts w:hint="eastAsia" w:ascii="宋体" w:hAnsi="宋体" w:eastAsia="宋体"/>
      <w:color w:val="333333"/>
      <w:sz w:val="22"/>
      <w:szCs w:val="22"/>
    </w:rPr>
  </w:style>
  <w:style w:type="character" w:customStyle="1" w:styleId="213">
    <w:name w:val="Char Char311"/>
    <w:autoRedefine/>
    <w:qFormat/>
    <w:uiPriority w:val="0"/>
    <w:rPr>
      <w:rFonts w:eastAsia="宋体"/>
      <w:kern w:val="2"/>
      <w:sz w:val="21"/>
      <w:szCs w:val="24"/>
      <w:lang w:val="en-US" w:eastAsia="zh-CN" w:bidi="ar-SA"/>
    </w:rPr>
  </w:style>
  <w:style w:type="character" w:customStyle="1" w:styleId="214">
    <w:name w:val="Char Char81"/>
    <w:autoRedefine/>
    <w:qFormat/>
    <w:uiPriority w:val="6"/>
    <w:rPr>
      <w:rFonts w:eastAsia="宋体"/>
      <w:b/>
      <w:sz w:val="24"/>
      <w:lang w:val="en-GB" w:eastAsia="zh-CN"/>
    </w:rPr>
  </w:style>
  <w:style w:type="character" w:customStyle="1" w:styleId="215">
    <w:name w:val="样式3 Char"/>
    <w:basedOn w:val="166"/>
    <w:autoRedefine/>
    <w:qFormat/>
    <w:uiPriority w:val="0"/>
    <w:rPr>
      <w:rFonts w:ascii="仿宋_GB2312" w:hAnsi="仿宋" w:eastAsia="仿宋_GB2312" w:cs="仿宋_GB2312"/>
      <w:sz w:val="32"/>
      <w:szCs w:val="30"/>
      <w:lang w:val="zh-CN"/>
    </w:rPr>
  </w:style>
  <w:style w:type="character" w:customStyle="1" w:styleId="216">
    <w:name w:val="HTML 地址 字符"/>
    <w:link w:val="29"/>
    <w:autoRedefine/>
    <w:qFormat/>
    <w:uiPriority w:val="0"/>
    <w:rPr>
      <w:rFonts w:ascii="宋体" w:hAnsi="宋体"/>
      <w:i/>
      <w:iCs/>
      <w:sz w:val="24"/>
      <w:szCs w:val="24"/>
    </w:rPr>
  </w:style>
  <w:style w:type="character" w:customStyle="1" w:styleId="217">
    <w:name w:val="正文首行缩进 2 Char1"/>
    <w:autoRedefine/>
    <w:qFormat/>
    <w:uiPriority w:val="0"/>
    <w:rPr>
      <w:rFonts w:ascii="Times New Roman" w:hAnsi="Times New Roman" w:eastAsia="宋体" w:cs="Times New Roman"/>
      <w:kern w:val="2"/>
      <w:sz w:val="24"/>
      <w:szCs w:val="24"/>
    </w:rPr>
  </w:style>
  <w:style w:type="character" w:customStyle="1" w:styleId="218">
    <w:name w:val="副标题 Char2"/>
    <w:autoRedefine/>
    <w:qFormat/>
    <w:uiPriority w:val="0"/>
    <w:rPr>
      <w:rFonts w:ascii="Cambria" w:hAnsi="Cambria" w:eastAsia="宋体" w:cs="Times New Roman"/>
      <w:b/>
      <w:bCs/>
      <w:snapToGrid w:val="0"/>
      <w:kern w:val="28"/>
      <w:sz w:val="32"/>
      <w:szCs w:val="32"/>
    </w:rPr>
  </w:style>
  <w:style w:type="character" w:customStyle="1" w:styleId="219">
    <w:name w:val="标题4-dyf Char"/>
    <w:link w:val="220"/>
    <w:autoRedefine/>
    <w:qFormat/>
    <w:uiPriority w:val="0"/>
    <w:rPr>
      <w:rFonts w:ascii="Cambria" w:hAnsi="Cambria"/>
      <w:b/>
      <w:bCs/>
      <w:color w:val="000000"/>
      <w:kern w:val="2"/>
      <w:sz w:val="21"/>
      <w:szCs w:val="21"/>
    </w:rPr>
  </w:style>
  <w:style w:type="paragraph" w:customStyle="1" w:styleId="220">
    <w:name w:val="标题4-dyf"/>
    <w:basedOn w:val="2"/>
    <w:link w:val="219"/>
    <w:autoRedefine/>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1">
    <w:name w:val="dectext1"/>
    <w:autoRedefine/>
    <w:qFormat/>
    <w:uiPriority w:val="0"/>
    <w:rPr>
      <w:rFonts w:ascii="宋体" w:hAnsi="宋体" w:eastAsia="宋体"/>
      <w:color w:val="333333"/>
      <w:sz w:val="21"/>
      <w:szCs w:val="21"/>
      <w:u w:val="none"/>
    </w:rPr>
  </w:style>
  <w:style w:type="character" w:customStyle="1" w:styleId="222">
    <w:name w:val="冯 Char"/>
    <w:link w:val="223"/>
    <w:autoRedefine/>
    <w:qFormat/>
    <w:uiPriority w:val="0"/>
    <w:rPr>
      <w:rFonts w:ascii="宋体" w:hAnsi="宋体"/>
      <w:color w:val="000000"/>
      <w:sz w:val="24"/>
      <w:szCs w:val="24"/>
    </w:rPr>
  </w:style>
  <w:style w:type="paragraph" w:customStyle="1" w:styleId="223">
    <w:name w:val="冯"/>
    <w:basedOn w:val="1"/>
    <w:link w:val="222"/>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4">
    <w:name w:val="Header Char"/>
    <w:autoRedefine/>
    <w:qFormat/>
    <w:locked/>
    <w:uiPriority w:val="0"/>
    <w:rPr>
      <w:rFonts w:eastAsia="宋体"/>
      <w:kern w:val="2"/>
      <w:sz w:val="18"/>
      <w:szCs w:val="18"/>
      <w:lang w:val="en-US" w:eastAsia="zh-CN" w:bidi="ar-SA"/>
    </w:rPr>
  </w:style>
  <w:style w:type="character" w:customStyle="1" w:styleId="225">
    <w:name w:val="Char Char12"/>
    <w:autoRedefine/>
    <w:qFormat/>
    <w:uiPriority w:val="0"/>
    <w:rPr>
      <w:rFonts w:ascii="仿宋_GB2312" w:eastAsia="仿宋_GB2312"/>
      <w:b/>
      <w:bCs/>
      <w:kern w:val="2"/>
      <w:sz w:val="24"/>
      <w:szCs w:val="24"/>
      <w:lang w:val="zh-CN" w:eastAsia="zh-CN" w:bidi="ar-SA"/>
    </w:rPr>
  </w:style>
  <w:style w:type="character" w:customStyle="1" w:styleId="226">
    <w:name w:val="题注 字符"/>
    <w:link w:val="16"/>
    <w:autoRedefine/>
    <w:qFormat/>
    <w:uiPriority w:val="0"/>
    <w:rPr>
      <w:b/>
      <w:kern w:val="2"/>
      <w:sz w:val="28"/>
    </w:rPr>
  </w:style>
  <w:style w:type="character" w:customStyle="1" w:styleId="227">
    <w:name w:val="普通文字 Char3"/>
    <w:autoRedefine/>
    <w:qFormat/>
    <w:uiPriority w:val="0"/>
    <w:rPr>
      <w:rFonts w:ascii="宋体" w:hAnsi="Courier New" w:eastAsia="宋体"/>
      <w:kern w:val="2"/>
      <w:sz w:val="21"/>
      <w:lang w:val="en-US" w:eastAsia="zh-CN" w:bidi="ar-SA"/>
    </w:rPr>
  </w:style>
  <w:style w:type="character" w:customStyle="1" w:styleId="228">
    <w:name w:val="公文正文 Char"/>
    <w:autoRedefine/>
    <w:qFormat/>
    <w:uiPriority w:val="0"/>
    <w:rPr>
      <w:rFonts w:ascii="仿宋_GB2312" w:eastAsia="仿宋_GB2312"/>
      <w:kern w:val="2"/>
      <w:sz w:val="24"/>
      <w:szCs w:val="24"/>
      <w:lang w:val="en-US" w:eastAsia="zh-CN" w:bidi="ar-SA"/>
    </w:rPr>
  </w:style>
  <w:style w:type="character" w:customStyle="1" w:styleId="229">
    <w:name w:val="正文首行缩进 Char Char Char Char Char"/>
    <w:autoRedefine/>
    <w:qFormat/>
    <w:uiPriority w:val="0"/>
    <w:rPr>
      <w:rFonts w:ascii="宋体"/>
      <w:kern w:val="2"/>
      <w:sz w:val="24"/>
      <w:lang w:val="zh-CN"/>
    </w:rPr>
  </w:style>
  <w:style w:type="character" w:customStyle="1" w:styleId="230">
    <w:name w:val="PI Char"/>
    <w:autoRedefine/>
    <w:qFormat/>
    <w:uiPriority w:val="0"/>
    <w:rPr>
      <w:rFonts w:ascii="宋体" w:hAnsi="宋体" w:eastAsia="宋体"/>
      <w:kern w:val="2"/>
      <w:sz w:val="24"/>
      <w:szCs w:val="24"/>
      <w:lang w:val="en-US" w:eastAsia="zh-CN" w:bidi="ar-SA"/>
    </w:rPr>
  </w:style>
  <w:style w:type="character" w:customStyle="1" w:styleId="231">
    <w:name w:val="Default Char"/>
    <w:link w:val="232"/>
    <w:autoRedefine/>
    <w:qFormat/>
    <w:uiPriority w:val="0"/>
    <w:rPr>
      <w:rFonts w:ascii="仿宋_GB2312" w:eastAsia="仿宋_GB2312" w:cs="仿宋_GB2312"/>
      <w:color w:val="000000"/>
      <w:sz w:val="24"/>
      <w:szCs w:val="24"/>
      <w:lang w:val="en-US" w:eastAsia="zh-CN" w:bidi="ar-SA"/>
    </w:rPr>
  </w:style>
  <w:style w:type="paragraph" w:customStyle="1" w:styleId="232">
    <w:name w:val="Default"/>
    <w:link w:val="231"/>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3">
    <w:name w:val="style91"/>
    <w:autoRedefine/>
    <w:qFormat/>
    <w:uiPriority w:val="0"/>
    <w:rPr>
      <w:color w:val="333333"/>
    </w:rPr>
  </w:style>
  <w:style w:type="character" w:customStyle="1" w:styleId="234">
    <w:name w:val="列出段落 Char2"/>
    <w:autoRedefine/>
    <w:qFormat/>
    <w:uiPriority w:val="34"/>
    <w:rPr>
      <w:rFonts w:ascii="Calibri" w:hAnsi="Calibri"/>
      <w:kern w:val="2"/>
      <w:sz w:val="28"/>
    </w:rPr>
  </w:style>
  <w:style w:type="character" w:customStyle="1" w:styleId="235">
    <w:name w:val="mdeck"/>
    <w:autoRedefine/>
    <w:qFormat/>
    <w:uiPriority w:val="0"/>
    <w:rPr>
      <w:rFonts w:ascii="仿宋_GB2312" w:eastAsia="微软雅黑"/>
      <w:b/>
      <w:kern w:val="2"/>
      <w:sz w:val="32"/>
      <w:szCs w:val="32"/>
      <w:lang w:val="en-US" w:eastAsia="zh-CN" w:bidi="ar-SA"/>
    </w:rPr>
  </w:style>
  <w:style w:type="character" w:customStyle="1" w:styleId="236">
    <w:name w:val="unnamed11"/>
    <w:autoRedefine/>
    <w:qFormat/>
    <w:uiPriority w:val="0"/>
    <w:rPr>
      <w:sz w:val="20"/>
      <w:szCs w:val="20"/>
    </w:rPr>
  </w:style>
  <w:style w:type="character" w:customStyle="1" w:styleId="237">
    <w:name w:val="正文文本 Char2"/>
    <w:autoRedefine/>
    <w:semiHidden/>
    <w:qFormat/>
    <w:uiPriority w:val="99"/>
    <w:rPr>
      <w:rFonts w:ascii="Times New Roman" w:hAnsi="Times New Roman" w:eastAsia="宋体" w:cs="Times New Roman"/>
      <w:snapToGrid w:val="0"/>
      <w:kern w:val="0"/>
      <w:szCs w:val="24"/>
    </w:rPr>
  </w:style>
  <w:style w:type="character" w:customStyle="1" w:styleId="238">
    <w:name w:val="标书正文格式 Char"/>
    <w:autoRedefine/>
    <w:qFormat/>
    <w:uiPriority w:val="0"/>
    <w:rPr>
      <w:rFonts w:eastAsia="楷体_GB2312"/>
      <w:kern w:val="2"/>
      <w:sz w:val="24"/>
      <w:szCs w:val="24"/>
      <w:lang w:bidi="ar-SA"/>
    </w:rPr>
  </w:style>
  <w:style w:type="character" w:customStyle="1" w:styleId="239">
    <w:name w:val="Char Char11"/>
    <w:autoRedefine/>
    <w:qFormat/>
    <w:locked/>
    <w:uiPriority w:val="0"/>
    <w:rPr>
      <w:rFonts w:ascii="宋体" w:hAnsi="宋体" w:eastAsia="宋体"/>
      <w:b/>
      <w:kern w:val="2"/>
      <w:sz w:val="24"/>
      <w:szCs w:val="24"/>
      <w:lang w:val="en-US" w:eastAsia="zh-CN" w:bidi="ar-SA"/>
    </w:rPr>
  </w:style>
  <w:style w:type="character" w:customStyle="1" w:styleId="240">
    <w:name w:val="ca-131"/>
    <w:autoRedefine/>
    <w:qFormat/>
    <w:uiPriority w:val="0"/>
    <w:rPr>
      <w:rFonts w:hint="eastAsia" w:ascii="仿宋_GB2312" w:eastAsia="仿宋_GB2312"/>
      <w:b/>
      <w:bCs/>
      <w:color w:val="000000"/>
      <w:spacing w:val="-20"/>
      <w:sz w:val="24"/>
      <w:szCs w:val="24"/>
    </w:rPr>
  </w:style>
  <w:style w:type="character" w:customStyle="1" w:styleId="241">
    <w:name w:val="tw4winMark"/>
    <w:autoRedefine/>
    <w:qFormat/>
    <w:uiPriority w:val="0"/>
    <w:rPr>
      <w:rFonts w:ascii="Courier New" w:hAnsi="Courier New" w:cs="Courier New"/>
      <w:vanish/>
      <w:color w:val="800080"/>
      <w:sz w:val="24"/>
      <w:szCs w:val="24"/>
      <w:vertAlign w:val="subscript"/>
    </w:rPr>
  </w:style>
  <w:style w:type="character" w:customStyle="1" w:styleId="242">
    <w:name w:val="正文样式 Char"/>
    <w:link w:val="243"/>
    <w:autoRedefine/>
    <w:qFormat/>
    <w:uiPriority w:val="0"/>
    <w:rPr>
      <w:rFonts w:ascii="Calibri" w:hAnsi="Calibri"/>
      <w:sz w:val="24"/>
      <w:szCs w:val="24"/>
    </w:rPr>
  </w:style>
  <w:style w:type="paragraph" w:customStyle="1" w:styleId="243">
    <w:name w:val="正文样式"/>
    <w:basedOn w:val="1"/>
    <w:link w:val="242"/>
    <w:autoRedefine/>
    <w:qFormat/>
    <w:uiPriority w:val="0"/>
    <w:pPr>
      <w:adjustRightInd/>
      <w:spacing w:line="360" w:lineRule="auto"/>
      <w:ind w:firstLine="480" w:firstLineChars="200"/>
    </w:pPr>
    <w:rPr>
      <w:kern w:val="0"/>
      <w:sz w:val="24"/>
    </w:rPr>
  </w:style>
  <w:style w:type="character" w:customStyle="1" w:styleId="244">
    <w:name w:val="表正文 Char3"/>
    <w:autoRedefine/>
    <w:qFormat/>
    <w:uiPriority w:val="0"/>
    <w:rPr>
      <w:rFonts w:eastAsia="宋体"/>
    </w:rPr>
  </w:style>
  <w:style w:type="character" w:customStyle="1" w:styleId="245">
    <w:name w:val="H5 Char"/>
    <w:autoRedefine/>
    <w:qFormat/>
    <w:uiPriority w:val="0"/>
    <w:rPr>
      <w:b/>
      <w:bCs/>
      <w:kern w:val="2"/>
      <w:sz w:val="28"/>
      <w:szCs w:val="28"/>
    </w:rPr>
  </w:style>
  <w:style w:type="character" w:customStyle="1" w:styleId="246">
    <w:name w:val="Char Char3"/>
    <w:autoRedefine/>
    <w:qFormat/>
    <w:uiPriority w:val="0"/>
    <w:rPr>
      <w:rFonts w:eastAsia="宋体"/>
      <w:kern w:val="2"/>
      <w:sz w:val="21"/>
      <w:szCs w:val="24"/>
      <w:lang w:val="en-US" w:eastAsia="zh-CN" w:bidi="ar-SA"/>
    </w:rPr>
  </w:style>
  <w:style w:type="character" w:customStyle="1" w:styleId="247">
    <w:name w:val="正文 编号 Char"/>
    <w:autoRedefine/>
    <w:qFormat/>
    <w:uiPriority w:val="0"/>
    <w:rPr>
      <w:rFonts w:ascii="仿宋_GB2312" w:hAnsi="仿宋_GB2312" w:eastAsia="仿宋_GB2312"/>
      <w:kern w:val="2"/>
      <w:sz w:val="24"/>
      <w:lang w:bidi="ar-SA"/>
    </w:rPr>
  </w:style>
  <w:style w:type="character" w:customStyle="1" w:styleId="248">
    <w:name w:val="question-title2"/>
    <w:autoRedefine/>
    <w:qFormat/>
    <w:uiPriority w:val="6"/>
    <w:rPr>
      <w:rFonts w:ascii="Arial" w:hAnsi="Arial" w:eastAsia="黑体" w:cs="Arial"/>
      <w:snapToGrid w:val="0"/>
      <w:kern w:val="0"/>
      <w:szCs w:val="21"/>
    </w:rPr>
  </w:style>
  <w:style w:type="character" w:customStyle="1" w:styleId="249">
    <w:name w:val="gf正文1 Char Char"/>
    <w:link w:val="250"/>
    <w:autoRedefine/>
    <w:qFormat/>
    <w:uiPriority w:val="0"/>
    <w:rPr>
      <w:rFonts w:ascii="宋体" w:hAnsi="宋体" w:cs="宋体"/>
      <w:kern w:val="2"/>
      <w:sz w:val="24"/>
      <w:szCs w:val="24"/>
    </w:rPr>
  </w:style>
  <w:style w:type="paragraph" w:customStyle="1" w:styleId="250">
    <w:name w:val="gf正文1"/>
    <w:basedOn w:val="1"/>
    <w:link w:val="249"/>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1">
    <w:name w:val="Char Char15"/>
    <w:autoRedefine/>
    <w:qFormat/>
    <w:uiPriority w:val="6"/>
    <w:rPr>
      <w:rFonts w:ascii="宋体" w:hAnsi="宋体"/>
      <w:kern w:val="1"/>
      <w:sz w:val="21"/>
    </w:rPr>
  </w:style>
  <w:style w:type="character" w:customStyle="1" w:styleId="252">
    <w:name w:val="正文缩进 Char3"/>
    <w:autoRedefine/>
    <w:qFormat/>
    <w:uiPriority w:val="0"/>
    <w:rPr>
      <w:rFonts w:ascii="宋体" w:eastAsia="宋体"/>
      <w:snapToGrid w:val="0"/>
      <w:color w:val="000000"/>
      <w:kern w:val="28"/>
      <w:sz w:val="28"/>
      <w:lang w:val="en-US" w:eastAsia="zh-CN" w:bidi="ar-SA"/>
    </w:rPr>
  </w:style>
  <w:style w:type="character" w:customStyle="1" w:styleId="253">
    <w:name w:val="列出段落 Char1"/>
    <w:link w:val="254"/>
    <w:autoRedefine/>
    <w:qFormat/>
    <w:uiPriority w:val="0"/>
    <w:rPr>
      <w:rFonts w:ascii="Calibri" w:hAnsi="Calibri"/>
      <w:sz w:val="24"/>
      <w:lang w:eastAsia="en-US"/>
    </w:rPr>
  </w:style>
  <w:style w:type="paragraph" w:customStyle="1" w:styleId="254">
    <w:name w:val="列表1"/>
    <w:basedOn w:val="1"/>
    <w:next w:val="255"/>
    <w:link w:val="253"/>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styleId="255">
    <w:name w:val="List Paragraph"/>
    <w:basedOn w:val="1"/>
    <w:autoRedefine/>
    <w:qFormat/>
    <w:uiPriority w:val="34"/>
    <w:pPr>
      <w:spacing w:line="360" w:lineRule="auto"/>
      <w:ind w:firstLine="200" w:firstLineChars="200"/>
    </w:pPr>
    <w:rPr>
      <w:rFonts w:eastAsia="楷体_GB2312" w:cs="Lucida Sans"/>
      <w:sz w:val="24"/>
    </w:rPr>
  </w:style>
  <w:style w:type="character" w:customStyle="1" w:styleId="256">
    <w:name w:val="Char Char8"/>
    <w:autoRedefine/>
    <w:qFormat/>
    <w:uiPriority w:val="0"/>
    <w:rPr>
      <w:rFonts w:eastAsia="宋体"/>
      <w:b/>
      <w:sz w:val="24"/>
      <w:lang w:val="en-GB" w:eastAsia="zh-CN"/>
    </w:rPr>
  </w:style>
  <w:style w:type="character" w:customStyle="1" w:styleId="257">
    <w:name w:val="Normal Indent Char Char"/>
    <w:autoRedefine/>
    <w:qFormat/>
    <w:uiPriority w:val="0"/>
    <w:rPr>
      <w:rFonts w:eastAsia="宋体"/>
      <w:kern w:val="2"/>
      <w:sz w:val="21"/>
      <w:lang w:val="en-US" w:eastAsia="zh-CN" w:bidi="ar-SA"/>
    </w:rPr>
  </w:style>
  <w:style w:type="character" w:customStyle="1" w:styleId="258">
    <w:name w:val="列表段落 字符"/>
    <w:autoRedefine/>
    <w:qFormat/>
    <w:uiPriority w:val="99"/>
  </w:style>
  <w:style w:type="character" w:customStyle="1" w:styleId="259">
    <w:name w:val="Ò³Ã¼ Char Char1"/>
    <w:autoRedefine/>
    <w:qFormat/>
    <w:uiPriority w:val="0"/>
    <w:rPr>
      <w:rFonts w:eastAsia="宋体"/>
      <w:kern w:val="2"/>
      <w:sz w:val="18"/>
      <w:szCs w:val="18"/>
      <w:lang w:val="en-US" w:eastAsia="zh-CN" w:bidi="ar-SA"/>
    </w:rPr>
  </w:style>
  <w:style w:type="character" w:customStyle="1" w:styleId="260">
    <w:name w:val="方案正文 Char"/>
    <w:autoRedefine/>
    <w:qFormat/>
    <w:uiPriority w:val="0"/>
    <w:rPr>
      <w:rFonts w:ascii="仿宋_GB2312" w:eastAsia="仿宋_GB2312"/>
      <w:b/>
      <w:color w:val="000000"/>
      <w:kern w:val="2"/>
      <w:sz w:val="24"/>
      <w:lang w:val="en-US" w:eastAsia="zh-CN" w:bidi="ar-SA"/>
    </w:rPr>
  </w:style>
  <w:style w:type="character" w:customStyle="1" w:styleId="261">
    <w:name w:val="Char Char30"/>
    <w:autoRedefine/>
    <w:qFormat/>
    <w:uiPriority w:val="6"/>
    <w:rPr>
      <w:rFonts w:ascii="Arial" w:hAnsi="Arial" w:eastAsia="黑体"/>
      <w:kern w:val="1"/>
      <w:sz w:val="21"/>
      <w:szCs w:val="21"/>
    </w:rPr>
  </w:style>
  <w:style w:type="character" w:customStyle="1" w:styleId="262">
    <w:name w:val="正文文本缩进 字符1"/>
    <w:link w:val="24"/>
    <w:autoRedefine/>
    <w:qFormat/>
    <w:uiPriority w:val="0"/>
    <w:rPr>
      <w:rFonts w:ascii="宋体" w:hAnsi="宋体"/>
      <w:kern w:val="2"/>
      <w:sz w:val="24"/>
      <w:szCs w:val="24"/>
    </w:rPr>
  </w:style>
  <w:style w:type="character" w:customStyle="1" w:styleId="263">
    <w:name w:val="font01"/>
    <w:autoRedefine/>
    <w:qFormat/>
    <w:uiPriority w:val="0"/>
    <w:rPr>
      <w:rFonts w:hint="eastAsia" w:ascii="微软雅黑" w:hAnsi="微软雅黑" w:eastAsia="微软雅黑" w:cs="微软雅黑"/>
      <w:color w:val="000000"/>
      <w:sz w:val="20"/>
      <w:szCs w:val="20"/>
      <w:u w:val="none"/>
    </w:rPr>
  </w:style>
  <w:style w:type="character" w:customStyle="1" w:styleId="264">
    <w:name w:val="Char Char20"/>
    <w:autoRedefine/>
    <w:qFormat/>
    <w:uiPriority w:val="6"/>
    <w:rPr>
      <w:kern w:val="1"/>
      <w:sz w:val="24"/>
    </w:rPr>
  </w:style>
  <w:style w:type="character" w:customStyle="1" w:styleId="265">
    <w:name w:val="tw4winExternal"/>
    <w:autoRedefine/>
    <w:qFormat/>
    <w:uiPriority w:val="0"/>
    <w:rPr>
      <w:rFonts w:ascii="Courier New" w:hAnsi="Courier New" w:cs="Courier New"/>
      <w:color w:val="808080"/>
      <w:lang w:val="en-US" w:eastAsia="zh-CN"/>
    </w:rPr>
  </w:style>
  <w:style w:type="character" w:customStyle="1" w:styleId="266">
    <w:name w:val="标题 4 Char1"/>
    <w:autoRedefine/>
    <w:qFormat/>
    <w:uiPriority w:val="9"/>
    <w:rPr>
      <w:rFonts w:ascii="Cambria" w:hAnsi="Cambria" w:eastAsia="宋体" w:cs="Times New Roman"/>
      <w:b/>
      <w:bCs/>
      <w:kern w:val="2"/>
      <w:sz w:val="28"/>
      <w:szCs w:val="28"/>
    </w:rPr>
  </w:style>
  <w:style w:type="character" w:customStyle="1" w:styleId="267">
    <w:name w:val="批注文字 Char2"/>
    <w:autoRedefine/>
    <w:qFormat/>
    <w:uiPriority w:val="99"/>
    <w:rPr>
      <w:rFonts w:ascii="Times New Roman" w:hAnsi="Times New Roman" w:eastAsia="宋体" w:cs="Times New Roman"/>
      <w:snapToGrid w:val="0"/>
      <w:kern w:val="0"/>
      <w:szCs w:val="24"/>
    </w:rPr>
  </w:style>
  <w:style w:type="character" w:customStyle="1" w:styleId="268">
    <w:name w:val="正文文本 2 Char"/>
    <w:autoRedefine/>
    <w:qFormat/>
    <w:uiPriority w:val="0"/>
    <w:rPr>
      <w:rFonts w:eastAsia="宋体"/>
      <w:kern w:val="2"/>
      <w:sz w:val="21"/>
      <w:szCs w:val="24"/>
      <w:lang w:val="en-US" w:eastAsia="zh-CN" w:bidi="ar-SA"/>
    </w:rPr>
  </w:style>
  <w:style w:type="character" w:customStyle="1" w:styleId="269">
    <w:name w:val="Ò³Ã¼ Char Char"/>
    <w:autoRedefine/>
    <w:qFormat/>
    <w:uiPriority w:val="0"/>
    <w:rPr>
      <w:rFonts w:eastAsia="宋体"/>
      <w:kern w:val="2"/>
      <w:sz w:val="18"/>
      <w:lang w:val="en-US" w:eastAsia="zh-CN" w:bidi="ar-SA"/>
    </w:rPr>
  </w:style>
  <w:style w:type="character" w:customStyle="1" w:styleId="270">
    <w:name w:val="message1"/>
    <w:autoRedefine/>
    <w:qFormat/>
    <w:uiPriority w:val="0"/>
    <w:rPr>
      <w:rFonts w:hint="default" w:ascii="Tahoma" w:hAnsi="Tahoma" w:cs="Tahoma"/>
      <w:sz w:val="18"/>
      <w:szCs w:val="18"/>
    </w:rPr>
  </w:style>
  <w:style w:type="character" w:customStyle="1" w:styleId="271">
    <w:name w:val="Char Char23"/>
    <w:autoRedefine/>
    <w:qFormat/>
    <w:uiPriority w:val="6"/>
    <w:rPr>
      <w:color w:val="0000FF"/>
      <w:sz w:val="21"/>
    </w:rPr>
  </w:style>
  <w:style w:type="character" w:customStyle="1" w:styleId="272">
    <w:name w:val="批注框文本 字符"/>
    <w:autoRedefine/>
    <w:qFormat/>
    <w:uiPriority w:val="0"/>
    <w:rPr>
      <w:rFonts w:ascii="Arial" w:hAnsi="Arial" w:eastAsia="黑体" w:cs="Arial"/>
      <w:snapToGrid w:val="0"/>
      <w:kern w:val="0"/>
      <w:sz w:val="18"/>
      <w:szCs w:val="18"/>
    </w:rPr>
  </w:style>
  <w:style w:type="character" w:customStyle="1" w:styleId="273">
    <w:name w:val="纯文本 Char2"/>
    <w:autoRedefine/>
    <w:semiHidden/>
    <w:qFormat/>
    <w:uiPriority w:val="99"/>
    <w:rPr>
      <w:rFonts w:ascii="宋体" w:hAnsi="Courier New" w:eastAsia="宋体" w:cs="Courier New"/>
    </w:rPr>
  </w:style>
  <w:style w:type="character" w:customStyle="1" w:styleId="274">
    <w:name w:val="Char Char25"/>
    <w:autoRedefine/>
    <w:qFormat/>
    <w:uiPriority w:val="6"/>
    <w:rPr>
      <w:rFonts w:ascii="宋体" w:hAnsi="宋体"/>
      <w:kern w:val="1"/>
      <w:sz w:val="24"/>
      <w:lang w:val="zh-CN"/>
    </w:rPr>
  </w:style>
  <w:style w:type="character" w:customStyle="1" w:styleId="275">
    <w:name w:val="Char Char411"/>
    <w:autoRedefine/>
    <w:qFormat/>
    <w:uiPriority w:val="0"/>
    <w:rPr>
      <w:rFonts w:eastAsia="宋体"/>
      <w:b/>
      <w:sz w:val="24"/>
      <w:lang w:val="en-GB" w:eastAsia="zh-CN" w:bidi="ar-SA"/>
    </w:rPr>
  </w:style>
  <w:style w:type="character" w:customStyle="1" w:styleId="276">
    <w:name w:val="Heading 7 Char"/>
    <w:autoRedefine/>
    <w:qFormat/>
    <w:locked/>
    <w:uiPriority w:val="0"/>
    <w:rPr>
      <w:rFonts w:ascii="宋体" w:hAnsi="宋体" w:eastAsia="宋体"/>
      <w:b/>
      <w:bCs/>
      <w:kern w:val="2"/>
      <w:sz w:val="24"/>
      <w:szCs w:val="24"/>
      <w:lang w:val="en-US" w:eastAsia="zh-CN" w:bidi="ar-SA"/>
    </w:rPr>
  </w:style>
  <w:style w:type="character" w:customStyle="1" w:styleId="277">
    <w:name w:val="此正文 Char"/>
    <w:link w:val="278"/>
    <w:autoRedefine/>
    <w:qFormat/>
    <w:uiPriority w:val="0"/>
    <w:rPr>
      <w:kern w:val="2"/>
      <w:sz w:val="24"/>
      <w:szCs w:val="24"/>
    </w:rPr>
  </w:style>
  <w:style w:type="paragraph" w:customStyle="1" w:styleId="278">
    <w:name w:val="此正文"/>
    <w:basedOn w:val="1"/>
    <w:link w:val="277"/>
    <w:autoRedefine/>
    <w:qFormat/>
    <w:uiPriority w:val="0"/>
    <w:pPr>
      <w:adjustRightInd/>
      <w:spacing w:line="360" w:lineRule="auto"/>
      <w:ind w:firstLine="200" w:firstLineChars="200"/>
    </w:pPr>
    <w:rPr>
      <w:sz w:val="24"/>
    </w:rPr>
  </w:style>
  <w:style w:type="character" w:customStyle="1" w:styleId="279">
    <w:name w:val="Char Char2"/>
    <w:autoRedefine/>
    <w:qFormat/>
    <w:uiPriority w:val="0"/>
    <w:rPr>
      <w:rFonts w:eastAsia="宋体"/>
      <w:b/>
      <w:bCs/>
      <w:kern w:val="2"/>
      <w:sz w:val="21"/>
      <w:szCs w:val="24"/>
      <w:lang w:val="en-US" w:eastAsia="zh-CN" w:bidi="ar-SA"/>
    </w:rPr>
  </w:style>
  <w:style w:type="character" w:customStyle="1" w:styleId="280">
    <w:name w:val="标题 1 字符1"/>
    <w:link w:val="3"/>
    <w:autoRedefine/>
    <w:qFormat/>
    <w:uiPriority w:val="9"/>
    <w:rPr>
      <w:b/>
      <w:bCs/>
      <w:kern w:val="44"/>
      <w:sz w:val="44"/>
      <w:szCs w:val="44"/>
    </w:rPr>
  </w:style>
  <w:style w:type="character" w:customStyle="1" w:styleId="281">
    <w:name w:val="Footer-Even Char1"/>
    <w:autoRedefine/>
    <w:qFormat/>
    <w:uiPriority w:val="0"/>
    <w:rPr>
      <w:rFonts w:eastAsia="宋体"/>
      <w:kern w:val="2"/>
      <w:sz w:val="18"/>
      <w:szCs w:val="18"/>
      <w:lang w:val="en-US" w:eastAsia="zh-CN" w:bidi="ar-SA"/>
    </w:rPr>
  </w:style>
  <w:style w:type="character" w:customStyle="1" w:styleId="282">
    <w:name w:val="Char Char29"/>
    <w:autoRedefine/>
    <w:qFormat/>
    <w:uiPriority w:val="6"/>
    <w:rPr>
      <w:rFonts w:ascii="Arial" w:hAnsi="Arial" w:eastAsia="微软雅黑"/>
      <w:b/>
      <w:kern w:val="1"/>
      <w:sz w:val="44"/>
      <w:szCs w:val="32"/>
      <w:lang w:val="en-US" w:eastAsia="zh-CN" w:bidi="ar-SA"/>
    </w:rPr>
  </w:style>
  <w:style w:type="character" w:customStyle="1" w:styleId="283">
    <w:name w:val="标题 字符"/>
    <w:link w:val="58"/>
    <w:autoRedefine/>
    <w:qFormat/>
    <w:uiPriority w:val="10"/>
    <w:rPr>
      <w:b/>
      <w:sz w:val="24"/>
      <w:lang w:val="en-GB"/>
    </w:rPr>
  </w:style>
  <w:style w:type="character" w:customStyle="1" w:styleId="284">
    <w:name w:val="font81"/>
    <w:autoRedefine/>
    <w:qFormat/>
    <w:uiPriority w:val="0"/>
    <w:rPr>
      <w:rFonts w:ascii="微软雅黑" w:hAnsi="微软雅黑" w:eastAsia="微软雅黑" w:cs="微软雅黑"/>
      <w:color w:val="000000"/>
      <w:sz w:val="20"/>
      <w:szCs w:val="20"/>
      <w:u w:val="none"/>
    </w:rPr>
  </w:style>
  <w:style w:type="character" w:customStyle="1" w:styleId="285">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6">
    <w:name w:val="t21"/>
    <w:autoRedefine/>
    <w:qFormat/>
    <w:uiPriority w:val="0"/>
    <w:rPr>
      <w:rFonts w:ascii="仿宋_GB2312" w:eastAsia="微软雅黑"/>
      <w:b/>
      <w:kern w:val="2"/>
      <w:sz w:val="23"/>
      <w:szCs w:val="23"/>
      <w:lang w:val="en-US" w:eastAsia="zh-CN" w:bidi="ar-SA"/>
    </w:rPr>
  </w:style>
  <w:style w:type="character" w:customStyle="1" w:styleId="287">
    <w:name w:val="样式8 Char"/>
    <w:autoRedefine/>
    <w:qFormat/>
    <w:uiPriority w:val="0"/>
    <w:rPr>
      <w:rFonts w:ascii="仿宋_GB2312" w:hAnsi="宋体" w:eastAsia="仿宋_GB2312"/>
      <w:b/>
      <w:bCs/>
      <w:kern w:val="2"/>
      <w:sz w:val="24"/>
      <w:szCs w:val="24"/>
    </w:rPr>
  </w:style>
  <w:style w:type="character" w:customStyle="1" w:styleId="288">
    <w:name w:val="表格 Char Char"/>
    <w:autoRedefine/>
    <w:qFormat/>
    <w:uiPriority w:val="0"/>
    <w:rPr>
      <w:rFonts w:ascii="宋体" w:hAnsi="宋体" w:eastAsia="宋体"/>
      <w:lang w:bidi="ar-SA"/>
    </w:rPr>
  </w:style>
  <w:style w:type="character" w:customStyle="1" w:styleId="289">
    <w:name w:val="正文文本 字符1"/>
    <w:autoRedefine/>
    <w:qFormat/>
    <w:uiPriority w:val="0"/>
    <w:rPr>
      <w:rFonts w:ascii="Calibri" w:hAnsi="Calibri" w:eastAsia="黑体" w:cs="Arial"/>
      <w:snapToGrid w:val="0"/>
      <w:kern w:val="2"/>
      <w:sz w:val="28"/>
      <w:szCs w:val="21"/>
    </w:rPr>
  </w:style>
  <w:style w:type="character" w:customStyle="1" w:styleId="290">
    <w:name w:val="标题 5 字符"/>
    <w:link w:val="6"/>
    <w:autoRedefine/>
    <w:qFormat/>
    <w:uiPriority w:val="9"/>
    <w:rPr>
      <w:b/>
      <w:bCs/>
      <w:kern w:val="2"/>
      <w:sz w:val="28"/>
      <w:szCs w:val="28"/>
    </w:rPr>
  </w:style>
  <w:style w:type="character" w:customStyle="1" w:styleId="291">
    <w:name w:val="标题 6 Char1"/>
    <w:autoRedefine/>
    <w:qFormat/>
    <w:uiPriority w:val="0"/>
    <w:rPr>
      <w:rFonts w:ascii="Arial" w:hAnsi="Arial" w:eastAsia="黑体" w:cs="Times New Roman"/>
      <w:b/>
      <w:sz w:val="24"/>
      <w:szCs w:val="20"/>
      <w:lang w:bidi="ar-SA"/>
    </w:rPr>
  </w:style>
  <w:style w:type="character" w:customStyle="1" w:styleId="292">
    <w:name w:val="带编号样式 Char"/>
    <w:autoRedefine/>
    <w:qFormat/>
    <w:uiPriority w:val="0"/>
    <w:rPr>
      <w:rFonts w:ascii="仿宋_GB2312" w:eastAsia="仿宋_GB2312"/>
      <w:color w:val="000000"/>
      <w:sz w:val="24"/>
      <w:lang w:bidi="ar-SA"/>
    </w:rPr>
  </w:style>
  <w:style w:type="character" w:customStyle="1" w:styleId="293">
    <w:name w:val="unnamed31"/>
    <w:autoRedefine/>
    <w:qFormat/>
    <w:uiPriority w:val="0"/>
    <w:rPr>
      <w:rFonts w:ascii="Tahoma" w:hAnsi="Tahoma" w:eastAsia="宋体"/>
      <w:b/>
      <w:kern w:val="2"/>
      <w:sz w:val="24"/>
      <w:szCs w:val="32"/>
      <w:u w:val="none"/>
      <w:lang w:val="en-US" w:eastAsia="zh-CN" w:bidi="ar-SA"/>
    </w:rPr>
  </w:style>
  <w:style w:type="character" w:customStyle="1" w:styleId="294">
    <w:name w:val="正文首行缩进 Char Char Char Char Char Char1"/>
    <w:autoRedefine/>
    <w:qFormat/>
    <w:uiPriority w:val="0"/>
    <w:rPr>
      <w:rFonts w:ascii="宋体" w:eastAsia="宋体"/>
      <w:kern w:val="2"/>
      <w:sz w:val="24"/>
      <w:szCs w:val="24"/>
      <w:lang w:val="zh-CN" w:bidi="ar-SA"/>
    </w:rPr>
  </w:style>
  <w:style w:type="character" w:customStyle="1" w:styleId="295">
    <w:name w:val="称呼 字符"/>
    <w:link w:val="20"/>
    <w:autoRedefine/>
    <w:qFormat/>
    <w:uiPriority w:val="0"/>
    <w:rPr>
      <w:rFonts w:ascii="仿宋_GB2312" w:eastAsia="仿宋_GB2312"/>
      <w:kern w:val="2"/>
      <w:sz w:val="28"/>
    </w:rPr>
  </w:style>
  <w:style w:type="character" w:customStyle="1" w:styleId="296">
    <w:name w:val="文本正文 Char Char"/>
    <w:autoRedefine/>
    <w:qFormat/>
    <w:locked/>
    <w:uiPriority w:val="0"/>
    <w:rPr>
      <w:sz w:val="24"/>
      <w:lang w:bidi="ar-SA"/>
    </w:rPr>
  </w:style>
  <w:style w:type="character" w:customStyle="1" w:styleId="297">
    <w:name w:val="正文缩进 字符"/>
    <w:autoRedefine/>
    <w:qFormat/>
    <w:uiPriority w:val="0"/>
    <w:rPr>
      <w:rFonts w:ascii="宋体" w:eastAsia="宋体"/>
      <w:snapToGrid w:val="0"/>
      <w:color w:val="000000"/>
      <w:kern w:val="28"/>
      <w:sz w:val="28"/>
      <w:lang w:val="en-US" w:eastAsia="zh-CN" w:bidi="ar-SA"/>
    </w:rPr>
  </w:style>
  <w:style w:type="character" w:customStyle="1" w:styleId="298">
    <w:name w:val="HTML 预设格式 字符"/>
    <w:link w:val="56"/>
    <w:autoRedefine/>
    <w:qFormat/>
    <w:uiPriority w:val="0"/>
    <w:rPr>
      <w:rFonts w:ascii="黑体" w:hAnsi="Courier New" w:eastAsia="黑体"/>
    </w:rPr>
  </w:style>
  <w:style w:type="character" w:customStyle="1" w:styleId="299">
    <w:name w:val="正文文本 2 字符1"/>
    <w:link w:val="55"/>
    <w:autoRedefine/>
    <w:qFormat/>
    <w:uiPriority w:val="0"/>
    <w:rPr>
      <w:kern w:val="2"/>
      <w:sz w:val="21"/>
      <w:szCs w:val="24"/>
    </w:rPr>
  </w:style>
  <w:style w:type="character" w:customStyle="1" w:styleId="300">
    <w:name w:val="样式 样式 标题 4h4H4Fab-4T5Ref Heading 1rh1Heading sqlsect 1.2.3.... +... Char"/>
    <w:link w:val="301"/>
    <w:autoRedefine/>
    <w:qFormat/>
    <w:uiPriority w:val="0"/>
    <w:rPr>
      <w:rFonts w:ascii="微软雅黑" w:hAnsi="微软雅黑" w:eastAsia="微软雅黑"/>
      <w:b/>
      <w:bCs/>
      <w:kern w:val="2"/>
      <w:sz w:val="24"/>
      <w:szCs w:val="28"/>
    </w:rPr>
  </w:style>
  <w:style w:type="paragraph" w:customStyle="1" w:styleId="301">
    <w:name w:val="样式 样式 标题 4h4H4Fab-4T5Ref Heading 1rh1Heading sqlsect 1.2.3.... +..."/>
    <w:basedOn w:val="302"/>
    <w:link w:val="300"/>
    <w:autoRedefine/>
    <w:qFormat/>
    <w:uiPriority w:val="0"/>
    <w:pPr>
      <w:tabs>
        <w:tab w:val="left" w:pos="2356"/>
      </w:tabs>
    </w:pPr>
  </w:style>
  <w:style w:type="paragraph" w:customStyle="1" w:styleId="302">
    <w:name w:val="样式 标题 4h4H4Fab-4T5Ref Heading 1rh1Heading sqlsect 1.2.3...."/>
    <w:basedOn w:val="2"/>
    <w:link w:val="410"/>
    <w:autoRedefine/>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3">
    <w:name w:val="正文非缩进 Char"/>
    <w:autoRedefine/>
    <w:qFormat/>
    <w:uiPriority w:val="0"/>
    <w:rPr>
      <w:rFonts w:ascii="宋体" w:eastAsia="宋体"/>
      <w:snapToGrid w:val="0"/>
      <w:color w:val="000000"/>
      <w:kern w:val="28"/>
      <w:sz w:val="28"/>
      <w:lang w:val="en-US" w:eastAsia="zh-CN" w:bidi="ar-SA"/>
    </w:rPr>
  </w:style>
  <w:style w:type="character" w:customStyle="1" w:styleId="304">
    <w:name w:val="标题 7 字符"/>
    <w:link w:val="8"/>
    <w:autoRedefine/>
    <w:qFormat/>
    <w:uiPriority w:val="0"/>
    <w:rPr>
      <w:b/>
      <w:bCs/>
      <w:kern w:val="2"/>
      <w:sz w:val="24"/>
      <w:szCs w:val="24"/>
    </w:rPr>
  </w:style>
  <w:style w:type="character" w:customStyle="1" w:styleId="305">
    <w:name w:val="正文文本缩进 2 字符"/>
    <w:link w:val="36"/>
    <w:autoRedefine/>
    <w:qFormat/>
    <w:uiPriority w:val="0"/>
    <w:rPr>
      <w:rFonts w:ascii="宋体"/>
      <w:sz w:val="28"/>
    </w:rPr>
  </w:style>
  <w:style w:type="character" w:customStyle="1" w:styleId="306">
    <w:name w:val="Char Char5"/>
    <w:autoRedefine/>
    <w:qFormat/>
    <w:uiPriority w:val="0"/>
    <w:rPr>
      <w:rFonts w:ascii="宋体" w:hAnsi="Courier New" w:eastAsia="宋体"/>
      <w:kern w:val="2"/>
      <w:sz w:val="21"/>
      <w:lang w:val="en-US" w:eastAsia="zh-CN"/>
    </w:rPr>
  </w:style>
  <w:style w:type="character" w:customStyle="1" w:styleId="307">
    <w:name w:val="脚注文本 字符"/>
    <w:link w:val="49"/>
    <w:autoRedefine/>
    <w:qFormat/>
    <w:uiPriority w:val="0"/>
    <w:rPr>
      <w:color w:val="0000FF"/>
      <w:sz w:val="21"/>
    </w:rPr>
  </w:style>
  <w:style w:type="character" w:customStyle="1" w:styleId="308">
    <w:name w:val="称呼 Char1"/>
    <w:autoRedefine/>
    <w:qFormat/>
    <w:uiPriority w:val="0"/>
    <w:rPr>
      <w:rFonts w:ascii="Times New Roman" w:hAnsi="Times New Roman" w:eastAsia="宋体" w:cs="Times New Roman"/>
      <w:szCs w:val="24"/>
    </w:rPr>
  </w:style>
  <w:style w:type="character" w:customStyle="1" w:styleId="309">
    <w:name w:val="正文1 Char"/>
    <w:autoRedefine/>
    <w:qFormat/>
    <w:uiPriority w:val="0"/>
    <w:rPr>
      <w:rFonts w:ascii="宋体" w:eastAsia="宋体"/>
      <w:snapToGrid w:val="0"/>
      <w:color w:val="000000"/>
      <w:kern w:val="28"/>
      <w:sz w:val="28"/>
      <w:lang w:val="en-US" w:eastAsia="zh-CN" w:bidi="ar-SA"/>
    </w:rPr>
  </w:style>
  <w:style w:type="character" w:customStyle="1" w:styleId="310">
    <w:name w:val="正文缩进 Char1"/>
    <w:autoRedefine/>
    <w:qFormat/>
    <w:uiPriority w:val="0"/>
    <w:rPr>
      <w:rFonts w:ascii="宋体" w:eastAsia="宋体"/>
      <w:snapToGrid w:val="0"/>
      <w:color w:val="000000"/>
      <w:kern w:val="28"/>
      <w:sz w:val="28"/>
      <w:lang w:val="en-US" w:eastAsia="zh-CN" w:bidi="ar-SA"/>
    </w:rPr>
  </w:style>
  <w:style w:type="character" w:customStyle="1" w:styleId="311">
    <w:name w:val="font21"/>
    <w:autoRedefine/>
    <w:qFormat/>
    <w:uiPriority w:val="0"/>
    <w:rPr>
      <w:rFonts w:hint="eastAsia" w:ascii="宋体" w:hAnsi="宋体" w:eastAsia="宋体"/>
      <w:kern w:val="2"/>
      <w:sz w:val="28"/>
      <w:szCs w:val="28"/>
      <w:lang w:val="en-US" w:eastAsia="zh-CN" w:bidi="ar-SA"/>
    </w:rPr>
  </w:style>
  <w:style w:type="character" w:customStyle="1" w:styleId="312">
    <w:name w:val="Char Char26"/>
    <w:autoRedefine/>
    <w:qFormat/>
    <w:uiPriority w:val="6"/>
    <w:rPr>
      <w:kern w:val="1"/>
      <w:sz w:val="21"/>
      <w:szCs w:val="24"/>
    </w:rPr>
  </w:style>
  <w:style w:type="character" w:customStyle="1" w:styleId="313">
    <w:name w:val="Item List Char"/>
    <w:link w:val="314"/>
    <w:autoRedefine/>
    <w:qFormat/>
    <w:uiPriority w:val="0"/>
    <w:rPr>
      <w:rFonts w:ascii="Arial"/>
      <w:bCs/>
      <w:sz w:val="21"/>
      <w:szCs w:val="21"/>
      <w:lang w:val="en-US" w:eastAsia="zh-CN" w:bidi="ar-SA"/>
    </w:rPr>
  </w:style>
  <w:style w:type="paragraph" w:customStyle="1" w:styleId="314">
    <w:name w:val="Item List"/>
    <w:link w:val="313"/>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5">
    <w:name w:val="批注框文本 Char1"/>
    <w:autoRedefine/>
    <w:qFormat/>
    <w:uiPriority w:val="0"/>
    <w:rPr>
      <w:rFonts w:ascii="Times New Roman" w:hAnsi="Times New Roman" w:eastAsia="宋体" w:cs="Times New Roman"/>
      <w:sz w:val="18"/>
      <w:szCs w:val="18"/>
    </w:rPr>
  </w:style>
  <w:style w:type="character" w:customStyle="1" w:styleId="316">
    <w:name w:val="纯文本 Char1"/>
    <w:link w:val="317"/>
    <w:autoRedefine/>
    <w:qFormat/>
    <w:uiPriority w:val="0"/>
    <w:rPr>
      <w:rFonts w:ascii="宋体" w:hAnsi="Courier New"/>
    </w:rPr>
  </w:style>
  <w:style w:type="paragraph" w:customStyle="1" w:styleId="317">
    <w:name w:val="纯文本1"/>
    <w:basedOn w:val="1"/>
    <w:link w:val="316"/>
    <w:autoRedefine/>
    <w:qFormat/>
    <w:uiPriority w:val="0"/>
    <w:pPr>
      <w:adjustRightInd/>
    </w:pPr>
    <w:rPr>
      <w:rFonts w:ascii="宋体" w:hAnsi="Courier New"/>
      <w:kern w:val="0"/>
      <w:sz w:val="20"/>
      <w:szCs w:val="20"/>
    </w:rPr>
  </w:style>
  <w:style w:type="character" w:customStyle="1" w:styleId="318">
    <w:name w:val="正文首行缩进 字符"/>
    <w:link w:val="60"/>
    <w:autoRedefine/>
    <w:qFormat/>
    <w:uiPriority w:val="0"/>
    <w:rPr>
      <w:rFonts w:ascii="宋体"/>
      <w:kern w:val="2"/>
      <w:sz w:val="24"/>
      <w:lang w:val="zh-CN"/>
    </w:rPr>
  </w:style>
  <w:style w:type="character" w:customStyle="1" w:styleId="319">
    <w:name w:val="h3 Char"/>
    <w:autoRedefine/>
    <w:qFormat/>
    <w:uiPriority w:val="0"/>
    <w:rPr>
      <w:rFonts w:eastAsia="宋体"/>
      <w:b/>
      <w:kern w:val="2"/>
      <w:sz w:val="32"/>
      <w:lang w:val="en-US" w:eastAsia="zh-CN" w:bidi="ar-SA"/>
    </w:rPr>
  </w:style>
  <w:style w:type="character" w:customStyle="1" w:styleId="320">
    <w:name w:val="dandyren_title1"/>
    <w:autoRedefine/>
    <w:qFormat/>
    <w:uiPriority w:val="0"/>
    <w:rPr>
      <w:b/>
      <w:bCs/>
      <w:color w:val="FF6633"/>
      <w:sz w:val="18"/>
      <w:szCs w:val="18"/>
    </w:rPr>
  </w:style>
  <w:style w:type="character" w:customStyle="1" w:styleId="321">
    <w:name w:val="Char Char31"/>
    <w:autoRedefine/>
    <w:qFormat/>
    <w:uiPriority w:val="6"/>
    <w:rPr>
      <w:rFonts w:ascii="Arial" w:hAnsi="Arial" w:eastAsia="黑体"/>
      <w:kern w:val="1"/>
      <w:sz w:val="24"/>
      <w:szCs w:val="24"/>
    </w:rPr>
  </w:style>
  <w:style w:type="character" w:customStyle="1" w:styleId="322">
    <w:name w:val="h Char1"/>
    <w:autoRedefine/>
    <w:qFormat/>
    <w:uiPriority w:val="0"/>
    <w:rPr>
      <w:sz w:val="18"/>
      <w:szCs w:val="18"/>
    </w:rPr>
  </w:style>
  <w:style w:type="character" w:customStyle="1" w:styleId="323">
    <w:name w:val="solutionfonts"/>
    <w:autoRedefine/>
    <w:qFormat/>
    <w:uiPriority w:val="0"/>
  </w:style>
  <w:style w:type="character" w:customStyle="1" w:styleId="324">
    <w:name w:val="标题 4 字符1"/>
    <w:link w:val="2"/>
    <w:autoRedefine/>
    <w:qFormat/>
    <w:uiPriority w:val="9"/>
    <w:rPr>
      <w:rFonts w:ascii="Arial" w:hAnsi="Arial" w:eastAsia="黑体"/>
      <w:b/>
      <w:bCs/>
      <w:kern w:val="2"/>
      <w:sz w:val="28"/>
      <w:szCs w:val="28"/>
      <w:lang w:val="zh-CN"/>
    </w:rPr>
  </w:style>
  <w:style w:type="character" w:customStyle="1" w:styleId="325">
    <w:name w:val="首行缩进 Char"/>
    <w:autoRedefine/>
    <w:qFormat/>
    <w:uiPriority w:val="0"/>
    <w:rPr>
      <w:rFonts w:ascii="宋体" w:eastAsia="宋体"/>
      <w:kern w:val="2"/>
      <w:sz w:val="24"/>
      <w:lang w:val="en-US" w:eastAsia="zh-CN" w:bidi="ar-SA"/>
    </w:rPr>
  </w:style>
  <w:style w:type="character" w:customStyle="1" w:styleId="326">
    <w:name w:val="Char Char52"/>
    <w:autoRedefine/>
    <w:qFormat/>
    <w:uiPriority w:val="0"/>
    <w:rPr>
      <w:rFonts w:ascii="宋体" w:hAnsi="Courier New" w:eastAsia="宋体"/>
      <w:kern w:val="2"/>
      <w:sz w:val="21"/>
      <w:lang w:val="en-US" w:eastAsia="zh-CN"/>
    </w:rPr>
  </w:style>
  <w:style w:type="character" w:customStyle="1" w:styleId="327">
    <w:name w:val="正文文本 3 字符"/>
    <w:link w:val="21"/>
    <w:autoRedefine/>
    <w:qFormat/>
    <w:uiPriority w:val="0"/>
    <w:rPr>
      <w:kern w:val="2"/>
      <w:sz w:val="21"/>
    </w:rPr>
  </w:style>
  <w:style w:type="character" w:customStyle="1" w:styleId="328">
    <w:name w:val="font31"/>
    <w:autoRedefine/>
    <w:qFormat/>
    <w:uiPriority w:val="0"/>
    <w:rPr>
      <w:rFonts w:hint="eastAsia" w:ascii="仿宋" w:hAnsi="仿宋" w:eastAsia="仿宋" w:cs="仿宋"/>
      <w:color w:val="000000"/>
      <w:sz w:val="20"/>
      <w:szCs w:val="20"/>
      <w:u w:val="none"/>
    </w:rPr>
  </w:style>
  <w:style w:type="character" w:customStyle="1" w:styleId="329">
    <w:name w:val="正文说明 Char"/>
    <w:link w:val="330"/>
    <w:autoRedefine/>
    <w:qFormat/>
    <w:uiPriority w:val="0"/>
    <w:rPr>
      <w:sz w:val="24"/>
      <w:szCs w:val="24"/>
    </w:rPr>
  </w:style>
  <w:style w:type="paragraph" w:customStyle="1" w:styleId="330">
    <w:name w:val="正文说明"/>
    <w:basedOn w:val="1"/>
    <w:link w:val="329"/>
    <w:autoRedefine/>
    <w:qFormat/>
    <w:uiPriority w:val="0"/>
    <w:pPr>
      <w:adjustRightInd/>
      <w:spacing w:line="360" w:lineRule="auto"/>
    </w:pPr>
    <w:rPr>
      <w:kern w:val="0"/>
      <w:sz w:val="24"/>
    </w:rPr>
  </w:style>
  <w:style w:type="character" w:customStyle="1" w:styleId="331">
    <w:name w:val="脚注文本 Char1"/>
    <w:autoRedefine/>
    <w:qFormat/>
    <w:uiPriority w:val="0"/>
    <w:rPr>
      <w:rFonts w:ascii="Times New Roman" w:hAnsi="Times New Roman" w:eastAsia="宋体" w:cs="Times New Roman"/>
      <w:sz w:val="18"/>
      <w:szCs w:val="18"/>
    </w:rPr>
  </w:style>
  <w:style w:type="character" w:customStyle="1" w:styleId="332">
    <w:name w:val="Char Char1211"/>
    <w:autoRedefine/>
    <w:qFormat/>
    <w:uiPriority w:val="0"/>
    <w:rPr>
      <w:rFonts w:ascii="仿宋_GB2312" w:eastAsia="仿宋_GB2312"/>
      <w:b/>
      <w:bCs/>
      <w:kern w:val="2"/>
      <w:sz w:val="24"/>
      <w:szCs w:val="24"/>
      <w:lang w:val="zh-CN" w:eastAsia="zh-CN" w:bidi="ar-SA"/>
    </w:rPr>
  </w:style>
  <w:style w:type="character" w:customStyle="1" w:styleId="333">
    <w:name w:val="标题 Char"/>
    <w:autoRedefine/>
    <w:qFormat/>
    <w:uiPriority w:val="0"/>
    <w:rPr>
      <w:rFonts w:eastAsia="宋体"/>
      <w:b/>
      <w:sz w:val="24"/>
      <w:lang w:val="en-GB" w:eastAsia="zh-CN" w:bidi="ar-SA"/>
    </w:rPr>
  </w:style>
  <w:style w:type="character" w:customStyle="1" w:styleId="334">
    <w:name w:val="Char Char35"/>
    <w:autoRedefine/>
    <w:qFormat/>
    <w:uiPriority w:val="6"/>
    <w:rPr>
      <w:rFonts w:ascii="Arial" w:hAnsi="Arial" w:eastAsia="黑体"/>
      <w:b/>
      <w:kern w:val="1"/>
      <w:sz w:val="28"/>
      <w:szCs w:val="28"/>
      <w:lang w:val="zh-CN"/>
    </w:rPr>
  </w:style>
  <w:style w:type="character" w:customStyle="1" w:styleId="335">
    <w:name w:val="纯文本 Char Char Char"/>
    <w:autoRedefine/>
    <w:qFormat/>
    <w:uiPriority w:val="0"/>
    <w:rPr>
      <w:rFonts w:ascii="宋体" w:hAnsi="Courier New" w:eastAsia="宋体"/>
      <w:kern w:val="2"/>
      <w:sz w:val="21"/>
      <w:lang w:val="en-US" w:eastAsia="zh-CN" w:bidi="ar-SA"/>
    </w:rPr>
  </w:style>
  <w:style w:type="character" w:customStyle="1" w:styleId="336">
    <w:name w:val="Table Text Char"/>
    <w:link w:val="337"/>
    <w:autoRedefine/>
    <w:qFormat/>
    <w:uiPriority w:val="0"/>
    <w:rPr>
      <w:sz w:val="24"/>
      <w:szCs w:val="24"/>
    </w:rPr>
  </w:style>
  <w:style w:type="paragraph" w:customStyle="1" w:styleId="337">
    <w:name w:val="Table Text"/>
    <w:basedOn w:val="1"/>
    <w:link w:val="336"/>
    <w:autoRedefine/>
    <w:qFormat/>
    <w:uiPriority w:val="0"/>
    <w:pPr>
      <w:widowControl/>
      <w:spacing w:before="60" w:after="60"/>
      <w:jc w:val="left"/>
    </w:pPr>
    <w:rPr>
      <w:kern w:val="0"/>
      <w:sz w:val="24"/>
    </w:rPr>
  </w:style>
  <w:style w:type="character" w:customStyle="1" w:styleId="338">
    <w:name w:val="正文1 Char1"/>
    <w:autoRedefine/>
    <w:qFormat/>
    <w:uiPriority w:val="0"/>
    <w:rPr>
      <w:rFonts w:ascii="仿宋_GB2312" w:hAnsi="Courier New" w:eastAsia="仿宋_GB2312"/>
      <w:kern w:val="28"/>
      <w:sz w:val="24"/>
      <w:szCs w:val="24"/>
      <w:lang w:val="en-US" w:eastAsia="zh-CN"/>
    </w:rPr>
  </w:style>
  <w:style w:type="character" w:customStyle="1" w:styleId="339">
    <w:name w:val="页脚 Char1"/>
    <w:autoRedefine/>
    <w:qFormat/>
    <w:uiPriority w:val="0"/>
    <w:rPr>
      <w:rFonts w:eastAsia="宋体"/>
      <w:kern w:val="2"/>
      <w:sz w:val="18"/>
      <w:szCs w:val="18"/>
      <w:lang w:val="en-US" w:eastAsia="zh-CN" w:bidi="ar-SA"/>
    </w:rPr>
  </w:style>
  <w:style w:type="character" w:customStyle="1" w:styleId="340">
    <w:name w:val="Bold"/>
    <w:autoRedefine/>
    <w:qFormat/>
    <w:uiPriority w:val="0"/>
    <w:rPr>
      <w:rFonts w:ascii="Arial" w:hAnsi="Arial" w:eastAsia="黑体" w:cs="Times New Roman"/>
      <w:b/>
      <w:kern w:val="2"/>
      <w:sz w:val="32"/>
      <w:szCs w:val="32"/>
      <w:lang w:val="en-US" w:eastAsia="zh-CN" w:bidi="ar-SA"/>
    </w:rPr>
  </w:style>
  <w:style w:type="character" w:customStyle="1" w:styleId="341">
    <w:name w:val="批注文字 字符1"/>
    <w:link w:val="19"/>
    <w:autoRedefine/>
    <w:qFormat/>
    <w:uiPriority w:val="0"/>
    <w:rPr>
      <w:kern w:val="2"/>
      <w:sz w:val="21"/>
      <w:szCs w:val="24"/>
    </w:rPr>
  </w:style>
  <w:style w:type="character" w:customStyle="1" w:styleId="342">
    <w:name w:val="签名 字符"/>
    <w:link w:val="41"/>
    <w:autoRedefine/>
    <w:qFormat/>
    <w:uiPriority w:val="0"/>
    <w:rPr>
      <w:rFonts w:eastAsia="仿宋_GB2312"/>
      <w:sz w:val="24"/>
    </w:rPr>
  </w:style>
  <w:style w:type="character" w:customStyle="1" w:styleId="343">
    <w:name w:val="hui3"/>
    <w:autoRedefine/>
    <w:qFormat/>
    <w:uiPriority w:val="0"/>
    <w:rPr>
      <w:color w:val="333333"/>
    </w:rPr>
  </w:style>
  <w:style w:type="character" w:customStyle="1" w:styleId="344">
    <w:name w:val="Char Char17"/>
    <w:autoRedefine/>
    <w:qFormat/>
    <w:uiPriority w:val="6"/>
    <w:rPr>
      <w:rFonts w:eastAsia="仿宋_GB2312"/>
      <w:sz w:val="24"/>
    </w:rPr>
  </w:style>
  <w:style w:type="character" w:customStyle="1" w:styleId="345">
    <w:name w:val="标题 4 字符"/>
    <w:autoRedefine/>
    <w:qFormat/>
    <w:uiPriority w:val="9"/>
    <w:rPr>
      <w:rFonts w:ascii="等线 Light" w:hAnsi="等线 Light" w:eastAsia="等线 Light" w:cs="Times New Roman"/>
      <w:b/>
      <w:bCs/>
      <w:snapToGrid w:val="0"/>
      <w:kern w:val="0"/>
      <w:sz w:val="28"/>
      <w:szCs w:val="28"/>
    </w:rPr>
  </w:style>
  <w:style w:type="character" w:customStyle="1" w:styleId="346">
    <w:name w:val="Char Char37"/>
    <w:autoRedefine/>
    <w:qFormat/>
    <w:uiPriority w:val="6"/>
    <w:rPr>
      <w:b/>
      <w:kern w:val="1"/>
      <w:sz w:val="44"/>
      <w:szCs w:val="44"/>
    </w:rPr>
  </w:style>
  <w:style w:type="character" w:customStyle="1" w:styleId="347">
    <w:name w:val="列出段落 Char"/>
    <w:autoRedefine/>
    <w:qFormat/>
    <w:uiPriority w:val="0"/>
    <w:rPr>
      <w:rFonts w:eastAsia="楷体_GB2312" w:cs="Lucida Sans"/>
      <w:kern w:val="2"/>
      <w:sz w:val="24"/>
      <w:szCs w:val="24"/>
      <w:lang w:val="en-US" w:eastAsia="zh-CN" w:bidi="ar-SA"/>
    </w:rPr>
  </w:style>
  <w:style w:type="character" w:customStyle="1" w:styleId="348">
    <w:name w:val="正文文本缩进 3 Char1"/>
    <w:autoRedefine/>
    <w:semiHidden/>
    <w:qFormat/>
    <w:uiPriority w:val="99"/>
    <w:rPr>
      <w:rFonts w:ascii="Times New Roman" w:hAnsi="Times New Roman" w:eastAsia="宋体" w:cs="Times New Roman"/>
      <w:sz w:val="16"/>
      <w:szCs w:val="16"/>
    </w:rPr>
  </w:style>
  <w:style w:type="character" w:customStyle="1" w:styleId="349">
    <w:name w:val="公文正文 Char Char"/>
    <w:link w:val="350"/>
    <w:autoRedefine/>
    <w:qFormat/>
    <w:uiPriority w:val="0"/>
    <w:rPr>
      <w:rFonts w:ascii="仿宋_GB2312" w:eastAsia="仿宋_GB2312"/>
      <w:kern w:val="2"/>
      <w:sz w:val="24"/>
      <w:szCs w:val="24"/>
    </w:rPr>
  </w:style>
  <w:style w:type="paragraph" w:customStyle="1" w:styleId="350">
    <w:name w:val="公文正文"/>
    <w:basedOn w:val="1"/>
    <w:link w:val="349"/>
    <w:autoRedefine/>
    <w:qFormat/>
    <w:uiPriority w:val="0"/>
    <w:pPr>
      <w:adjustRightInd/>
      <w:spacing w:before="156" w:line="360" w:lineRule="auto"/>
      <w:ind w:firstLine="360" w:firstLineChars="200"/>
    </w:pPr>
    <w:rPr>
      <w:rFonts w:ascii="仿宋_GB2312" w:eastAsia="仿宋_GB2312"/>
      <w:sz w:val="24"/>
    </w:rPr>
  </w:style>
  <w:style w:type="character" w:customStyle="1" w:styleId="351">
    <w:name w:val="Table Text Char1"/>
    <w:autoRedefine/>
    <w:qFormat/>
    <w:uiPriority w:val="0"/>
    <w:rPr>
      <w:rFonts w:eastAsia="宋体"/>
      <w:sz w:val="24"/>
      <w:szCs w:val="24"/>
      <w:lang w:val="en-US" w:eastAsia="zh-CN" w:bidi="ar-SA"/>
    </w:rPr>
  </w:style>
  <w:style w:type="character" w:customStyle="1" w:styleId="352">
    <w:name w:val="标题 1 Char Char"/>
    <w:autoRedefine/>
    <w:qFormat/>
    <w:uiPriority w:val="0"/>
    <w:rPr>
      <w:rFonts w:hint="eastAsia" w:ascii="宋体" w:hAnsi="宋体" w:eastAsia="宋体"/>
      <w:b/>
      <w:spacing w:val="-2"/>
      <w:sz w:val="24"/>
      <w:lang w:val="en-US" w:eastAsia="zh-CN" w:bidi="ar-SA"/>
    </w:rPr>
  </w:style>
  <w:style w:type="character" w:customStyle="1" w:styleId="353">
    <w:name w:val="正文（缩进2汉字） Char"/>
    <w:link w:val="354"/>
    <w:autoRedefine/>
    <w:qFormat/>
    <w:uiPriority w:val="0"/>
    <w:rPr>
      <w:rFonts w:ascii="宋体"/>
    </w:rPr>
  </w:style>
  <w:style w:type="paragraph" w:customStyle="1" w:styleId="354">
    <w:name w:val="正文（缩进2汉字）"/>
    <w:basedOn w:val="1"/>
    <w:link w:val="353"/>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5">
    <w:name w:val="标题 8 字符"/>
    <w:link w:val="9"/>
    <w:autoRedefine/>
    <w:qFormat/>
    <w:uiPriority w:val="0"/>
    <w:rPr>
      <w:rFonts w:ascii="Arial" w:hAnsi="Arial" w:eastAsia="黑体"/>
      <w:kern w:val="2"/>
      <w:sz w:val="24"/>
      <w:szCs w:val="24"/>
    </w:rPr>
  </w:style>
  <w:style w:type="character" w:customStyle="1" w:styleId="356">
    <w:name w:val="标书表格字体格式 Char"/>
    <w:autoRedefine/>
    <w:qFormat/>
    <w:uiPriority w:val="0"/>
    <w:rPr>
      <w:kern w:val="2"/>
      <w:sz w:val="21"/>
      <w:szCs w:val="24"/>
      <w:lang w:bidi="ar-SA"/>
    </w:rPr>
  </w:style>
  <w:style w:type="character" w:customStyle="1" w:styleId="357">
    <w:name w:val="tw4winError"/>
    <w:autoRedefine/>
    <w:qFormat/>
    <w:uiPriority w:val="0"/>
    <w:rPr>
      <w:rFonts w:ascii="Courier New" w:hAnsi="Courier New" w:cs="Courier New"/>
      <w:color w:val="00FF00"/>
      <w:sz w:val="40"/>
      <w:szCs w:val="40"/>
    </w:rPr>
  </w:style>
  <w:style w:type="character" w:customStyle="1" w:styleId="358">
    <w:name w:val="Body Text(ch) Char Char"/>
    <w:autoRedefine/>
    <w:qFormat/>
    <w:uiPriority w:val="0"/>
    <w:rPr>
      <w:rFonts w:ascii="宋体"/>
      <w:kern w:val="2"/>
      <w:sz w:val="24"/>
      <w:szCs w:val="21"/>
      <w:lang w:val="zh-CN"/>
    </w:rPr>
  </w:style>
  <w:style w:type="character" w:customStyle="1" w:styleId="359">
    <w:name w:val="正文首行缩进两字 Char"/>
    <w:autoRedefine/>
    <w:qFormat/>
    <w:uiPriority w:val="0"/>
    <w:rPr>
      <w:sz w:val="24"/>
      <w:szCs w:val="24"/>
      <w:lang w:val="en-US" w:eastAsia="zh-CN" w:bidi="ar-SA"/>
    </w:rPr>
  </w:style>
  <w:style w:type="character" w:customStyle="1" w:styleId="360">
    <w:name w:val="正文文本 Char"/>
    <w:autoRedefine/>
    <w:qFormat/>
    <w:uiPriority w:val="0"/>
    <w:rPr>
      <w:rFonts w:eastAsia="宋体"/>
      <w:kern w:val="2"/>
      <w:sz w:val="24"/>
      <w:szCs w:val="24"/>
      <w:lang w:val="en-US" w:eastAsia="zh-CN" w:bidi="ar-SA"/>
    </w:rPr>
  </w:style>
  <w:style w:type="character" w:customStyle="1" w:styleId="361">
    <w:name w:val="文档结构图 字符1"/>
    <w:autoRedefine/>
    <w:qFormat/>
    <w:uiPriority w:val="0"/>
    <w:rPr>
      <w:rFonts w:ascii="宋体" w:hAnsi="Calibri" w:eastAsia="黑体" w:cs="Arial"/>
      <w:snapToGrid w:val="0"/>
      <w:kern w:val="2"/>
      <w:sz w:val="18"/>
      <w:szCs w:val="18"/>
    </w:rPr>
  </w:style>
  <w:style w:type="character" w:customStyle="1" w:styleId="362">
    <w:name w:val="content"/>
    <w:autoRedefine/>
    <w:qFormat/>
    <w:uiPriority w:val="0"/>
  </w:style>
  <w:style w:type="character" w:customStyle="1" w:styleId="363">
    <w:name w:val="tw4winPopup"/>
    <w:autoRedefine/>
    <w:qFormat/>
    <w:uiPriority w:val="0"/>
    <w:rPr>
      <w:rFonts w:ascii="Courier New" w:hAnsi="Courier New" w:cs="Courier New"/>
      <w:color w:val="008000"/>
      <w:lang w:val="en-US" w:eastAsia="zh-CN"/>
    </w:rPr>
  </w:style>
  <w:style w:type="character" w:customStyle="1" w:styleId="364">
    <w:name w:val="param-name"/>
    <w:autoRedefine/>
    <w:qFormat/>
    <w:uiPriority w:val="99"/>
    <w:rPr>
      <w:rFonts w:ascii="Arial" w:hAnsi="Arial" w:eastAsia="黑体" w:cs="Arial"/>
      <w:snapToGrid w:val="0"/>
      <w:kern w:val="0"/>
      <w:szCs w:val="21"/>
    </w:rPr>
  </w:style>
  <w:style w:type="character" w:customStyle="1" w:styleId="365">
    <w:name w:val="标准正文格式 Char"/>
    <w:autoRedefine/>
    <w:qFormat/>
    <w:uiPriority w:val="0"/>
    <w:rPr>
      <w:rFonts w:ascii="宋体" w:eastAsia="仿宋_GB2312" w:cs="宋体"/>
      <w:color w:val="000000"/>
      <w:sz w:val="24"/>
      <w:lang w:val="en-US" w:eastAsia="zh-CN" w:bidi="ar-SA"/>
    </w:rPr>
  </w:style>
  <w:style w:type="character" w:customStyle="1" w:styleId="366">
    <w:name w:val="Char Char212"/>
    <w:autoRedefine/>
    <w:qFormat/>
    <w:uiPriority w:val="0"/>
    <w:rPr>
      <w:rFonts w:eastAsia="宋体"/>
      <w:b/>
      <w:bCs/>
      <w:kern w:val="2"/>
      <w:sz w:val="21"/>
      <w:szCs w:val="24"/>
      <w:lang w:val="en-US" w:eastAsia="zh-CN" w:bidi="ar-SA"/>
    </w:rPr>
  </w:style>
  <w:style w:type="character" w:customStyle="1" w:styleId="367">
    <w:name w:val="文档结构图 Char"/>
    <w:autoRedefine/>
    <w:qFormat/>
    <w:uiPriority w:val="0"/>
    <w:rPr>
      <w:rFonts w:eastAsia="宋体"/>
      <w:kern w:val="2"/>
      <w:sz w:val="21"/>
      <w:szCs w:val="24"/>
      <w:lang w:val="en-US" w:eastAsia="zh-CN" w:bidi="ar-SA"/>
    </w:rPr>
  </w:style>
  <w:style w:type="character" w:customStyle="1" w:styleId="368">
    <w:name w:val="zbggmain style9"/>
    <w:autoRedefine/>
    <w:qFormat/>
    <w:uiPriority w:val="0"/>
  </w:style>
  <w:style w:type="character" w:customStyle="1" w:styleId="369">
    <w:name w:val="Char Char16"/>
    <w:autoRedefine/>
    <w:qFormat/>
    <w:uiPriority w:val="6"/>
    <w:rPr>
      <w:kern w:val="1"/>
      <w:sz w:val="18"/>
      <w:szCs w:val="18"/>
    </w:rPr>
  </w:style>
  <w:style w:type="character" w:customStyle="1" w:styleId="370">
    <w:name w:val="font51"/>
    <w:autoRedefine/>
    <w:qFormat/>
    <w:uiPriority w:val="0"/>
    <w:rPr>
      <w:rFonts w:hint="eastAsia" w:ascii="仿宋" w:hAnsi="仿宋" w:eastAsia="仿宋" w:cs="仿宋"/>
      <w:color w:val="000000"/>
      <w:sz w:val="20"/>
      <w:szCs w:val="20"/>
      <w:u w:val="none"/>
    </w:rPr>
  </w:style>
  <w:style w:type="character" w:customStyle="1" w:styleId="371">
    <w:name w:val="Char Char82"/>
    <w:autoRedefine/>
    <w:qFormat/>
    <w:uiPriority w:val="0"/>
    <w:rPr>
      <w:rFonts w:eastAsia="宋体"/>
      <w:b/>
      <w:sz w:val="24"/>
      <w:lang w:val="en-GB" w:eastAsia="zh-CN"/>
    </w:rPr>
  </w:style>
  <w:style w:type="character" w:customStyle="1" w:styleId="372">
    <w:name w:val="正文文本缩进 3 字符"/>
    <w:link w:val="52"/>
    <w:autoRedefine/>
    <w:qFormat/>
    <w:uiPriority w:val="0"/>
    <w:rPr>
      <w:kern w:val="2"/>
      <w:sz w:val="24"/>
    </w:rPr>
  </w:style>
  <w:style w:type="character" w:customStyle="1" w:styleId="373">
    <w:name w:val="日期 Char1"/>
    <w:autoRedefine/>
    <w:semiHidden/>
    <w:qFormat/>
    <w:uiPriority w:val="99"/>
    <w:rPr>
      <w:rFonts w:ascii="Times New Roman" w:hAnsi="Times New Roman" w:eastAsia="宋体" w:cs="Times New Roman"/>
      <w:szCs w:val="24"/>
    </w:rPr>
  </w:style>
  <w:style w:type="character" w:customStyle="1" w:styleId="374">
    <w:name w:val="页眉 字符"/>
    <w:autoRedefine/>
    <w:qFormat/>
    <w:uiPriority w:val="99"/>
    <w:rPr>
      <w:kern w:val="2"/>
      <w:sz w:val="18"/>
      <w:szCs w:val="18"/>
    </w:rPr>
  </w:style>
  <w:style w:type="character" w:customStyle="1" w:styleId="375">
    <w:name w:val="Char Char33"/>
    <w:autoRedefine/>
    <w:qFormat/>
    <w:uiPriority w:val="6"/>
    <w:rPr>
      <w:rFonts w:ascii="Arial" w:hAnsi="Arial" w:eastAsia="黑体"/>
      <w:b/>
      <w:kern w:val="1"/>
      <w:sz w:val="24"/>
      <w:szCs w:val="24"/>
    </w:rPr>
  </w:style>
  <w:style w:type="character" w:customStyle="1" w:styleId="376">
    <w:name w:val="b11_01b Char"/>
    <w:link w:val="377"/>
    <w:autoRedefine/>
    <w:qFormat/>
    <w:uiPriority w:val="0"/>
    <w:rPr>
      <w:rFonts w:ascii="Verdana" w:hAnsi="Verdana"/>
      <w:b/>
      <w:bCs/>
      <w:color w:val="4A82CA"/>
      <w:sz w:val="17"/>
      <w:szCs w:val="17"/>
    </w:rPr>
  </w:style>
  <w:style w:type="paragraph" w:customStyle="1" w:styleId="377">
    <w:name w:val="b11_01b"/>
    <w:basedOn w:val="1"/>
    <w:next w:val="1"/>
    <w:link w:val="376"/>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8">
    <w:name w:val="Char Char121"/>
    <w:autoRedefine/>
    <w:qFormat/>
    <w:uiPriority w:val="6"/>
    <w:rPr>
      <w:rFonts w:ascii="仿宋_GB2312" w:eastAsia="仿宋_GB2312"/>
      <w:b/>
      <w:bCs/>
      <w:kern w:val="2"/>
      <w:sz w:val="24"/>
      <w:szCs w:val="24"/>
      <w:lang w:val="zh-CN" w:eastAsia="zh-CN" w:bidi="ar-SA"/>
    </w:rPr>
  </w:style>
  <w:style w:type="character" w:customStyle="1" w:styleId="379">
    <w:name w:val="Footer-Even Char"/>
    <w:autoRedefine/>
    <w:qFormat/>
    <w:uiPriority w:val="0"/>
    <w:rPr>
      <w:rFonts w:eastAsia="宋体"/>
      <w:kern w:val="2"/>
      <w:sz w:val="18"/>
      <w:lang w:val="en-US" w:eastAsia="zh-CN" w:bidi="ar-SA"/>
    </w:rPr>
  </w:style>
  <w:style w:type="character" w:customStyle="1" w:styleId="380">
    <w:name w:val="页脚 字符2"/>
    <w:link w:val="39"/>
    <w:autoRedefine/>
    <w:qFormat/>
    <w:locked/>
    <w:uiPriority w:val="99"/>
    <w:rPr>
      <w:kern w:val="2"/>
      <w:sz w:val="18"/>
      <w:szCs w:val="18"/>
    </w:rPr>
  </w:style>
  <w:style w:type="character" w:customStyle="1" w:styleId="381">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2">
    <w:name w:val="Char Char61"/>
    <w:autoRedefine/>
    <w:qFormat/>
    <w:uiPriority w:val="6"/>
    <w:rPr>
      <w:rFonts w:eastAsia="宋体"/>
      <w:kern w:val="2"/>
      <w:sz w:val="21"/>
      <w:szCs w:val="24"/>
      <w:lang w:val="en-US" w:eastAsia="zh-CN" w:bidi="ar-SA"/>
    </w:rPr>
  </w:style>
  <w:style w:type="character" w:customStyle="1" w:styleId="383">
    <w:name w:val="正文文字缩进 2 Char Char"/>
    <w:autoRedefine/>
    <w:qFormat/>
    <w:uiPriority w:val="0"/>
    <w:rPr>
      <w:rFonts w:ascii="宋体"/>
      <w:sz w:val="28"/>
    </w:rPr>
  </w:style>
  <w:style w:type="character" w:customStyle="1" w:styleId="384">
    <w:name w:val="f141"/>
    <w:autoRedefine/>
    <w:qFormat/>
    <w:uiPriority w:val="0"/>
    <w:rPr>
      <w:rFonts w:ascii="Tahoma" w:hAnsi="Tahoma" w:eastAsia="宋体"/>
      <w:b/>
      <w:kern w:val="2"/>
      <w:sz w:val="21"/>
      <w:szCs w:val="21"/>
      <w:lang w:val="en-US" w:eastAsia="zh-CN" w:bidi="ar-SA"/>
    </w:rPr>
  </w:style>
  <w:style w:type="character" w:customStyle="1" w:styleId="385">
    <w:name w:val="段落 Char Char"/>
    <w:link w:val="386"/>
    <w:autoRedefine/>
    <w:qFormat/>
    <w:uiPriority w:val="0"/>
    <w:rPr>
      <w:rFonts w:ascii="宋体" w:hAnsi="宋体"/>
      <w:sz w:val="24"/>
    </w:rPr>
  </w:style>
  <w:style w:type="paragraph" w:customStyle="1" w:styleId="386">
    <w:name w:val="段落"/>
    <w:basedOn w:val="1"/>
    <w:link w:val="385"/>
    <w:autoRedefine/>
    <w:qFormat/>
    <w:uiPriority w:val="0"/>
    <w:pPr>
      <w:adjustRightInd/>
      <w:spacing w:line="360" w:lineRule="auto"/>
      <w:ind w:firstLine="480" w:firstLineChars="200"/>
    </w:pPr>
    <w:rPr>
      <w:rFonts w:ascii="宋体" w:hAnsi="宋体"/>
      <w:kern w:val="0"/>
      <w:sz w:val="24"/>
      <w:szCs w:val="20"/>
    </w:rPr>
  </w:style>
  <w:style w:type="character" w:customStyle="1" w:styleId="387">
    <w:name w:val="标题 3 Char2"/>
    <w:autoRedefine/>
    <w:qFormat/>
    <w:uiPriority w:val="0"/>
    <w:rPr>
      <w:rFonts w:eastAsia="宋体"/>
      <w:b/>
      <w:bCs/>
      <w:kern w:val="2"/>
      <w:sz w:val="32"/>
      <w:szCs w:val="32"/>
      <w:lang w:val="en-US" w:eastAsia="zh-CN" w:bidi="ar-SA"/>
    </w:rPr>
  </w:style>
  <w:style w:type="character" w:customStyle="1" w:styleId="388">
    <w:name w:val="apple-converted-space"/>
    <w:autoRedefine/>
    <w:qFormat/>
    <w:uiPriority w:val="0"/>
  </w:style>
  <w:style w:type="character" w:customStyle="1" w:styleId="389">
    <w:name w:val="页眉 字符2"/>
    <w:link w:val="40"/>
    <w:autoRedefine/>
    <w:qFormat/>
    <w:uiPriority w:val="99"/>
    <w:rPr>
      <w:kern w:val="2"/>
      <w:sz w:val="18"/>
      <w:szCs w:val="18"/>
    </w:rPr>
  </w:style>
  <w:style w:type="character" w:customStyle="1" w:styleId="390">
    <w:name w:val="Char Char9"/>
    <w:autoRedefine/>
    <w:qFormat/>
    <w:uiPriority w:val="0"/>
    <w:rPr>
      <w:rFonts w:eastAsia="宋体"/>
      <w:kern w:val="2"/>
      <w:sz w:val="18"/>
      <w:szCs w:val="18"/>
      <w:lang w:val="en-US" w:eastAsia="zh-CN" w:bidi="ar-SA"/>
    </w:rPr>
  </w:style>
  <w:style w:type="character" w:customStyle="1" w:styleId="391">
    <w:name w:val="Char Char41"/>
    <w:autoRedefine/>
    <w:qFormat/>
    <w:uiPriority w:val="0"/>
    <w:rPr>
      <w:rFonts w:eastAsia="宋体"/>
      <w:b/>
      <w:sz w:val="24"/>
      <w:lang w:val="en-GB" w:eastAsia="zh-CN" w:bidi="ar-SA"/>
    </w:rPr>
  </w:style>
  <w:style w:type="character" w:customStyle="1" w:styleId="392">
    <w:name w:val="large1"/>
    <w:autoRedefine/>
    <w:qFormat/>
    <w:uiPriority w:val="0"/>
    <w:rPr>
      <w:rFonts w:hint="eastAsia" w:ascii="宋体" w:hAnsi="宋体" w:eastAsia="宋体"/>
      <w:sz w:val="21"/>
      <w:szCs w:val="21"/>
    </w:rPr>
  </w:style>
  <w:style w:type="character" w:customStyle="1" w:styleId="393">
    <w:name w:val="正文段 Char"/>
    <w:link w:val="394"/>
    <w:autoRedefine/>
    <w:qFormat/>
    <w:uiPriority w:val="0"/>
    <w:rPr>
      <w:sz w:val="24"/>
    </w:rPr>
  </w:style>
  <w:style w:type="paragraph" w:customStyle="1" w:styleId="394">
    <w:name w:val="正文段"/>
    <w:basedOn w:val="1"/>
    <w:link w:val="393"/>
    <w:autoRedefine/>
    <w:qFormat/>
    <w:uiPriority w:val="0"/>
    <w:pPr>
      <w:widowControl/>
      <w:snapToGrid w:val="0"/>
      <w:spacing w:after="156" w:afterLines="50"/>
      <w:ind w:firstLine="200" w:firstLineChars="200"/>
    </w:pPr>
    <w:rPr>
      <w:kern w:val="0"/>
      <w:sz w:val="24"/>
      <w:szCs w:val="20"/>
    </w:rPr>
  </w:style>
  <w:style w:type="character" w:customStyle="1" w:styleId="395">
    <w:name w:val="Char Char13"/>
    <w:autoRedefine/>
    <w:qFormat/>
    <w:uiPriority w:val="6"/>
    <w:rPr>
      <w:rFonts w:ascii="宋体" w:hAnsi="宋体"/>
      <w:kern w:val="1"/>
      <w:sz w:val="21"/>
      <w:szCs w:val="24"/>
    </w:rPr>
  </w:style>
  <w:style w:type="character" w:customStyle="1" w:styleId="396">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397">
    <w:name w:val="冯广丽 Char"/>
    <w:link w:val="398"/>
    <w:autoRedefine/>
    <w:qFormat/>
    <w:uiPriority w:val="0"/>
    <w:rPr>
      <w:rFonts w:ascii="宋体" w:hAnsi="宋体"/>
      <w:kern w:val="2"/>
      <w:sz w:val="24"/>
      <w:szCs w:val="22"/>
    </w:rPr>
  </w:style>
  <w:style w:type="paragraph" w:customStyle="1" w:styleId="398">
    <w:name w:val="冯广丽"/>
    <w:basedOn w:val="1"/>
    <w:link w:val="397"/>
    <w:autoRedefine/>
    <w:qFormat/>
    <w:uiPriority w:val="0"/>
    <w:pPr>
      <w:adjustRightInd/>
      <w:spacing w:line="360" w:lineRule="auto"/>
      <w:ind w:firstLine="480" w:firstLineChars="200"/>
    </w:pPr>
    <w:rPr>
      <w:rFonts w:ascii="宋体" w:hAnsi="宋体"/>
      <w:sz w:val="24"/>
      <w:szCs w:val="22"/>
    </w:rPr>
  </w:style>
  <w:style w:type="character" w:customStyle="1" w:styleId="399">
    <w:name w:val="批注文字 字符"/>
    <w:autoRedefine/>
    <w:qFormat/>
    <w:uiPriority w:val="0"/>
    <w:rPr>
      <w:rFonts w:ascii="Arial" w:hAnsi="Arial" w:eastAsia="黑体" w:cs="Arial"/>
      <w:snapToGrid w:val="0"/>
      <w:kern w:val="0"/>
      <w:szCs w:val="21"/>
    </w:rPr>
  </w:style>
  <w:style w:type="character" w:customStyle="1" w:styleId="400">
    <w:name w:val="Char Char161"/>
    <w:autoRedefine/>
    <w:qFormat/>
    <w:uiPriority w:val="0"/>
    <w:rPr>
      <w:rFonts w:eastAsia="宋体"/>
      <w:b/>
      <w:kern w:val="2"/>
      <w:sz w:val="32"/>
      <w:lang w:val="en-US" w:eastAsia="zh-CN"/>
    </w:rPr>
  </w:style>
  <w:style w:type="character" w:customStyle="1" w:styleId="401">
    <w:name w:val="javascript"/>
    <w:autoRedefine/>
    <w:qFormat/>
    <w:uiPriority w:val="0"/>
  </w:style>
  <w:style w:type="character" w:customStyle="1" w:styleId="402">
    <w:name w:val="图名 Char"/>
    <w:autoRedefine/>
    <w:qFormat/>
    <w:uiPriority w:val="0"/>
    <w:rPr>
      <w:rFonts w:ascii="Arial" w:hAnsi="Arial" w:eastAsia="黑体"/>
      <w:kern w:val="2"/>
      <w:sz w:val="24"/>
      <w:szCs w:val="24"/>
      <w:lang w:val="en-US" w:eastAsia="zh-CN" w:bidi="ar-SA"/>
    </w:rPr>
  </w:style>
  <w:style w:type="character" w:customStyle="1" w:styleId="403">
    <w:name w:val="Used by Word for text of Help footnotes Char Char"/>
    <w:autoRedefine/>
    <w:qFormat/>
    <w:uiPriority w:val="0"/>
    <w:rPr>
      <w:rFonts w:ascii="Times New Roman" w:hAnsi="Times New Roman" w:eastAsia="宋体" w:cs="Times New Roman"/>
      <w:sz w:val="20"/>
      <w:szCs w:val="20"/>
    </w:rPr>
  </w:style>
  <w:style w:type="character" w:customStyle="1" w:styleId="404">
    <w:name w:val="编号，小四 Char"/>
    <w:link w:val="405"/>
    <w:autoRedefine/>
    <w:qFormat/>
    <w:uiPriority w:val="0"/>
    <w:rPr>
      <w:rFonts w:ascii="Arial" w:hAnsi="Arial"/>
      <w:sz w:val="24"/>
    </w:rPr>
  </w:style>
  <w:style w:type="paragraph" w:customStyle="1" w:styleId="405">
    <w:name w:val="编号，小四"/>
    <w:basedOn w:val="1"/>
    <w:link w:val="404"/>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06">
    <w:name w:val="Font Style82"/>
    <w:autoRedefine/>
    <w:qFormat/>
    <w:uiPriority w:val="99"/>
    <w:rPr>
      <w:rFonts w:ascii="宋体" w:eastAsia="宋体" w:cs="宋体"/>
      <w:color w:val="000000"/>
      <w:sz w:val="14"/>
      <w:szCs w:val="14"/>
    </w:rPr>
  </w:style>
  <w:style w:type="character" w:customStyle="1" w:styleId="407">
    <w:name w:val="标题 2 Char Char"/>
    <w:autoRedefine/>
    <w:qFormat/>
    <w:uiPriority w:val="0"/>
    <w:rPr>
      <w:rFonts w:ascii="楷体_GB2312" w:hAnsi="Arial" w:eastAsia="楷体_GB2312"/>
      <w:b/>
      <w:bCs/>
      <w:kern w:val="2"/>
      <w:sz w:val="24"/>
      <w:szCs w:val="32"/>
      <w:lang w:val="en-US" w:eastAsia="zh-CN" w:bidi="ar-SA"/>
    </w:rPr>
  </w:style>
  <w:style w:type="character" w:customStyle="1" w:styleId="408">
    <w:name w:val="未用 Char"/>
    <w:autoRedefine/>
    <w:qFormat/>
    <w:uiPriority w:val="0"/>
    <w:rPr>
      <w:rFonts w:ascii="Arial" w:hAnsi="Arial" w:eastAsia="黑体"/>
      <w:kern w:val="2"/>
      <w:sz w:val="21"/>
      <w:szCs w:val="21"/>
      <w:lang w:val="en-US" w:eastAsia="zh-CN" w:bidi="ar-SA"/>
    </w:rPr>
  </w:style>
  <w:style w:type="character" w:customStyle="1" w:styleId="409">
    <w:name w:val="myp1111"/>
    <w:autoRedefine/>
    <w:qFormat/>
    <w:uiPriority w:val="0"/>
    <w:rPr>
      <w:rFonts w:hint="default" w:ascii="ˎ̥" w:hAnsi="ˎ̥"/>
      <w:color w:val="000000"/>
      <w:sz w:val="20"/>
      <w:szCs w:val="20"/>
      <w:u w:val="none"/>
    </w:rPr>
  </w:style>
  <w:style w:type="character" w:customStyle="1" w:styleId="410">
    <w:name w:val="样式 标题 4h4H4Fab-4T5Ref Heading 1rh1Heading sqlsect 1.2.3.... Char"/>
    <w:link w:val="302"/>
    <w:autoRedefine/>
    <w:qFormat/>
    <w:uiPriority w:val="0"/>
    <w:rPr>
      <w:rFonts w:ascii="微软雅黑" w:hAnsi="微软雅黑" w:eastAsia="微软雅黑"/>
      <w:b/>
      <w:bCs/>
      <w:kern w:val="2"/>
      <w:sz w:val="24"/>
      <w:szCs w:val="28"/>
    </w:rPr>
  </w:style>
  <w:style w:type="character" w:customStyle="1" w:styleId="411">
    <w:name w:val="h Char Char"/>
    <w:autoRedefine/>
    <w:qFormat/>
    <w:uiPriority w:val="0"/>
    <w:rPr>
      <w:rFonts w:eastAsia="宋体"/>
      <w:kern w:val="2"/>
      <w:sz w:val="18"/>
      <w:lang w:val="en-US" w:eastAsia="zh-CN" w:bidi="ar-SA"/>
    </w:rPr>
  </w:style>
  <w:style w:type="character" w:customStyle="1" w:styleId="412">
    <w:name w:val="仿宋正文 Char"/>
    <w:link w:val="413"/>
    <w:autoRedefine/>
    <w:qFormat/>
    <w:uiPriority w:val="0"/>
    <w:rPr>
      <w:rFonts w:ascii="仿宋_GB2312" w:eastAsia="仿宋_GB2312"/>
      <w:kern w:val="2"/>
      <w:sz w:val="24"/>
      <w:lang w:val="en-US" w:eastAsia="zh-CN" w:bidi="ar-SA"/>
    </w:rPr>
  </w:style>
  <w:style w:type="paragraph" w:customStyle="1" w:styleId="413">
    <w:name w:val="仿宋正文"/>
    <w:basedOn w:val="1"/>
    <w:link w:val="412"/>
    <w:autoRedefine/>
    <w:qFormat/>
    <w:uiPriority w:val="0"/>
    <w:pPr>
      <w:adjustRightInd/>
      <w:spacing w:line="360" w:lineRule="auto"/>
      <w:ind w:firstLine="480" w:firstLineChars="200"/>
    </w:pPr>
    <w:rPr>
      <w:rFonts w:ascii="仿宋_GB2312" w:eastAsia="仿宋_GB2312"/>
      <w:sz w:val="24"/>
      <w:szCs w:val="20"/>
    </w:rPr>
  </w:style>
  <w:style w:type="character" w:customStyle="1" w:styleId="414">
    <w:name w:val="正文首行缩进 Char Char Char Char Char Char"/>
    <w:autoRedefine/>
    <w:qFormat/>
    <w:uiPriority w:val="0"/>
    <w:rPr>
      <w:rFonts w:ascii="宋体" w:eastAsia="宋体"/>
      <w:kern w:val="2"/>
      <w:sz w:val="24"/>
      <w:lang w:val="zh-CN" w:bidi="ar-SA"/>
    </w:rPr>
  </w:style>
  <w:style w:type="character" w:customStyle="1" w:styleId="415">
    <w:name w:val="样式 宋体"/>
    <w:autoRedefine/>
    <w:qFormat/>
    <w:uiPriority w:val="0"/>
    <w:rPr>
      <w:rFonts w:ascii="宋体" w:hAnsi="宋体"/>
      <w:sz w:val="24"/>
    </w:rPr>
  </w:style>
  <w:style w:type="character" w:customStyle="1" w:styleId="416">
    <w:name w:val="tw4winJump"/>
    <w:autoRedefine/>
    <w:qFormat/>
    <w:uiPriority w:val="0"/>
    <w:rPr>
      <w:rFonts w:ascii="Courier New" w:hAnsi="Courier New" w:cs="Courier New"/>
      <w:color w:val="008080"/>
      <w:lang w:val="en-US" w:eastAsia="zh-CN"/>
    </w:rPr>
  </w:style>
  <w:style w:type="character" w:customStyle="1" w:styleId="417">
    <w:name w:val="标题 1 字符"/>
    <w:autoRedefine/>
    <w:qFormat/>
    <w:uiPriority w:val="9"/>
    <w:rPr>
      <w:rFonts w:ascii="Arial" w:hAnsi="Arial" w:eastAsia="黑体" w:cs="Arial"/>
      <w:b/>
      <w:bCs/>
      <w:snapToGrid w:val="0"/>
      <w:kern w:val="44"/>
      <w:sz w:val="44"/>
      <w:szCs w:val="44"/>
    </w:rPr>
  </w:style>
  <w:style w:type="character" w:customStyle="1" w:styleId="418">
    <w:name w:val="style36"/>
    <w:basedOn w:val="69"/>
    <w:autoRedefine/>
    <w:qFormat/>
    <w:uiPriority w:val="0"/>
    <w:rPr>
      <w:rFonts w:ascii="Arial" w:hAnsi="Arial" w:eastAsia="黑体" w:cs="Arial"/>
      <w:snapToGrid w:val="0"/>
      <w:kern w:val="0"/>
      <w:szCs w:val="21"/>
    </w:rPr>
  </w:style>
  <w:style w:type="character" w:customStyle="1" w:styleId="419">
    <w:name w:val="pt9"/>
    <w:autoRedefine/>
    <w:qFormat/>
    <w:uiPriority w:val="0"/>
    <w:rPr>
      <w:rFonts w:ascii="仿宋_GB2312" w:eastAsia="微软雅黑"/>
      <w:b/>
      <w:kern w:val="2"/>
      <w:sz w:val="32"/>
      <w:szCs w:val="32"/>
      <w:lang w:val="en-US" w:eastAsia="zh-CN" w:bidi="ar-SA"/>
    </w:rPr>
  </w:style>
  <w:style w:type="character" w:customStyle="1" w:styleId="420">
    <w:name w:val="DO_NOT_TRANSLATE"/>
    <w:autoRedefine/>
    <w:qFormat/>
    <w:uiPriority w:val="0"/>
    <w:rPr>
      <w:rFonts w:ascii="Courier New" w:hAnsi="Courier New" w:cs="Courier New"/>
      <w:color w:val="800000"/>
      <w:lang w:val="en-US" w:eastAsia="zh-CN"/>
    </w:rPr>
  </w:style>
  <w:style w:type="character" w:customStyle="1" w:styleId="421">
    <w:name w:val="标书1 Char1"/>
    <w:autoRedefine/>
    <w:qFormat/>
    <w:uiPriority w:val="0"/>
    <w:rPr>
      <w:rFonts w:eastAsia="宋体"/>
      <w:b/>
      <w:bCs/>
      <w:kern w:val="44"/>
      <w:sz w:val="44"/>
      <w:szCs w:val="44"/>
      <w:lang w:val="en-US" w:eastAsia="zh-CN" w:bidi="ar-SA"/>
    </w:rPr>
  </w:style>
  <w:style w:type="character" w:customStyle="1" w:styleId="422">
    <w:name w:val="页脚 字符"/>
    <w:autoRedefine/>
    <w:qFormat/>
    <w:uiPriority w:val="99"/>
    <w:rPr>
      <w:kern w:val="2"/>
      <w:sz w:val="18"/>
      <w:szCs w:val="18"/>
    </w:rPr>
  </w:style>
  <w:style w:type="character" w:customStyle="1" w:styleId="423">
    <w:name w:val="正文2 Char"/>
    <w:autoRedefine/>
    <w:qFormat/>
    <w:uiPriority w:val="0"/>
    <w:rPr>
      <w:rFonts w:eastAsia="宋体"/>
      <w:kern w:val="2"/>
      <w:sz w:val="24"/>
      <w:lang w:val="en-US" w:eastAsia="zh-CN" w:bidi="ar-SA"/>
    </w:rPr>
  </w:style>
  <w:style w:type="character" w:customStyle="1" w:styleId="424">
    <w:name w:val="Char Char21"/>
    <w:autoRedefine/>
    <w:qFormat/>
    <w:uiPriority w:val="6"/>
    <w:rPr>
      <w:rFonts w:ascii="宋体" w:hAnsi="宋体"/>
      <w:kern w:val="1"/>
      <w:sz w:val="24"/>
      <w:szCs w:val="21"/>
      <w:lang w:val="zh-CN"/>
    </w:rPr>
  </w:style>
  <w:style w:type="character" w:customStyle="1" w:styleId="425">
    <w:name w:val="样式 正文缩进 + 首行缩进:  2 字符 Char Char"/>
    <w:link w:val="426"/>
    <w:autoRedefine/>
    <w:qFormat/>
    <w:uiPriority w:val="0"/>
    <w:rPr>
      <w:rFonts w:cs="宋体"/>
      <w:kern w:val="2"/>
      <w:sz w:val="24"/>
    </w:rPr>
  </w:style>
  <w:style w:type="paragraph" w:customStyle="1" w:styleId="426">
    <w:name w:val="样式 正文缩进 + 首行缩进:  2 字符"/>
    <w:basedOn w:val="15"/>
    <w:link w:val="425"/>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7">
    <w:name w:val="正文文本 字符"/>
    <w:link w:val="23"/>
    <w:autoRedefine/>
    <w:qFormat/>
    <w:uiPriority w:val="0"/>
    <w:rPr>
      <w:rFonts w:ascii="宋体" w:hAnsi="Arial" w:eastAsia="宋体" w:cs="Arial"/>
      <w:snapToGrid w:val="0"/>
      <w:kern w:val="2"/>
      <w:sz w:val="24"/>
      <w:szCs w:val="21"/>
      <w:lang w:val="zh-CN" w:eastAsia="zh-CN" w:bidi="ar-SA"/>
    </w:rPr>
  </w:style>
  <w:style w:type="character" w:customStyle="1" w:styleId="428">
    <w:name w:val="gray6"/>
    <w:basedOn w:val="69"/>
    <w:autoRedefine/>
    <w:qFormat/>
    <w:uiPriority w:val="0"/>
    <w:rPr>
      <w:rFonts w:ascii="Arial" w:hAnsi="Arial" w:eastAsia="黑体" w:cs="Arial"/>
      <w:snapToGrid w:val="0"/>
      <w:kern w:val="0"/>
      <w:szCs w:val="21"/>
    </w:rPr>
  </w:style>
  <w:style w:type="character" w:customStyle="1" w:styleId="429">
    <w:name w:val="hui"/>
    <w:basedOn w:val="69"/>
    <w:autoRedefine/>
    <w:qFormat/>
    <w:uiPriority w:val="0"/>
    <w:rPr>
      <w:rFonts w:ascii="Arial" w:hAnsi="Arial" w:eastAsia="黑体" w:cs="Arial"/>
      <w:snapToGrid w:val="0"/>
      <w:kern w:val="0"/>
      <w:szCs w:val="21"/>
    </w:rPr>
  </w:style>
  <w:style w:type="character" w:customStyle="1" w:styleId="430">
    <w:name w:val="哈哈正文 Char Char"/>
    <w:autoRedefine/>
    <w:qFormat/>
    <w:uiPriority w:val="0"/>
    <w:rPr>
      <w:rFonts w:ascii="宋体" w:hAnsi="宋体" w:eastAsia="宋体" w:cs="宋体"/>
      <w:kern w:val="2"/>
      <w:sz w:val="24"/>
      <w:lang w:val="en-US" w:eastAsia="zh-CN" w:bidi="ar-SA"/>
    </w:rPr>
  </w:style>
  <w:style w:type="paragraph" w:customStyle="1" w:styleId="431">
    <w:name w:val="样式 正文文本缩进 + 左侧:  2 字符 首行缩进:  2 字符"/>
    <w:basedOn w:val="24"/>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2">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3">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4">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5">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6">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37">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38">
    <w:name w:val="标题4_自定义"/>
    <w:basedOn w:val="2"/>
    <w:autoRedefine/>
    <w:qFormat/>
    <w:uiPriority w:val="0"/>
    <w:pPr>
      <w:adjustRightInd/>
      <w:spacing w:before="0" w:after="0" w:line="360" w:lineRule="auto"/>
    </w:pPr>
    <w:rPr>
      <w:rFonts w:ascii="Verdana" w:eastAsia="Verdana"/>
      <w:sz w:val="21"/>
      <w:lang w:val="en-US"/>
    </w:rPr>
  </w:style>
  <w:style w:type="paragraph" w:customStyle="1" w:styleId="439">
    <w:name w:val="正文 内标 序号标"/>
    <w:basedOn w:val="440"/>
    <w:autoRedefine/>
    <w:qFormat/>
    <w:uiPriority w:val="0"/>
    <w:pPr>
      <w:tabs>
        <w:tab w:val="left" w:pos="0"/>
      </w:tabs>
      <w:adjustRightInd/>
      <w:spacing w:before="0"/>
      <w:ind w:firstLine="482"/>
    </w:pPr>
    <w:rPr>
      <w:rFonts w:ascii="微软雅黑" w:hAnsi="微软雅黑"/>
      <w:sz w:val="24"/>
      <w:szCs w:val="24"/>
    </w:rPr>
  </w:style>
  <w:style w:type="paragraph" w:customStyle="1" w:styleId="440">
    <w:name w:val="My正文"/>
    <w:basedOn w:val="1"/>
    <w:autoRedefine/>
    <w:qFormat/>
    <w:uiPriority w:val="0"/>
    <w:pPr>
      <w:spacing w:before="120" w:line="360" w:lineRule="auto"/>
      <w:ind w:firstLine="567"/>
    </w:pPr>
    <w:rPr>
      <w:rFonts w:ascii="Arial" w:hAnsi="Arial"/>
      <w:sz w:val="20"/>
      <w:szCs w:val="20"/>
    </w:rPr>
  </w:style>
  <w:style w:type="paragraph" w:customStyle="1" w:styleId="441">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2">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3">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4">
    <w:name w:val="修订2"/>
    <w:autoRedefine/>
    <w:qFormat/>
    <w:uiPriority w:val="0"/>
    <w:rPr>
      <w:rFonts w:ascii="Times New Roman" w:hAnsi="Times New Roman" w:eastAsia="宋体" w:cs="Times New Roman"/>
      <w:kern w:val="2"/>
      <w:sz w:val="21"/>
      <w:lang w:val="en-US" w:eastAsia="zh-CN" w:bidi="ar-SA"/>
    </w:rPr>
  </w:style>
  <w:style w:type="paragraph" w:customStyle="1" w:styleId="445">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46">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7">
    <w:name w:val="文章标题"/>
    <w:next w:val="448"/>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8">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49">
    <w:name w:val="Char1 Char Char Char5"/>
    <w:basedOn w:val="1"/>
    <w:autoRedefine/>
    <w:qFormat/>
    <w:uiPriority w:val="0"/>
    <w:pPr>
      <w:adjustRightInd/>
      <w:ind w:firstLine="200" w:firstLineChars="200"/>
    </w:pPr>
    <w:rPr>
      <w:rFonts w:ascii="Tahoma" w:hAnsi="Tahoma"/>
      <w:sz w:val="24"/>
      <w:szCs w:val="20"/>
    </w:rPr>
  </w:style>
  <w:style w:type="paragraph" w:customStyle="1" w:styleId="450">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1">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2">
    <w:name w:val="Char Char Char Char Char Char Char Char"/>
    <w:basedOn w:val="1"/>
    <w:autoRedefine/>
    <w:qFormat/>
    <w:uiPriority w:val="0"/>
    <w:pPr>
      <w:tabs>
        <w:tab w:val="left" w:pos="360"/>
      </w:tabs>
    </w:pPr>
    <w:rPr>
      <w:sz w:val="24"/>
      <w:szCs w:val="20"/>
    </w:rPr>
  </w:style>
  <w:style w:type="paragraph" w:customStyle="1" w:styleId="453">
    <w:name w:val="Char Char11 Char Char Char"/>
    <w:basedOn w:val="1"/>
    <w:autoRedefine/>
    <w:qFormat/>
    <w:uiPriority w:val="0"/>
    <w:pPr>
      <w:spacing w:line="360" w:lineRule="auto"/>
    </w:pPr>
    <w:rPr>
      <w:szCs w:val="20"/>
    </w:rPr>
  </w:style>
  <w:style w:type="paragraph" w:customStyle="1" w:styleId="454">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5">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6">
    <w:name w:val="样式3"/>
    <w:basedOn w:val="457"/>
    <w:autoRedefine/>
    <w:qFormat/>
    <w:uiPriority w:val="0"/>
    <w:pPr>
      <w:tabs>
        <w:tab w:val="left" w:pos="2790"/>
        <w:tab w:val="left" w:pos="4230"/>
      </w:tabs>
      <w:spacing w:before="312" w:beforeLines="100"/>
      <w:jc w:val="left"/>
    </w:pPr>
  </w:style>
  <w:style w:type="paragraph" w:customStyle="1" w:styleId="457">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8">
    <w:name w:val="Char Char1 Char Char1 Char Char1"/>
    <w:basedOn w:val="1"/>
    <w:autoRedefine/>
    <w:qFormat/>
    <w:uiPriority w:val="0"/>
    <w:pPr>
      <w:tabs>
        <w:tab w:val="left" w:pos="840"/>
      </w:tabs>
      <w:ind w:left="840" w:hanging="420"/>
    </w:pPr>
    <w:rPr>
      <w:rFonts w:ascii="Tahoma" w:hAnsi="Tahoma"/>
      <w:sz w:val="24"/>
    </w:rPr>
  </w:style>
  <w:style w:type="paragraph" w:customStyle="1" w:styleId="459">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0">
    <w:name w:val="标书标题2"/>
    <w:basedOn w:val="4"/>
    <w:autoRedefine/>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1">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2">
    <w:name w:val="正文21"/>
    <w:basedOn w:val="1"/>
    <w:autoRedefine/>
    <w:qFormat/>
    <w:uiPriority w:val="0"/>
    <w:pPr>
      <w:adjustRightInd/>
      <w:spacing w:before="156" w:line="360" w:lineRule="auto"/>
      <w:ind w:firstLine="510" w:firstLineChars="200"/>
    </w:pPr>
    <w:rPr>
      <w:sz w:val="24"/>
      <w:szCs w:val="20"/>
    </w:rPr>
  </w:style>
  <w:style w:type="paragraph" w:customStyle="1" w:styleId="463">
    <w:name w:val="Test2"/>
    <w:basedOn w:val="4"/>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4">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5">
    <w:name w:val="Char1"/>
    <w:basedOn w:val="1"/>
    <w:autoRedefine/>
    <w:qFormat/>
    <w:uiPriority w:val="0"/>
    <w:rPr>
      <w:rFonts w:ascii="仿宋_GB2312" w:eastAsia="仿宋_GB2312"/>
      <w:b/>
      <w:sz w:val="32"/>
      <w:szCs w:val="32"/>
    </w:rPr>
  </w:style>
  <w:style w:type="paragraph" w:customStyle="1" w:styleId="466">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7">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68">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69">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0">
    <w:name w:val="6级标题"/>
    <w:basedOn w:val="471"/>
    <w:autoRedefine/>
    <w:qFormat/>
    <w:uiPriority w:val="0"/>
    <w:pPr>
      <w:keepNext/>
      <w:tabs>
        <w:tab w:val="left" w:pos="360"/>
      </w:tabs>
      <w:spacing w:before="0" w:after="0"/>
      <w:outlineLvl w:val="5"/>
    </w:pPr>
  </w:style>
  <w:style w:type="paragraph" w:customStyle="1" w:styleId="471">
    <w:name w:val="5级标题"/>
    <w:basedOn w:val="472"/>
    <w:autoRedefine/>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2">
    <w:name w:val="4级标题"/>
    <w:basedOn w:val="255"/>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3">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4">
    <w:name w:val="Char2 Char Char"/>
    <w:basedOn w:val="1"/>
    <w:autoRedefine/>
    <w:qFormat/>
    <w:uiPriority w:val="0"/>
    <w:pPr>
      <w:adjustRightInd/>
    </w:pPr>
    <w:rPr>
      <w:rFonts w:ascii="Tahoma" w:hAnsi="Tahoma"/>
      <w:sz w:val="24"/>
      <w:szCs w:val="20"/>
    </w:rPr>
  </w:style>
  <w:style w:type="paragraph" w:customStyle="1" w:styleId="475">
    <w:name w:val="_Style 11"/>
    <w:basedOn w:val="1"/>
    <w:autoRedefine/>
    <w:qFormat/>
    <w:uiPriority w:val="34"/>
    <w:pPr>
      <w:adjustRightInd/>
      <w:ind w:firstLine="420" w:firstLineChars="200"/>
    </w:pPr>
    <w:rPr>
      <w:rFonts w:eastAsia="仿宋_GB2312"/>
      <w:sz w:val="28"/>
    </w:rPr>
  </w:style>
  <w:style w:type="paragraph" w:customStyle="1" w:styleId="476">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7">
    <w:name w:val="Char Char Char"/>
    <w:basedOn w:val="1"/>
    <w:autoRedefine/>
    <w:qFormat/>
    <w:uiPriority w:val="0"/>
    <w:rPr>
      <w:rFonts w:ascii="Tahoma" w:hAnsi="Tahoma"/>
      <w:sz w:val="24"/>
      <w:szCs w:val="20"/>
    </w:rPr>
  </w:style>
  <w:style w:type="paragraph" w:customStyle="1" w:styleId="478">
    <w:name w:val="数字标题6"/>
    <w:basedOn w:val="7"/>
    <w:next w:val="1"/>
    <w:autoRedefine/>
    <w:qFormat/>
    <w:uiPriority w:val="0"/>
    <w:pPr>
      <w:tabs>
        <w:tab w:val="left" w:pos="1080"/>
      </w:tabs>
      <w:ind w:left="1080" w:hanging="1080"/>
    </w:pPr>
    <w:rPr>
      <w:rFonts w:ascii="Times New Roman" w:hAnsi="Times New Roman" w:eastAsia="宋体"/>
      <w:i/>
    </w:rPr>
  </w:style>
  <w:style w:type="paragraph" w:customStyle="1" w:styleId="479">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0">
    <w:name w:val="No Spacing"/>
    <w:basedOn w:val="1"/>
    <w:link w:val="930"/>
    <w:autoRedefine/>
    <w:qFormat/>
    <w:uiPriority w:val="99"/>
    <w:rPr>
      <w:szCs w:val="22"/>
    </w:rPr>
  </w:style>
  <w:style w:type="paragraph" w:customStyle="1" w:styleId="481">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2">
    <w:name w:val="Char Char Char Char Char Char Char Char Char Char Char Char1 Char1"/>
    <w:basedOn w:val="1"/>
    <w:autoRedefine/>
    <w:qFormat/>
    <w:uiPriority w:val="6"/>
    <w:rPr>
      <w:rFonts w:ascii="Tahoma" w:hAnsi="Tahoma" w:cs="仿宋_GB2312"/>
      <w:sz w:val="24"/>
      <w:szCs w:val="20"/>
    </w:rPr>
  </w:style>
  <w:style w:type="paragraph" w:customStyle="1" w:styleId="483">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4">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5">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6">
    <w:name w:val="MM Topic 2"/>
    <w:basedOn w:val="4"/>
    <w:autoRedefine/>
    <w:qFormat/>
    <w:uiPriority w:val="0"/>
    <w:pPr>
      <w:tabs>
        <w:tab w:val="left" w:pos="1260"/>
      </w:tabs>
      <w:ind w:left="1260" w:hanging="420"/>
    </w:pPr>
    <w:rPr>
      <w:rFonts w:ascii="Arial" w:hAnsi="Arial" w:eastAsia="黑体"/>
      <w:lang w:val="en-US"/>
    </w:rPr>
  </w:style>
  <w:style w:type="paragraph" w:customStyle="1" w:styleId="487">
    <w:name w:val="五级无标题条"/>
    <w:basedOn w:val="1"/>
    <w:autoRedefine/>
    <w:qFormat/>
    <w:uiPriority w:val="0"/>
    <w:pPr>
      <w:adjustRightInd/>
    </w:pPr>
  </w:style>
  <w:style w:type="paragraph" w:customStyle="1" w:styleId="488">
    <w:name w:val="Char5"/>
    <w:basedOn w:val="1"/>
    <w:autoRedefine/>
    <w:qFormat/>
    <w:uiPriority w:val="0"/>
    <w:rPr>
      <w:rFonts w:ascii="仿宋_GB2312" w:eastAsia="仿宋_GB2312"/>
      <w:b/>
      <w:sz w:val="32"/>
      <w:szCs w:val="32"/>
    </w:rPr>
  </w:style>
  <w:style w:type="paragraph" w:customStyle="1" w:styleId="489">
    <w:name w:val="TOC 标题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0">
    <w:name w:val="彩色列表 - 强调文字颜色 12"/>
    <w:basedOn w:val="1"/>
    <w:autoRedefine/>
    <w:qFormat/>
    <w:uiPriority w:val="0"/>
    <w:pPr>
      <w:adjustRightInd/>
      <w:ind w:firstLine="420" w:firstLineChars="200"/>
    </w:pPr>
    <w:rPr>
      <w:rFonts w:ascii="Calibri" w:hAnsi="Calibri"/>
      <w:szCs w:val="22"/>
    </w:rPr>
  </w:style>
  <w:style w:type="paragraph" w:customStyle="1" w:styleId="491">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2">
    <w:name w:val="Char2"/>
    <w:basedOn w:val="1"/>
    <w:autoRedefine/>
    <w:qFormat/>
    <w:uiPriority w:val="0"/>
    <w:rPr>
      <w:rFonts w:ascii="仿宋_GB2312" w:eastAsia="仿宋_GB2312"/>
      <w:b/>
      <w:sz w:val="32"/>
      <w:szCs w:val="32"/>
    </w:rPr>
  </w:style>
  <w:style w:type="paragraph" w:customStyle="1" w:styleId="493">
    <w:name w:val="数字标题3"/>
    <w:basedOn w:val="5"/>
    <w:next w:val="1"/>
    <w:autoRedefine/>
    <w:qFormat/>
    <w:uiPriority w:val="0"/>
    <w:pPr>
      <w:spacing w:line="240" w:lineRule="auto"/>
    </w:pPr>
    <w:rPr>
      <w:sz w:val="28"/>
      <w:szCs w:val="28"/>
    </w:rPr>
  </w:style>
  <w:style w:type="paragraph" w:customStyle="1" w:styleId="494">
    <w:name w:val="FA正文"/>
    <w:basedOn w:val="1"/>
    <w:autoRedefine/>
    <w:qFormat/>
    <w:uiPriority w:val="0"/>
    <w:pPr>
      <w:spacing w:line="360" w:lineRule="auto"/>
      <w:ind w:firstLine="480" w:firstLineChars="200"/>
    </w:pPr>
    <w:rPr>
      <w:rFonts w:hAnsi="宋体"/>
      <w:sz w:val="24"/>
      <w:szCs w:val="20"/>
    </w:rPr>
  </w:style>
  <w:style w:type="paragraph" w:customStyle="1" w:styleId="495">
    <w:name w:val="MM Topic 5"/>
    <w:basedOn w:val="6"/>
    <w:autoRedefine/>
    <w:qFormat/>
    <w:uiPriority w:val="0"/>
    <w:pPr>
      <w:tabs>
        <w:tab w:val="left" w:pos="2520"/>
      </w:tabs>
      <w:adjustRightInd/>
      <w:ind w:left="2520" w:hanging="420"/>
    </w:pPr>
  </w:style>
  <w:style w:type="paragraph" w:customStyle="1" w:styleId="496">
    <w:name w:val="Char Char Char Char Char Char Char Char Char Char1"/>
    <w:basedOn w:val="1"/>
    <w:autoRedefine/>
    <w:qFormat/>
    <w:uiPriority w:val="0"/>
    <w:rPr>
      <w:rFonts w:ascii="仿宋_GB2312" w:eastAsia="仿宋_GB2312"/>
      <w:b/>
      <w:sz w:val="32"/>
      <w:szCs w:val="32"/>
    </w:rPr>
  </w:style>
  <w:style w:type="paragraph" w:customStyle="1" w:styleId="497">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8">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499">
    <w:name w:val="Char2 Char Char Char"/>
    <w:basedOn w:val="1"/>
    <w:autoRedefine/>
    <w:qFormat/>
    <w:uiPriority w:val="0"/>
    <w:rPr>
      <w:rFonts w:ascii="仿宋_GB2312" w:eastAsia="仿宋_GB2312"/>
      <w:b/>
      <w:sz w:val="32"/>
      <w:szCs w:val="32"/>
    </w:rPr>
  </w:style>
  <w:style w:type="paragraph" w:customStyle="1" w:styleId="500">
    <w:name w:val="Char2 Char Char Char1"/>
    <w:basedOn w:val="1"/>
    <w:autoRedefine/>
    <w:qFormat/>
    <w:uiPriority w:val="6"/>
    <w:rPr>
      <w:rFonts w:ascii="仿宋_GB2312" w:eastAsia="仿宋_GB2312"/>
      <w:b/>
      <w:sz w:val="32"/>
      <w:szCs w:val="32"/>
    </w:rPr>
  </w:style>
  <w:style w:type="paragraph" w:customStyle="1" w:styleId="501">
    <w:name w:val="默认段落样式"/>
    <w:basedOn w:val="128"/>
    <w:autoRedefine/>
    <w:qFormat/>
    <w:uiPriority w:val="0"/>
    <w:pPr>
      <w:spacing w:before="0"/>
      <w:ind w:firstLine="480"/>
      <w:outlineLvl w:val="2"/>
    </w:pPr>
    <w:rPr>
      <w:rFonts w:ascii="仿宋_GB2312" w:hAnsi="宋体" w:eastAsia="仿宋_GB2312"/>
      <w:color w:val="000000"/>
      <w:szCs w:val="24"/>
    </w:rPr>
  </w:style>
  <w:style w:type="paragraph" w:customStyle="1" w:styleId="502">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3">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4">
    <w:name w:val="MM Topic 3"/>
    <w:basedOn w:val="5"/>
    <w:autoRedefine/>
    <w:qFormat/>
    <w:uiPriority w:val="0"/>
    <w:pPr>
      <w:tabs>
        <w:tab w:val="left" w:pos="1680"/>
      </w:tabs>
      <w:adjustRightInd/>
      <w:ind w:left="1680" w:hanging="420"/>
    </w:pPr>
  </w:style>
  <w:style w:type="paragraph" w:customStyle="1" w:styleId="505">
    <w:name w:val="标准小四"/>
    <w:basedOn w:val="1"/>
    <w:autoRedefine/>
    <w:qFormat/>
    <w:uiPriority w:val="0"/>
    <w:pPr>
      <w:spacing w:line="360" w:lineRule="auto"/>
      <w:ind w:firstLine="480" w:firstLineChars="200"/>
    </w:pPr>
    <w:rPr>
      <w:rFonts w:ascii="Arial" w:hAnsi="Arial"/>
      <w:sz w:val="24"/>
      <w:szCs w:val="21"/>
    </w:rPr>
  </w:style>
  <w:style w:type="paragraph" w:customStyle="1" w:styleId="506">
    <w:name w:val="样式 标题 2H2h2Underrubrik1prop2l2Chapter Titlesect 1.2DO NO..."/>
    <w:basedOn w:val="4"/>
    <w:autoRedefine/>
    <w:qFormat/>
    <w:uiPriority w:val="0"/>
    <w:pPr>
      <w:spacing w:before="120" w:after="120"/>
      <w:ind w:left="425" w:hanging="425"/>
    </w:pPr>
    <w:rPr>
      <w:rFonts w:ascii="微软雅黑" w:hAnsi="微软雅黑" w:eastAsia="微软雅黑" w:cs="宋体"/>
      <w:szCs w:val="20"/>
      <w:lang w:val="en-US"/>
    </w:rPr>
  </w:style>
  <w:style w:type="paragraph" w:customStyle="1" w:styleId="507">
    <w:name w:val="表格（小）"/>
    <w:basedOn w:val="1"/>
    <w:autoRedefine/>
    <w:qFormat/>
    <w:uiPriority w:val="0"/>
    <w:pPr>
      <w:adjustRightInd/>
      <w:snapToGrid w:val="0"/>
      <w:spacing w:line="300" w:lineRule="auto"/>
    </w:pPr>
    <w:rPr>
      <w:rFonts w:eastAsia="仿宋"/>
      <w:szCs w:val="21"/>
    </w:rPr>
  </w:style>
  <w:style w:type="paragraph" w:customStyle="1" w:styleId="508">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09">
    <w:name w:val="Char2 Char Char1"/>
    <w:basedOn w:val="1"/>
    <w:autoRedefine/>
    <w:qFormat/>
    <w:uiPriority w:val="6"/>
    <w:pPr>
      <w:adjustRightInd/>
    </w:pPr>
    <w:rPr>
      <w:rFonts w:ascii="Tahoma" w:hAnsi="Tahoma"/>
      <w:sz w:val="24"/>
      <w:szCs w:val="20"/>
    </w:rPr>
  </w:style>
  <w:style w:type="paragraph" w:customStyle="1" w:styleId="510">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1">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2">
    <w:name w:val="表格文字"/>
    <w:basedOn w:val="1"/>
    <w:next w:val="15"/>
    <w:autoRedefine/>
    <w:qFormat/>
    <w:uiPriority w:val="0"/>
    <w:pPr>
      <w:adjustRightInd/>
      <w:ind w:firstLine="200" w:firstLineChars="200"/>
    </w:pPr>
    <w:rPr>
      <w:rFonts w:ascii="Arial" w:hAnsi="Arial"/>
      <w:spacing w:val="-5"/>
      <w:kern w:val="0"/>
      <w:sz w:val="24"/>
      <w:szCs w:val="20"/>
    </w:rPr>
  </w:style>
  <w:style w:type="paragraph" w:customStyle="1" w:styleId="513">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4">
    <w:name w:val="TOC 标题111"/>
    <w:basedOn w:val="3"/>
    <w:next w:val="1"/>
    <w:autoRedefine/>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5">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6">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17">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8">
    <w:name w:val="_Style 3"/>
    <w:basedOn w:val="1"/>
    <w:autoRedefine/>
    <w:qFormat/>
    <w:uiPriority w:val="0"/>
    <w:pPr>
      <w:adjustRightInd/>
      <w:ind w:firstLine="420" w:firstLineChars="200"/>
    </w:pPr>
    <w:rPr>
      <w:rFonts w:eastAsia="仿宋_GB2312"/>
      <w:sz w:val="28"/>
    </w:rPr>
  </w:style>
  <w:style w:type="paragraph" w:customStyle="1" w:styleId="519">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0">
    <w:name w:val="Bulleting First Indent 1"/>
    <w:basedOn w:val="60"/>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1">
    <w:name w:val="左对齐表格文字"/>
    <w:basedOn w:val="1"/>
    <w:autoRedefine/>
    <w:qFormat/>
    <w:uiPriority w:val="0"/>
    <w:pPr>
      <w:adjustRightInd/>
      <w:ind w:firstLine="200" w:firstLineChars="200"/>
      <w:jc w:val="right"/>
    </w:pPr>
  </w:style>
  <w:style w:type="paragraph" w:customStyle="1" w:styleId="522">
    <w:name w:val="Char Char11 Char Char Char Char Char Char Char Char Char"/>
    <w:basedOn w:val="1"/>
    <w:autoRedefine/>
    <w:qFormat/>
    <w:uiPriority w:val="0"/>
    <w:pPr>
      <w:spacing w:line="360" w:lineRule="auto"/>
    </w:pPr>
    <w:rPr>
      <w:szCs w:val="20"/>
    </w:rPr>
  </w:style>
  <w:style w:type="paragraph" w:customStyle="1" w:styleId="523">
    <w:name w:val="正文1.25"/>
    <w:basedOn w:val="1"/>
    <w:autoRedefine/>
    <w:qFormat/>
    <w:uiPriority w:val="0"/>
    <w:pPr>
      <w:adjustRightInd/>
      <w:spacing w:line="300" w:lineRule="auto"/>
      <w:ind w:firstLine="480" w:firstLineChars="200"/>
    </w:pPr>
    <w:rPr>
      <w:sz w:val="24"/>
      <w:szCs w:val="20"/>
    </w:rPr>
  </w:style>
  <w:style w:type="paragraph" w:customStyle="1" w:styleId="524">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5">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6">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7">
    <w:name w:val="Char Char1 Char Char Char1"/>
    <w:basedOn w:val="1"/>
    <w:autoRedefine/>
    <w:qFormat/>
    <w:uiPriority w:val="6"/>
    <w:rPr>
      <w:rFonts w:ascii="仿宋_GB2312" w:eastAsia="仿宋_GB2312"/>
      <w:b/>
      <w:sz w:val="32"/>
      <w:szCs w:val="20"/>
    </w:rPr>
  </w:style>
  <w:style w:type="paragraph" w:customStyle="1" w:styleId="528">
    <w:name w:val="列出段落2"/>
    <w:basedOn w:val="1"/>
    <w:autoRedefine/>
    <w:qFormat/>
    <w:uiPriority w:val="0"/>
    <w:pPr>
      <w:adjustRightInd/>
      <w:ind w:firstLine="420" w:firstLineChars="200"/>
    </w:pPr>
    <w:rPr>
      <w:rFonts w:ascii="宋体" w:hAnsi="宋体"/>
      <w:sz w:val="24"/>
    </w:rPr>
  </w:style>
  <w:style w:type="paragraph" w:customStyle="1" w:styleId="529">
    <w:name w:val="默认段落字体 Para Char Char Char Char Char Char Char"/>
    <w:basedOn w:val="1"/>
    <w:autoRedefine/>
    <w:qFormat/>
    <w:uiPriority w:val="0"/>
    <w:rPr>
      <w:rFonts w:eastAsia="仿宋_GB2312"/>
      <w:sz w:val="28"/>
      <w:szCs w:val="20"/>
    </w:rPr>
  </w:style>
  <w:style w:type="paragraph" w:customStyle="1" w:styleId="530">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1">
    <w:name w:val="样式 标题 4PIM 4H4h4bulletblbbH41H42H43H44H45H46H47H48...1"/>
    <w:basedOn w:val="2"/>
    <w:autoRedefine/>
    <w:qFormat/>
    <w:uiPriority w:val="0"/>
    <w:pPr>
      <w:widowControl/>
      <w:jc w:val="left"/>
    </w:pPr>
    <w:rPr>
      <w:rFonts w:cs="宋体"/>
      <w:sz w:val="24"/>
      <w:szCs w:val="20"/>
    </w:rPr>
  </w:style>
  <w:style w:type="paragraph" w:customStyle="1" w:styleId="532">
    <w:name w:val="彩色列表 - 强调文字颜色 11"/>
    <w:basedOn w:val="1"/>
    <w:autoRedefine/>
    <w:qFormat/>
    <w:uiPriority w:val="0"/>
    <w:pPr>
      <w:adjustRightInd/>
      <w:ind w:firstLine="420" w:firstLineChars="200"/>
    </w:pPr>
    <w:rPr>
      <w:rFonts w:ascii="Calibri" w:hAnsi="Calibri"/>
      <w:szCs w:val="22"/>
    </w:rPr>
  </w:style>
  <w:style w:type="paragraph" w:customStyle="1" w:styleId="533">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34">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5">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36">
    <w:name w:val="Char Char Char1 Char1"/>
    <w:basedOn w:val="1"/>
    <w:autoRedefine/>
    <w:qFormat/>
    <w:uiPriority w:val="6"/>
    <w:rPr>
      <w:szCs w:val="20"/>
    </w:rPr>
  </w:style>
  <w:style w:type="paragraph" w:customStyle="1" w:styleId="537">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8">
    <w:name w:val="样式 标题 2 + 宋体 左侧:  1.76 厘米 首行缩进:  0 厘米"/>
    <w:basedOn w:val="4"/>
    <w:autoRedefine/>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39">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0">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1">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2">
    <w:name w:val="CM14"/>
    <w:basedOn w:val="232"/>
    <w:next w:val="232"/>
    <w:autoRedefine/>
    <w:qFormat/>
    <w:uiPriority w:val="0"/>
    <w:pPr>
      <w:spacing w:after="68"/>
    </w:pPr>
    <w:rPr>
      <w:rFonts w:ascii="FHLHE E+ Futura Bk" w:eastAsia="FHLHE E+ Futura Bk" w:cs="Times New Roman"/>
      <w:color w:val="auto"/>
    </w:rPr>
  </w:style>
  <w:style w:type="paragraph" w:customStyle="1" w:styleId="543">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4">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5">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46">
    <w:name w:val="正文文字 2"/>
    <w:basedOn w:val="232"/>
    <w:next w:val="232"/>
    <w:autoRedefine/>
    <w:qFormat/>
    <w:uiPriority w:val="0"/>
    <w:rPr>
      <w:rFonts w:ascii="宋体" w:eastAsia="宋体" w:cs="Times New Roman"/>
      <w:color w:val="auto"/>
    </w:rPr>
  </w:style>
  <w:style w:type="paragraph" w:customStyle="1" w:styleId="547">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8">
    <w:name w:val="Char Char1 Char"/>
    <w:basedOn w:val="1"/>
    <w:autoRedefine/>
    <w:qFormat/>
    <w:uiPriority w:val="0"/>
    <w:rPr>
      <w:rFonts w:ascii="仿宋_GB2312" w:eastAsia="仿宋_GB2312"/>
      <w:b/>
      <w:sz w:val="32"/>
      <w:szCs w:val="32"/>
    </w:rPr>
  </w:style>
  <w:style w:type="paragraph" w:customStyle="1" w:styleId="549">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0">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1">
    <w:name w:val="Char Char111"/>
    <w:basedOn w:val="1"/>
    <w:autoRedefine/>
    <w:qFormat/>
    <w:uiPriority w:val="0"/>
    <w:pPr>
      <w:spacing w:line="360" w:lineRule="auto"/>
    </w:pPr>
    <w:rPr>
      <w:szCs w:val="20"/>
    </w:rPr>
  </w:style>
  <w:style w:type="paragraph" w:customStyle="1" w:styleId="552">
    <w:name w:val="Char"/>
    <w:basedOn w:val="1"/>
    <w:autoRedefine/>
    <w:qFormat/>
    <w:uiPriority w:val="0"/>
    <w:rPr>
      <w:rFonts w:ascii="仿宋_GB2312" w:eastAsia="仿宋_GB2312"/>
      <w:b/>
      <w:sz w:val="32"/>
      <w:szCs w:val="32"/>
    </w:rPr>
  </w:style>
  <w:style w:type="paragraph" w:customStyle="1" w:styleId="553">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4">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5">
    <w:name w:val="Char Char Char1 Char"/>
    <w:basedOn w:val="1"/>
    <w:autoRedefine/>
    <w:qFormat/>
    <w:uiPriority w:val="0"/>
    <w:rPr>
      <w:szCs w:val="20"/>
    </w:rPr>
  </w:style>
  <w:style w:type="paragraph" w:customStyle="1" w:styleId="556">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57">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8">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59">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0">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561">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2">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3">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4">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5">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6">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8">
    <w:name w:val="标准有序列表（L1）"/>
    <w:basedOn w:val="15"/>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69">
    <w:name w:val="Char Char Char Char Char Char Char Char Char Char"/>
    <w:basedOn w:val="1"/>
    <w:autoRedefine/>
    <w:qFormat/>
    <w:uiPriority w:val="0"/>
    <w:rPr>
      <w:rFonts w:ascii="仿宋_GB2312" w:eastAsia="仿宋_GB2312"/>
      <w:b/>
      <w:sz w:val="32"/>
      <w:szCs w:val="32"/>
    </w:rPr>
  </w:style>
  <w:style w:type="paragraph" w:customStyle="1" w:styleId="570">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1">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2">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3">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4">
    <w:name w:val="正文（首行缩进）"/>
    <w:basedOn w:val="24"/>
    <w:autoRedefine/>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5">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76">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7">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8">
    <w:name w:val="Char Char Char1 Char2"/>
    <w:basedOn w:val="1"/>
    <w:autoRedefine/>
    <w:qFormat/>
    <w:uiPriority w:val="0"/>
    <w:rPr>
      <w:szCs w:val="20"/>
    </w:rPr>
  </w:style>
  <w:style w:type="paragraph" w:customStyle="1" w:styleId="579">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0">
    <w:name w:val="默认段落字体 Para Char"/>
    <w:basedOn w:val="1"/>
    <w:autoRedefine/>
    <w:qFormat/>
    <w:uiPriority w:val="0"/>
    <w:rPr>
      <w:rFonts w:ascii="Tahoma" w:hAnsi="Tahoma"/>
      <w:sz w:val="24"/>
      <w:szCs w:val="20"/>
    </w:rPr>
  </w:style>
  <w:style w:type="paragraph" w:customStyle="1" w:styleId="581">
    <w:name w:val="标题五"/>
    <w:basedOn w:val="1"/>
    <w:autoRedefine/>
    <w:qFormat/>
    <w:uiPriority w:val="0"/>
    <w:pPr>
      <w:adjustRightInd/>
      <w:spacing w:before="156" w:beforeLines="50" w:line="360" w:lineRule="auto"/>
    </w:pPr>
    <w:rPr>
      <w:b/>
      <w:sz w:val="24"/>
    </w:rPr>
  </w:style>
  <w:style w:type="paragraph" w:customStyle="1" w:styleId="582">
    <w:name w:val="Char Char1101"/>
    <w:basedOn w:val="1"/>
    <w:autoRedefine/>
    <w:qFormat/>
    <w:uiPriority w:val="0"/>
    <w:pPr>
      <w:spacing w:line="360" w:lineRule="auto"/>
    </w:pPr>
    <w:rPr>
      <w:rFonts w:ascii="Tahoma" w:hAnsi="Tahoma"/>
      <w:sz w:val="24"/>
      <w:szCs w:val="20"/>
    </w:rPr>
  </w:style>
  <w:style w:type="paragraph" w:customStyle="1" w:styleId="583">
    <w:name w:val="Char Char Char Char Char Char Char Char1"/>
    <w:basedOn w:val="1"/>
    <w:autoRedefine/>
    <w:qFormat/>
    <w:uiPriority w:val="0"/>
    <w:pPr>
      <w:tabs>
        <w:tab w:val="left" w:pos="360"/>
      </w:tabs>
    </w:pPr>
    <w:rPr>
      <w:sz w:val="24"/>
      <w:szCs w:val="20"/>
    </w:rPr>
  </w:style>
  <w:style w:type="paragraph" w:customStyle="1" w:styleId="584">
    <w:name w:val="Char Char Char 字元 字元"/>
    <w:basedOn w:val="1"/>
    <w:autoRedefine/>
    <w:qFormat/>
    <w:uiPriority w:val="0"/>
    <w:pPr>
      <w:adjustRightInd/>
      <w:spacing w:line="360" w:lineRule="auto"/>
      <w:ind w:firstLine="200" w:firstLineChars="200"/>
    </w:pPr>
    <w:rPr>
      <w:szCs w:val="20"/>
    </w:rPr>
  </w:style>
  <w:style w:type="paragraph" w:customStyle="1" w:styleId="585">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6">
    <w:name w:val="Char Char Char Char Char Char Char"/>
    <w:basedOn w:val="1"/>
    <w:autoRedefine/>
    <w:qFormat/>
    <w:uiPriority w:val="0"/>
    <w:rPr>
      <w:rFonts w:ascii="仿宋_GB2312" w:eastAsia="仿宋_GB2312"/>
      <w:b/>
      <w:sz w:val="32"/>
      <w:szCs w:val="32"/>
    </w:rPr>
  </w:style>
  <w:style w:type="paragraph" w:customStyle="1" w:styleId="587">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8">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89">
    <w:name w:val="样式 标题 22h2L1 Heading 2H2sect 1.2H21sect 1.21H22sect 1.2..."/>
    <w:basedOn w:val="4"/>
    <w:next w:val="1"/>
    <w:autoRedefine/>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0">
    <w:name w:val="样式6"/>
    <w:basedOn w:val="32"/>
    <w:autoRedefine/>
    <w:qFormat/>
    <w:uiPriority w:val="0"/>
    <w:pPr>
      <w:spacing w:line="460" w:lineRule="exact"/>
      <w:outlineLvl w:val="2"/>
    </w:pPr>
    <w:rPr>
      <w:rFonts w:ascii="仿宋_GB2312" w:hAnsi="宋体" w:eastAsia="仿宋_GB2312"/>
      <w:b/>
      <w:bCs/>
      <w:sz w:val="24"/>
      <w:szCs w:val="24"/>
    </w:rPr>
  </w:style>
  <w:style w:type="paragraph" w:customStyle="1" w:styleId="591">
    <w:name w:val="批注框文本 Char Char"/>
    <w:basedOn w:val="1"/>
    <w:autoRedefine/>
    <w:qFormat/>
    <w:uiPriority w:val="0"/>
    <w:pPr>
      <w:adjustRightInd/>
    </w:pPr>
    <w:rPr>
      <w:sz w:val="18"/>
      <w:szCs w:val="20"/>
    </w:rPr>
  </w:style>
  <w:style w:type="paragraph" w:customStyle="1" w:styleId="592">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3">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4">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5">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6">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597">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8">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599">
    <w:name w:val="正文文字缩进项目"/>
    <w:basedOn w:val="24"/>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0">
    <w:name w:val="文档正文"/>
    <w:basedOn w:val="1"/>
    <w:autoRedefine/>
    <w:qFormat/>
    <w:uiPriority w:val="0"/>
    <w:pPr>
      <w:spacing w:line="480" w:lineRule="atLeast"/>
      <w:ind w:firstLine="567"/>
      <w:textAlignment w:val="baseline"/>
    </w:pPr>
    <w:rPr>
      <w:kern w:val="0"/>
      <w:sz w:val="24"/>
      <w:szCs w:val="20"/>
    </w:rPr>
  </w:style>
  <w:style w:type="paragraph" w:customStyle="1" w:styleId="601">
    <w:name w:val="正文文字表格居中"/>
    <w:basedOn w:val="1"/>
    <w:next w:val="55"/>
    <w:autoRedefine/>
    <w:qFormat/>
    <w:uiPriority w:val="0"/>
    <w:pPr>
      <w:snapToGrid w:val="0"/>
      <w:spacing w:line="360" w:lineRule="auto"/>
    </w:pPr>
    <w:rPr>
      <w:rFonts w:ascii="宋体"/>
      <w:b/>
      <w:sz w:val="24"/>
      <w:szCs w:val="20"/>
    </w:rPr>
  </w:style>
  <w:style w:type="paragraph" w:customStyle="1" w:styleId="602">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603">
    <w:name w:val="小节"/>
    <w:basedOn w:val="5"/>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4">
    <w:name w:val="Plain Text1"/>
    <w:basedOn w:val="1"/>
    <w:autoRedefine/>
    <w:qFormat/>
    <w:uiPriority w:val="7"/>
    <w:pPr>
      <w:adjustRightInd/>
    </w:pPr>
    <w:rPr>
      <w:rFonts w:ascii="宋体" w:hAnsi="Courier New"/>
    </w:rPr>
  </w:style>
  <w:style w:type="paragraph" w:customStyle="1" w:styleId="605">
    <w:name w:val="Char3"/>
    <w:basedOn w:val="1"/>
    <w:autoRedefine/>
    <w:qFormat/>
    <w:uiPriority w:val="0"/>
    <w:pPr>
      <w:adjustRightInd/>
    </w:pPr>
    <w:rPr>
      <w:rFonts w:ascii="仿宋_GB2312" w:eastAsia="仿宋_GB2312"/>
      <w:b/>
      <w:sz w:val="32"/>
      <w:szCs w:val="32"/>
    </w:rPr>
  </w:style>
  <w:style w:type="paragraph" w:customStyle="1" w:styleId="606">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7">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8">
    <w:name w:val="标题2"/>
    <w:basedOn w:val="4"/>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09">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0">
    <w:name w:val="样式 标题 3标题 3 Char第二层条h33Bold Headbh章标题1小标题level_3PIM 3..."/>
    <w:basedOn w:val="5"/>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1">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2">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3">
    <w:name w:val="Char3 Char Char Char"/>
    <w:basedOn w:val="1"/>
    <w:autoRedefine/>
    <w:qFormat/>
    <w:uiPriority w:val="0"/>
    <w:pPr>
      <w:widowControl/>
      <w:adjustRightInd/>
      <w:spacing w:after="160" w:line="240" w:lineRule="exact"/>
      <w:jc w:val="left"/>
    </w:pPr>
    <w:rPr>
      <w:szCs w:val="20"/>
    </w:rPr>
  </w:style>
  <w:style w:type="paragraph" w:customStyle="1" w:styleId="614">
    <w:name w:val="表格标题2"/>
    <w:basedOn w:val="615"/>
    <w:autoRedefine/>
    <w:qFormat/>
    <w:uiPriority w:val="0"/>
    <w:rPr>
      <w:b/>
    </w:rPr>
  </w:style>
  <w:style w:type="paragraph" w:customStyle="1" w:styleId="615">
    <w:name w:val="表格内文"/>
    <w:basedOn w:val="1"/>
    <w:autoRedefine/>
    <w:qFormat/>
    <w:uiPriority w:val="0"/>
    <w:pPr>
      <w:adjustRightInd/>
      <w:spacing w:line="360" w:lineRule="auto"/>
    </w:pPr>
    <w:rPr>
      <w:rFonts w:ascii="宋体" w:hAnsi="宋体" w:cs="宋体"/>
      <w:color w:val="000000"/>
      <w:szCs w:val="20"/>
    </w:rPr>
  </w:style>
  <w:style w:type="paragraph" w:customStyle="1" w:styleId="616">
    <w:name w:val="Char Char Char Char Char Char Char Char Char Char2"/>
    <w:basedOn w:val="1"/>
    <w:autoRedefine/>
    <w:qFormat/>
    <w:uiPriority w:val="0"/>
    <w:rPr>
      <w:rFonts w:ascii="仿宋_GB2312" w:eastAsia="仿宋_GB2312"/>
      <w:b/>
      <w:sz w:val="32"/>
      <w:szCs w:val="32"/>
    </w:rPr>
  </w:style>
  <w:style w:type="paragraph" w:customStyle="1" w:styleId="617">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8">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19">
    <w:name w:val="Char Char11 Char Char Char Char Char Char Char Char Char11"/>
    <w:basedOn w:val="1"/>
    <w:autoRedefine/>
    <w:qFormat/>
    <w:uiPriority w:val="0"/>
    <w:pPr>
      <w:spacing w:line="360" w:lineRule="auto"/>
    </w:pPr>
    <w:rPr>
      <w:szCs w:val="20"/>
    </w:rPr>
  </w:style>
  <w:style w:type="paragraph" w:customStyle="1" w:styleId="620">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1">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2">
    <w:name w:val="MM Topic 1"/>
    <w:basedOn w:val="3"/>
    <w:autoRedefine/>
    <w:qFormat/>
    <w:uiPriority w:val="0"/>
    <w:pPr>
      <w:tabs>
        <w:tab w:val="left" w:pos="840"/>
      </w:tabs>
      <w:adjustRightInd/>
      <w:ind w:left="840" w:hanging="420"/>
    </w:pPr>
  </w:style>
  <w:style w:type="paragraph" w:customStyle="1" w:styleId="623">
    <w:name w:val="样式 标题 2标题2H2Heading 2 HiddenHeading 2 CCBSheading 22nd lev..."/>
    <w:basedOn w:val="4"/>
    <w:autoRedefine/>
    <w:qFormat/>
    <w:uiPriority w:val="0"/>
    <w:pPr>
      <w:widowControl/>
      <w:spacing w:before="260" w:after="260" w:line="416" w:lineRule="auto"/>
      <w:ind w:left="0" w:firstLine="0"/>
    </w:pPr>
    <w:rPr>
      <w:rFonts w:ascii="Arial" w:hAnsi="Arial" w:eastAsia="黑体"/>
      <w:sz w:val="30"/>
      <w:szCs w:val="21"/>
    </w:rPr>
  </w:style>
  <w:style w:type="paragraph" w:customStyle="1" w:styleId="624">
    <w:name w:val="文本正文 Char"/>
    <w:basedOn w:val="1"/>
    <w:autoRedefine/>
    <w:qFormat/>
    <w:uiPriority w:val="0"/>
    <w:pPr>
      <w:spacing w:line="360" w:lineRule="auto"/>
      <w:ind w:firstLine="200" w:firstLineChars="200"/>
    </w:pPr>
    <w:rPr>
      <w:kern w:val="0"/>
      <w:sz w:val="24"/>
      <w:szCs w:val="20"/>
    </w:rPr>
  </w:style>
  <w:style w:type="paragraph" w:customStyle="1" w:styleId="625">
    <w:name w:val="表格"/>
    <w:basedOn w:val="1"/>
    <w:autoRedefine/>
    <w:qFormat/>
    <w:uiPriority w:val="0"/>
    <w:pPr>
      <w:snapToGrid w:val="0"/>
      <w:ind w:firstLine="42" w:firstLineChars="21"/>
    </w:pPr>
    <w:rPr>
      <w:rFonts w:ascii="宋体" w:hAnsi="宋体"/>
      <w:kern w:val="0"/>
      <w:sz w:val="20"/>
      <w:szCs w:val="20"/>
    </w:rPr>
  </w:style>
  <w:style w:type="paragraph" w:customStyle="1" w:styleId="626">
    <w:name w:val="标书标题4"/>
    <w:basedOn w:val="2"/>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7">
    <w:name w:val="插图题注"/>
    <w:next w:val="1"/>
    <w:autoRedefine/>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8">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29">
    <w:name w:val="表格项目符号 2"/>
    <w:basedOn w:val="28"/>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0">
    <w:name w:val="EB_表格"/>
    <w:basedOn w:val="1"/>
    <w:autoRedefine/>
    <w:qFormat/>
    <w:uiPriority w:val="0"/>
    <w:pPr>
      <w:adjustRightInd/>
      <w:spacing w:line="300" w:lineRule="auto"/>
      <w:jc w:val="center"/>
    </w:pPr>
  </w:style>
  <w:style w:type="paragraph" w:customStyle="1" w:styleId="631">
    <w:name w:val="_Style 6"/>
    <w:basedOn w:val="1"/>
    <w:autoRedefine/>
    <w:qFormat/>
    <w:uiPriority w:val="34"/>
    <w:pPr>
      <w:adjustRightInd/>
      <w:ind w:firstLine="420" w:firstLineChars="200"/>
    </w:pPr>
    <w:rPr>
      <w:rFonts w:eastAsia="仿宋_GB2312"/>
      <w:sz w:val="28"/>
    </w:rPr>
  </w:style>
  <w:style w:type="paragraph" w:customStyle="1" w:styleId="632">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3">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4">
    <w:name w:val="!大节"/>
    <w:basedOn w:val="4"/>
    <w:autoRedefine/>
    <w:qFormat/>
    <w:uiPriority w:val="0"/>
    <w:pPr>
      <w:spacing w:before="260" w:after="260" w:line="415" w:lineRule="auto"/>
      <w:ind w:left="420" w:hanging="420"/>
    </w:pPr>
    <w:rPr>
      <w:rFonts w:ascii="Arial" w:hAnsi="Arial" w:eastAsia="微软雅黑"/>
      <w:lang w:val="en-US"/>
    </w:rPr>
  </w:style>
  <w:style w:type="paragraph" w:customStyle="1" w:styleId="635">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6">
    <w:name w:val="正文表标题"/>
    <w:next w:val="637"/>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7">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8">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39">
    <w:name w:val="trademark"/>
    <w:autoRedefine/>
    <w:qFormat/>
    <w:uiPriority w:val="0"/>
    <w:pPr>
      <w:spacing w:after="60"/>
    </w:pPr>
    <w:rPr>
      <w:rFonts w:ascii="Futura Bk" w:hAnsi="Futura Bk" w:eastAsia="宋体" w:cs="Times New Roman"/>
      <w:sz w:val="15"/>
      <w:lang w:val="en-US" w:eastAsia="en-US" w:bidi="ar-SA"/>
    </w:rPr>
  </w:style>
  <w:style w:type="paragraph" w:customStyle="1" w:styleId="640">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1">
    <w:name w:val="Char Char1 Char Char Char Char Char Char1"/>
    <w:basedOn w:val="1"/>
    <w:autoRedefine/>
    <w:qFormat/>
    <w:uiPriority w:val="0"/>
    <w:rPr>
      <w:rFonts w:ascii="仿宋_GB2312" w:eastAsia="仿宋_GB2312"/>
      <w:b/>
      <w:sz w:val="32"/>
      <w:szCs w:val="20"/>
    </w:rPr>
  </w:style>
  <w:style w:type="paragraph" w:customStyle="1" w:styleId="642">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3">
    <w:name w:val="Char1 Char Char Char1"/>
    <w:basedOn w:val="1"/>
    <w:autoRedefine/>
    <w:qFormat/>
    <w:uiPriority w:val="0"/>
    <w:pPr>
      <w:adjustRightInd/>
      <w:ind w:firstLine="200" w:firstLineChars="200"/>
    </w:pPr>
    <w:rPr>
      <w:rFonts w:ascii="Tahoma" w:hAnsi="Tahoma"/>
      <w:sz w:val="24"/>
      <w:szCs w:val="20"/>
    </w:rPr>
  </w:style>
  <w:style w:type="paragraph" w:customStyle="1" w:styleId="644">
    <w:name w:val="a1"/>
    <w:basedOn w:val="1"/>
    <w:autoRedefine/>
    <w:qFormat/>
    <w:uiPriority w:val="0"/>
    <w:pPr>
      <w:widowControl/>
      <w:spacing w:line="300" w:lineRule="atLeast"/>
      <w:jc w:val="left"/>
    </w:pPr>
    <w:rPr>
      <w:rFonts w:ascii="宋体" w:hAnsi="宋体"/>
      <w:kern w:val="0"/>
      <w:sz w:val="18"/>
      <w:szCs w:val="20"/>
    </w:rPr>
  </w:style>
  <w:style w:type="paragraph" w:customStyle="1" w:styleId="645">
    <w:name w:val="样式7"/>
    <w:basedOn w:val="646"/>
    <w:next w:val="1"/>
    <w:autoRedefine/>
    <w:qFormat/>
    <w:uiPriority w:val="0"/>
    <w:pPr>
      <w:spacing w:after="156" w:afterLines="50"/>
      <w:jc w:val="left"/>
      <w:outlineLvl w:val="3"/>
    </w:pPr>
    <w:rPr>
      <w:sz w:val="24"/>
      <w:szCs w:val="24"/>
    </w:rPr>
  </w:style>
  <w:style w:type="paragraph" w:customStyle="1" w:styleId="646">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47">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48">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49">
    <w:name w:val="样式 样式2 + 左侧:  1 字符 右侧:  1 字符"/>
    <w:basedOn w:val="457"/>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0">
    <w:name w:val="Char2 Char Char2"/>
    <w:basedOn w:val="1"/>
    <w:autoRedefine/>
    <w:qFormat/>
    <w:uiPriority w:val="0"/>
    <w:pPr>
      <w:adjustRightInd/>
    </w:pPr>
    <w:rPr>
      <w:rFonts w:ascii="Tahoma" w:hAnsi="Tahoma"/>
      <w:sz w:val="24"/>
      <w:szCs w:val="20"/>
    </w:rPr>
  </w:style>
  <w:style w:type="paragraph" w:customStyle="1" w:styleId="651">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2">
    <w:name w:val="三级条标题"/>
    <w:basedOn w:val="653"/>
    <w:next w:val="637"/>
    <w:autoRedefine/>
    <w:qFormat/>
    <w:uiPriority w:val="0"/>
    <w:pPr>
      <w:tabs>
        <w:tab w:val="left" w:pos="1260"/>
        <w:tab w:val="left" w:pos="1680"/>
        <w:tab w:val="left" w:pos="2100"/>
        <w:tab w:val="left" w:pos="2520"/>
      </w:tabs>
      <w:ind w:left="2520"/>
      <w:outlineLvl w:val="4"/>
    </w:pPr>
  </w:style>
  <w:style w:type="paragraph" w:customStyle="1" w:styleId="653">
    <w:name w:val="二级条标题"/>
    <w:basedOn w:val="654"/>
    <w:next w:val="637"/>
    <w:autoRedefine/>
    <w:qFormat/>
    <w:uiPriority w:val="0"/>
    <w:pPr>
      <w:tabs>
        <w:tab w:val="left" w:pos="1260"/>
        <w:tab w:val="left" w:pos="1680"/>
        <w:tab w:val="left" w:pos="2100"/>
      </w:tabs>
      <w:ind w:left="0"/>
      <w:outlineLvl w:val="3"/>
    </w:pPr>
  </w:style>
  <w:style w:type="paragraph" w:customStyle="1" w:styleId="654">
    <w:name w:val="一级条标题"/>
    <w:basedOn w:val="655"/>
    <w:next w:val="637"/>
    <w:autoRedefine/>
    <w:qFormat/>
    <w:uiPriority w:val="0"/>
    <w:pPr>
      <w:tabs>
        <w:tab w:val="left" w:pos="1260"/>
        <w:tab w:val="left" w:pos="1680"/>
      </w:tabs>
      <w:spacing w:before="0" w:beforeLines="0" w:after="0" w:afterLines="0"/>
      <w:ind w:left="1680"/>
      <w:outlineLvl w:val="2"/>
    </w:pPr>
  </w:style>
  <w:style w:type="paragraph" w:customStyle="1" w:styleId="655">
    <w:name w:val="章标题"/>
    <w:next w:val="637"/>
    <w:autoRedefine/>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6">
    <w:name w:val="数字标题2"/>
    <w:basedOn w:val="4"/>
    <w:next w:val="1"/>
    <w:autoRedefine/>
    <w:qFormat/>
    <w:uiPriority w:val="0"/>
    <w:pPr>
      <w:tabs>
        <w:tab w:val="left" w:pos="480"/>
      </w:tabs>
      <w:ind w:left="480" w:hanging="480"/>
    </w:pPr>
    <w:rPr>
      <w:rFonts w:ascii="Times New Roman" w:eastAsia="宋体"/>
      <w:i/>
      <w:sz w:val="36"/>
      <w:szCs w:val="36"/>
      <w:lang w:val="en-US"/>
    </w:rPr>
  </w:style>
  <w:style w:type="paragraph" w:customStyle="1" w:styleId="657">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58">
    <w:name w:val="样式 标题 1Level 1 HeadPIM 1Section Headh1l11Heading 0Datash..."/>
    <w:basedOn w:val="3"/>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59">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0">
    <w:name w:val="样式 标题 1章节第一层h1H"/>
    <w:basedOn w:val="3"/>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1">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2">
    <w:name w:val="正文 项目2"/>
    <w:basedOn w:val="663"/>
    <w:autoRedefine/>
    <w:qFormat/>
    <w:uiPriority w:val="0"/>
    <w:pPr>
      <w:tabs>
        <w:tab w:val="left" w:pos="840"/>
      </w:tabs>
      <w:spacing w:after="0"/>
      <w:ind w:left="900"/>
    </w:pPr>
  </w:style>
  <w:style w:type="paragraph" w:customStyle="1" w:styleId="663">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4">
    <w:name w:val="Body Text 2*"/>
    <w:basedOn w:val="1"/>
    <w:autoRedefine/>
    <w:qFormat/>
    <w:uiPriority w:val="6"/>
    <w:pPr>
      <w:widowControl/>
      <w:adjustRightInd/>
      <w:ind w:left="720" w:hanging="720"/>
    </w:pPr>
    <w:rPr>
      <w:color w:val="000000"/>
      <w:kern w:val="0"/>
      <w:sz w:val="24"/>
      <w:szCs w:val="20"/>
      <w:lang w:val="en-GB"/>
    </w:rPr>
  </w:style>
  <w:style w:type="paragraph" w:customStyle="1" w:styleId="665">
    <w:name w:val="表1"/>
    <w:basedOn w:val="1"/>
    <w:autoRedefine/>
    <w:qFormat/>
    <w:uiPriority w:val="0"/>
    <w:pPr>
      <w:tabs>
        <w:tab w:val="left" w:pos="703"/>
      </w:tabs>
      <w:adjustRightInd/>
      <w:spacing w:line="360" w:lineRule="auto"/>
      <w:ind w:left="703"/>
      <w:jc w:val="center"/>
    </w:pPr>
  </w:style>
  <w:style w:type="paragraph" w:customStyle="1" w:styleId="666">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7">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68">
    <w:name w:val="章正文"/>
    <w:basedOn w:val="1"/>
    <w:autoRedefine/>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69">
    <w:name w:val="2级标题"/>
    <w:basedOn w:val="670"/>
    <w:autoRedefine/>
    <w:qFormat/>
    <w:uiPriority w:val="0"/>
    <w:pPr>
      <w:jc w:val="left"/>
      <w:outlineLvl w:val="1"/>
    </w:pPr>
    <w:rPr>
      <w:rFonts w:ascii="Times New Roman" w:hAnsi="Times New Roman" w:eastAsia="仿宋"/>
      <w:sz w:val="30"/>
    </w:rPr>
  </w:style>
  <w:style w:type="paragraph" w:customStyle="1" w:styleId="670">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1">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2">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3">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4">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5">
    <w:name w:val="bullet"/>
    <w:basedOn w:val="1"/>
    <w:autoRedefine/>
    <w:qFormat/>
    <w:uiPriority w:val="0"/>
    <w:pPr>
      <w:tabs>
        <w:tab w:val="left" w:pos="840"/>
      </w:tabs>
      <w:adjustRightInd/>
      <w:ind w:left="840" w:hanging="420"/>
    </w:pPr>
  </w:style>
  <w:style w:type="paragraph" w:customStyle="1" w:styleId="676">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7">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8">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79">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0">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1">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2">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3">
    <w:name w:val="MM Topic 4"/>
    <w:basedOn w:val="2"/>
    <w:autoRedefine/>
    <w:qFormat/>
    <w:uiPriority w:val="0"/>
    <w:pPr>
      <w:tabs>
        <w:tab w:val="left" w:pos="2100"/>
      </w:tabs>
      <w:adjustRightInd/>
      <w:ind w:left="2100" w:hanging="420"/>
    </w:pPr>
    <w:rPr>
      <w:lang w:val="en-US"/>
    </w:rPr>
  </w:style>
  <w:style w:type="paragraph" w:customStyle="1" w:styleId="684">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685">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6">
    <w:name w:val="Char Char11 Char Char Char Char Char Char Char Char Char1"/>
    <w:basedOn w:val="1"/>
    <w:autoRedefine/>
    <w:qFormat/>
    <w:uiPriority w:val="6"/>
    <w:pPr>
      <w:spacing w:line="360" w:lineRule="auto"/>
    </w:pPr>
    <w:rPr>
      <w:szCs w:val="20"/>
    </w:rPr>
  </w:style>
  <w:style w:type="paragraph" w:customStyle="1" w:styleId="687">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88">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89">
    <w:name w:val="body text bold"/>
    <w:basedOn w:val="23"/>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0">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1">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2">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3">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4">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5">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6">
    <w:name w:val="单元格居中"/>
    <w:basedOn w:val="1"/>
    <w:autoRedefine/>
    <w:qFormat/>
    <w:uiPriority w:val="0"/>
    <w:pPr>
      <w:adjustRightInd/>
      <w:spacing w:line="360" w:lineRule="auto"/>
      <w:jc w:val="center"/>
    </w:pPr>
    <w:rPr>
      <w:sz w:val="24"/>
    </w:rPr>
  </w:style>
  <w:style w:type="paragraph" w:customStyle="1" w:styleId="697">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8">
    <w:name w:val="Char Char Char Char Char Char Char1"/>
    <w:basedOn w:val="1"/>
    <w:autoRedefine/>
    <w:qFormat/>
    <w:uiPriority w:val="6"/>
    <w:rPr>
      <w:rFonts w:ascii="仿宋_GB2312" w:eastAsia="仿宋_GB2312"/>
      <w:b/>
      <w:sz w:val="32"/>
      <w:szCs w:val="32"/>
    </w:rPr>
  </w:style>
  <w:style w:type="paragraph" w:customStyle="1" w:styleId="699">
    <w:name w:val="正文缩进1"/>
    <w:basedOn w:val="1"/>
    <w:next w:val="24"/>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0">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1">
    <w:name w:val="Char3 Char Char Char11"/>
    <w:basedOn w:val="1"/>
    <w:autoRedefine/>
    <w:qFormat/>
    <w:uiPriority w:val="0"/>
    <w:pPr>
      <w:widowControl/>
      <w:adjustRightInd/>
      <w:spacing w:after="160" w:line="240" w:lineRule="exact"/>
      <w:jc w:val="left"/>
    </w:pPr>
    <w:rPr>
      <w:szCs w:val="20"/>
    </w:rPr>
  </w:style>
  <w:style w:type="paragraph" w:customStyle="1" w:styleId="702">
    <w:name w:val="Char Char1121"/>
    <w:basedOn w:val="1"/>
    <w:autoRedefine/>
    <w:qFormat/>
    <w:uiPriority w:val="0"/>
    <w:pPr>
      <w:spacing w:line="360" w:lineRule="auto"/>
    </w:pPr>
    <w:rPr>
      <w:szCs w:val="20"/>
    </w:rPr>
  </w:style>
  <w:style w:type="paragraph" w:customStyle="1" w:styleId="703">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4">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5">
    <w:name w:val="Normal0"/>
    <w:autoRedefine/>
    <w:qFormat/>
    <w:uiPriority w:val="0"/>
    <w:rPr>
      <w:rFonts w:ascii="Times New Roman" w:hAnsi="Times New Roman" w:eastAsia="宋体" w:cs="Times New Roman"/>
      <w:lang w:val="en-US" w:eastAsia="en-US" w:bidi="ar-SA"/>
    </w:rPr>
  </w:style>
  <w:style w:type="paragraph" w:customStyle="1" w:styleId="706">
    <w:name w:val="带编号样式"/>
    <w:basedOn w:val="624"/>
    <w:autoRedefine/>
    <w:qFormat/>
    <w:uiPriority w:val="0"/>
    <w:pPr>
      <w:tabs>
        <w:tab w:val="left" w:pos="840"/>
      </w:tabs>
      <w:snapToGrid w:val="0"/>
      <w:ind w:left="840" w:hanging="420" w:firstLineChars="0"/>
    </w:pPr>
    <w:rPr>
      <w:rFonts w:ascii="仿宋_GB2312" w:eastAsia="仿宋_GB2312"/>
      <w:color w:val="000000"/>
    </w:rPr>
  </w:style>
  <w:style w:type="paragraph" w:customStyle="1" w:styleId="707">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8">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09">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0">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1">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2">
    <w:name w:val="默认段落字体 Para Char Char Char1 Char"/>
    <w:basedOn w:val="1"/>
    <w:autoRedefine/>
    <w:qFormat/>
    <w:uiPriority w:val="0"/>
    <w:pPr>
      <w:spacing w:line="240" w:lineRule="atLeast"/>
      <w:ind w:left="420" w:firstLine="420"/>
    </w:pPr>
    <w:rPr>
      <w:sz w:val="24"/>
    </w:rPr>
  </w:style>
  <w:style w:type="paragraph" w:customStyle="1" w:styleId="713">
    <w:name w:val="WW-正文文字缩进 2"/>
    <w:basedOn w:val="1"/>
    <w:autoRedefine/>
    <w:qFormat/>
    <w:uiPriority w:val="0"/>
    <w:pPr>
      <w:suppressAutoHyphens/>
      <w:adjustRightInd/>
      <w:ind w:firstLine="420"/>
    </w:pPr>
    <w:rPr>
      <w:kern w:val="1"/>
      <w:szCs w:val="20"/>
    </w:rPr>
  </w:style>
  <w:style w:type="paragraph" w:customStyle="1" w:styleId="714">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5">
    <w:name w:val="样式 标题 2 + 四号"/>
    <w:basedOn w:val="4"/>
    <w:autoRedefine/>
    <w:qFormat/>
    <w:uiPriority w:val="0"/>
    <w:pPr>
      <w:spacing w:before="120" w:after="120"/>
      <w:ind w:left="0" w:firstLine="0"/>
      <w:jc w:val="both"/>
    </w:pPr>
    <w:rPr>
      <w:rFonts w:ascii="宋体" w:hAnsi="Arial" w:eastAsia="宋体"/>
      <w:sz w:val="28"/>
      <w:lang w:val="en-US"/>
    </w:rPr>
  </w:style>
  <w:style w:type="paragraph" w:customStyle="1" w:styleId="716">
    <w:name w:val="有符号正文"/>
    <w:basedOn w:val="1"/>
    <w:autoRedefine/>
    <w:qFormat/>
    <w:uiPriority w:val="0"/>
    <w:pPr>
      <w:adjustRightInd/>
      <w:spacing w:line="400" w:lineRule="exact"/>
      <w:ind w:firstLine="200" w:firstLineChars="200"/>
    </w:pPr>
    <w:rPr>
      <w:rFonts w:ascii="Arial" w:hAnsi="Arial"/>
    </w:rPr>
  </w:style>
  <w:style w:type="paragraph" w:customStyle="1" w:styleId="717">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8">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19">
    <w:name w:val="4"/>
    <w:basedOn w:val="1"/>
    <w:next w:val="36"/>
    <w:autoRedefine/>
    <w:qFormat/>
    <w:uiPriority w:val="0"/>
    <w:pPr>
      <w:spacing w:after="120" w:line="480" w:lineRule="auto"/>
      <w:ind w:left="420" w:leftChars="200"/>
    </w:pPr>
    <w:rPr>
      <w:sz w:val="24"/>
      <w:szCs w:val="20"/>
    </w:rPr>
  </w:style>
  <w:style w:type="paragraph" w:customStyle="1" w:styleId="720">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1">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2">
    <w:name w:val="样式 标题 3H3 + 两端对齐"/>
    <w:basedOn w:val="5"/>
    <w:autoRedefine/>
    <w:qFormat/>
    <w:uiPriority w:val="0"/>
    <w:pPr>
      <w:keepLines w:val="0"/>
      <w:spacing w:before="0" w:after="0" w:line="240" w:lineRule="auto"/>
      <w:jc w:val="left"/>
    </w:pPr>
    <w:rPr>
      <w:rFonts w:cs="宋体"/>
      <w:sz w:val="21"/>
      <w:szCs w:val="20"/>
    </w:rPr>
  </w:style>
  <w:style w:type="paragraph" w:customStyle="1" w:styleId="723">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4">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5">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6">
    <w:name w:val="表格 表头"/>
    <w:basedOn w:val="1"/>
    <w:autoRedefine/>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7">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8">
    <w:name w:val="Char Char1 Char Char Char"/>
    <w:basedOn w:val="1"/>
    <w:autoRedefine/>
    <w:qFormat/>
    <w:uiPriority w:val="0"/>
    <w:rPr>
      <w:rFonts w:ascii="仿宋_GB2312" w:eastAsia="仿宋_GB2312"/>
      <w:b/>
      <w:sz w:val="32"/>
      <w:szCs w:val="20"/>
    </w:rPr>
  </w:style>
  <w:style w:type="paragraph" w:customStyle="1" w:styleId="729">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0">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1">
    <w:name w:val="Picture"/>
    <w:basedOn w:val="1"/>
    <w:next w:val="16"/>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2">
    <w:name w:val="Char Char1 Char Char Char2"/>
    <w:basedOn w:val="1"/>
    <w:autoRedefine/>
    <w:qFormat/>
    <w:uiPriority w:val="0"/>
    <w:rPr>
      <w:rFonts w:ascii="仿宋_GB2312" w:eastAsia="仿宋_GB2312"/>
      <w:b/>
      <w:sz w:val="32"/>
      <w:szCs w:val="32"/>
    </w:rPr>
  </w:style>
  <w:style w:type="paragraph" w:customStyle="1" w:styleId="733">
    <w:name w:val="Char3 Char Char Char1"/>
    <w:basedOn w:val="1"/>
    <w:autoRedefine/>
    <w:qFormat/>
    <w:uiPriority w:val="6"/>
    <w:pPr>
      <w:widowControl/>
      <w:adjustRightInd/>
      <w:spacing w:after="160" w:line="240" w:lineRule="exact"/>
      <w:jc w:val="left"/>
    </w:pPr>
    <w:rPr>
      <w:szCs w:val="20"/>
    </w:rPr>
  </w:style>
  <w:style w:type="paragraph" w:customStyle="1" w:styleId="734">
    <w:name w:val="Char1 Char Char Char21"/>
    <w:basedOn w:val="1"/>
    <w:autoRedefine/>
    <w:qFormat/>
    <w:uiPriority w:val="0"/>
    <w:rPr>
      <w:rFonts w:ascii="Tahoma" w:hAnsi="Tahoma"/>
      <w:sz w:val="24"/>
      <w:szCs w:val="20"/>
    </w:rPr>
  </w:style>
  <w:style w:type="paragraph" w:customStyle="1" w:styleId="735">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6">
    <w:name w:val="正文（标题三）"/>
    <w:basedOn w:val="1"/>
    <w:autoRedefine/>
    <w:qFormat/>
    <w:uiPriority w:val="0"/>
    <w:pPr>
      <w:spacing w:line="360" w:lineRule="auto"/>
      <w:ind w:firstLine="200" w:firstLineChars="200"/>
    </w:pPr>
    <w:rPr>
      <w:sz w:val="24"/>
    </w:rPr>
  </w:style>
  <w:style w:type="paragraph" w:customStyle="1" w:styleId="737">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38">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39">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0">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1">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2">
    <w:name w:val="Char1 Char Char Char4"/>
    <w:basedOn w:val="1"/>
    <w:autoRedefine/>
    <w:qFormat/>
    <w:uiPriority w:val="0"/>
    <w:pPr>
      <w:adjustRightInd/>
      <w:ind w:firstLine="200" w:firstLineChars="200"/>
    </w:pPr>
    <w:rPr>
      <w:rFonts w:ascii="Tahoma" w:hAnsi="Tahoma"/>
      <w:sz w:val="24"/>
      <w:szCs w:val="20"/>
    </w:rPr>
  </w:style>
  <w:style w:type="paragraph" w:customStyle="1" w:styleId="743">
    <w:name w:val="_标题2"/>
    <w:basedOn w:val="710"/>
    <w:next w:val="710"/>
    <w:autoRedefine/>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4">
    <w:name w:val="样式1 + (中宋体"/>
    <w:basedOn w:val="721"/>
    <w:autoRedefine/>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5">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6">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7">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8">
    <w:name w:val="四号　首行缩进"/>
    <w:basedOn w:val="1"/>
    <w:autoRedefine/>
    <w:qFormat/>
    <w:uiPriority w:val="0"/>
    <w:pPr>
      <w:adjustRightInd/>
      <w:spacing w:line="360" w:lineRule="auto"/>
    </w:pPr>
    <w:rPr>
      <w:rFonts w:ascii="宋体" w:hAnsi="宋体"/>
      <w:szCs w:val="20"/>
    </w:rPr>
  </w:style>
  <w:style w:type="paragraph" w:customStyle="1" w:styleId="749">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0">
    <w:name w:val="Char Char Char Char Char Char Char Char Char Char Char1 Char"/>
    <w:basedOn w:val="1"/>
    <w:autoRedefine/>
    <w:qFormat/>
    <w:uiPriority w:val="0"/>
    <w:pPr>
      <w:adjustRightInd/>
    </w:pPr>
    <w:rPr>
      <w:rFonts w:ascii="Tahoma" w:hAnsi="Tahoma"/>
      <w:sz w:val="24"/>
    </w:rPr>
  </w:style>
  <w:style w:type="paragraph" w:customStyle="1" w:styleId="751">
    <w:name w:val="Char Char Char Char11"/>
    <w:basedOn w:val="1"/>
    <w:autoRedefine/>
    <w:qFormat/>
    <w:uiPriority w:val="0"/>
    <w:rPr>
      <w:rFonts w:ascii="Tahoma" w:hAnsi="Tahoma"/>
      <w:sz w:val="24"/>
      <w:szCs w:val="20"/>
    </w:rPr>
  </w:style>
  <w:style w:type="paragraph" w:customStyle="1" w:styleId="752">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3">
    <w:name w:val="Char Char Char Char"/>
    <w:basedOn w:val="1"/>
    <w:autoRedefine/>
    <w:qFormat/>
    <w:uiPriority w:val="0"/>
    <w:rPr>
      <w:rFonts w:ascii="Tahoma" w:hAnsi="Tahoma"/>
      <w:sz w:val="24"/>
      <w:szCs w:val="20"/>
    </w:rPr>
  </w:style>
  <w:style w:type="paragraph" w:customStyle="1" w:styleId="754">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5">
    <w:name w:val="Char19"/>
    <w:basedOn w:val="1"/>
    <w:autoRedefine/>
    <w:qFormat/>
    <w:uiPriority w:val="0"/>
    <w:pPr>
      <w:adjustRightInd/>
    </w:pPr>
    <w:rPr>
      <w:szCs w:val="20"/>
    </w:rPr>
  </w:style>
  <w:style w:type="paragraph" w:customStyle="1" w:styleId="756">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7">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8">
    <w:name w:val="_Style 5"/>
    <w:basedOn w:val="1"/>
    <w:autoRedefine/>
    <w:qFormat/>
    <w:uiPriority w:val="34"/>
    <w:pPr>
      <w:adjustRightInd/>
      <w:ind w:firstLine="420" w:firstLineChars="200"/>
    </w:pPr>
    <w:rPr>
      <w:rFonts w:eastAsia="仿宋_GB2312"/>
      <w:sz w:val="28"/>
    </w:rPr>
  </w:style>
  <w:style w:type="paragraph" w:customStyle="1" w:styleId="759">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0">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1">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2">
    <w:name w:val="标书表格字体格式"/>
    <w:next w:val="756"/>
    <w:autoRedefine/>
    <w:qFormat/>
    <w:uiPriority w:val="0"/>
    <w:rPr>
      <w:rFonts w:ascii="Times New Roman" w:hAnsi="Times New Roman" w:eastAsia="宋体" w:cs="Times New Roman"/>
      <w:kern w:val="2"/>
      <w:sz w:val="21"/>
      <w:szCs w:val="24"/>
      <w:lang w:val="en-US" w:eastAsia="zh-CN" w:bidi="ar-SA"/>
    </w:rPr>
  </w:style>
  <w:style w:type="paragraph" w:customStyle="1" w:styleId="763">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4">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5">
    <w:name w:val="修订3"/>
    <w:autoRedefine/>
    <w:qFormat/>
    <w:uiPriority w:val="0"/>
    <w:rPr>
      <w:rFonts w:ascii="Times New Roman" w:hAnsi="Times New Roman" w:eastAsia="宋体" w:cs="Times New Roman"/>
      <w:kern w:val="2"/>
      <w:sz w:val="21"/>
      <w:lang w:val="en-US" w:eastAsia="zh-CN" w:bidi="ar-SA"/>
    </w:rPr>
  </w:style>
  <w:style w:type="paragraph" w:customStyle="1" w:styleId="766">
    <w:name w:val="CSS1级正文 Char"/>
    <w:basedOn w:val="23"/>
    <w:autoRedefine/>
    <w:qFormat/>
    <w:uiPriority w:val="0"/>
    <w:pPr>
      <w:autoSpaceDE/>
      <w:autoSpaceDN/>
      <w:snapToGrid w:val="0"/>
      <w:ind w:firstLine="480" w:firstLineChars="200"/>
    </w:pPr>
    <w:rPr>
      <w:rFonts w:ascii="Times New Roman"/>
      <w:szCs w:val="24"/>
      <w:lang w:val="en-US"/>
    </w:rPr>
  </w:style>
  <w:style w:type="paragraph" w:customStyle="1" w:styleId="767">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8">
    <w:name w:val="表文字"/>
    <w:autoRedefine/>
    <w:qFormat/>
    <w:uiPriority w:val="0"/>
    <w:rPr>
      <w:rFonts w:ascii="宋体" w:hAnsi="Times New Roman" w:eastAsia="宋体" w:cs="Times New Roman"/>
      <w:kern w:val="2"/>
      <w:lang w:val="en-US" w:eastAsia="zh-CN" w:bidi="ar-SA"/>
    </w:rPr>
  </w:style>
  <w:style w:type="paragraph" w:customStyle="1" w:styleId="769">
    <w:name w:val="MM Title"/>
    <w:basedOn w:val="58"/>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0">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1">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2">
    <w:name w:val="Char Char Char Char Char Char Char Char2"/>
    <w:basedOn w:val="1"/>
    <w:autoRedefine/>
    <w:qFormat/>
    <w:uiPriority w:val="0"/>
    <w:pPr>
      <w:tabs>
        <w:tab w:val="left" w:pos="360"/>
      </w:tabs>
    </w:pPr>
    <w:rPr>
      <w:sz w:val="24"/>
      <w:szCs w:val="20"/>
    </w:rPr>
  </w:style>
  <w:style w:type="paragraph" w:customStyle="1" w:styleId="773">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4">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5">
    <w:name w:val="中文标题 3"/>
    <w:basedOn w:val="24"/>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6">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7">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8">
    <w:name w:val="正文－恩普"/>
    <w:basedOn w:val="15"/>
    <w:autoRedefine/>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79">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0">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1">
    <w:name w:val="p0"/>
    <w:basedOn w:val="1"/>
    <w:autoRedefine/>
    <w:qFormat/>
    <w:uiPriority w:val="0"/>
    <w:pPr>
      <w:widowControl/>
      <w:adjustRightInd/>
    </w:pPr>
    <w:rPr>
      <w:kern w:val="0"/>
      <w:szCs w:val="21"/>
    </w:rPr>
  </w:style>
  <w:style w:type="paragraph" w:customStyle="1" w:styleId="782">
    <w:name w:val="Char6"/>
    <w:basedOn w:val="1"/>
    <w:autoRedefine/>
    <w:qFormat/>
    <w:uiPriority w:val="0"/>
    <w:rPr>
      <w:rFonts w:ascii="仿宋_GB2312" w:eastAsia="仿宋_GB2312"/>
      <w:b/>
      <w:sz w:val="32"/>
      <w:szCs w:val="32"/>
    </w:rPr>
  </w:style>
  <w:style w:type="paragraph" w:customStyle="1" w:styleId="783">
    <w:name w:val="Char111"/>
    <w:basedOn w:val="1"/>
    <w:autoRedefine/>
    <w:qFormat/>
    <w:uiPriority w:val="0"/>
    <w:rPr>
      <w:rFonts w:ascii="仿宋_GB2312" w:eastAsia="仿宋_GB2312"/>
      <w:b/>
      <w:sz w:val="32"/>
      <w:szCs w:val="32"/>
    </w:rPr>
  </w:style>
  <w:style w:type="paragraph" w:customStyle="1" w:styleId="784">
    <w:name w:val="标题3"/>
    <w:basedOn w:val="5"/>
    <w:next w:val="52"/>
    <w:autoRedefine/>
    <w:qFormat/>
    <w:uiPriority w:val="0"/>
    <w:pPr>
      <w:tabs>
        <w:tab w:val="clear" w:pos="900"/>
      </w:tabs>
      <w:spacing w:after="0" w:line="360" w:lineRule="auto"/>
    </w:pPr>
    <w:rPr>
      <w:rFonts w:ascii="仿宋" w:hAnsi="仿宋" w:eastAsia="仿宋" w:cs="仿宋"/>
    </w:rPr>
  </w:style>
  <w:style w:type="paragraph" w:customStyle="1" w:styleId="785">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6">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87">
    <w:name w:val="Char1 Char Char Char2"/>
    <w:basedOn w:val="1"/>
    <w:autoRedefine/>
    <w:qFormat/>
    <w:uiPriority w:val="0"/>
    <w:pPr>
      <w:adjustRightInd/>
      <w:ind w:firstLine="200" w:firstLineChars="200"/>
    </w:pPr>
    <w:rPr>
      <w:rFonts w:ascii="Tahoma" w:hAnsi="Tahoma"/>
      <w:sz w:val="24"/>
      <w:szCs w:val="20"/>
    </w:rPr>
  </w:style>
  <w:style w:type="paragraph" w:customStyle="1" w:styleId="788">
    <w:name w:val="列出段落1"/>
    <w:basedOn w:val="1"/>
    <w:autoRedefine/>
    <w:qFormat/>
    <w:uiPriority w:val="0"/>
    <w:pPr>
      <w:adjustRightInd/>
      <w:spacing w:line="360" w:lineRule="auto"/>
      <w:ind w:firstLine="420" w:firstLineChars="200"/>
    </w:pPr>
    <w:rPr>
      <w:rFonts w:ascii="Calibri" w:hAnsi="Calibri"/>
      <w:sz w:val="24"/>
      <w:szCs w:val="22"/>
    </w:rPr>
  </w:style>
  <w:style w:type="paragraph" w:customStyle="1" w:styleId="789">
    <w:name w:val="样式 标题 1 + 黑色 段前: 0.5 行 段后: 0.5 行1"/>
    <w:basedOn w:val="3"/>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0">
    <w:name w:val="Char Char Char Char Char Char Char2"/>
    <w:basedOn w:val="1"/>
    <w:autoRedefine/>
    <w:qFormat/>
    <w:uiPriority w:val="0"/>
    <w:rPr>
      <w:rFonts w:ascii="仿宋_GB2312" w:eastAsia="仿宋_GB2312"/>
      <w:b/>
      <w:sz w:val="32"/>
      <w:szCs w:val="32"/>
    </w:rPr>
  </w:style>
  <w:style w:type="paragraph" w:customStyle="1" w:styleId="791">
    <w:name w:val="五级条标题"/>
    <w:basedOn w:val="792"/>
    <w:next w:val="637"/>
    <w:autoRedefine/>
    <w:qFormat/>
    <w:uiPriority w:val="0"/>
    <w:pPr>
      <w:tabs>
        <w:tab w:val="left" w:pos="1260"/>
        <w:tab w:val="left" w:pos="1680"/>
        <w:tab w:val="left" w:pos="2100"/>
        <w:tab w:val="left" w:pos="2940"/>
        <w:tab w:val="left" w:pos="3360"/>
      </w:tabs>
      <w:ind w:left="3360"/>
      <w:outlineLvl w:val="6"/>
    </w:pPr>
  </w:style>
  <w:style w:type="paragraph" w:customStyle="1" w:styleId="792">
    <w:name w:val="四级条标题"/>
    <w:basedOn w:val="652"/>
    <w:next w:val="637"/>
    <w:autoRedefine/>
    <w:qFormat/>
    <w:uiPriority w:val="0"/>
    <w:pPr>
      <w:tabs>
        <w:tab w:val="left" w:pos="2940"/>
        <w:tab w:val="clear" w:pos="2520"/>
      </w:tabs>
      <w:ind w:left="2940"/>
      <w:outlineLvl w:val="5"/>
    </w:pPr>
  </w:style>
  <w:style w:type="paragraph" w:customStyle="1" w:styleId="793">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4">
    <w:name w:val="Char23"/>
    <w:basedOn w:val="1"/>
    <w:autoRedefine/>
    <w:qFormat/>
    <w:uiPriority w:val="0"/>
    <w:rPr>
      <w:rFonts w:ascii="仿宋_GB2312" w:eastAsia="仿宋_GB2312"/>
      <w:b/>
      <w:sz w:val="32"/>
      <w:szCs w:val="32"/>
    </w:rPr>
  </w:style>
  <w:style w:type="paragraph" w:customStyle="1" w:styleId="795">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6">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797">
    <w:name w:val="首行缩进"/>
    <w:basedOn w:val="1"/>
    <w:autoRedefine/>
    <w:qFormat/>
    <w:uiPriority w:val="0"/>
    <w:pPr>
      <w:spacing w:line="360" w:lineRule="auto"/>
      <w:ind w:firstLine="480" w:firstLineChars="200"/>
    </w:pPr>
    <w:rPr>
      <w:rFonts w:ascii="宋体"/>
      <w:sz w:val="24"/>
      <w:szCs w:val="20"/>
    </w:rPr>
  </w:style>
  <w:style w:type="paragraph" w:customStyle="1" w:styleId="798">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799">
    <w:name w:val="单元格左对齐"/>
    <w:basedOn w:val="1"/>
    <w:autoRedefine/>
    <w:qFormat/>
    <w:uiPriority w:val="0"/>
    <w:pPr>
      <w:adjustRightInd/>
      <w:spacing w:line="360" w:lineRule="auto"/>
    </w:pPr>
    <w:rPr>
      <w:sz w:val="24"/>
    </w:rPr>
  </w:style>
  <w:style w:type="paragraph" w:customStyle="1" w:styleId="800">
    <w:name w:val="正文主体"/>
    <w:basedOn w:val="621"/>
    <w:autoRedefine/>
    <w:qFormat/>
    <w:uiPriority w:val="0"/>
  </w:style>
  <w:style w:type="paragraph" w:customStyle="1" w:styleId="801">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2">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3">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4">
    <w:name w:val="正文（首行缩进2字符）"/>
    <w:basedOn w:val="1"/>
    <w:autoRedefine/>
    <w:qFormat/>
    <w:uiPriority w:val="0"/>
    <w:pPr>
      <w:adjustRightInd/>
      <w:spacing w:line="360" w:lineRule="auto"/>
      <w:ind w:firstLine="480" w:firstLineChars="200"/>
    </w:pPr>
    <w:rPr>
      <w:sz w:val="24"/>
      <w:szCs w:val="20"/>
    </w:rPr>
  </w:style>
  <w:style w:type="paragraph" w:customStyle="1" w:styleId="805">
    <w:name w:val="P1"/>
    <w:basedOn w:val="1"/>
    <w:autoRedefine/>
    <w:qFormat/>
    <w:uiPriority w:val="0"/>
    <w:pPr>
      <w:adjustRightInd/>
      <w:spacing w:line="288" w:lineRule="auto"/>
      <w:ind w:firstLine="425" w:firstLineChars="200"/>
    </w:pPr>
  </w:style>
  <w:style w:type="paragraph" w:customStyle="1" w:styleId="806">
    <w:name w:val="列表内容"/>
    <w:basedOn w:val="1"/>
    <w:next w:val="1"/>
    <w:autoRedefine/>
    <w:qFormat/>
    <w:uiPriority w:val="0"/>
    <w:pPr>
      <w:widowControl/>
      <w:tabs>
        <w:tab w:val="left" w:pos="840"/>
      </w:tabs>
      <w:ind w:left="840" w:hanging="420"/>
      <w:jc w:val="left"/>
    </w:pPr>
    <w:rPr>
      <w:kern w:val="0"/>
      <w:sz w:val="18"/>
    </w:rPr>
  </w:style>
  <w:style w:type="paragraph" w:customStyle="1" w:styleId="807">
    <w:name w:val="Char Char11 Char Char Char1"/>
    <w:basedOn w:val="1"/>
    <w:autoRedefine/>
    <w:qFormat/>
    <w:uiPriority w:val="6"/>
    <w:pPr>
      <w:spacing w:line="360" w:lineRule="auto"/>
    </w:pPr>
    <w:rPr>
      <w:szCs w:val="20"/>
    </w:rPr>
  </w:style>
  <w:style w:type="paragraph" w:customStyle="1" w:styleId="808">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09">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0">
    <w:name w:val="标题 41"/>
    <w:basedOn w:val="1"/>
    <w:next w:val="1"/>
    <w:autoRedefine/>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1">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2">
    <w:name w:val="正文文字缩进2字"/>
    <w:basedOn w:val="23"/>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3">
    <w:name w:val="默认段落字体 Para Char Char Char Char"/>
    <w:basedOn w:val="1"/>
    <w:autoRedefine/>
    <w:qFormat/>
    <w:uiPriority w:val="0"/>
    <w:pPr>
      <w:spacing w:line="360" w:lineRule="auto"/>
    </w:pPr>
    <w:rPr>
      <w:szCs w:val="20"/>
    </w:rPr>
  </w:style>
  <w:style w:type="paragraph" w:customStyle="1" w:styleId="814">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5">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6">
    <w:name w:val="Char2 Char Char Char2"/>
    <w:basedOn w:val="1"/>
    <w:autoRedefine/>
    <w:qFormat/>
    <w:uiPriority w:val="0"/>
    <w:rPr>
      <w:rFonts w:ascii="仿宋_GB2312" w:eastAsia="仿宋_GB2312"/>
      <w:b/>
      <w:sz w:val="32"/>
      <w:szCs w:val="32"/>
    </w:rPr>
  </w:style>
  <w:style w:type="paragraph" w:customStyle="1" w:styleId="817">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18">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19">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0">
    <w:name w:val="Char Char4 Char Char"/>
    <w:basedOn w:val="1"/>
    <w:autoRedefine/>
    <w:qFormat/>
    <w:uiPriority w:val="0"/>
    <w:pPr>
      <w:widowControl/>
      <w:adjustRightInd/>
      <w:spacing w:after="160" w:line="240" w:lineRule="exact"/>
      <w:jc w:val="left"/>
    </w:pPr>
  </w:style>
  <w:style w:type="paragraph" w:customStyle="1" w:styleId="821">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2">
    <w:name w:val="Char Char11 Char Char Char2"/>
    <w:basedOn w:val="1"/>
    <w:autoRedefine/>
    <w:qFormat/>
    <w:uiPriority w:val="0"/>
    <w:pPr>
      <w:spacing w:line="360" w:lineRule="auto"/>
    </w:pPr>
    <w:rPr>
      <w:szCs w:val="20"/>
    </w:rPr>
  </w:style>
  <w:style w:type="paragraph" w:customStyle="1" w:styleId="823">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4">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5">
    <w:name w:val="数字标题4"/>
    <w:basedOn w:val="2"/>
    <w:autoRedefine/>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6">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27">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28">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29">
    <w:name w:val="Char311"/>
    <w:basedOn w:val="1"/>
    <w:autoRedefine/>
    <w:qFormat/>
    <w:uiPriority w:val="0"/>
    <w:pPr>
      <w:adjustRightInd/>
      <w:ind w:firstLine="200" w:firstLineChars="200"/>
    </w:pPr>
    <w:rPr>
      <w:rFonts w:ascii="Tahoma" w:hAnsi="Tahoma"/>
      <w:sz w:val="24"/>
      <w:szCs w:val="20"/>
    </w:rPr>
  </w:style>
  <w:style w:type="paragraph" w:customStyle="1" w:styleId="830">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1">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2">
    <w:name w:val="正文 内标"/>
    <w:basedOn w:val="747"/>
    <w:autoRedefine/>
    <w:qFormat/>
    <w:uiPriority w:val="0"/>
    <w:pPr>
      <w:tabs>
        <w:tab w:val="left" w:pos="0"/>
      </w:tabs>
      <w:ind w:left="900" w:firstLine="0" w:firstLineChars="0"/>
    </w:pPr>
  </w:style>
  <w:style w:type="paragraph" w:customStyle="1" w:styleId="833">
    <w:name w:val="Bulleted List"/>
    <w:basedOn w:val="1"/>
    <w:autoRedefine/>
    <w:qFormat/>
    <w:uiPriority w:val="0"/>
    <w:pPr>
      <w:tabs>
        <w:tab w:val="left" w:pos="1260"/>
      </w:tabs>
      <w:adjustRightInd/>
      <w:ind w:left="1260" w:hanging="420"/>
    </w:pPr>
  </w:style>
  <w:style w:type="paragraph" w:customStyle="1" w:styleId="834">
    <w:name w:val="样式 正文文本缩进 2 + 仿宋_GB2312 黑色 行距: 1.5 倍行距"/>
    <w:basedOn w:val="36"/>
    <w:autoRedefine/>
    <w:qFormat/>
    <w:uiPriority w:val="0"/>
    <w:pPr>
      <w:adjustRightInd/>
      <w:ind w:firstLine="560" w:firstLineChars="200"/>
      <w:textAlignment w:val="auto"/>
    </w:pPr>
    <w:rPr>
      <w:rFonts w:hAnsi="宋体" w:cs="宋体"/>
      <w:color w:val="000000"/>
      <w:kern w:val="2"/>
      <w:sz w:val="24"/>
    </w:rPr>
  </w:style>
  <w:style w:type="paragraph" w:customStyle="1" w:styleId="835">
    <w:name w:val="样式 左侧:  0.85 厘米"/>
    <w:basedOn w:val="1"/>
    <w:autoRedefine/>
    <w:qFormat/>
    <w:uiPriority w:val="2"/>
    <w:pPr>
      <w:adjustRightInd/>
      <w:spacing w:line="360" w:lineRule="auto"/>
    </w:pPr>
    <w:rPr>
      <w:rFonts w:cs="宋体"/>
      <w:sz w:val="24"/>
      <w:szCs w:val="20"/>
    </w:rPr>
  </w:style>
  <w:style w:type="paragraph" w:customStyle="1" w:styleId="836">
    <w:name w:val="Char Char Char Char Char Char Char Char Char Char Char Char1 Char"/>
    <w:basedOn w:val="1"/>
    <w:autoRedefine/>
    <w:qFormat/>
    <w:uiPriority w:val="0"/>
    <w:rPr>
      <w:rFonts w:ascii="Tahoma" w:hAnsi="Tahoma" w:cs="仿宋_GB2312"/>
      <w:sz w:val="24"/>
      <w:szCs w:val="20"/>
    </w:rPr>
  </w:style>
  <w:style w:type="paragraph" w:customStyle="1" w:styleId="837">
    <w:name w:val="正文1"/>
    <w:basedOn w:val="31"/>
    <w:autoRedefine/>
    <w:qFormat/>
    <w:uiPriority w:val="0"/>
    <w:pPr>
      <w:ind w:left="0" w:leftChars="0" w:firstLine="480" w:firstLineChars="200"/>
    </w:pPr>
    <w:rPr>
      <w:rFonts w:ascii="仿宋_GB2312" w:hAnsi="Courier New" w:eastAsia="仿宋_GB2312"/>
      <w:kern w:val="28"/>
      <w:sz w:val="24"/>
    </w:rPr>
  </w:style>
  <w:style w:type="paragraph" w:customStyle="1" w:styleId="838">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39">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0">
    <w:name w:val="模板普通正文"/>
    <w:basedOn w:val="24"/>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1">
    <w:name w:val="Char Char1 Char Char Char Char Char Char"/>
    <w:basedOn w:val="1"/>
    <w:autoRedefine/>
    <w:qFormat/>
    <w:uiPriority w:val="0"/>
    <w:rPr>
      <w:rFonts w:ascii="仿宋_GB2312" w:eastAsia="仿宋_GB2312"/>
      <w:b/>
      <w:sz w:val="32"/>
      <w:szCs w:val="20"/>
    </w:rPr>
  </w:style>
  <w:style w:type="paragraph" w:customStyle="1" w:styleId="842">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3">
    <w:name w:val="Char Char1 Char Char Char Char Char Char2"/>
    <w:basedOn w:val="1"/>
    <w:autoRedefine/>
    <w:qFormat/>
    <w:uiPriority w:val="0"/>
    <w:rPr>
      <w:rFonts w:ascii="仿宋_GB2312" w:eastAsia="仿宋_GB2312"/>
      <w:b/>
      <w:sz w:val="32"/>
      <w:szCs w:val="20"/>
    </w:rPr>
  </w:style>
  <w:style w:type="paragraph" w:customStyle="1" w:styleId="844">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5">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6">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7">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8">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49">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0">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1">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2">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3">
    <w:name w:val="Char31"/>
    <w:basedOn w:val="1"/>
    <w:autoRedefine/>
    <w:qFormat/>
    <w:uiPriority w:val="0"/>
    <w:pPr>
      <w:adjustRightInd/>
    </w:pPr>
    <w:rPr>
      <w:rFonts w:ascii="仿宋_GB2312" w:eastAsia="仿宋_GB2312"/>
      <w:b/>
      <w:sz w:val="32"/>
      <w:szCs w:val="32"/>
    </w:rPr>
  </w:style>
  <w:style w:type="paragraph" w:customStyle="1" w:styleId="854">
    <w:name w:val="样式 标题 3h33rd level3Heading 3 - oldH3l3CTheading 3Headin..."/>
    <w:basedOn w:val="5"/>
    <w:autoRedefine/>
    <w:qFormat/>
    <w:uiPriority w:val="0"/>
    <w:pPr>
      <w:snapToGrid w:val="0"/>
      <w:ind w:left="0" w:firstLine="0"/>
      <w:jc w:val="left"/>
    </w:pPr>
    <w:rPr>
      <w:rFonts w:eastAsia="黑体" w:cs="宋体"/>
      <w:sz w:val="28"/>
      <w:szCs w:val="20"/>
    </w:rPr>
  </w:style>
  <w:style w:type="paragraph" w:customStyle="1" w:styleId="855">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6">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7">
    <w:name w:val="Char Char1"/>
    <w:basedOn w:val="1"/>
    <w:autoRedefine/>
    <w:qFormat/>
    <w:uiPriority w:val="0"/>
    <w:pPr>
      <w:widowControl/>
      <w:spacing w:after="160" w:line="240" w:lineRule="exact"/>
      <w:jc w:val="left"/>
    </w:pPr>
    <w:rPr>
      <w:rFonts w:eastAsia="仿宋_GB2312"/>
      <w:sz w:val="28"/>
    </w:rPr>
  </w:style>
  <w:style w:type="paragraph" w:customStyle="1" w:styleId="858">
    <w:name w:val="Char21"/>
    <w:basedOn w:val="1"/>
    <w:autoRedefine/>
    <w:qFormat/>
    <w:uiPriority w:val="0"/>
    <w:pPr>
      <w:adjustRightInd/>
      <w:ind w:firstLine="200" w:firstLineChars="200"/>
    </w:pPr>
    <w:rPr>
      <w:rFonts w:ascii="仿宋_GB2312" w:eastAsia="仿宋_GB2312"/>
      <w:b/>
      <w:sz w:val="32"/>
      <w:szCs w:val="32"/>
    </w:rPr>
  </w:style>
  <w:style w:type="paragraph" w:customStyle="1" w:styleId="859">
    <w:name w:val="列表段落1"/>
    <w:basedOn w:val="1"/>
    <w:autoRedefine/>
    <w:qFormat/>
    <w:uiPriority w:val="34"/>
    <w:pPr>
      <w:adjustRightInd/>
      <w:ind w:right="238" w:firstLine="420"/>
    </w:pPr>
    <w:rPr>
      <w:rFonts w:ascii="Calibri" w:hAnsi="Calibri"/>
      <w:sz w:val="24"/>
    </w:rPr>
  </w:style>
  <w:style w:type="paragraph" w:customStyle="1" w:styleId="860">
    <w:name w:val="Char Char110"/>
    <w:basedOn w:val="1"/>
    <w:autoRedefine/>
    <w:qFormat/>
    <w:uiPriority w:val="6"/>
    <w:pPr>
      <w:spacing w:line="360" w:lineRule="auto"/>
    </w:pPr>
    <w:rPr>
      <w:rFonts w:ascii="Tahoma" w:hAnsi="Tahoma"/>
      <w:sz w:val="24"/>
      <w:szCs w:val="20"/>
    </w:rPr>
  </w:style>
  <w:style w:type="paragraph" w:customStyle="1" w:styleId="861">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2">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3">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4">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5">
    <w:name w:val="Char Char Char Char Char Char Char Char Char Char Char Char1 Char2"/>
    <w:basedOn w:val="1"/>
    <w:autoRedefine/>
    <w:qFormat/>
    <w:uiPriority w:val="0"/>
    <w:rPr>
      <w:rFonts w:ascii="Tahoma" w:hAnsi="Tahoma" w:cs="仿宋_GB2312"/>
      <w:sz w:val="24"/>
      <w:szCs w:val="20"/>
    </w:rPr>
  </w:style>
  <w:style w:type="paragraph" w:customStyle="1" w:styleId="866">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7">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68">
    <w:name w:val="样式 列表编号 + 段后: 0.5 行"/>
    <w:basedOn w:val="14"/>
    <w:autoRedefine/>
    <w:qFormat/>
    <w:uiPriority w:val="2"/>
    <w:pPr>
      <w:tabs>
        <w:tab w:val="clear" w:pos="390"/>
        <w:tab w:val="clear" w:pos="454"/>
      </w:tabs>
      <w:spacing w:after="0"/>
      <w:ind w:left="840" w:hanging="420"/>
      <w:contextualSpacing/>
    </w:pPr>
    <w:rPr>
      <w:rFonts w:cs="宋体"/>
    </w:rPr>
  </w:style>
  <w:style w:type="paragraph" w:customStyle="1" w:styleId="869">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0">
    <w:name w:val="_Style 12"/>
    <w:basedOn w:val="18"/>
    <w:autoRedefine/>
    <w:qFormat/>
    <w:uiPriority w:val="0"/>
    <w:pPr>
      <w:snapToGrid w:val="0"/>
      <w:spacing w:line="360" w:lineRule="auto"/>
    </w:pPr>
  </w:style>
  <w:style w:type="paragraph" w:customStyle="1" w:styleId="871">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2">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3">
    <w:name w:val="_Style 94"/>
    <w:basedOn w:val="1"/>
    <w:next w:val="255"/>
    <w:autoRedefine/>
    <w:qFormat/>
    <w:uiPriority w:val="34"/>
    <w:pPr>
      <w:adjustRightInd/>
      <w:spacing w:line="360" w:lineRule="auto"/>
      <w:ind w:firstLine="200" w:firstLineChars="200"/>
    </w:pPr>
    <w:rPr>
      <w:rFonts w:ascii="Calibri" w:hAnsi="Calibri"/>
      <w:sz w:val="28"/>
      <w:szCs w:val="20"/>
    </w:rPr>
  </w:style>
  <w:style w:type="paragraph" w:customStyle="1" w:styleId="874">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5">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6">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7">
    <w:name w:val="3级标题"/>
    <w:basedOn w:val="669"/>
    <w:autoRedefine/>
    <w:qFormat/>
    <w:uiPriority w:val="0"/>
    <w:pPr>
      <w:outlineLvl w:val="2"/>
    </w:pPr>
  </w:style>
  <w:style w:type="paragraph" w:customStyle="1" w:styleId="878">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79">
    <w:name w:val="Char1 Char Char Char3"/>
    <w:basedOn w:val="1"/>
    <w:autoRedefine/>
    <w:qFormat/>
    <w:uiPriority w:val="0"/>
    <w:pPr>
      <w:adjustRightInd/>
      <w:ind w:firstLine="200" w:firstLineChars="200"/>
    </w:pPr>
    <w:rPr>
      <w:rFonts w:ascii="Tahoma" w:hAnsi="Tahoma"/>
      <w:sz w:val="24"/>
      <w:szCs w:val="20"/>
    </w:rPr>
  </w:style>
  <w:style w:type="paragraph" w:customStyle="1" w:styleId="880">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1">
    <w:name w:val="MM Empty"/>
    <w:basedOn w:val="1"/>
    <w:autoRedefine/>
    <w:qFormat/>
    <w:uiPriority w:val="0"/>
    <w:pPr>
      <w:adjustRightInd/>
    </w:pPr>
  </w:style>
  <w:style w:type="paragraph" w:customStyle="1" w:styleId="882">
    <w:name w:val="Char24"/>
    <w:basedOn w:val="1"/>
    <w:autoRedefine/>
    <w:qFormat/>
    <w:uiPriority w:val="0"/>
    <w:rPr>
      <w:rFonts w:ascii="仿宋_GB2312" w:eastAsia="仿宋_GB2312"/>
      <w:b/>
      <w:sz w:val="32"/>
      <w:szCs w:val="32"/>
    </w:rPr>
  </w:style>
  <w:style w:type="paragraph" w:customStyle="1" w:styleId="883">
    <w:name w:val="正文箭头"/>
    <w:basedOn w:val="535"/>
    <w:autoRedefine/>
    <w:qFormat/>
    <w:uiPriority w:val="0"/>
  </w:style>
  <w:style w:type="paragraph" w:customStyle="1" w:styleId="884">
    <w:name w:val="U_编号2"/>
    <w:basedOn w:val="1"/>
    <w:autoRedefine/>
    <w:qFormat/>
    <w:uiPriority w:val="0"/>
    <w:pPr>
      <w:tabs>
        <w:tab w:val="left" w:pos="785"/>
      </w:tabs>
      <w:adjustRightInd/>
      <w:spacing w:beforeLines="10" w:afterLines="10" w:line="300" w:lineRule="auto"/>
    </w:pPr>
    <w:rPr>
      <w:sz w:val="24"/>
    </w:rPr>
  </w:style>
  <w:style w:type="paragraph" w:customStyle="1" w:styleId="885">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6">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7">
    <w:name w:val="标书标题3"/>
    <w:basedOn w:val="5"/>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8">
    <w:name w:val="TOC 标题11"/>
    <w:basedOn w:val="3"/>
    <w:next w:val="1"/>
    <w:autoRedefine/>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89">
    <w:name w:val="_Style 1"/>
    <w:basedOn w:val="1"/>
    <w:autoRedefine/>
    <w:qFormat/>
    <w:uiPriority w:val="34"/>
    <w:pPr>
      <w:adjustRightInd/>
      <w:ind w:firstLine="420" w:firstLineChars="200"/>
    </w:pPr>
    <w:rPr>
      <w:rFonts w:eastAsia="仿宋_GB2312"/>
      <w:sz w:val="28"/>
    </w:rPr>
  </w:style>
  <w:style w:type="paragraph" w:customStyle="1" w:styleId="890">
    <w:name w:val="表格 内容"/>
    <w:basedOn w:val="726"/>
    <w:autoRedefine/>
    <w:qFormat/>
    <w:uiPriority w:val="0"/>
    <w:rPr>
      <w:b w:val="0"/>
      <w:sz w:val="20"/>
    </w:rPr>
  </w:style>
  <w:style w:type="paragraph" w:customStyle="1" w:styleId="891">
    <w:name w:val="正文首行缩进1"/>
    <w:basedOn w:val="23"/>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2">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3">
    <w:name w:val="数字标题5"/>
    <w:basedOn w:val="6"/>
    <w:next w:val="1"/>
    <w:autoRedefine/>
    <w:qFormat/>
    <w:uiPriority w:val="0"/>
    <w:pPr>
      <w:tabs>
        <w:tab w:val="left" w:pos="1080"/>
      </w:tabs>
      <w:ind w:left="1080" w:hanging="1080"/>
    </w:pPr>
  </w:style>
  <w:style w:type="paragraph" w:customStyle="1" w:styleId="894">
    <w:name w:val="数字标题1"/>
    <w:basedOn w:val="3"/>
    <w:next w:val="1"/>
    <w:autoRedefine/>
    <w:qFormat/>
    <w:uiPriority w:val="0"/>
    <w:pPr>
      <w:tabs>
        <w:tab w:val="left" w:pos="480"/>
      </w:tabs>
      <w:ind w:left="480" w:hanging="480"/>
    </w:pPr>
  </w:style>
  <w:style w:type="paragraph" w:customStyle="1" w:styleId="895">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6">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7">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8">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899">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0">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1">
    <w:name w:val="0"/>
    <w:basedOn w:val="1"/>
    <w:autoRedefine/>
    <w:qFormat/>
    <w:uiPriority w:val="0"/>
    <w:pPr>
      <w:widowControl/>
    </w:pPr>
    <w:rPr>
      <w:kern w:val="0"/>
      <w:sz w:val="24"/>
      <w:szCs w:val="20"/>
    </w:rPr>
  </w:style>
  <w:style w:type="paragraph" w:customStyle="1" w:styleId="902">
    <w:name w:val="Char Char113"/>
    <w:basedOn w:val="1"/>
    <w:autoRedefine/>
    <w:qFormat/>
    <w:uiPriority w:val="0"/>
    <w:pPr>
      <w:widowControl/>
      <w:spacing w:after="160" w:line="240" w:lineRule="exact"/>
      <w:jc w:val="left"/>
    </w:pPr>
    <w:rPr>
      <w:rFonts w:eastAsia="仿宋_GB2312"/>
      <w:sz w:val="28"/>
    </w:rPr>
  </w:style>
  <w:style w:type="paragraph" w:customStyle="1" w:styleId="903">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4">
    <w:name w:val="_Style 8"/>
    <w:basedOn w:val="1"/>
    <w:autoRedefine/>
    <w:qFormat/>
    <w:uiPriority w:val="34"/>
    <w:pPr>
      <w:adjustRightInd/>
      <w:ind w:firstLine="420" w:firstLineChars="200"/>
    </w:pPr>
    <w:rPr>
      <w:rFonts w:eastAsia="仿宋_GB2312"/>
      <w:sz w:val="28"/>
    </w:rPr>
  </w:style>
  <w:style w:type="paragraph" w:customStyle="1" w:styleId="905">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6">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07">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8">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09">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0">
    <w:name w:val="Char Char112"/>
    <w:basedOn w:val="1"/>
    <w:autoRedefine/>
    <w:qFormat/>
    <w:uiPriority w:val="6"/>
    <w:pPr>
      <w:widowControl/>
      <w:spacing w:after="160" w:line="240" w:lineRule="exact"/>
      <w:jc w:val="left"/>
    </w:pPr>
    <w:rPr>
      <w:rFonts w:eastAsia="仿宋_GB2312"/>
      <w:sz w:val="28"/>
    </w:rPr>
  </w:style>
  <w:style w:type="paragraph" w:customStyle="1" w:styleId="911">
    <w:name w:val="正文 图"/>
    <w:basedOn w:val="440"/>
    <w:autoRedefine/>
    <w:qFormat/>
    <w:uiPriority w:val="0"/>
    <w:pPr>
      <w:adjustRightInd/>
      <w:spacing w:before="0"/>
      <w:ind w:firstLine="0"/>
      <w:jc w:val="center"/>
    </w:pPr>
    <w:rPr>
      <w:rFonts w:ascii="微软雅黑" w:hAnsi="微软雅黑"/>
    </w:rPr>
  </w:style>
  <w:style w:type="paragraph" w:customStyle="1" w:styleId="912">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3">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4">
    <w:name w:val="Thf"/>
    <w:basedOn w:val="559"/>
    <w:autoRedefine/>
    <w:qFormat/>
    <w:uiPriority w:val="0"/>
    <w:pPr>
      <w:ind w:left="0"/>
    </w:pPr>
  </w:style>
  <w:style w:type="paragraph" w:customStyle="1" w:styleId="915">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6">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17">
    <w:name w:val="注释"/>
    <w:basedOn w:val="1"/>
    <w:autoRedefine/>
    <w:qFormat/>
    <w:uiPriority w:val="0"/>
    <w:pPr>
      <w:adjustRightInd/>
      <w:spacing w:line="360" w:lineRule="auto"/>
      <w:ind w:firstLine="480"/>
    </w:pPr>
    <w:rPr>
      <w:sz w:val="24"/>
    </w:rPr>
  </w:style>
  <w:style w:type="table" w:customStyle="1" w:styleId="918">
    <w:name w:val="网格型2"/>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9">
    <w:name w:val="网格型1"/>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0">
    <w:name w:val="网格型6"/>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3"/>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4"/>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5"/>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4">
    <w:name w:val="列出段落111"/>
    <w:basedOn w:val="1"/>
    <w:autoRedefine/>
    <w:qFormat/>
    <w:uiPriority w:val="34"/>
    <w:pPr>
      <w:ind w:firstLine="420" w:firstLineChars="200"/>
    </w:pPr>
  </w:style>
  <w:style w:type="character" w:customStyle="1" w:styleId="925">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6">
    <w:name w:val="正文缩进 字符1"/>
    <w:autoRedefine/>
    <w:qFormat/>
    <w:uiPriority w:val="0"/>
    <w:rPr>
      <w:rFonts w:ascii="宋体" w:eastAsia="宋体"/>
      <w:snapToGrid w:val="0"/>
      <w:color w:val="000000"/>
      <w:kern w:val="28"/>
      <w:sz w:val="28"/>
      <w:lang w:val="en-US" w:eastAsia="zh-CN" w:bidi="ar-SA"/>
    </w:rPr>
  </w:style>
  <w:style w:type="character" w:customStyle="1" w:styleId="927">
    <w:name w:val="页脚 字符1"/>
    <w:autoRedefine/>
    <w:qFormat/>
    <w:locked/>
    <w:uiPriority w:val="99"/>
    <w:rPr>
      <w:kern w:val="2"/>
      <w:sz w:val="18"/>
      <w:szCs w:val="18"/>
    </w:rPr>
  </w:style>
  <w:style w:type="character" w:customStyle="1" w:styleId="928">
    <w:name w:val="页眉 字符1"/>
    <w:autoRedefine/>
    <w:qFormat/>
    <w:uiPriority w:val="99"/>
    <w:rPr>
      <w:kern w:val="2"/>
      <w:sz w:val="18"/>
      <w:szCs w:val="18"/>
    </w:rPr>
  </w:style>
  <w:style w:type="character" w:customStyle="1" w:styleId="929">
    <w:name w:val="尾注文本 字符"/>
    <w:link w:val="37"/>
    <w:autoRedefine/>
    <w:qFormat/>
    <w:uiPriority w:val="0"/>
    <w:rPr>
      <w:kern w:val="2"/>
      <w:sz w:val="21"/>
      <w:szCs w:val="24"/>
      <w:lang w:val="zh-CN"/>
    </w:rPr>
  </w:style>
  <w:style w:type="character" w:customStyle="1" w:styleId="930">
    <w:name w:val="无间隔 字符"/>
    <w:link w:val="480"/>
    <w:autoRedefine/>
    <w:qFormat/>
    <w:uiPriority w:val="99"/>
    <w:rPr>
      <w:kern w:val="2"/>
      <w:sz w:val="21"/>
      <w:szCs w:val="22"/>
    </w:rPr>
  </w:style>
  <w:style w:type="character" w:customStyle="1" w:styleId="931">
    <w:name w:val="标准文本 Char Char"/>
    <w:link w:val="932"/>
    <w:autoRedefine/>
    <w:qFormat/>
    <w:uiPriority w:val="0"/>
    <w:rPr>
      <w:rFonts w:cs="宋体"/>
      <w:kern w:val="2"/>
      <w:sz w:val="24"/>
    </w:rPr>
  </w:style>
  <w:style w:type="paragraph" w:customStyle="1" w:styleId="932">
    <w:name w:val="标准文本"/>
    <w:basedOn w:val="1"/>
    <w:link w:val="931"/>
    <w:autoRedefine/>
    <w:qFormat/>
    <w:uiPriority w:val="0"/>
    <w:pPr>
      <w:adjustRightInd/>
      <w:spacing w:line="360" w:lineRule="auto"/>
      <w:ind w:firstLine="480" w:firstLineChars="200"/>
    </w:pPr>
    <w:rPr>
      <w:rFonts w:cs="宋体"/>
      <w:sz w:val="24"/>
      <w:szCs w:val="20"/>
    </w:rPr>
  </w:style>
  <w:style w:type="character" w:customStyle="1" w:styleId="933">
    <w:name w:val="Char Char213"/>
    <w:autoRedefine/>
    <w:qFormat/>
    <w:uiPriority w:val="0"/>
    <w:rPr>
      <w:rFonts w:eastAsia="Century Gothic"/>
      <w:b/>
      <w:bCs/>
      <w:kern w:val="44"/>
      <w:sz w:val="32"/>
      <w:szCs w:val="44"/>
      <w:lang w:val="en-US" w:eastAsia="zh-CN" w:bidi="ar-SA"/>
    </w:rPr>
  </w:style>
  <w:style w:type="character" w:customStyle="1" w:styleId="934">
    <w:name w:val="apple-style-span"/>
    <w:autoRedefine/>
    <w:qFormat/>
    <w:uiPriority w:val="0"/>
    <w:rPr>
      <w:rFonts w:ascii="Arial" w:hAnsi="Arial" w:eastAsia="黑体" w:cs="Arial"/>
      <w:snapToGrid w:val="0"/>
      <w:kern w:val="0"/>
      <w:szCs w:val="21"/>
    </w:rPr>
  </w:style>
  <w:style w:type="character" w:customStyle="1" w:styleId="935">
    <w:name w:val="15"/>
    <w:autoRedefine/>
    <w:qFormat/>
    <w:uiPriority w:val="0"/>
    <w:rPr>
      <w:rFonts w:hint="default" w:ascii="Calibri" w:hAnsi="Calibri"/>
      <w:color w:val="0000FF"/>
      <w:u w:val="single"/>
    </w:rPr>
  </w:style>
  <w:style w:type="character" w:customStyle="1" w:styleId="936">
    <w:name w:val="16"/>
    <w:autoRedefine/>
    <w:qFormat/>
    <w:uiPriority w:val="0"/>
    <w:rPr>
      <w:rFonts w:hint="eastAsia" w:ascii="宋体" w:hAnsi="宋体" w:eastAsia="宋体"/>
      <w:color w:val="000000"/>
      <w:sz w:val="20"/>
      <w:szCs w:val="20"/>
    </w:rPr>
  </w:style>
  <w:style w:type="character" w:customStyle="1" w:styleId="937">
    <w:name w:val="edui-unclickable"/>
    <w:autoRedefine/>
    <w:qFormat/>
    <w:uiPriority w:val="0"/>
    <w:rPr>
      <w:color w:val="808080"/>
    </w:rPr>
  </w:style>
  <w:style w:type="character" w:customStyle="1" w:styleId="938">
    <w:name w:val="tpc_content1"/>
    <w:autoRedefine/>
    <w:qFormat/>
    <w:uiPriority w:val="0"/>
    <w:rPr>
      <w:sz w:val="20"/>
      <w:szCs w:val="20"/>
    </w:rPr>
  </w:style>
  <w:style w:type="character" w:customStyle="1" w:styleId="939">
    <w:name w:val="正文文本缩进 字符"/>
    <w:autoRedefine/>
    <w:qFormat/>
    <w:uiPriority w:val="0"/>
    <w:rPr>
      <w:rFonts w:ascii="Century Gothic" w:hAnsi="Century Gothic" w:eastAsia="Century Gothic"/>
      <w:kern w:val="2"/>
      <w:sz w:val="24"/>
      <w:lang w:val="en-US" w:eastAsia="zh-CN" w:bidi="ar-SA"/>
    </w:rPr>
  </w:style>
  <w:style w:type="character" w:customStyle="1" w:styleId="940">
    <w:name w:val="正文文本 2 字符"/>
    <w:autoRedefine/>
    <w:qFormat/>
    <w:uiPriority w:val="0"/>
    <w:rPr>
      <w:rFonts w:ascii="Arial" w:hAnsi="Arial" w:eastAsia="宋体"/>
      <w:kern w:val="2"/>
      <w:sz w:val="24"/>
      <w:szCs w:val="24"/>
      <w:lang w:val="en-US" w:eastAsia="zh-CN" w:bidi="ar-SA"/>
    </w:rPr>
  </w:style>
  <w:style w:type="character" w:customStyle="1" w:styleId="941">
    <w:name w:val="edui-clickable2"/>
    <w:autoRedefine/>
    <w:qFormat/>
    <w:uiPriority w:val="0"/>
    <w:rPr>
      <w:color w:val="0000FF"/>
      <w:u w:val="single"/>
    </w:rPr>
  </w:style>
  <w:style w:type="character" w:customStyle="1" w:styleId="942">
    <w:name w:val="style1"/>
    <w:autoRedefine/>
    <w:qFormat/>
    <w:uiPriority w:val="0"/>
    <w:rPr>
      <w:rFonts w:ascii="Arial" w:hAnsi="Arial" w:eastAsia="黑体" w:cs="Arial"/>
      <w:snapToGrid w:val="0"/>
      <w:kern w:val="0"/>
      <w:szCs w:val="21"/>
    </w:rPr>
  </w:style>
  <w:style w:type="character" w:customStyle="1" w:styleId="943">
    <w:name w:val="zbggtop11 style5"/>
    <w:autoRedefine/>
    <w:qFormat/>
    <w:uiPriority w:val="0"/>
    <w:rPr>
      <w:rFonts w:ascii="Arial" w:hAnsi="Arial" w:eastAsia="黑体" w:cs="Arial"/>
      <w:snapToGrid w:val="0"/>
      <w:kern w:val="0"/>
      <w:szCs w:val="21"/>
    </w:rPr>
  </w:style>
  <w:style w:type="character" w:customStyle="1" w:styleId="944">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5">
    <w:name w:val="bulletintext1"/>
    <w:autoRedefine/>
    <w:qFormat/>
    <w:uiPriority w:val="0"/>
    <w:rPr>
      <w:color w:val="000000"/>
      <w:sz w:val="18"/>
    </w:rPr>
  </w:style>
  <w:style w:type="paragraph" w:customStyle="1" w:styleId="946">
    <w:name w:val="_Style 947"/>
    <w:basedOn w:val="1"/>
    <w:next w:val="255"/>
    <w:autoRedefine/>
    <w:qFormat/>
    <w:uiPriority w:val="34"/>
    <w:pPr>
      <w:adjustRightInd/>
      <w:ind w:firstLine="420" w:firstLineChars="200"/>
    </w:pPr>
  </w:style>
  <w:style w:type="paragraph" w:customStyle="1" w:styleId="947">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48">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49">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0">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1">
    <w:name w:val="节"/>
    <w:basedOn w:val="4"/>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2">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3">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4">
    <w:name w:val="Table Paragraph"/>
    <w:basedOn w:val="1"/>
    <w:autoRedefine/>
    <w:qFormat/>
    <w:uiPriority w:val="0"/>
    <w:pPr>
      <w:adjustRightInd/>
      <w:jc w:val="left"/>
    </w:pPr>
    <w:rPr>
      <w:rFonts w:ascii="Calibri" w:hAnsi="Calibri"/>
      <w:kern w:val="0"/>
      <w:sz w:val="22"/>
      <w:szCs w:val="22"/>
      <w:lang w:eastAsia="en-US"/>
    </w:rPr>
  </w:style>
  <w:style w:type="paragraph" w:customStyle="1" w:styleId="955">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6">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7">
    <w:name w:val="text-tag"/>
    <w:basedOn w:val="1"/>
    <w:autoRedefine/>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8">
    <w:name w:val="ksfind_class_select1"/>
    <w:basedOn w:val="69"/>
    <w:autoRedefine/>
    <w:qFormat/>
    <w:uiPriority w:val="0"/>
    <w:rPr>
      <w:color w:val="000000"/>
      <w:shd w:val="clear" w:color="auto" w:fill="EFD200"/>
    </w:rPr>
  </w:style>
  <w:style w:type="character" w:customStyle="1" w:styleId="959">
    <w:name w:val="font71"/>
    <w:autoRedefine/>
    <w:qFormat/>
    <w:uiPriority w:val="0"/>
    <w:rPr>
      <w:rFonts w:hint="eastAsia" w:ascii="宋体" w:hAnsi="宋体" w:eastAsia="宋体" w:cs="宋体"/>
      <w:color w:val="000000"/>
      <w:sz w:val="22"/>
      <w:szCs w:val="22"/>
      <w:u w:val="none"/>
    </w:rPr>
  </w:style>
  <w:style w:type="character" w:customStyle="1" w:styleId="960">
    <w:name w:val="font91"/>
    <w:autoRedefine/>
    <w:qFormat/>
    <w:uiPriority w:val="0"/>
    <w:rPr>
      <w:rFonts w:hint="eastAsia" w:ascii="仿宋" w:hAnsi="仿宋" w:eastAsia="仿宋" w:cs="仿宋"/>
      <w:color w:val="000000"/>
      <w:sz w:val="22"/>
      <w:szCs w:val="22"/>
      <w:u w:val="none"/>
    </w:rPr>
  </w:style>
  <w:style w:type="paragraph" w:customStyle="1" w:styleId="961">
    <w:name w:val="修订4"/>
    <w:autoRedefine/>
    <w:hidden/>
    <w:semiHidden/>
    <w:qFormat/>
    <w:uiPriority w:val="99"/>
    <w:rPr>
      <w:rFonts w:ascii="Times New Roman" w:hAnsi="Times New Roman" w:eastAsia="宋体" w:cs="Times New Roman"/>
      <w:kern w:val="2"/>
      <w:sz w:val="21"/>
      <w:szCs w:val="24"/>
      <w:lang w:val="en-US" w:eastAsia="zh-CN" w:bidi="ar-SA"/>
    </w:rPr>
  </w:style>
  <w:style w:type="character" w:customStyle="1" w:styleId="962">
    <w:name w:val="不明显强调1"/>
    <w:autoRedefine/>
    <w:qFormat/>
    <w:uiPriority w:val="19"/>
    <w:rPr>
      <w:i/>
      <w:iCs/>
    </w:rPr>
  </w:style>
  <w:style w:type="character" w:customStyle="1" w:styleId="963">
    <w:name w:val="font131"/>
    <w:basedOn w:val="69"/>
    <w:autoRedefine/>
    <w:qFormat/>
    <w:uiPriority w:val="0"/>
    <w:rPr>
      <w:rFonts w:ascii="Malgun Gothic" w:hAnsi="Malgun Gothic" w:eastAsia="Malgun Gothic" w:cs="Malgun Gothic"/>
      <w:color w:val="000000"/>
      <w:sz w:val="24"/>
      <w:szCs w:val="24"/>
      <w:u w:val="none"/>
    </w:rPr>
  </w:style>
  <w:style w:type="character" w:customStyle="1" w:styleId="964">
    <w:name w:val="font101"/>
    <w:basedOn w:val="69"/>
    <w:autoRedefine/>
    <w:qFormat/>
    <w:uiPriority w:val="0"/>
    <w:rPr>
      <w:rFonts w:hint="eastAsia" w:ascii="宋体" w:hAnsi="宋体" w:eastAsia="宋体" w:cs="宋体"/>
      <w:color w:val="0D0D0D"/>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7" Type="http://schemas.openxmlformats.org/officeDocument/2006/relationships/fontTable" Target="fontTable.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46.png"/><Relationship Id="rId53" Type="http://schemas.openxmlformats.org/officeDocument/2006/relationships/image" Target="media/image45.png"/><Relationship Id="rId52" Type="http://schemas.openxmlformats.org/officeDocument/2006/relationships/image" Target="media/image44.png"/><Relationship Id="rId51" Type="http://schemas.openxmlformats.org/officeDocument/2006/relationships/image" Target="media/image43.png"/><Relationship Id="rId50" Type="http://schemas.openxmlformats.org/officeDocument/2006/relationships/image" Target="media/image42.png"/><Relationship Id="rId5" Type="http://schemas.openxmlformats.org/officeDocument/2006/relationships/footer" Target="footer1.xml"/><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header" Target="header2.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jpe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75</Pages>
  <Words>6260</Words>
  <Characters>35686</Characters>
  <Lines>297</Lines>
  <Paragraphs>83</Paragraphs>
  <TotalTime>0</TotalTime>
  <ScaleCrop>false</ScaleCrop>
  <LinksUpToDate>false</LinksUpToDate>
  <CharactersWithSpaces>41863</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Administrator</cp:lastModifiedBy>
  <cp:lastPrinted>2021-12-31T19:06:00Z</cp:lastPrinted>
  <dcterms:modified xsi:type="dcterms:W3CDTF">2024-04-28T00:36:23Z</dcterms:modified>
  <dc:title>杭州市市民卡扩大发卡工程</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8CBAB5D003ADAE1FC69D0366D1B4498B</vt:lpwstr>
  </property>
</Properties>
</file>