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rPr>
        <w:t>南阳街道四期一号地块物业管理服务政府采购项目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val="en-US" w:eastAsia="zh-CN"/>
        </w:rPr>
        <w:t>XZCG2023-GK-ZCY0</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rPr>
        <w:t>杭州市萧山区人民政府南阳街道办事处</w:t>
      </w:r>
    </w:p>
    <w:p>
      <w:pPr>
        <w:snapToGrid w:val="0"/>
        <w:spacing w:line="360" w:lineRule="auto"/>
        <w:jc w:val="center"/>
        <w:rPr>
          <w:rFonts w:hint="default" w:ascii="宋体" w:hAnsi="宋体" w:cs="宋体"/>
          <w:bCs/>
          <w:color w:val="auto"/>
          <w:sz w:val="32"/>
          <w:szCs w:val="32"/>
          <w:highlight w:val="none"/>
          <w:lang w:val="en-US" w:eastAsia="zh-CN"/>
        </w:rPr>
      </w:pPr>
      <w:r>
        <w:rPr>
          <w:rFonts w:hint="eastAsia" w:ascii="宋体" w:hAnsi="宋体" w:cs="宋体"/>
          <w:bCs/>
          <w:color w:val="auto"/>
          <w:sz w:val="32"/>
          <w:szCs w:val="32"/>
          <w:highlight w:val="none"/>
          <w:lang w:val="en-US" w:eastAsia="zh-CN"/>
        </w:rPr>
        <w:t>杭州市公共资源交易中心萧山分中心</w:t>
      </w:r>
    </w:p>
    <w:p>
      <w:pPr>
        <w:snapToGrid w:val="0"/>
        <w:spacing w:line="360" w:lineRule="auto"/>
        <w:jc w:val="center"/>
        <w:rPr>
          <w:rFonts w:hint="eastAsia" w:ascii="宋体" w:hAnsi="宋体" w:cs="宋体"/>
          <w:bCs/>
          <w:color w:val="auto"/>
          <w:sz w:val="32"/>
          <w:szCs w:val="32"/>
          <w:highlight w:val="none"/>
        </w:rPr>
      </w:pPr>
      <w:r>
        <w:rPr>
          <w:rFonts w:hint="eastAsia" w:ascii="宋体" w:hAnsi="宋体" w:cs="宋体"/>
          <w:bCs/>
          <w:color w:val="auto"/>
          <w:sz w:val="32"/>
          <w:szCs w:val="32"/>
          <w:highlight w:val="none"/>
          <w:lang w:val="en-US" w:eastAsia="zh-CN"/>
        </w:rPr>
        <w:t xml:space="preserve"> </w:t>
      </w:r>
      <w:r>
        <w:rPr>
          <w:rFonts w:hint="eastAsia" w:ascii="宋体" w:hAnsi="宋体" w:cs="宋体"/>
          <w:bCs/>
          <w:color w:val="auto"/>
          <w:sz w:val="32"/>
          <w:szCs w:val="32"/>
          <w:highlight w:val="none"/>
        </w:rPr>
        <w:t xml:space="preserve"> </w:t>
      </w:r>
      <w:r>
        <w:rPr>
          <w:rFonts w:hint="eastAsia" w:ascii="宋体" w:hAnsi="宋体" w:cs="宋体"/>
          <w:bCs/>
          <w:color w:val="auto"/>
          <w:sz w:val="32"/>
          <w:szCs w:val="32"/>
          <w:highlight w:val="none"/>
          <w:lang w:val="en-US" w:eastAsia="zh-CN"/>
        </w:rPr>
        <w:t>2023</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6</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30</w:t>
      </w:r>
      <w:r>
        <w:rPr>
          <w:rFonts w:hint="eastAsia" w:ascii="宋体" w:hAnsi="宋体" w:cs="宋体"/>
          <w:bCs/>
          <w:color w:val="auto"/>
          <w:sz w:val="32"/>
          <w:szCs w:val="32"/>
          <w:highlight w:val="none"/>
        </w:rPr>
        <w:t>日</w:t>
      </w:r>
    </w:p>
    <w:p>
      <w:pPr>
        <w:jc w:val="center"/>
        <w:rPr>
          <w:color w:val="auto"/>
          <w:highlight w:val="none"/>
        </w:rPr>
      </w:pPr>
      <w:r>
        <w:rPr>
          <w:rFonts w:hint="eastAsia"/>
          <w:color w:val="auto"/>
          <w:highlight w:val="none"/>
        </w:rPr>
        <w:t>本招标文件为202</w:t>
      </w:r>
      <w:r>
        <w:rPr>
          <w:rFonts w:hint="eastAsia"/>
          <w:color w:val="auto"/>
          <w:highlight w:val="none"/>
          <w:lang w:val="en-US" w:eastAsia="zh-CN"/>
        </w:rPr>
        <w:t>3年5月1日稿</w:t>
      </w:r>
      <w:r>
        <w:rPr>
          <w:rFonts w:hint="eastAsia"/>
          <w:color w:val="auto"/>
          <w:highlight w:val="none"/>
        </w:rPr>
        <w:t>，请各位投标人详细阅读各项条款</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rPr>
        <w:t>南阳街道四期一号地块物业管理服务政府采购项目</w:t>
      </w:r>
      <w:r>
        <w:rPr>
          <w:rFonts w:hint="eastAsia" w:asciiTheme="minorEastAsia" w:hAnsiTheme="minorEastAsia" w:eastAsiaTheme="min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rPr>
        <w:t>202</w:t>
      </w:r>
      <w:r>
        <w:rPr>
          <w:rStyle w:val="76"/>
          <w:rFonts w:hint="eastAsia" w:cs="Times New Roman" w:asciiTheme="minorEastAsia" w:hAnsiTheme="minorEastAsia" w:eastAsiaTheme="minorEastAsia"/>
          <w:snapToGrid/>
          <w:color w:val="auto"/>
          <w:kern w:val="2"/>
          <w:sz w:val="24"/>
          <w:szCs w:val="24"/>
          <w:highlight w:val="none"/>
          <w:lang w:val="en-US" w:eastAsia="zh-CN"/>
        </w:rPr>
        <w:t>3</w:t>
      </w:r>
      <w:r>
        <w:rPr>
          <w:rStyle w:val="76"/>
          <w:rFonts w:cs="Times New Roman" w:asciiTheme="minorEastAsia" w:hAnsiTheme="minorEastAsia" w:eastAsiaTheme="minorEastAsia"/>
          <w:snapToGrid/>
          <w:color w:val="auto"/>
          <w:kern w:val="2"/>
          <w:sz w:val="24"/>
          <w:szCs w:val="24"/>
          <w:highlight w:val="none"/>
        </w:rPr>
        <w:t>年</w:t>
      </w:r>
      <w:r>
        <w:rPr>
          <w:rStyle w:val="76"/>
          <w:rFonts w:hint="eastAsia" w:cs="Times New Roman" w:asciiTheme="minorEastAsia" w:hAnsiTheme="minorEastAsia" w:eastAsiaTheme="minorEastAsia"/>
          <w:snapToGrid/>
          <w:color w:val="auto"/>
          <w:kern w:val="2"/>
          <w:sz w:val="24"/>
          <w:szCs w:val="24"/>
          <w:highlight w:val="none"/>
          <w:lang w:val="en-US" w:eastAsia="zh-CN"/>
        </w:rPr>
        <w:t>7</w:t>
      </w:r>
      <w:r>
        <w:rPr>
          <w:rStyle w:val="76"/>
          <w:rFonts w:hint="eastAsia" w:cs="Times New Roman" w:asciiTheme="minorEastAsia" w:hAnsiTheme="minorEastAsia" w:eastAsiaTheme="minorEastAsia"/>
          <w:snapToGrid/>
          <w:color w:val="auto"/>
          <w:kern w:val="2"/>
          <w:sz w:val="24"/>
          <w:szCs w:val="24"/>
          <w:highlight w:val="none"/>
        </w:rPr>
        <w:t>月</w:t>
      </w:r>
      <w:r>
        <w:rPr>
          <w:rStyle w:val="76"/>
          <w:rFonts w:hint="eastAsia" w:cs="Times New Roman" w:asciiTheme="minorEastAsia" w:hAnsiTheme="minorEastAsia" w:eastAsiaTheme="minorEastAsia"/>
          <w:snapToGrid/>
          <w:color w:val="auto"/>
          <w:kern w:val="2"/>
          <w:sz w:val="24"/>
          <w:szCs w:val="24"/>
          <w:highlight w:val="none"/>
          <w:lang w:val="en-US" w:eastAsia="zh-CN"/>
        </w:rPr>
        <w:t>26</w:t>
      </w:r>
      <w:r>
        <w:rPr>
          <w:rStyle w:val="76"/>
          <w:rFonts w:hint="eastAsia" w:cs="Times New Roman" w:asciiTheme="minorEastAsia" w:hAnsiTheme="minorEastAsia" w:eastAsiaTheme="minorEastAsia"/>
          <w:snapToGrid/>
          <w:color w:val="auto"/>
          <w:kern w:val="2"/>
          <w:sz w:val="24"/>
          <w:szCs w:val="24"/>
          <w:highlight w:val="none"/>
        </w:rPr>
        <w:t>日</w:t>
      </w:r>
      <w:r>
        <w:rPr>
          <w:rStyle w:val="76"/>
          <w:rFonts w:hint="eastAsia" w:cs="Times New Roman" w:asciiTheme="minorEastAsia" w:hAnsiTheme="minorEastAsia" w:eastAsiaTheme="minorEastAsia"/>
          <w:snapToGrid/>
          <w:color w:val="auto"/>
          <w:kern w:val="2"/>
          <w:sz w:val="24"/>
          <w:szCs w:val="24"/>
          <w:highlight w:val="none"/>
          <w:lang w:val="en-US" w:eastAsia="zh-CN"/>
        </w:rPr>
        <w:t>9</w:t>
      </w:r>
      <w:r>
        <w:rPr>
          <w:rStyle w:val="76"/>
          <w:rFonts w:hint="eastAsia" w:cs="Times New Roman" w:asciiTheme="minorEastAsia" w:hAnsiTheme="minorEastAsia" w:eastAsiaTheme="minorEastAsia"/>
          <w:snapToGrid/>
          <w:color w:val="auto"/>
          <w:kern w:val="2"/>
          <w:sz w:val="24"/>
          <w:szCs w:val="24"/>
          <w:highlight w:val="none"/>
        </w:rPr>
        <w:t>点</w:t>
      </w:r>
      <w:r>
        <w:rPr>
          <w:rStyle w:val="76"/>
          <w:rFonts w:hint="eastAsia" w:cs="Times New Roman" w:asciiTheme="minorEastAsia" w:hAnsiTheme="minorEastAsia" w:eastAsiaTheme="minorEastAsia"/>
          <w:snapToGrid/>
          <w:color w:val="auto"/>
          <w:kern w:val="2"/>
          <w:sz w:val="24"/>
          <w:szCs w:val="24"/>
          <w:highlight w:val="none"/>
          <w:lang w:val="en-US" w:eastAsia="zh-CN"/>
        </w:rPr>
        <w:t>00</w:t>
      </w:r>
      <w:r>
        <w:rPr>
          <w:rStyle w:val="76"/>
          <w:rFonts w:hint="eastAsia" w:cs="Times New Roman" w:asciiTheme="minorEastAsia" w:hAnsiTheme="minorEastAsia" w:eastAsiaTheme="minorEastAsia"/>
          <w:snapToGrid/>
          <w:color w:val="auto"/>
          <w:kern w:val="2"/>
          <w:sz w:val="24"/>
          <w:szCs w:val="24"/>
          <w:highlight w:val="none"/>
        </w:rPr>
        <w:t>分</w:t>
      </w:r>
      <w:r>
        <w:rPr>
          <w:rStyle w:val="76"/>
          <w:rFonts w:hint="eastAsia" w:cs="Times New Roman" w:asciiTheme="minorEastAsia" w:hAnsiTheme="minorEastAsia" w:eastAsiaTheme="minorEastAsia"/>
          <w:bCs/>
          <w:snapToGrid/>
          <w:color w:val="auto"/>
          <w:kern w:val="2"/>
          <w:sz w:val="24"/>
          <w:szCs w:val="24"/>
          <w:highlight w:val="none"/>
        </w:rPr>
        <w:t>00秒</w:t>
      </w:r>
      <w:r>
        <w:rPr>
          <w:rStyle w:val="76"/>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XZCG2023-GK-ZCY0</w:t>
      </w:r>
    </w:p>
    <w:p>
      <w:pPr>
        <w:spacing w:line="360" w:lineRule="auto"/>
        <w:rPr>
          <w:rFonts w:hint="eastAsia" w:ascii="仿宋" w:hAnsi="仿宋" w:eastAsia="仿宋" w:cs="仿宋"/>
          <w:color w:val="auto"/>
          <w:sz w:val="24"/>
          <w:highlight w:val="none"/>
        </w:rPr>
      </w:pPr>
      <w:r>
        <w:rPr>
          <w:rFonts w:hint="eastAsia" w:ascii="宋体" w:hAnsi="宋体" w:cs="宋体"/>
          <w:color w:val="auto"/>
          <w:sz w:val="24"/>
          <w:szCs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val="0"/>
          <w:bCs/>
          <w:color w:val="auto"/>
          <w:sz w:val="24"/>
          <w:highlight w:val="none"/>
        </w:rPr>
        <w:t>南阳街道四期一号地块物业管理服务政府采购项目</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val="0"/>
          <w:bCs/>
          <w:color w:val="auto"/>
          <w:sz w:val="24"/>
          <w:highlight w:val="none"/>
          <w:lang w:val="en-US" w:eastAsia="zh-CN"/>
        </w:rPr>
        <w:t>7300000</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eastAsia="zh-CN"/>
        </w:rPr>
        <w:t>7138690</w:t>
      </w:r>
    </w:p>
    <w:p>
      <w:pPr>
        <w:pStyle w:val="15"/>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南阳街道四期一号地块物业管理服务政府采购项目主要内容： 南阳街道四期一号地块物业管理服务。</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hint="default" w:ascii="仿宋" w:hAnsi="仿宋" w:eastAsia="仿宋" w:cs="仿宋"/>
          <w:color w:val="auto"/>
          <w:highlight w:val="none"/>
          <w:lang w:val="en-US" w:eastAsia="zh-CN"/>
        </w:rPr>
      </w:pPr>
      <w:r>
        <w:rPr>
          <w:rFonts w:hint="eastAsia" w:ascii="仿宋" w:hAnsi="仿宋" w:eastAsia="仿宋" w:cs="仿宋"/>
          <w:b/>
          <w:color w:val="auto"/>
          <w:highlight w:val="none"/>
        </w:rPr>
        <w:t xml:space="preserve">合同履约期限： </w:t>
      </w:r>
      <w:r>
        <w:rPr>
          <w:rFonts w:hint="eastAsia" w:ascii="仿宋" w:hAnsi="仿宋" w:eastAsia="仿宋" w:cs="仿宋"/>
          <w:b/>
          <w:color w:val="auto"/>
          <w:highlight w:val="none"/>
          <w:lang w:val="en-US" w:eastAsia="zh-CN"/>
        </w:rPr>
        <w:t>详见招标文件</w:t>
      </w:r>
    </w:p>
    <w:p>
      <w:pPr>
        <w:pStyle w:val="15"/>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r>
        <w:rPr>
          <w:rFonts w:hint="eastAsia" w:ascii="仿宋" w:hAnsi="仿宋" w:eastAsia="仿宋" w:cs="仿宋"/>
          <w:b/>
          <w:snapToGrid/>
          <w:color w:val="auto"/>
          <w:kern w:val="2"/>
          <w:sz w:val="24"/>
          <w:highlight w:val="none"/>
        </w:rPr>
        <w:t>；</w:t>
      </w:r>
      <w:sdt>
        <w:sdtPr>
          <w:rPr>
            <w:rFonts w:hint="eastAsia" w:ascii="仿宋" w:hAnsi="仿宋" w:eastAsia="仿宋" w:cs="仿宋"/>
            <w:color w:val="auto"/>
            <w:kern w:val="0"/>
            <w:sz w:val="24"/>
            <w:highlight w:val="none"/>
          </w:rPr>
          <w:id w:val="7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w:t>
      </w:r>
      <w:bookmarkStart w:id="11" w:name="_Hlk101132948"/>
      <w:r>
        <w:rPr>
          <w:rFonts w:hint="eastAsia" w:ascii="仿宋" w:hAnsi="仿宋" w:eastAsia="仿宋" w:cs="仿宋"/>
          <w:b/>
          <w:color w:val="auto"/>
          <w:sz w:val="24"/>
          <w:highlight w:val="none"/>
        </w:rPr>
        <w:t>申请人的资格要求</w:t>
      </w:r>
      <w:bookmarkEnd w:id="11"/>
      <w:r>
        <w:rPr>
          <w:rFonts w:hint="eastAsia" w:ascii="仿宋" w:hAnsi="仿宋" w:eastAsia="仿宋" w:cs="仿宋"/>
          <w:b/>
          <w:color w:val="auto"/>
          <w:sz w:val="24"/>
          <w:highlight w:val="none"/>
        </w:rPr>
        <w:t>：</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8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8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8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货物全部由符合政策要求的小微企业制造，提供中小企业声明函；</w:t>
      </w:r>
    </w:p>
    <w:p>
      <w:pPr>
        <w:keepNext w:val="0"/>
        <w:keepLines w:val="0"/>
        <w:widowControl w:val="0"/>
        <w:suppressLineNumbers w:val="0"/>
        <w:adjustRightInd w:val="0"/>
        <w:spacing w:before="0" w:beforeAutospacing="0" w:after="0" w:afterAutospacing="0" w:line="360" w:lineRule="auto"/>
        <w:ind w:left="0" w:right="0" w:firstLine="897" w:firstLineChars="374"/>
        <w:jc w:val="both"/>
        <w:rPr>
          <w:rFonts w:hint="eastAsia" w:ascii="仿宋" w:hAnsi="仿宋" w:eastAsia="仿宋" w:cs="仿宋"/>
          <w:color w:val="auto"/>
          <w:kern w:val="2"/>
          <w:sz w:val="24"/>
          <w:szCs w:val="24"/>
          <w:highlight w:val="none"/>
        </w:rPr>
      </w:pPr>
      <w:sdt>
        <w:sdtPr>
          <w:rPr>
            <w:rFonts w:hint="eastAsia" w:ascii="仿宋" w:hAnsi="仿宋" w:eastAsia="仿宋" w:cs="仿宋"/>
            <w:color w:val="auto"/>
            <w:kern w:val="0"/>
            <w:sz w:val="24"/>
            <w:highlight w:val="none"/>
          </w:rPr>
          <w:id w:val="8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2"/>
          <w:sz w:val="24"/>
          <w:szCs w:val="24"/>
          <w:highlight w:val="none"/>
          <w:lang w:val="en-US" w:eastAsia="zh-CN" w:bidi="ar"/>
        </w:rPr>
        <w:t>服务全部由符合政策要求的中小企业承接，提供中小企业声明函；</w:t>
      </w:r>
    </w:p>
    <w:p>
      <w:pPr>
        <w:keepNext w:val="0"/>
        <w:keepLines w:val="0"/>
        <w:widowControl w:val="0"/>
        <w:suppressLineNumbers w:val="0"/>
        <w:adjustRightInd w:val="0"/>
        <w:spacing w:before="0" w:beforeAutospacing="0" w:after="0" w:afterAutospacing="0" w:line="360" w:lineRule="auto"/>
        <w:ind w:left="0" w:right="0" w:firstLine="897" w:firstLineChars="374"/>
        <w:jc w:val="both"/>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w:t>
      </w:r>
      <w:r>
        <w:rPr>
          <w:rFonts w:hint="eastAsia" w:ascii="仿宋" w:hAnsi="仿宋" w:eastAsia="仿宋" w:cs="仿宋"/>
          <w:color w:val="auto"/>
          <w:kern w:val="2"/>
          <w:sz w:val="24"/>
          <w:szCs w:val="24"/>
          <w:highlight w:val="none"/>
          <w:lang w:val="en-US" w:eastAsia="zh-CN" w:bidi="ar"/>
        </w:rPr>
        <w:t>服务全部由符合政策要求的小微企业承接，提供中小企业声明函；</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8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bookmarkStart w:id="12" w:name="_Hlk101132524"/>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bookmarkEnd w:id="12"/>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4.本项目的特定资格要求：</w:t>
      </w:r>
      <w:sdt>
        <w:sdtPr>
          <w:rPr>
            <w:rFonts w:hint="eastAsia" w:ascii="仿宋" w:hAnsi="仿宋" w:eastAsia="仿宋" w:cs="仿宋"/>
            <w:color w:val="auto"/>
            <w:kern w:val="0"/>
            <w:sz w:val="24"/>
            <w:highlight w:val="none"/>
          </w:rPr>
          <w:id w:val="85"/>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r>
        <w:rPr>
          <w:rFonts w:hint="eastAsia" w:ascii="仿宋" w:hAnsi="仿宋" w:eastAsia="仿宋" w:cs="仿宋"/>
          <w:color w:val="auto"/>
          <w:sz w:val="24"/>
          <w:highlight w:val="none"/>
          <w:lang w:eastAsia="zh-CN"/>
        </w:rPr>
        <w:t>（</w:t>
      </w:r>
      <w:sdt>
        <w:sdtPr>
          <w:rPr>
            <w:rFonts w:hint="eastAsia" w:ascii="仿宋" w:hAnsi="仿宋" w:eastAsia="仿宋" w:cs="仿宋"/>
            <w:color w:val="auto"/>
            <w:kern w:val="0"/>
            <w:sz w:val="24"/>
            <w:highlight w:val="none"/>
          </w:rPr>
          <w:id w:val="86"/>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有特定资格要求：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，该特定条件的法律法规据：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color w:val="auto"/>
          <w:sz w:val="24"/>
          <w:highlight w:val="none"/>
          <w:lang w:val="en-US" w:eastAsia="zh-CN"/>
        </w:rPr>
        <w:t>项目是否接收备份文件，以前附表说明为准。</w:t>
      </w:r>
      <w:r>
        <w:rPr>
          <w:rFonts w:hint="eastAsia" w:ascii="宋体" w:hAnsi="宋体" w:cs="宋体"/>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称：杭州市萧山区人民政府南阳街道办事处</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地    址： 杭州市萧山区南虹路528号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传    真：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项目联系人（询问）：赵指军</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项目联系方式（询问）：0571-82159056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质疑联系人：任海红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质疑联系方式： 0571-82188591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sz w:val="24"/>
          <w:highlight w:val="none"/>
          <w:lang w:val="en-US" w:eastAsia="zh-CN"/>
        </w:rPr>
        <w:t>杭州市公共资源交易中心萧山分中心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址：杭州市萧山区博学路618号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陈梦铤</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0571-82899335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鲁明铭</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0571-82899077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w:t>
      </w:r>
      <w:r>
        <w:rPr>
          <w:rFonts w:hint="eastAsia"/>
          <w:color w:val="auto"/>
          <w:highlight w:val="none"/>
        </w:rPr>
        <w:t xml:space="preserve"> </w:t>
      </w:r>
      <w:r>
        <w:rPr>
          <w:rFonts w:hint="eastAsia" w:ascii="宋体" w:hAnsi="宋体" w:cs="宋体"/>
          <w:color w:val="auto"/>
          <w:sz w:val="24"/>
          <w:highlight w:val="none"/>
        </w:rPr>
        <w:t xml:space="preserve">同级政府采购监督管理部门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名</w:t>
      </w:r>
      <w:r>
        <w:rPr>
          <w:rFonts w:hint="eastAsia" w:ascii="宋体" w:hAnsi="宋体" w:eastAsia="宋体" w:cs="宋体"/>
          <w:color w:val="auto"/>
          <w:sz w:val="24"/>
          <w:highlight w:val="none"/>
        </w:rPr>
        <w:t>  </w:t>
      </w:r>
      <w:r>
        <w:rPr>
          <w:rFonts w:hint="eastAsia" w:ascii="宋体" w:hAnsi="宋体" w:cs="宋体"/>
          <w:color w:val="auto"/>
          <w:sz w:val="24"/>
          <w:highlight w:val="none"/>
        </w:rPr>
        <w:t>称：萧山区财政局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w:t>
      </w:r>
      <w:r>
        <w:rPr>
          <w:rFonts w:hint="eastAsia" w:ascii="宋体" w:hAnsi="宋体" w:eastAsia="宋体" w:cs="宋体"/>
          <w:color w:val="auto"/>
          <w:sz w:val="24"/>
          <w:highlight w:val="none"/>
        </w:rPr>
        <w:t>  </w:t>
      </w:r>
      <w:r>
        <w:rPr>
          <w:rFonts w:hint="eastAsia" w:ascii="宋体" w:hAnsi="宋体" w:cs="宋体"/>
          <w:color w:val="auto"/>
          <w:sz w:val="24"/>
          <w:highlight w:val="none"/>
        </w:rPr>
        <w:t>址：萧山区人民路318号</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w:t>
      </w:r>
      <w:r>
        <w:rPr>
          <w:rFonts w:hint="eastAsia" w:ascii="宋体" w:hAnsi="宋体" w:eastAsia="宋体" w:cs="宋体"/>
          <w:color w:val="auto"/>
          <w:sz w:val="24"/>
          <w:highlight w:val="none"/>
        </w:rPr>
        <w:t>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真：0571-82756122</w:t>
      </w:r>
    </w:p>
    <w:p>
      <w:pPr>
        <w:spacing w:line="360" w:lineRule="auto"/>
        <w:ind w:left="237" w:leftChars="113" w:firstLine="180" w:firstLineChars="75"/>
        <w:rPr>
          <w:rFonts w:hint="eastAsia" w:ascii="宋体" w:hAnsi="宋体" w:cs="宋体"/>
          <w:color w:val="auto"/>
          <w:sz w:val="24"/>
          <w:highlight w:val="none"/>
        </w:rPr>
      </w:pPr>
      <w:r>
        <w:rPr>
          <w:rFonts w:hint="eastAsia" w:ascii="宋体" w:hAnsi="宋体" w:cs="宋体"/>
          <w:color w:val="auto"/>
          <w:sz w:val="24"/>
          <w:highlight w:val="none"/>
        </w:rPr>
        <w:t>联系人 ：汤先生</w:t>
      </w:r>
    </w:p>
    <w:p>
      <w:pPr>
        <w:spacing w:line="360" w:lineRule="auto"/>
        <w:ind w:left="237" w:leftChars="113" w:firstLine="180" w:firstLineChars="75"/>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监督投诉电话：0571-82756122</w:t>
      </w:r>
      <w:r>
        <w:rPr>
          <w:rFonts w:hint="eastAsia" w:ascii="宋体" w:hAnsi="宋体" w:eastAsia="宋体" w:cs="宋体"/>
          <w:color w:val="auto"/>
          <w:sz w:val="24"/>
          <w:highlight w:val="none"/>
        </w:rPr>
        <w:t>  </w:t>
      </w:r>
      <w:r>
        <w:rPr>
          <w:rFonts w:hint="eastAsia" w:ascii="宋体" w:hAnsi="宋体" w:cs="宋体"/>
          <w:color w:val="auto"/>
          <w:sz w:val="24"/>
          <w:highlight w:val="none"/>
        </w:rPr>
        <w:t xml:space="preserve"> </w:t>
      </w:r>
    </w:p>
    <w:p>
      <w:pPr>
        <w:spacing w:line="360" w:lineRule="auto"/>
        <w:ind w:firstLine="0"/>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2"/>
        <w:spacing w:line="360" w:lineRule="auto"/>
        <w:jc w:val="left"/>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2"/>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p>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p>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（1）标的：</w:t>
            </w:r>
            <w:r>
              <w:rPr>
                <w:rFonts w:hint="eastAsia" w:ascii="仿宋" w:hAnsi="仿宋" w:eastAsia="仿宋" w:cs="仿宋"/>
                <w:color w:val="auto"/>
                <w:sz w:val="22"/>
                <w:szCs w:val="22"/>
                <w:highlight w:val="none"/>
                <w:u w:val="single"/>
              </w:rPr>
              <w:t>南阳街道四期一号地块物业</w:t>
            </w:r>
            <w:r>
              <w:rPr>
                <w:rFonts w:hint="eastAsia" w:ascii="仿宋" w:hAnsi="仿宋" w:eastAsia="仿宋" w:cs="仿宋"/>
                <w:color w:val="auto"/>
                <w:sz w:val="22"/>
                <w:szCs w:val="22"/>
                <w:highlight w:val="none"/>
              </w:rPr>
              <w:t>，属于</w:t>
            </w:r>
            <w:r>
              <w:rPr>
                <w:rFonts w:hint="eastAsia" w:ascii="仿宋" w:hAnsi="仿宋" w:eastAsia="仿宋" w:cs="仿宋"/>
                <w:color w:val="auto"/>
                <w:sz w:val="22"/>
                <w:szCs w:val="22"/>
                <w:highlight w:val="none"/>
                <w:u w:val="single"/>
              </w:rPr>
              <w:t>物业管理服务</w:t>
            </w:r>
            <w:r>
              <w:rPr>
                <w:rFonts w:hint="eastAsia" w:ascii="仿宋" w:hAnsi="仿宋" w:eastAsia="仿宋" w:cs="仿宋"/>
                <w:color w:val="auto"/>
                <w:sz w:val="22"/>
                <w:szCs w:val="22"/>
                <w:highlight w:val="none"/>
              </w:rPr>
              <w:t>行业：</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lang w:val="en-US"/>
              </w:rPr>
            </w:pPr>
            <w:r>
              <w:rPr>
                <w:rFonts w:hint="eastAsia" w:ascii="仿宋" w:hAnsi="仿宋" w:eastAsia="仿宋" w:cs="仿宋"/>
                <w:color w:val="auto"/>
                <w:sz w:val="22"/>
                <w:szCs w:val="22"/>
                <w:highlight w:val="none"/>
              </w:rPr>
              <w:t>行业划分标准：《关于印发中小企业划型标准规定的通知》工信部联企业〔2011〕300号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87"/>
                <w14:checkbox>
                  <w14:checked w14:val="1"/>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sym w:font="Wingdings" w:char="F0FE"/>
                </w:r>
              </w:sdtContent>
            </w:sdt>
            <w:r>
              <w:rPr>
                <w:rFonts w:hint="eastAsia" w:ascii="仿宋" w:hAnsi="仿宋" w:eastAsia="仿宋" w:cs="仿宋"/>
                <w:color w:val="auto"/>
                <w:sz w:val="22"/>
                <w:szCs w:val="22"/>
                <w:highlight w:val="none"/>
              </w:rPr>
              <w:t>本项目不允许采购进口产品。</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88"/>
                <w14:checkbox>
                  <w14:checked w14:val="0"/>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t>☐</w:t>
                </w:r>
              </w:sdtContent>
            </w:sdt>
            <w:r>
              <w:rPr>
                <w:rFonts w:hint="eastAsia" w:ascii="仿宋" w:hAnsi="仿宋" w:eastAsia="仿宋" w:cs="仿宋"/>
                <w:color w:val="auto"/>
                <w:sz w:val="22"/>
                <w:szCs w:val="22"/>
                <w:highlight w:val="none"/>
              </w:rPr>
              <w:t>可以就    采购进口产品。</w:t>
            </w:r>
            <w:r>
              <w:rPr>
                <w:rFonts w:hint="eastAsia" w:ascii="仿宋" w:hAnsi="仿宋" w:eastAsia="仿宋" w:cs="仿宋"/>
                <w:color w:val="auto"/>
                <w:kern w:val="0"/>
                <w:sz w:val="22"/>
                <w:szCs w:val="22"/>
                <w:highlight w:val="none"/>
              </w:rPr>
              <w:t>优先采购向我国企业转让技术、与我国企业签订消化吸收再创新方案的供应商的进口产品，详见</w:t>
            </w:r>
            <w:r>
              <w:rPr>
                <w:rFonts w:hint="eastAsia" w:ascii="仿宋" w:hAnsi="仿宋" w:eastAsia="仿宋" w:cs="仿宋"/>
                <w:color w:val="auto"/>
                <w:kern w:val="0"/>
                <w:sz w:val="22"/>
                <w:szCs w:val="22"/>
                <w:highlight w:val="none"/>
                <w:u w:val="singl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kern w:val="0"/>
                  <w:sz w:val="22"/>
                  <w:szCs w:val="22"/>
                  <w:highlight w:val="none"/>
                </w:rPr>
                <w:id w:val="89"/>
                <w14:checkbox>
                  <w14:checked w14:val="1"/>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Wingdings" w:hAnsi="Wingdings" w:eastAsia="仿宋" w:cs="仿宋"/>
                    <w:color w:val="auto"/>
                    <w:kern w:val="0"/>
                    <w:sz w:val="22"/>
                    <w:szCs w:val="22"/>
                    <w:highlight w:val="none"/>
                    <w:lang w:val="en-US" w:eastAsia="zh-CN" w:bidi="ar-SA"/>
                  </w:rPr>
                  <w:t>þ</w:t>
                </w:r>
              </w:sdtContent>
            </w:sdt>
            <w:r>
              <w:rPr>
                <w:rFonts w:hint="eastAsia" w:ascii="仿宋" w:hAnsi="仿宋" w:eastAsia="仿宋" w:cs="仿宋"/>
                <w:color w:val="auto"/>
                <w:kern w:val="0"/>
                <w:sz w:val="22"/>
                <w:szCs w:val="22"/>
                <w:highlight w:val="none"/>
              </w:rPr>
              <w:t>A</w:t>
            </w:r>
            <w:r>
              <w:rPr>
                <w:rFonts w:hint="eastAsia" w:ascii="仿宋" w:hAnsi="仿宋" w:eastAsia="仿宋" w:cs="仿宋"/>
                <w:color w:val="auto"/>
                <w:sz w:val="22"/>
                <w:szCs w:val="22"/>
                <w:highlight w:val="none"/>
              </w:rPr>
              <w:t>同意将非主体、非关键性的</w:t>
            </w:r>
            <w:r>
              <w:rPr>
                <w:rFonts w:hint="eastAsia" w:ascii="仿宋" w:hAnsi="仿宋" w:eastAsia="仿宋" w:cs="仿宋"/>
                <w:color w:val="auto"/>
                <w:sz w:val="22"/>
                <w:szCs w:val="22"/>
                <w:highlight w:val="none"/>
                <w:u w:val="single"/>
              </w:rPr>
              <w:t>外墙清洗</w:t>
            </w:r>
            <w:r>
              <w:rPr>
                <w:rFonts w:hint="eastAsia" w:ascii="仿宋" w:hAnsi="仿宋" w:eastAsia="仿宋" w:cs="仿宋"/>
                <w:color w:val="auto"/>
                <w:sz w:val="22"/>
                <w:szCs w:val="22"/>
                <w:highlight w:val="none"/>
              </w:rPr>
              <w:t>工作分包。</w:t>
            </w:r>
            <w:sdt>
              <w:sdtPr>
                <w:rPr>
                  <w:rFonts w:hint="eastAsia" w:ascii="仿宋" w:hAnsi="仿宋" w:eastAsia="仿宋" w:cs="仿宋"/>
                  <w:color w:val="auto"/>
                  <w:kern w:val="0"/>
                  <w:sz w:val="22"/>
                  <w:szCs w:val="22"/>
                  <w:highlight w:val="none"/>
                </w:rPr>
                <w:id w:val="90"/>
                <w14:checkbox>
                  <w14:checked w14:val="0"/>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MS Gothic" w:hAnsi="MS Gothic" w:eastAsia="仿宋" w:cs="仿宋"/>
                    <w:color w:val="auto"/>
                    <w:kern w:val="0"/>
                    <w:sz w:val="22"/>
                    <w:szCs w:val="22"/>
                    <w:highlight w:val="none"/>
                    <w:lang w:val="en-US" w:eastAsia="zh-CN" w:bidi="ar-SA"/>
                  </w:rPr>
                  <w:t>☐</w:t>
                </w:r>
              </w:sdtContent>
            </w:sdt>
            <w:r>
              <w:rPr>
                <w:rFonts w:hint="eastAsia" w:ascii="仿宋" w:hAnsi="仿宋" w:eastAsia="仿宋" w:cs="仿宋"/>
                <w:color w:val="auto"/>
                <w:kern w:val="0"/>
                <w:sz w:val="22"/>
                <w:szCs w:val="22"/>
                <w:highlight w:val="none"/>
              </w:rPr>
              <w:t xml:space="preserve"> B</w:t>
            </w:r>
            <w:r>
              <w:rPr>
                <w:rFonts w:hint="eastAsia" w:ascii="仿宋" w:hAnsi="仿宋" w:eastAsia="仿宋" w:cs="仿宋"/>
                <w:color w:val="auto"/>
                <w:sz w:val="22"/>
                <w:szCs w:val="22"/>
                <w:highlight w:val="none"/>
              </w:rPr>
              <w:t>不同意分包。</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kern w:val="0"/>
                  <w:sz w:val="22"/>
                  <w:szCs w:val="22"/>
                  <w:highlight w:val="none"/>
                </w:rPr>
                <w:id w:val="91"/>
                <w14:checkbox>
                  <w14:checked w14:val="1"/>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Wingdings" w:hAnsi="Wingdings" w:eastAsia="仿宋" w:cs="仿宋"/>
                    <w:color w:val="auto"/>
                    <w:kern w:val="0"/>
                    <w:sz w:val="22"/>
                    <w:szCs w:val="22"/>
                    <w:highlight w:val="none"/>
                    <w:lang w:val="en-US" w:eastAsia="zh-CN" w:bidi="ar-SA"/>
                  </w:rPr>
                  <w:t>þ</w:t>
                </w:r>
              </w:sdtContent>
            </w:sdt>
            <w:r>
              <w:rPr>
                <w:rFonts w:hint="eastAsia" w:ascii="仿宋" w:hAnsi="仿宋" w:eastAsia="仿宋" w:cs="仿宋"/>
                <w:color w:val="auto"/>
                <w:kern w:val="0"/>
                <w:sz w:val="22"/>
                <w:szCs w:val="22"/>
                <w:highlight w:val="none"/>
              </w:rPr>
              <w:t>A</w:t>
            </w:r>
            <w:r>
              <w:rPr>
                <w:rFonts w:hint="eastAsia" w:ascii="仿宋" w:hAnsi="仿宋" w:eastAsia="仿宋" w:cs="仿宋"/>
                <w:color w:val="auto"/>
                <w:sz w:val="22"/>
                <w:szCs w:val="22"/>
                <w:highlight w:val="none"/>
              </w:rPr>
              <w:t>不组织。</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kern w:val="0"/>
                  <w:sz w:val="22"/>
                  <w:szCs w:val="22"/>
                  <w:highlight w:val="none"/>
                </w:rPr>
                <w:id w:val="92"/>
                <w14:checkbox>
                  <w14:checked w14:val="0"/>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仿宋" w:hAnsi="仿宋" w:eastAsia="仿宋" w:cs="仿宋"/>
                    <w:color w:val="auto"/>
                    <w:kern w:val="0"/>
                    <w:sz w:val="22"/>
                    <w:szCs w:val="22"/>
                    <w:highlight w:val="none"/>
                  </w:rPr>
                  <w:t>☐</w:t>
                </w:r>
              </w:sdtContent>
            </w:sdt>
            <w:r>
              <w:rPr>
                <w:rFonts w:hint="eastAsia" w:ascii="仿宋" w:hAnsi="仿宋" w:eastAsia="仿宋" w:cs="仿宋"/>
                <w:color w:val="auto"/>
                <w:kern w:val="0"/>
                <w:sz w:val="22"/>
                <w:szCs w:val="22"/>
                <w:highlight w:val="none"/>
              </w:rPr>
              <w:t>B组织，</w:t>
            </w:r>
            <w:r>
              <w:rPr>
                <w:rFonts w:hint="eastAsia" w:ascii="仿宋" w:hAnsi="仿宋" w:eastAsia="仿宋" w:cs="仿宋"/>
                <w:color w:val="auto"/>
                <w:sz w:val="22"/>
                <w:szCs w:val="22"/>
                <w:highlight w:val="none"/>
              </w:rPr>
              <w:t>时间：</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,地点：</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，联系人：</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，联系方式：</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kern w:val="0"/>
                  <w:sz w:val="22"/>
                  <w:szCs w:val="22"/>
                  <w:highlight w:val="none"/>
                </w:rPr>
                <w:id w:val="93"/>
                <w14:checkbox>
                  <w14:checked w14:val="1"/>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Wingdings" w:hAnsi="Wingdings" w:eastAsia="仿宋" w:cs="仿宋"/>
                    <w:color w:val="auto"/>
                    <w:kern w:val="0"/>
                    <w:sz w:val="22"/>
                    <w:szCs w:val="22"/>
                    <w:highlight w:val="none"/>
                    <w:lang w:val="en-US" w:eastAsia="zh-CN" w:bidi="ar-SA"/>
                  </w:rPr>
                  <w:t>þ</w:t>
                </w:r>
              </w:sdtContent>
            </w:sdt>
            <w:r>
              <w:rPr>
                <w:rFonts w:hint="eastAsia" w:ascii="仿宋" w:hAnsi="仿宋" w:eastAsia="仿宋" w:cs="仿宋"/>
                <w:color w:val="auto"/>
                <w:kern w:val="0"/>
                <w:sz w:val="22"/>
                <w:szCs w:val="22"/>
                <w:highlight w:val="none"/>
              </w:rPr>
              <w:t>A</w:t>
            </w:r>
            <w:r>
              <w:rPr>
                <w:rFonts w:hint="eastAsia" w:ascii="仿宋" w:hAnsi="仿宋" w:eastAsia="仿宋" w:cs="仿宋"/>
                <w:color w:val="auto"/>
                <w:sz w:val="22"/>
                <w:szCs w:val="22"/>
                <w:highlight w:val="none"/>
              </w:rPr>
              <w:t>不要求提供。</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0"/>
                <w:sz w:val="22"/>
                <w:szCs w:val="22"/>
                <w:highlight w:val="none"/>
              </w:rPr>
            </w:pPr>
            <w:sdt>
              <w:sdtPr>
                <w:rPr>
                  <w:rFonts w:hint="eastAsia" w:ascii="仿宋" w:hAnsi="仿宋" w:eastAsia="仿宋" w:cs="仿宋"/>
                  <w:color w:val="auto"/>
                  <w:kern w:val="0"/>
                  <w:sz w:val="22"/>
                  <w:szCs w:val="22"/>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仿宋" w:hAnsi="仿宋" w:eastAsia="仿宋" w:cs="仿宋"/>
                    <w:color w:val="auto"/>
                    <w:kern w:val="0"/>
                    <w:sz w:val="22"/>
                    <w:szCs w:val="22"/>
                    <w:highlight w:val="none"/>
                  </w:rPr>
                  <w:t>☐</w:t>
                </w:r>
              </w:sdtContent>
            </w:sdt>
            <w:r>
              <w:rPr>
                <w:rFonts w:hint="eastAsia" w:ascii="仿宋" w:hAnsi="仿宋" w:eastAsia="仿宋" w:cs="仿宋"/>
                <w:color w:val="auto"/>
                <w:kern w:val="0"/>
                <w:sz w:val="22"/>
                <w:szCs w:val="22"/>
                <w:highlight w:val="none"/>
              </w:rPr>
              <w:t>B要求提供，</w:t>
            </w:r>
            <w:r>
              <w:rPr>
                <w:rFonts w:hint="eastAsia" w:ascii="仿宋" w:hAnsi="仿宋" w:eastAsia="仿宋" w:cs="仿宋"/>
                <w:color w:val="auto"/>
                <w:sz w:val="22"/>
                <w:szCs w:val="22"/>
                <w:highlight w:val="none"/>
              </w:rPr>
              <w:t>▲（未提供样品或提供样品不满足采购需求实质性条件的供应商，投标无效）</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w:t>
            </w:r>
            <w:r>
              <w:rPr>
                <w:rFonts w:hint="eastAsia" w:ascii="仿宋" w:hAnsi="仿宋" w:eastAsia="仿宋" w:cs="仿宋"/>
                <w:snapToGrid w:val="0"/>
                <w:color w:val="auto"/>
                <w:kern w:val="28"/>
                <w:sz w:val="22"/>
                <w:szCs w:val="22"/>
                <w:highlight w:val="none"/>
              </w:rPr>
              <w:t>样品：</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w:t>
            </w:r>
            <w:r>
              <w:rPr>
                <w:rFonts w:hint="eastAsia" w:ascii="仿宋" w:hAnsi="仿宋" w:eastAsia="仿宋" w:cs="仿宋"/>
                <w:snapToGrid w:val="0"/>
                <w:color w:val="auto"/>
                <w:kern w:val="28"/>
                <w:sz w:val="22"/>
                <w:szCs w:val="22"/>
                <w:highlight w:val="none"/>
              </w:rPr>
              <w:t>样品制作的标准和要求：</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（3）样品的评审方法以及评审标准</w:t>
            </w:r>
            <w:r>
              <w:rPr>
                <w:rFonts w:hint="eastAsia" w:ascii="仿宋" w:hAnsi="仿宋" w:eastAsia="仿宋" w:cs="仿宋"/>
                <w:snapToGrid w:val="0"/>
                <w:color w:val="auto"/>
                <w:kern w:val="28"/>
                <w:sz w:val="22"/>
                <w:szCs w:val="22"/>
                <w:highlight w:val="none"/>
              </w:rPr>
              <w:t>：详见</w:t>
            </w:r>
            <w:r>
              <w:rPr>
                <w:rFonts w:hint="eastAsia" w:ascii="仿宋" w:hAnsi="仿宋" w:eastAsia="仿宋" w:cs="仿宋"/>
                <w:color w:val="auto"/>
                <w:sz w:val="22"/>
                <w:szCs w:val="22"/>
                <w:highlight w:val="none"/>
                <w:u w:val="single"/>
              </w:rPr>
              <w:t>评标办法</w:t>
            </w:r>
            <w:r>
              <w:rPr>
                <w:rFonts w:hint="eastAsia" w:ascii="仿宋" w:hAnsi="仿宋" w:eastAsia="仿宋" w:cs="仿宋"/>
                <w:color w:val="auto"/>
                <w:kern w:val="0"/>
                <w:sz w:val="22"/>
                <w:szCs w:val="22"/>
                <w:highlight w:val="none"/>
              </w:rPr>
              <w:t>；</w:t>
            </w:r>
            <w:r>
              <w:rPr>
                <w:rFonts w:hint="eastAsia" w:ascii="仿宋" w:hAnsi="仿宋" w:eastAsia="仿宋" w:cs="仿宋"/>
                <w:color w:val="auto"/>
                <w:kern w:val="0"/>
                <w:sz w:val="22"/>
                <w:szCs w:val="22"/>
                <w:highlight w:val="none"/>
              </w:rPr>
              <w:br w:type="textWrapping"/>
            </w:r>
            <w:sdt>
              <w:sdtPr>
                <w:rPr>
                  <w:rFonts w:hint="eastAsia" w:ascii="仿宋" w:hAnsi="仿宋" w:eastAsia="仿宋" w:cs="仿宋"/>
                  <w:color w:val="auto"/>
                  <w:kern w:val="0"/>
                  <w:sz w:val="22"/>
                  <w:szCs w:val="22"/>
                  <w:highlight w:val="none"/>
                </w:rPr>
                <w:id w:val="95"/>
                <w14:checkbox>
                  <w14:checked w14:val="1"/>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仿宋" w:hAnsi="仿宋" w:eastAsia="仿宋" w:cs="仿宋"/>
                    <w:color w:val="auto"/>
                    <w:sz w:val="22"/>
                    <w:szCs w:val="22"/>
                    <w:highlight w:val="none"/>
                  </w:rPr>
                  <w:t>☐</w:t>
                </w:r>
              </w:sdtContent>
            </w:sdt>
            <w:r>
              <w:rPr>
                <w:rFonts w:hint="eastAsia" w:ascii="仿宋" w:hAnsi="仿宋" w:eastAsia="仿宋" w:cs="仿宋"/>
                <w:color w:val="auto"/>
                <w:sz w:val="22"/>
                <w:szCs w:val="22"/>
                <w:highlight w:val="none"/>
              </w:rPr>
              <w:t>样品分未超过价格分的50%；</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96"/>
                <w14:checkbox>
                  <w14:checked w14:val="0"/>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t>☐</w:t>
                </w:r>
              </w:sdtContent>
            </w:sdt>
            <w:r>
              <w:rPr>
                <w:rFonts w:hint="eastAsia" w:ascii="仿宋" w:hAnsi="仿宋" w:eastAsia="仿宋" w:cs="仿宋"/>
                <w:color w:val="auto"/>
                <w:sz w:val="22"/>
                <w:szCs w:val="22"/>
                <w:highlight w:val="none"/>
              </w:rPr>
              <w:t>样品分超过价格分的50%，理由</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 xml:space="preserve">详见招标文件第四部分评标办分法。 </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（4）是否需要随样品提交检测报告：</w:t>
            </w:r>
            <w:sdt>
              <w:sdtPr>
                <w:rPr>
                  <w:rFonts w:hint="eastAsia" w:ascii="仿宋" w:hAnsi="仿宋" w:eastAsia="仿宋" w:cs="仿宋"/>
                  <w:color w:val="auto"/>
                  <w:kern w:val="0"/>
                  <w:sz w:val="22"/>
                  <w:szCs w:val="22"/>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仿宋" w:hAnsi="仿宋" w:eastAsia="仿宋" w:cs="仿宋"/>
                    <w:color w:val="auto"/>
                    <w:kern w:val="0"/>
                    <w:sz w:val="22"/>
                    <w:szCs w:val="22"/>
                    <w:highlight w:val="none"/>
                  </w:rPr>
                  <w:t>☐</w:t>
                </w:r>
              </w:sdtContent>
            </w:sdt>
            <w:r>
              <w:rPr>
                <w:rFonts w:hint="eastAsia" w:ascii="仿宋" w:hAnsi="仿宋" w:eastAsia="仿宋" w:cs="仿宋"/>
                <w:color w:val="auto"/>
                <w:kern w:val="0"/>
                <w:sz w:val="22"/>
                <w:szCs w:val="22"/>
                <w:highlight w:val="none"/>
              </w:rPr>
              <w:t>否；</w:t>
            </w:r>
            <w:sdt>
              <w:sdtPr>
                <w:rPr>
                  <w:rFonts w:hint="eastAsia" w:ascii="仿宋" w:hAnsi="仿宋" w:eastAsia="仿宋" w:cs="仿宋"/>
                  <w:color w:val="auto"/>
                  <w:kern w:val="0"/>
                  <w:sz w:val="22"/>
                  <w:szCs w:val="22"/>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2"/>
                  <w:szCs w:val="22"/>
                  <w:highlight w:val="none"/>
                </w:rPr>
              </w:sdtEndPr>
              <w:sdtContent>
                <w:r>
                  <w:rPr>
                    <w:rFonts w:hint="eastAsia" w:ascii="仿宋" w:hAnsi="仿宋" w:eastAsia="仿宋" w:cs="仿宋"/>
                    <w:color w:val="auto"/>
                    <w:kern w:val="0"/>
                    <w:sz w:val="22"/>
                    <w:szCs w:val="22"/>
                    <w:highlight w:val="none"/>
                  </w:rPr>
                  <w:t>☐</w:t>
                </w:r>
              </w:sdtContent>
            </w:sdt>
            <w:r>
              <w:rPr>
                <w:rFonts w:hint="eastAsia" w:ascii="仿宋" w:hAnsi="仿宋" w:eastAsia="仿宋" w:cs="仿宋"/>
                <w:color w:val="auto"/>
                <w:kern w:val="0"/>
                <w:sz w:val="22"/>
                <w:szCs w:val="22"/>
                <w:highlight w:val="none"/>
              </w:rPr>
              <w:t>是，检测机构的要求</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；检测内容</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w:t>
            </w:r>
          </w:p>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bCs/>
                <w:color w:val="auto"/>
                <w:sz w:val="22"/>
                <w:szCs w:val="22"/>
                <w:highlight w:val="none"/>
              </w:rPr>
            </w:pPr>
            <w:r>
              <w:rPr>
                <w:rFonts w:hint="eastAsia" w:ascii="仿宋" w:hAnsi="仿宋" w:eastAsia="仿宋" w:cs="仿宋"/>
                <w:color w:val="auto"/>
                <w:sz w:val="22"/>
                <w:szCs w:val="22"/>
                <w:highlight w:val="none"/>
              </w:rPr>
              <w:t>（5）提供样品的时间：</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；地点：</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kern w:val="0"/>
                <w:sz w:val="22"/>
                <w:szCs w:val="22"/>
                <w:highlight w:val="none"/>
              </w:rPr>
              <w:t>；联系人</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r>
              <w:rPr>
                <w:rFonts w:hint="eastAsia" w:ascii="仿宋" w:hAnsi="仿宋" w:eastAsia="仿宋" w:cs="仿宋"/>
                <w:color w:val="auto"/>
                <w:kern w:val="28"/>
                <w:sz w:val="22"/>
                <w:szCs w:val="22"/>
                <w:highlight w:val="none"/>
              </w:rPr>
              <w:t>联系电话：</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。请投标人在上述时间内提供样品</w:t>
            </w:r>
            <w:r>
              <w:rPr>
                <w:rFonts w:hint="eastAsia" w:ascii="仿宋" w:hAnsi="仿宋" w:eastAsia="仿宋" w:cs="仿宋"/>
                <w:color w:val="auto"/>
                <w:sz w:val="22"/>
                <w:szCs w:val="22"/>
                <w:highlight w:val="none"/>
                <w:lang w:eastAsia="zh-CN"/>
              </w:rPr>
              <w:t>，</w:t>
            </w:r>
            <w:r>
              <w:rPr>
                <w:rFonts w:hint="eastAsia" w:ascii="仿宋" w:hAnsi="仿宋" w:eastAsia="仿宋" w:cs="仿宋"/>
                <w:bCs/>
                <w:color w:val="auto"/>
                <w:sz w:val="22"/>
                <w:szCs w:val="22"/>
                <w:highlight w:val="none"/>
              </w:rPr>
              <w:t>样品递交人须提供投标人的授权书（见附件格式，法人代表请携带身份证复件及营业执照复印件）、身份证。</w:t>
            </w:r>
            <w:r>
              <w:rPr>
                <w:rFonts w:hint="eastAsia" w:ascii="仿宋" w:hAnsi="仿宋" w:eastAsia="仿宋" w:cs="仿宋"/>
                <w:color w:val="auto"/>
                <w:sz w:val="22"/>
                <w:szCs w:val="22"/>
                <w:highlight w:val="none"/>
              </w:rPr>
              <w:t>超过截止时间的，采购人或采购代理机构将不予接收，并将清场并封闭样品现场。</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(6)采购活动结束后，对于未中标人提供的样品，采购人、</w:t>
            </w:r>
            <w:r>
              <w:rPr>
                <w:rFonts w:hint="eastAsia" w:ascii="仿宋" w:hAnsi="仿宋" w:eastAsia="仿宋" w:cs="仿宋"/>
                <w:color w:val="auto"/>
                <w:sz w:val="22"/>
                <w:szCs w:val="22"/>
                <w:highlight w:val="none"/>
                <w:lang w:eastAsia="zh-CN"/>
              </w:rPr>
              <w:t>采购代理机构</w:t>
            </w:r>
            <w:r>
              <w:rPr>
                <w:rFonts w:hint="eastAsia" w:ascii="仿宋" w:hAnsi="仿宋" w:eastAsia="仿宋" w:cs="仿宋"/>
                <w:color w:val="auto"/>
                <w:sz w:val="22"/>
                <w:szCs w:val="22"/>
                <w:highlight w:val="none"/>
              </w:rPr>
              <w:t>将通知未中标人在规定的时间内取回，逾期未取回的，采购人、</w:t>
            </w:r>
            <w:r>
              <w:rPr>
                <w:rFonts w:hint="eastAsia" w:ascii="仿宋" w:hAnsi="仿宋" w:eastAsia="仿宋" w:cs="仿宋"/>
                <w:color w:val="auto"/>
                <w:sz w:val="22"/>
                <w:szCs w:val="22"/>
                <w:highlight w:val="none"/>
                <w:lang w:eastAsia="zh-CN"/>
              </w:rPr>
              <w:t>采购代理机构</w:t>
            </w:r>
            <w:r>
              <w:rPr>
                <w:rFonts w:hint="eastAsia" w:ascii="仿宋" w:hAnsi="仿宋" w:eastAsia="仿宋" w:cs="仿宋"/>
                <w:color w:val="auto"/>
                <w:sz w:val="22"/>
                <w:szCs w:val="22"/>
                <w:highlight w:val="none"/>
              </w:rPr>
              <w:t>不负保管义务；对于中标人提供的样品，采购人将进行保管、封存，并作为履约验收的参考。</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b/>
                <w:color w:val="auto"/>
                <w:sz w:val="22"/>
                <w:szCs w:val="22"/>
                <w:highlight w:val="none"/>
              </w:rPr>
            </w:pPr>
            <w:r>
              <w:rPr>
                <w:rFonts w:hint="eastAsia" w:ascii="仿宋" w:hAnsi="仿宋" w:eastAsia="仿宋" w:cs="仿宋"/>
                <w:color w:val="auto"/>
                <w:sz w:val="22"/>
                <w:szCs w:val="22"/>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99"/>
                <w14:checkbox>
                  <w14:checked w14:val="1"/>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Wingdings" w:hAnsi="Wingdings" w:eastAsia="仿宋" w:cs="仿宋"/>
                    <w:color w:val="auto"/>
                    <w:kern w:val="2"/>
                    <w:sz w:val="22"/>
                    <w:szCs w:val="22"/>
                    <w:highlight w:val="none"/>
                    <w:lang w:val="en-US" w:eastAsia="zh-CN" w:bidi="ar-SA"/>
                  </w:rPr>
                  <w:t>þ</w:t>
                </w:r>
              </w:sdtContent>
            </w:sdt>
            <w:r>
              <w:rPr>
                <w:rFonts w:hint="eastAsia" w:ascii="仿宋" w:hAnsi="仿宋" w:eastAsia="仿宋" w:cs="仿宋"/>
                <w:color w:val="auto"/>
                <w:sz w:val="22"/>
                <w:szCs w:val="22"/>
                <w:highlight w:val="none"/>
              </w:rPr>
              <w:t>A不组织。</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t>☐</w:t>
                </w:r>
              </w:sdtContent>
            </w:sdt>
            <w:r>
              <w:rPr>
                <w:rFonts w:hint="eastAsia" w:ascii="仿宋" w:hAnsi="仿宋" w:eastAsia="仿宋" w:cs="仿宋"/>
                <w:color w:val="auto"/>
                <w:sz w:val="22"/>
                <w:szCs w:val="22"/>
                <w:highlight w:val="none"/>
              </w:rPr>
              <w:t>B组织。</w:t>
            </w:r>
          </w:p>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（1）在评标时安排每个投标人进行方案讲解演示。每个投标人时间不超过20</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编制时可根据项目情况进行调整</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分钟，讲解次序以投标文件解密时间先后次序为准，讲解演示人员不超过3</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编制时可根据项目情况进行调整</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人。讲解演示结束后按要求解答评标委员会提问。</w:t>
            </w:r>
          </w:p>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（2）方案讲解演示可选择以下其中一种方式：</w:t>
            </w:r>
          </w:p>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方式</w:t>
            </w:r>
            <w:r>
              <w:rPr>
                <w:rFonts w:hint="eastAsia" w:ascii="仿宋" w:hAnsi="仿宋" w:eastAsia="仿宋" w:cs="仿宋"/>
                <w:color w:val="auto"/>
                <w:sz w:val="22"/>
                <w:szCs w:val="22"/>
                <w:highlight w:val="none"/>
                <w:lang w:val="en-US" w:eastAsia="zh-CN"/>
              </w:rPr>
              <w:t>一</w:t>
            </w:r>
            <w:r>
              <w:rPr>
                <w:rFonts w:hint="eastAsia" w:ascii="仿宋" w:hAnsi="仿宋" w:eastAsia="仿宋" w:cs="仿宋"/>
                <w:color w:val="auto"/>
                <w:sz w:val="22"/>
                <w:szCs w:val="22"/>
                <w:highlight w:val="none"/>
              </w:rPr>
              <w:t>：交易中心现场讲解演示。现场讲解地点为       ，讲解演示所用电脑等设备由投标人自备。现场讲解演示人员进场时提供讲解人员名单（加盖公章或授权代表签名）及身份证明，否则不得讲解演示。</w:t>
            </w:r>
          </w:p>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方式</w:t>
            </w:r>
            <w:r>
              <w:rPr>
                <w:rFonts w:hint="eastAsia" w:ascii="仿宋" w:hAnsi="仿宋" w:eastAsia="仿宋" w:cs="仿宋"/>
                <w:color w:val="auto"/>
                <w:sz w:val="22"/>
                <w:szCs w:val="22"/>
                <w:highlight w:val="none"/>
                <w:lang w:val="en-US" w:eastAsia="zh-CN"/>
              </w:rPr>
              <w:t>二</w:t>
            </w:r>
            <w:r>
              <w:rPr>
                <w:rFonts w:hint="eastAsia" w:ascii="仿宋" w:hAnsi="仿宋" w:eastAsia="仿宋" w:cs="仿宋"/>
                <w:color w:val="auto"/>
                <w:sz w:val="22"/>
                <w:szCs w:val="22"/>
                <w:highlight w:val="none"/>
              </w:rPr>
              <w:t>：政采云平台在线讲解演示。政采云平台在线讲解需投标人根据政采云平台操作要求做好准备工作，提前完善软硬件配置环境。</w:t>
            </w:r>
          </w:p>
          <w:p>
            <w:pPr>
              <w:pStyle w:val="2"/>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p>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（1）资格证明文件：见招标文件第二部分11.1。</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snapToGrid w:val="0"/>
                <w:color w:val="auto"/>
                <w:kern w:val="0"/>
                <w:sz w:val="22"/>
                <w:szCs w:val="22"/>
                <w:highlight w:val="none"/>
              </w:rPr>
            </w:pPr>
            <w:r>
              <w:rPr>
                <w:rFonts w:hint="eastAsia" w:ascii="仿宋" w:hAnsi="仿宋" w:eastAsia="仿宋" w:cs="仿宋"/>
                <w:color w:val="auto"/>
                <w:kern w:val="0"/>
                <w:sz w:val="22"/>
                <w:szCs w:val="22"/>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 w:hRule="atLeast"/>
          <w:tblHeader/>
        </w:trPr>
        <w:tc>
          <w:tcPr>
            <w:tcW w:w="629"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left"/>
              <w:textAlignment w:val="auto"/>
              <w:rPr>
                <w:rFonts w:hint="eastAsia" w:ascii="仿宋" w:hAnsi="仿宋" w:eastAsia="仿宋" w:cs="仿宋"/>
                <w:b/>
                <w:color w:val="auto"/>
                <w:kern w:val="0"/>
                <w:sz w:val="22"/>
                <w:szCs w:val="22"/>
                <w:highlight w:val="none"/>
                <w:lang w:val="zh-CN"/>
              </w:rPr>
            </w:pPr>
            <w:r>
              <w:rPr>
                <w:rFonts w:hint="eastAsia" w:ascii="仿宋" w:hAnsi="仿宋" w:eastAsia="仿宋" w:cs="仿宋"/>
                <w:color w:val="auto"/>
                <w:kern w:val="0"/>
                <w:sz w:val="22"/>
                <w:szCs w:val="22"/>
                <w:highlight w:val="none"/>
                <w:lang w:val="zh-CN"/>
              </w:rPr>
              <w:t>有关本项目实施所需的所有费用（含税费）均计入报价。</w:t>
            </w:r>
            <w:r>
              <w:rPr>
                <w:rFonts w:hint="eastAsia" w:ascii="仿宋" w:hAnsi="仿宋" w:eastAsia="仿宋" w:cs="仿宋"/>
                <w:b/>
                <w:bCs/>
                <w:color w:val="auto"/>
                <w:kern w:val="0"/>
                <w:sz w:val="22"/>
                <w:szCs w:val="22"/>
                <w:highlight w:val="none"/>
                <w:lang w:val="zh-CN"/>
              </w:rPr>
              <w:t>投标文件</w:t>
            </w:r>
            <w:r>
              <w:rPr>
                <w:rFonts w:hint="eastAsia" w:ascii="仿宋" w:hAnsi="仿宋" w:eastAsia="仿宋" w:cs="仿宋"/>
                <w:b/>
                <w:bCs/>
                <w:color w:val="auto"/>
                <w:sz w:val="22"/>
                <w:szCs w:val="22"/>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2"/>
                <w:szCs w:val="22"/>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2"/>
                <w:szCs w:val="22"/>
                <w:highlight w:val="none"/>
                <w:lang w:val="zh-CN"/>
              </w:rPr>
              <w:t>提醒：验收时检测费用由采购人承担，不包含在投标总价中。</w:t>
            </w:r>
          </w:p>
          <w:p>
            <w:pPr>
              <w:pageBreakBefore w:val="0"/>
              <w:widowControl w:val="0"/>
              <w:kinsoku/>
              <w:wordWrap/>
              <w:overflowPunct/>
              <w:topLinePunct w:val="0"/>
              <w:autoSpaceDE/>
              <w:autoSpaceDN/>
              <w:bidi w:val="0"/>
              <w:snapToGrid w:val="0"/>
              <w:spacing w:line="240" w:lineRule="auto"/>
              <w:ind w:left="0"/>
              <w:jc w:val="left"/>
              <w:textAlignment w:val="auto"/>
              <w:rPr>
                <w:rFonts w:hint="eastAsia" w:ascii="仿宋" w:hAnsi="仿宋" w:eastAsia="仿宋" w:cs="仿宋"/>
                <w:b/>
                <w:color w:val="auto"/>
                <w:kern w:val="0"/>
                <w:sz w:val="22"/>
                <w:szCs w:val="22"/>
                <w:highlight w:val="none"/>
                <w:lang w:val="zh-CN"/>
              </w:rPr>
            </w:pPr>
            <w:r>
              <w:rPr>
                <w:rFonts w:hint="eastAsia" w:ascii="仿宋" w:hAnsi="仿宋" w:eastAsia="仿宋" w:cs="仿宋"/>
                <w:b/>
                <w:color w:val="auto"/>
                <w:kern w:val="0"/>
                <w:sz w:val="22"/>
                <w:szCs w:val="22"/>
                <w:highlight w:val="none"/>
                <w:lang w:val="zh-CN"/>
              </w:rPr>
              <w:t>投标报价出现下列情形的，投标无效：</w:t>
            </w:r>
          </w:p>
          <w:p>
            <w:pPr>
              <w:pageBreakBefore w:val="0"/>
              <w:widowControl w:val="0"/>
              <w:kinsoku/>
              <w:wordWrap/>
              <w:overflowPunct/>
              <w:topLinePunct w:val="0"/>
              <w:autoSpaceDE/>
              <w:autoSpaceDN/>
              <w:bidi w:val="0"/>
              <w:snapToGrid w:val="0"/>
              <w:spacing w:line="240" w:lineRule="auto"/>
              <w:ind w:left="0" w:firstLine="221" w:firstLineChars="100"/>
              <w:jc w:val="left"/>
              <w:textAlignment w:val="auto"/>
              <w:rPr>
                <w:rFonts w:hint="eastAsia" w:ascii="仿宋" w:hAnsi="仿宋" w:eastAsia="仿宋" w:cs="仿宋"/>
                <w:b/>
                <w:color w:val="auto"/>
                <w:kern w:val="0"/>
                <w:sz w:val="22"/>
                <w:szCs w:val="22"/>
                <w:highlight w:val="none"/>
                <w:lang w:val="zh-CN"/>
              </w:rPr>
            </w:pPr>
            <w:r>
              <w:rPr>
                <w:rFonts w:hint="eastAsia" w:ascii="仿宋" w:hAnsi="仿宋" w:eastAsia="仿宋" w:cs="仿宋"/>
                <w:b/>
                <w:color w:val="auto"/>
                <w:kern w:val="0"/>
                <w:sz w:val="22"/>
                <w:szCs w:val="22"/>
                <w:highlight w:val="none"/>
                <w:lang w:val="zh-CN"/>
              </w:rPr>
              <w:t>投标文件出现不是唯一的、有选择性投标报价的；</w:t>
            </w:r>
          </w:p>
          <w:p>
            <w:pPr>
              <w:pageBreakBefore w:val="0"/>
              <w:widowControl w:val="0"/>
              <w:kinsoku/>
              <w:wordWrap/>
              <w:overflowPunct/>
              <w:topLinePunct w:val="0"/>
              <w:autoSpaceDE/>
              <w:autoSpaceDN/>
              <w:bidi w:val="0"/>
              <w:snapToGrid w:val="0"/>
              <w:spacing w:line="240" w:lineRule="auto"/>
              <w:ind w:left="0" w:firstLine="221" w:firstLineChars="100"/>
              <w:jc w:val="left"/>
              <w:textAlignment w:val="auto"/>
              <w:rPr>
                <w:rFonts w:hint="eastAsia" w:ascii="仿宋" w:hAnsi="仿宋" w:eastAsia="仿宋" w:cs="仿宋"/>
                <w:color w:val="auto"/>
                <w:kern w:val="0"/>
                <w:sz w:val="22"/>
                <w:szCs w:val="22"/>
                <w:highlight w:val="none"/>
                <w:lang w:val="zh-CN"/>
              </w:rPr>
            </w:pPr>
            <w:r>
              <w:rPr>
                <w:rFonts w:hint="eastAsia" w:ascii="仿宋" w:hAnsi="仿宋" w:eastAsia="仿宋" w:cs="仿宋"/>
                <w:b/>
                <w:color w:val="auto"/>
                <w:kern w:val="0"/>
                <w:sz w:val="22"/>
                <w:szCs w:val="22"/>
                <w:highlight w:val="none"/>
                <w:lang w:val="zh-CN"/>
              </w:rPr>
              <w:t>投标报价超过招标文件中规定的预算金额或者最高限价的;</w:t>
            </w:r>
          </w:p>
          <w:p>
            <w:pPr>
              <w:pageBreakBefore w:val="0"/>
              <w:widowControl w:val="0"/>
              <w:kinsoku/>
              <w:wordWrap/>
              <w:overflowPunct/>
              <w:topLinePunct w:val="0"/>
              <w:autoSpaceDE/>
              <w:autoSpaceDN/>
              <w:bidi w:val="0"/>
              <w:spacing w:line="240" w:lineRule="auto"/>
              <w:ind w:left="0" w:firstLine="221" w:firstLineChars="100"/>
              <w:textAlignment w:val="auto"/>
              <w:rPr>
                <w:rFonts w:hint="eastAsia" w:ascii="仿宋" w:hAnsi="仿宋" w:eastAsia="仿宋" w:cs="仿宋"/>
                <w:b/>
                <w:color w:val="auto"/>
                <w:sz w:val="22"/>
                <w:szCs w:val="22"/>
                <w:highlight w:val="none"/>
              </w:rPr>
            </w:pPr>
            <w:r>
              <w:rPr>
                <w:rFonts w:hint="eastAsia" w:ascii="仿宋" w:hAnsi="仿宋" w:eastAsia="仿宋" w:cs="仿宋"/>
                <w:b/>
                <w:color w:val="auto"/>
                <w:kern w:val="0"/>
                <w:sz w:val="22"/>
                <w:szCs w:val="22"/>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2"/>
                <w:szCs w:val="22"/>
                <w:highlight w:val="none"/>
              </w:rPr>
              <w:t>;</w:t>
            </w:r>
          </w:p>
          <w:p>
            <w:pPr>
              <w:pageBreakBefore w:val="0"/>
              <w:widowControl w:val="0"/>
              <w:kinsoku/>
              <w:wordWrap/>
              <w:overflowPunct/>
              <w:topLinePunct w:val="0"/>
              <w:autoSpaceDE/>
              <w:autoSpaceDN/>
              <w:bidi w:val="0"/>
              <w:spacing w:after="0" w:line="240" w:lineRule="auto"/>
              <w:ind w:left="0" w:firstLine="442" w:firstLineChars="200"/>
              <w:textAlignment w:val="auto"/>
              <w:rPr>
                <w:rFonts w:hint="eastAsia" w:ascii="仿宋" w:hAnsi="仿宋" w:eastAsia="仿宋" w:cs="仿宋"/>
                <w:color w:val="auto"/>
                <w:sz w:val="22"/>
                <w:szCs w:val="22"/>
                <w:highlight w:val="none"/>
              </w:rPr>
            </w:pPr>
            <w:r>
              <w:rPr>
                <w:rFonts w:hint="eastAsia" w:ascii="仿宋" w:hAnsi="仿宋" w:eastAsia="仿宋" w:cs="仿宋"/>
                <w:b/>
                <w:color w:val="auto"/>
                <w:kern w:val="0"/>
                <w:sz w:val="22"/>
                <w:szCs w:val="22"/>
                <w:highlight w:val="none"/>
              </w:rPr>
              <w:t>投标人对根据修正原则修正后的报价不确认的</w:t>
            </w:r>
            <w:r>
              <w:rPr>
                <w:rFonts w:hint="eastAsia" w:ascii="仿宋" w:hAnsi="仿宋" w:eastAsia="仿宋" w:cs="仿宋"/>
                <w:b/>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19" w:hRule="atLeast"/>
          <w:tblHeader/>
        </w:trPr>
        <w:tc>
          <w:tcPr>
            <w:tcW w:w="629" w:type="dxa"/>
            <w:tcBorders>
              <w:top w:val="single" w:color="auto" w:sz="4" w:space="0"/>
              <w:left w:val="single" w:color="000000" w:sz="8"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pacing w:line="240" w:lineRule="auto"/>
              <w:ind w:left="0" w:firstLine="44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pageBreakBefore w:val="0"/>
              <w:widowControl w:val="0"/>
              <w:kinsoku/>
              <w:wordWrap/>
              <w:overflowPunct/>
              <w:topLinePunct w:val="0"/>
              <w:autoSpaceDE/>
              <w:autoSpaceDN/>
              <w:bidi w:val="0"/>
              <w:snapToGrid w:val="0"/>
              <w:spacing w:after="0"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本项目支持《杭州市萧山区政府采购支持中小企业信用融资暂行办法》。</w:t>
            </w:r>
          </w:p>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有融资需求的中标供应商可参照相关规定及银行方案凭政府采购合同向相关合作银行提出信用融资（贷款）申请。详见</w:t>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HYPERLINK "http://www.xiaoshan.gov.cn/art/2018/12/20/art_1229293109_1559514.html" </w:instrText>
            </w:r>
            <w:r>
              <w:rPr>
                <w:rFonts w:hint="eastAsia" w:ascii="仿宋" w:hAnsi="仿宋" w:eastAsia="仿宋" w:cs="仿宋"/>
                <w:color w:val="auto"/>
                <w:sz w:val="22"/>
                <w:szCs w:val="22"/>
                <w:highlight w:val="none"/>
              </w:rPr>
              <w:fldChar w:fldCharType="separate"/>
            </w:r>
            <w:r>
              <w:rPr>
                <w:rStyle w:val="76"/>
                <w:rFonts w:hint="eastAsia" w:ascii="仿宋" w:hAnsi="仿宋" w:eastAsia="仿宋" w:cs="仿宋"/>
                <w:snapToGrid/>
                <w:color w:val="auto"/>
                <w:sz w:val="22"/>
                <w:szCs w:val="22"/>
                <w:highlight w:val="none"/>
              </w:rPr>
              <w:t>http://www.xiaoshan.gov.cn/art/2018/12/20/art_1229293109_1559514.html</w:t>
            </w:r>
            <w:r>
              <w:rPr>
                <w:rStyle w:val="76"/>
                <w:rFonts w:hint="eastAsia" w:ascii="仿宋" w:hAnsi="仿宋" w:eastAsia="仿宋" w:cs="仿宋"/>
                <w:snapToGrid/>
                <w:color w:val="auto"/>
                <w:sz w:val="22"/>
                <w:szCs w:val="22"/>
                <w:highlight w:val="non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kern w:val="28"/>
                <w:sz w:val="22"/>
                <w:szCs w:val="22"/>
                <w:highlight w:val="none"/>
              </w:rPr>
            </w:pPr>
            <w:r>
              <w:rPr>
                <w:rFonts w:hint="eastAsia" w:ascii="仿宋" w:hAnsi="仿宋" w:eastAsia="仿宋" w:cs="仿宋"/>
                <w:color w:val="auto"/>
                <w:kern w:val="28"/>
                <w:sz w:val="22"/>
                <w:szCs w:val="22"/>
                <w:highlight w:val="none"/>
                <w:lang w:val="en-US" w:eastAsia="zh-CN"/>
              </w:rPr>
              <w:t>本项目</w:t>
            </w:r>
            <w:r>
              <w:rPr>
                <w:rFonts w:hint="eastAsia" w:ascii="仿宋" w:hAnsi="仿宋" w:eastAsia="仿宋" w:cs="仿宋"/>
                <w:color w:val="auto"/>
                <w:kern w:val="28"/>
                <w:sz w:val="22"/>
                <w:szCs w:val="22"/>
                <w:highlight w:val="none"/>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sz w:val="22"/>
                <w:szCs w:val="22"/>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sz w:val="22"/>
                <w:szCs w:val="22"/>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after="0"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after="0" w:line="240" w:lineRule="auto"/>
              <w:ind w:left="0"/>
              <w:textAlignment w:val="auto"/>
              <w:rPr>
                <w:rFonts w:hint="eastAsia"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采购人、采购机构质疑接收人、联系方式：详见公告</w:t>
            </w:r>
          </w:p>
          <w:p>
            <w:pPr>
              <w:pageBreakBefore w:val="0"/>
              <w:widowControl w:val="0"/>
              <w:kinsoku/>
              <w:wordWrap/>
              <w:overflowPunct/>
              <w:topLinePunct w:val="0"/>
              <w:autoSpaceDE/>
              <w:autoSpaceDN/>
              <w:bidi w:val="0"/>
              <w:snapToGrid w:val="0"/>
              <w:spacing w:after="0" w:line="240" w:lineRule="auto"/>
              <w:ind w:left="0"/>
              <w:textAlignment w:val="auto"/>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线上提交质疑方式：政采云线上质疑路径：项目采购-询问质疑投诉-质疑列表。请使用ca签章在每一页质疑文件中加盖电子公章，上传完整附件。</w:t>
            </w:r>
          </w:p>
          <w:p>
            <w:pPr>
              <w:pageBreakBefore w:val="0"/>
              <w:widowControl w:val="0"/>
              <w:kinsoku/>
              <w:wordWrap/>
              <w:overflowPunct/>
              <w:topLinePunct w:val="0"/>
              <w:autoSpaceDE/>
              <w:autoSpaceDN/>
              <w:bidi w:val="0"/>
              <w:snapToGrid w:val="0"/>
              <w:spacing w:after="0"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本项目涉及资格条件、采购需求、评分办法及采购过程中有关现场考察或开标前答疑会等事项由采购人进行答复。</w:t>
            </w:r>
          </w:p>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843" w:type="dxa"/>
            <w:vMerge w:val="restart"/>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snapToGrid w:val="0"/>
                <w:color w:val="auto"/>
                <w:kern w:val="28"/>
                <w:sz w:val="22"/>
                <w:szCs w:val="22"/>
                <w:highlight w:val="none"/>
              </w:rPr>
            </w:pPr>
            <w:r>
              <w:rPr>
                <w:rFonts w:hint="eastAsia" w:ascii="仿宋" w:hAnsi="仿宋" w:eastAsia="仿宋" w:cs="仿宋"/>
                <w:snapToGrid w:val="0"/>
                <w:color w:val="auto"/>
                <w:kern w:val="28"/>
                <w:sz w:val="22"/>
                <w:szCs w:val="22"/>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left="0"/>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101"/>
                <w14:checkbox>
                  <w14:checked w14:val="0"/>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t>☐</w:t>
                </w:r>
              </w:sdtContent>
            </w:sdt>
            <w:r>
              <w:rPr>
                <w:rFonts w:hint="eastAsia" w:ascii="仿宋" w:hAnsi="仿宋" w:eastAsia="仿宋" w:cs="仿宋"/>
                <w:color w:val="auto"/>
                <w:sz w:val="22"/>
                <w:szCs w:val="22"/>
                <w:highlight w:val="none"/>
              </w:rPr>
              <w:t>联合体投标的，联合体各方均需按招标文件第四部分评标标准要求提供资信证明文件，否则视为不符合相关要求。</w:t>
            </w:r>
          </w:p>
          <w:p>
            <w:pPr>
              <w:pageBreakBefore w:val="0"/>
              <w:widowControl w:val="0"/>
              <w:kinsoku/>
              <w:wordWrap/>
              <w:overflowPunct/>
              <w:topLinePunct w:val="0"/>
              <w:autoSpaceDE/>
              <w:autoSpaceDN/>
              <w:bidi w:val="0"/>
              <w:spacing w:line="240" w:lineRule="auto"/>
              <w:ind w:left="0"/>
              <w:textAlignment w:val="auto"/>
              <w:rPr>
                <w:rFonts w:hint="eastAsia" w:ascii="仿宋" w:hAnsi="仿宋" w:eastAsia="仿宋" w:cs="仿宋"/>
                <w:color w:val="auto"/>
                <w:sz w:val="22"/>
                <w:szCs w:val="22"/>
                <w:highlight w:val="none"/>
              </w:rPr>
            </w:pPr>
            <w:sdt>
              <w:sdtPr>
                <w:rPr>
                  <w:rFonts w:hint="eastAsia" w:ascii="仿宋" w:hAnsi="仿宋" w:eastAsia="仿宋" w:cs="仿宋"/>
                  <w:color w:val="auto"/>
                  <w:sz w:val="22"/>
                  <w:szCs w:val="22"/>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2"/>
                  <w:szCs w:val="22"/>
                  <w:highlight w:val="none"/>
                </w:rPr>
              </w:sdtEndPr>
              <w:sdtContent>
                <w:r>
                  <w:rPr>
                    <w:rFonts w:hint="eastAsia" w:ascii="仿宋" w:hAnsi="仿宋" w:eastAsia="仿宋" w:cs="仿宋"/>
                    <w:color w:val="auto"/>
                    <w:sz w:val="22"/>
                    <w:szCs w:val="22"/>
                    <w:highlight w:val="none"/>
                  </w:rPr>
                  <w:sym w:font="Wingdings" w:char="F0FE"/>
                </w:r>
              </w:sdtContent>
            </w:sdt>
            <w:r>
              <w:rPr>
                <w:rFonts w:hint="eastAsia" w:ascii="仿宋" w:hAnsi="仿宋" w:eastAsia="仿宋" w:cs="仿宋"/>
                <w:color w:val="auto"/>
                <w:sz w:val="22"/>
                <w:szCs w:val="22"/>
                <w:highlight w:val="none"/>
              </w:rPr>
              <w:t>联合体投标的，联合体中有一方或者联合体成员根据分工按招标文件第四部分评标标准要求提供资信证明文件的，视为符合了相关要求。</w:t>
            </w:r>
            <w:r>
              <w:rPr>
                <w:rFonts w:hint="eastAsia" w:ascii="仿宋" w:hAnsi="仿宋" w:eastAsia="仿宋" w:cs="仿宋"/>
                <w:color w:val="auto"/>
                <w:sz w:val="22"/>
                <w:szCs w:val="22"/>
                <w:highlight w:val="none"/>
              </w:rPr>
              <w:br w:type="textWrapping"/>
            </w:r>
            <w:r>
              <w:rPr>
                <w:rFonts w:hint="eastAsia" w:ascii="仿宋" w:hAnsi="仿宋" w:eastAsia="仿宋" w:cs="仿宋"/>
                <w:color w:val="auto"/>
                <w:kern w:val="0"/>
                <w:sz w:val="22"/>
                <w:szCs w:val="22"/>
                <w:highlight w:val="none"/>
              </w:rPr>
              <w:t>评审因素对应的要求视为采购需求的一部分。</w:t>
            </w:r>
          </w:p>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严格执行预算限价，项目如涉及办公用房装修、通用办公设备家具的不得超限额标准。（萧财国资【2019】389号）</w:t>
            </w:r>
          </w:p>
          <w:p>
            <w:pPr>
              <w:pageBreakBefore w:val="0"/>
              <w:widowControl w:val="0"/>
              <w:kinsoku/>
              <w:wordWrap/>
              <w:overflowPunct/>
              <w:topLinePunct w:val="0"/>
              <w:autoSpaceDE/>
              <w:autoSpaceDN/>
              <w:bidi w:val="0"/>
              <w:spacing w:after="0" w:line="240" w:lineRule="auto"/>
              <w:ind w:left="0"/>
              <w:textAlignment w:val="auto"/>
              <w:rPr>
                <w:rFonts w:hint="eastAsia" w:ascii="仿宋" w:hAnsi="仿宋" w:eastAsia="仿宋" w:cs="仿宋"/>
                <w:color w:val="auto"/>
                <w:sz w:val="22"/>
                <w:szCs w:val="22"/>
                <w:highlight w:val="none"/>
              </w:rPr>
            </w:pPr>
            <w:r>
              <w:rPr>
                <w:rFonts w:hint="eastAsia" w:ascii="仿宋" w:hAnsi="仿宋" w:eastAsia="仿宋" w:cs="仿宋"/>
                <w:b/>
                <w:color w:val="auto"/>
                <w:sz w:val="22"/>
                <w:szCs w:val="22"/>
                <w:highlight w:val="none"/>
              </w:rPr>
              <w:t>本项目通用总则条款与前附表等专用特别规定有冲突之处，以专用条款（特别规定）为准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3" w:name="_Toc164416483"/>
      <w:bookmarkStart w:id="14"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hint="eastAsia" w:ascii="宋体" w:hAnsi="宋体" w:cs="宋体"/>
          <w:color w:val="auto"/>
          <w:sz w:val="24"/>
          <w:highlight w:val="none"/>
          <w:lang w:val="en-US" w:eastAsia="zh-CN"/>
        </w:rPr>
        <w:t>2</w:t>
      </w:r>
      <w:r>
        <w:rPr>
          <w:rFonts w:ascii="宋体" w:hAnsi="宋体" w:cs="宋体"/>
          <w:color w:val="auto"/>
          <w:sz w:val="24"/>
          <w:highlight w:val="none"/>
        </w:rPr>
        <w:t>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highlight w:val="none"/>
        </w:rPr>
        <w:t>联合协议或者分包意向协议约定小微企业的合同份额占到合同总金额30%以上的</w:t>
      </w:r>
      <w:bookmarkEnd w:id="16"/>
      <w:r>
        <w:rPr>
          <w:rFonts w:hint="eastAsia" w:ascii="宋体" w:hAnsi="宋体" w:cs="宋体"/>
          <w:color w:val="auto"/>
          <w:sz w:val="24"/>
          <w:highlight w:val="none"/>
        </w:rPr>
        <w:t>，对联合体或者大中型企业的报价给予4%-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eastAsia="宋体" w:cs="宋体"/>
          <w:b/>
          <w:color w:val="auto"/>
          <w:sz w:val="24"/>
          <w:highlight w:val="none"/>
        </w:rPr>
        <w:t>4. 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4.1在线询问、质疑、投诉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1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rPr>
          <w:rFonts w:hint="default" w:eastAsia="宋体"/>
          <w:color w:val="auto"/>
          <w:highlight w:val="none"/>
          <w:lang w:val="en-US" w:eastAsia="zh-CN"/>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7" w:name="_Hlk101259339"/>
      <w:r>
        <w:rPr>
          <w:rFonts w:hint="eastAsia" w:ascii="宋体" w:hAnsi="宋体" w:cs="宋体"/>
          <w:snapToGrid w:val="0"/>
          <w:color w:val="auto"/>
          <w:kern w:val="28"/>
          <w:sz w:val="24"/>
          <w:szCs w:val="20"/>
          <w:highlight w:val="none"/>
        </w:rPr>
        <w:t>联合协议</w:t>
      </w:r>
      <w:bookmarkEnd w:id="17"/>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480"/>
        <w:rPr>
          <w:rFonts w:hint="eastAsia" w:ascii="宋体" w:hAnsi="宋体" w:cs="宋体"/>
          <w:color w:val="auto"/>
          <w:highlight w:val="none"/>
        </w:rPr>
      </w:pP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val="en-US" w:eastAsia="zh-CN"/>
        </w:rPr>
        <w:t>采购人或采购代理机构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2"/>
          <w:sz w:val="24"/>
          <w:highlight w:val="none"/>
        </w:rPr>
        <w:t>鼓励根据项目特点、供应商诚信等因素免收履约保证金或降低缴纳比例。</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cs="Times New Roman"/>
          <w:b/>
          <w:bCs/>
          <w:color w:val="auto"/>
          <w:kern w:val="2"/>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ascii="宋体" w:hAnsi="宋体" w:cs="宋体"/>
          <w:b/>
          <w:bCs/>
          <w:color w:val="auto"/>
          <w:kern w:val="2"/>
          <w:sz w:val="24"/>
          <w:szCs w:val="20"/>
          <w:highlight w:val="none"/>
        </w:rPr>
        <w:t>2</w:t>
      </w:r>
      <w:r>
        <w:rPr>
          <w:rFonts w:ascii="宋体" w:hAnsi="宋体" w:cs="宋体"/>
          <w:b/>
          <w:bCs/>
          <w:color w:val="auto"/>
          <w:kern w:val="2"/>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74729768"/>
      <w:bookmarkEnd w:id="20"/>
      <w:bookmarkStart w:id="21" w:name="_Hlt74730295"/>
      <w:bookmarkEnd w:id="21"/>
      <w:bookmarkStart w:id="22" w:name="_Hlt68072990"/>
      <w:bookmarkEnd w:id="22"/>
      <w:bookmarkStart w:id="23" w:name="_Hlt74707468"/>
      <w:bookmarkEnd w:id="23"/>
      <w:bookmarkStart w:id="24" w:name="_Hlt68073093"/>
      <w:bookmarkEnd w:id="24"/>
      <w:bookmarkStart w:id="25" w:name="_Hlt68403820"/>
      <w:bookmarkEnd w:id="25"/>
      <w:bookmarkStart w:id="26" w:name="_Hlt75236101"/>
      <w:bookmarkEnd w:id="26"/>
      <w:bookmarkStart w:id="27" w:name="_Hlt74714665"/>
      <w:bookmarkEnd w:id="27"/>
      <w:bookmarkStart w:id="28" w:name="_Hlt75236290"/>
      <w:bookmarkEnd w:id="28"/>
      <w:bookmarkStart w:id="29" w:name="_Hlt68072998"/>
      <w:bookmarkEnd w:id="29"/>
      <w:bookmarkStart w:id="30" w:name="_Hlt68057669"/>
      <w:bookmarkEnd w:id="30"/>
    </w:p>
    <w:bookmarkEnd w:id="13"/>
    <w:bookmarkEnd w:id="14"/>
    <w:p>
      <w:pPr>
        <w:spacing w:line="360" w:lineRule="auto"/>
        <w:jc w:val="center"/>
        <w:outlineLvl w:val="0"/>
        <w:rPr>
          <w:rFonts w:ascii="宋体" w:hAnsi="宋体" w:cs="宋体"/>
          <w:b/>
          <w:color w:val="auto"/>
          <w:sz w:val="36"/>
          <w:szCs w:val="36"/>
          <w:highlight w:val="none"/>
        </w:rPr>
      </w:pPr>
      <w:bookmarkStart w:id="31" w:name="第四部分"/>
      <w:r>
        <w:rPr>
          <w:rFonts w:hint="eastAsia" w:ascii="宋体" w:hAnsi="宋体" w:cs="宋体"/>
          <w:b/>
          <w:color w:val="auto"/>
          <w:sz w:val="36"/>
          <w:szCs w:val="36"/>
          <w:highlight w:val="none"/>
        </w:rPr>
        <w:t>第三部分   采购需求</w:t>
      </w:r>
    </w:p>
    <w:p>
      <w:pPr>
        <w:snapToGrid w:val="0"/>
        <w:rPr>
          <w:rStyle w:val="962"/>
          <w:color w:val="auto"/>
          <w:highlight w:val="none"/>
        </w:rPr>
      </w:pPr>
      <w:r>
        <w:rPr>
          <w:rStyle w:val="962"/>
          <w:rFonts w:hint="eastAsia"/>
          <w:color w:val="auto"/>
          <w:highlight w:val="none"/>
        </w:rPr>
        <w:t>属于实质性要求条款的，请用符号“▲”标明，否则属于非实质性要求。</w:t>
      </w:r>
    </w:p>
    <w:p>
      <w:pPr>
        <w:snapToGrid w:val="0"/>
        <w:rPr>
          <w:rStyle w:val="962"/>
          <w:rFonts w:hint="eastAsia"/>
          <w:color w:val="auto"/>
          <w:highlight w:val="none"/>
        </w:rPr>
      </w:pPr>
      <w:r>
        <w:rPr>
          <w:rStyle w:val="962"/>
          <w:rFonts w:hint="eastAsia"/>
          <w:color w:val="auto"/>
          <w:highlight w:val="none"/>
        </w:rPr>
        <w:t>“★”系产品采购项目中单一产品或核心产品。</w:t>
      </w:r>
    </w:p>
    <w:p>
      <w:pPr>
        <w:pStyle w:val="2"/>
        <w:rPr>
          <w:color w:val="auto"/>
          <w:highlight w:val="none"/>
        </w:rPr>
      </w:pPr>
    </w:p>
    <w:p>
      <w:pPr>
        <w:pStyle w:val="2"/>
        <w:numPr>
          <w:ilvl w:val="0"/>
          <w:numId w:val="1"/>
        </w:numPr>
        <w:jc w:val="center"/>
        <w:rPr>
          <w:rFonts w:hint="eastAsia" w:ascii="仿宋" w:hAnsi="仿宋" w:eastAsia="仿宋" w:cs="仿宋"/>
          <w:color w:val="auto"/>
          <w:highlight w:val="none"/>
        </w:rPr>
      </w:pPr>
      <w:r>
        <w:rPr>
          <w:color w:val="auto"/>
          <w:highlight w:val="none"/>
        </w:rPr>
        <w:t>招标一览表</w:t>
      </w:r>
    </w:p>
    <w:p>
      <w:pPr>
        <w:pStyle w:val="5"/>
        <w:keepNext/>
        <w:keepLines/>
        <w:pageBreakBefore w:val="0"/>
        <w:widowControl w:val="0"/>
        <w:kinsoku/>
        <w:wordWrap/>
        <w:overflowPunct/>
        <w:topLinePunct w:val="0"/>
        <w:autoSpaceDE/>
        <w:autoSpaceDN/>
        <w:bidi w:val="0"/>
        <w:adjustRightInd w:val="0"/>
        <w:snapToGrid/>
        <w:spacing w:before="0" w:after="0" w:line="240" w:lineRule="auto"/>
        <w:ind w:left="862" w:hanging="862"/>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标项一：南阳街道四期一号地块物业管理服务政府采购项目</w:t>
      </w:r>
    </w:p>
    <w:tbl>
      <w:tblPr>
        <w:tblStyle w:val="62"/>
        <w:tblpPr w:leftFromText="180" w:rightFromText="180" w:vertAnchor="text" w:horzAnchor="margin" w:tblpY="63"/>
        <w:tblOverlap w:val="never"/>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583"/>
        <w:gridCol w:w="612"/>
        <w:gridCol w:w="563"/>
        <w:gridCol w:w="862"/>
        <w:gridCol w:w="1540"/>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258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名称</w:t>
            </w:r>
          </w:p>
        </w:tc>
        <w:tc>
          <w:tcPr>
            <w:tcW w:w="612"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56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单位</w:t>
            </w:r>
          </w:p>
        </w:tc>
        <w:tc>
          <w:tcPr>
            <w:tcW w:w="862" w:type="dxa"/>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预算（元）</w:t>
            </w:r>
          </w:p>
        </w:tc>
        <w:tc>
          <w:tcPr>
            <w:tcW w:w="1540" w:type="dxa"/>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简要规格描述或基本情况介绍</w:t>
            </w:r>
          </w:p>
        </w:tc>
        <w:tc>
          <w:tcPr>
            <w:tcW w:w="1598" w:type="dxa"/>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3" w:hRule="atLeast"/>
        </w:trPr>
        <w:tc>
          <w:tcPr>
            <w:tcW w:w="523"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2583"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color w:val="auto"/>
                <w:highlight w:val="none"/>
              </w:rPr>
            </w:pPr>
            <w:r>
              <w:rPr>
                <w:rFonts w:hint="eastAsia" w:ascii="仿宋" w:hAnsi="仿宋" w:eastAsia="仿宋" w:cs="仿宋"/>
                <w:color w:val="auto"/>
                <w:highlight w:val="none"/>
                <w:lang w:eastAsia="zh-CN"/>
              </w:rPr>
              <w:t>南阳街道四期一号地块物业管理服务政府采购项目</w:t>
            </w:r>
          </w:p>
        </w:tc>
        <w:tc>
          <w:tcPr>
            <w:tcW w:w="612"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color w:val="auto"/>
                <w:highlight w:val="none"/>
              </w:rPr>
            </w:pPr>
            <w:r>
              <w:rPr>
                <w:rFonts w:hint="eastAsia" w:cs="仿宋"/>
                <w:color w:val="auto"/>
                <w:highlight w:val="none"/>
                <w:lang w:val="en-US" w:eastAsia="zh-CN"/>
              </w:rPr>
              <w:t>2</w:t>
            </w:r>
          </w:p>
        </w:tc>
        <w:tc>
          <w:tcPr>
            <w:tcW w:w="563"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color w:val="auto"/>
                <w:highlight w:val="none"/>
              </w:rPr>
            </w:pPr>
            <w:r>
              <w:rPr>
                <w:rFonts w:hint="eastAsia" w:cs="仿宋"/>
                <w:color w:val="auto"/>
                <w:highlight w:val="none"/>
                <w:lang w:val="en-US" w:eastAsia="zh-CN"/>
              </w:rPr>
              <w:t>年</w:t>
            </w:r>
          </w:p>
        </w:tc>
        <w:tc>
          <w:tcPr>
            <w:tcW w:w="862" w:type="dxa"/>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color w:val="auto"/>
                <w:highlight w:val="none"/>
              </w:rPr>
            </w:pPr>
            <w:r>
              <w:rPr>
                <w:rFonts w:hint="eastAsia" w:cs="仿宋"/>
                <w:color w:val="auto"/>
                <w:highlight w:val="none"/>
                <w:lang w:eastAsia="zh-CN"/>
              </w:rPr>
              <w:t>7300000</w:t>
            </w:r>
          </w:p>
        </w:tc>
        <w:tc>
          <w:tcPr>
            <w:tcW w:w="1540" w:type="dxa"/>
            <w:vAlign w:val="center"/>
          </w:tcPr>
          <w:p>
            <w:pPr>
              <w:keepNext w:val="0"/>
              <w:keepLines w:val="0"/>
              <w:pageBreakBefore w:val="0"/>
              <w:widowControl/>
              <w:tabs>
                <w:tab w:val="left" w:pos="0"/>
              </w:tabs>
              <w:kinsoku/>
              <w:wordWrap/>
              <w:overflowPunct/>
              <w:topLinePunct w:val="0"/>
              <w:autoSpaceDE/>
              <w:autoSpaceDN/>
              <w:bidi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lang w:eastAsia="zh-Hans"/>
              </w:rPr>
              <w:t>二、</w:t>
            </w:r>
            <w:r>
              <w:rPr>
                <w:rFonts w:hint="eastAsia" w:ascii="仿宋" w:hAnsi="仿宋" w:eastAsia="仿宋" w:cs="仿宋"/>
                <w:color w:val="auto"/>
                <w:highlight w:val="none"/>
              </w:rPr>
              <w:t>招标需求-1、技术需求序号1</w:t>
            </w:r>
          </w:p>
        </w:tc>
        <w:tc>
          <w:tcPr>
            <w:tcW w:w="1598" w:type="dxa"/>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color w:val="auto"/>
                <w:highlight w:val="none"/>
              </w:rPr>
            </w:pPr>
            <w:r>
              <w:rPr>
                <w:rFonts w:hint="eastAsia" w:cs="仿宋"/>
                <w:color w:val="auto"/>
                <w:highlight w:val="none"/>
                <w:lang w:eastAsia="zh-CN"/>
              </w:rPr>
              <w:t>7138690</w:t>
            </w:r>
          </w:p>
        </w:tc>
      </w:tr>
    </w:tbl>
    <w:p>
      <w:pPr>
        <w:rPr>
          <w:rFonts w:hint="eastAsia"/>
          <w:color w:val="auto"/>
          <w:highlight w:val="none"/>
        </w:rPr>
      </w:pPr>
    </w:p>
    <w:p>
      <w:pPr>
        <w:pStyle w:val="2"/>
        <w:numPr>
          <w:ilvl w:val="0"/>
          <w:numId w:val="0"/>
        </w:numPr>
        <w:ind w:leftChars="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注：▲投标人需在投标（开标）一览表中明确投标报价（总价）及以上各分项小计报价，各分项小计报价不得超过上表各最高限价。严格执行预算限价，项目如涉及办公用房装修、通用办公设备家具的不得超限额标准。（萧财国资【2019】389号）</w:t>
      </w:r>
    </w:p>
    <w:p>
      <w:pPr>
        <w:rPr>
          <w:rFonts w:hint="eastAsia" w:ascii="仿宋" w:hAnsi="仿宋" w:eastAsia="仿宋" w:cs="仿宋"/>
          <w:b/>
          <w:color w:val="auto"/>
          <w:sz w:val="22"/>
          <w:szCs w:val="22"/>
          <w:highlight w:val="none"/>
        </w:rPr>
      </w:pPr>
    </w:p>
    <w:p>
      <w:pPr>
        <w:pStyle w:val="2"/>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rPr>
      </w:pPr>
    </w:p>
    <w:p>
      <w:pPr>
        <w:numPr>
          <w:ilvl w:val="0"/>
          <w:numId w:val="2"/>
        </w:numPr>
        <w:rPr>
          <w:rFonts w:hint="eastAsia" w:ascii="仿宋" w:hAnsi="仿宋" w:eastAsia="仿宋" w:cs="仿宋"/>
          <w:color w:val="auto"/>
          <w:highlight w:val="none"/>
        </w:rPr>
      </w:pPr>
      <w:r>
        <w:rPr>
          <w:rFonts w:hint="eastAsia" w:ascii="仿宋" w:hAnsi="仿宋" w:eastAsia="仿宋" w:cs="仿宋"/>
          <w:color w:val="auto"/>
          <w:highlight w:val="none"/>
        </w:rPr>
        <w:t>技术需求：</w:t>
      </w:r>
    </w:p>
    <w:p>
      <w:pPr>
        <w:widowControl w:val="0"/>
        <w:numPr>
          <w:ilvl w:val="0"/>
          <w:numId w:val="0"/>
        </w:numPr>
        <w:jc w:val="both"/>
        <w:rPr>
          <w:rFonts w:hint="eastAsia" w:ascii="仿宋" w:hAnsi="仿宋" w:eastAsia="仿宋" w:cs="仿宋"/>
          <w:color w:val="auto"/>
          <w:highlight w:val="none"/>
          <w:lang w:val="en-US" w:eastAsia="zh-CN"/>
        </w:rPr>
      </w:pP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为了确保南阳街道四期一号地块物业管理服务的质量，充分体现公开、公正、公平的原则，经我单位研究决定，就南阳街道四期一号地块物业管理服务进行公开招标，欢迎符合条件的物业管理公司前来投标。</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 项目基本情况：</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南阳街道四期一号安置房位于萧山区南阳街道，东临经四路，西临永利村，南临远东线，北临向阳路。总用地面积：63165㎡，总建筑面积179913.12㎡，小区内包括12幢高层及相应配套服务用房，住宅共计741套，其中空置、未分配、未交付共计741套，电梯52台，地上建筑面积为122223.12㎡，其中住宅建筑面积为115048.02㎡，配套用房面积为5145.92㎡，其中配套商业用房面积为737.26㎡（由业主出租），物业办公用房405.7㎡，物业经营用房528.84㎡（交予物业，由物业进行出租），社区用房184.52㎡，邮政服务用房150.18㎡，养老服务用房815.99㎡，公厕87.81㎡，垃圾收集房75㎡，门卫用房17.5㎡，消控中心122.59㎡，开闭所272.31㎡，公共文化设施用房149.56㎡，其他（设备、坡道等）1598.66㎡，地下室面积地57690㎡（地下1层，车位787个，另有363四面封闭车库拟由各安置户自行保洁管理）。</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注：本项目所提供资料仅供投标人参考，投标人可自行踏勘，所需的一切费用由投标人自行承担。</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 招标范围：本采购项目的范围为南阳街道四期一号地块</w:t>
      </w:r>
      <w:r>
        <w:rPr>
          <w:rFonts w:hint="eastAsia" w:cs="仿宋"/>
          <w:color w:val="auto"/>
          <w:kern w:val="0"/>
          <w:sz w:val="24"/>
          <w:highlight w:val="none"/>
          <w:lang w:val="en-US" w:eastAsia="zh-CN"/>
        </w:rPr>
        <w:t>的</w:t>
      </w:r>
      <w:r>
        <w:rPr>
          <w:rFonts w:hint="eastAsia" w:ascii="仿宋" w:hAnsi="仿宋" w:eastAsia="仿宋" w:cs="仿宋"/>
          <w:color w:val="auto"/>
          <w:kern w:val="0"/>
          <w:sz w:val="24"/>
          <w:highlight w:val="none"/>
        </w:rPr>
        <w:t>物业。</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 物管目标：</w:t>
      </w:r>
    </w:p>
    <w:p>
      <w:pPr>
        <w:keepNext w:val="0"/>
        <w:keepLines w:val="0"/>
        <w:pageBreakBefore w:val="0"/>
        <w:tabs>
          <w:tab w:val="left" w:pos="0"/>
        </w:tabs>
        <w:kinsoku/>
        <w:wordWrap/>
        <w:overflowPunct/>
        <w:topLinePunct w:val="0"/>
        <w:autoSpaceDE/>
        <w:autoSpaceDN/>
        <w:bidi w:val="0"/>
        <w:adjustRightInd/>
        <w:snapToGrid/>
        <w:spacing w:beforeAutospacing="0" w:after="0" w:afterAutospacing="0" w:line="360" w:lineRule="auto"/>
        <w:ind w:left="0"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按省级物业管理优秀标准进行管理，不低于杭州市普通住宅物业管理乙级服务标准的要求。后附《杭州市普通住宅物业管理乙级服务标准》附件1、《安置小区物业管理考核办法》附件2，并在合同中明确。</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1.4房屋、智能化管理等所有公用设施设备维修保养、更换责任：</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在质保期内的责任由相应施工单位负责，同时中标人做好相应配合工作，质保期后由中标人负责维修。此风险请各投标单位在报价中予以综合考虑，中标后不再任何调整。</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质保期后的责任由中标人按照物业管理法规政策规定进行维修保养。</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保修期限：除现有委托单位同相应施工单位合同规定保修期外，其余全部由中标人负责维修。</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按照《房屋建筑工程质量保修办法》等有关规定，多高层住宅项目在保修范围和保修期限内出现质量缺陷的，物业公司应立即致电保修单位同时报备采购人，保修单位按照《工程质量保修协议》立即组织人员到场进行维修（管道维修等紧急抢修工程应在24小时内安排）。 如在3天内保修单位未安排人员维修或在承诺的时间内维修的，由物业公司向保修单位书面发出《南阳街道安置房维修通知函》同时报备采购人，保修单位在收到书面函件后7天内需组织人员进场维修。如逾期未维修的，物业公司应立即通知采购人，由采购人安排其它单位进行维修，费用从维保单位质保金予以中扣除（全部修复完成后，由采购人将维修清单及费用以书面函件寄至维保单位）。</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物业公司应及时进行检查维修，采购人也将进行例行检查，如因物业公司未进行及时整改维修而造成大修的，由物业公司进行维修。</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按照物业管理条例规定，要动用物业维修基金进行维修的，在未缴纳物业维修基金前，由街道进行维修，缴纳物业维修基金后，由中标人按规定自行申请物业维修基金进行维修。</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1.5相关物资配备：</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前期介入费包括：分户验收、开荒保洁、前期服务等费用。具体包括：前期介入人员工资及附加、开荒保洁费(包括采购人正式安置分房前的所有户内、电梯前室、外墙、门窗、地下室、户外等保洁所有费用)。</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前期服务进场人数不得少于</w:t>
      </w:r>
      <w:r>
        <w:rPr>
          <w:rFonts w:hint="eastAsia" w:cs="仿宋"/>
          <w:color w:val="auto"/>
          <w:sz w:val="24"/>
          <w:highlight w:val="none"/>
          <w:lang w:val="en-US" w:eastAsia="zh-CN"/>
        </w:rPr>
        <w:t>15</w:t>
      </w:r>
      <w:r>
        <w:rPr>
          <w:rFonts w:hint="eastAsia" w:ascii="仿宋" w:hAnsi="仿宋" w:eastAsia="仿宋" w:cs="仿宋"/>
          <w:color w:val="auto"/>
          <w:sz w:val="24"/>
          <w:highlight w:val="none"/>
        </w:rPr>
        <w:t>人，需提前三个月进场服务。</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b/>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物业办公用房场地及开办物资于项目前期介入之前由采购人与中标单位另行协商，不含在本次报价中。</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投标人应对前期物业开办费报价进行详细分析</w:t>
      </w:r>
      <w:r>
        <w:rPr>
          <w:rFonts w:hint="eastAsia" w:cs="仿宋"/>
          <w:color w:val="auto"/>
          <w:sz w:val="24"/>
          <w:highlight w:val="none"/>
          <w:lang w:eastAsia="zh-CN"/>
        </w:rPr>
        <w:t>，</w:t>
      </w:r>
      <w:r>
        <w:rPr>
          <w:rFonts w:hint="eastAsia" w:ascii="仿宋" w:hAnsi="仿宋" w:eastAsia="仿宋" w:cs="仿宋"/>
          <w:color w:val="auto"/>
          <w:sz w:val="24"/>
          <w:highlight w:val="none"/>
        </w:rPr>
        <w:t>自列清单放入投标报价文件中，分析表报价应与投标报价明细表一致。前期物业开办费最终费用采购人将根据投标人所列清单，经采购人确认并验收合格后予以支付。</w:t>
      </w:r>
    </w:p>
    <w:p>
      <w:pPr>
        <w:keepNext w:val="0"/>
        <w:keepLines w:val="0"/>
        <w:pageBreakBefore w:val="0"/>
        <w:widowControl/>
        <w:kinsoku/>
        <w:wordWrap/>
        <w:overflowPunct/>
        <w:topLinePunct w:val="0"/>
        <w:bidi w:val="0"/>
        <w:adjustRightInd/>
        <w:spacing w:after="0" w:line="360" w:lineRule="auto"/>
        <w:ind w:firstLine="482" w:firstLineChars="200"/>
        <w:jc w:val="center"/>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开荒保洁标准表</w:t>
      </w:r>
    </w:p>
    <w:tbl>
      <w:tblPr>
        <w:tblStyle w:val="62"/>
        <w:tblW w:w="8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00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443"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保洁内容</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保洁标准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房屋主体</w:t>
            </w: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单元门、入户门</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无灰尘和污迹，大门有封条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室内门</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无灰尘和明显水迹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玻璃窗</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窗门几净（高层仅限内侧）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窗台及窗框</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无杂物和明显灰尘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水泥地面</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瓷砖地面</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无明显灰尘、无污迹、呈本色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水泥墙面</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涂料墙面</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无污迹、无蜘蛛网、呈本色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其他部位</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无污迹、杂物、锈痕等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公共部位</w:t>
            </w: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公共走廊</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电梯、轿厢、前室</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楼道及扶手</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水、电表、信报箱</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消防箱</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外表无污迹，内无杂物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地下停车场</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车位线清晰、无明显灰尘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道闸</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无污迹、锈痕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配电房及设备</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无污迹、锈痕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其他公共设备</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无污迹、锈痕等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户外区域</w:t>
            </w: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小区道路路面</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无污迹和杂物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道牙石</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无污迹、呈本色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各类井盖</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无污迹、锈痕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垃圾桶</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外表无污迹，内无杂物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4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0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其他部位</w:t>
            </w:r>
          </w:p>
        </w:tc>
        <w:tc>
          <w:tcPr>
            <w:tcW w:w="36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无污迹、杂物、锈痕等</w:t>
            </w:r>
          </w:p>
        </w:tc>
      </w:tr>
    </w:tbl>
    <w:p>
      <w:pPr>
        <w:keepNext w:val="0"/>
        <w:keepLines w:val="0"/>
        <w:pageBreakBefore w:val="0"/>
        <w:widowControl/>
        <w:kinsoku/>
        <w:wordWrap/>
        <w:overflowPunct/>
        <w:topLinePunct w:val="0"/>
        <w:bidi w:val="0"/>
        <w:adjustRightInd/>
        <w:spacing w:after="0" w:line="360" w:lineRule="auto"/>
        <w:ind w:firstLine="482" w:firstLineChars="200"/>
        <w:textAlignment w:val="auto"/>
        <w:rPr>
          <w:rFonts w:ascii="仿宋" w:hAnsi="仿宋" w:eastAsia="仿宋" w:cs="仿宋"/>
          <w:b/>
          <w:color w:val="auto"/>
          <w:sz w:val="24"/>
          <w:highlight w:val="none"/>
        </w:rPr>
      </w:pPr>
      <w:r>
        <w:rPr>
          <w:rFonts w:hint="eastAsia" w:ascii="仿宋" w:hAnsi="仿宋" w:eastAsia="仿宋" w:cs="仿宋"/>
          <w:b/>
          <w:bCs/>
          <w:color w:val="auto"/>
          <w:sz w:val="24"/>
          <w:highlight w:val="none"/>
        </w:rPr>
        <w:t>1.6</w:t>
      </w:r>
      <w:r>
        <w:rPr>
          <w:rFonts w:hint="eastAsia" w:ascii="仿宋" w:hAnsi="仿宋" w:eastAsia="仿宋" w:cs="仿宋"/>
          <w:b/>
          <w:color w:val="auto"/>
          <w:sz w:val="24"/>
          <w:highlight w:val="none"/>
        </w:rPr>
        <w:t>报价应考虑的有关内容：</w:t>
      </w:r>
    </w:p>
    <w:p>
      <w:pPr>
        <w:keepNext w:val="0"/>
        <w:keepLines w:val="0"/>
        <w:pageBreakBefore w:val="0"/>
        <w:widowControl/>
        <w:numPr>
          <w:ilvl w:val="0"/>
          <w:numId w:val="0"/>
        </w:numPr>
        <w:kinsoku/>
        <w:wordWrap/>
        <w:overflowPunct/>
        <w:topLinePunct w:val="0"/>
        <w:bidi w:val="0"/>
        <w:adjustRightInd/>
        <w:spacing w:after="0" w:line="360" w:lineRule="auto"/>
        <w:ind w:firstLine="480" w:firstLineChars="200"/>
        <w:textAlignment w:val="auto"/>
        <w:rPr>
          <w:rFonts w:hint="eastAsia" w:cs="仿宋"/>
          <w:color w:val="auto"/>
          <w:sz w:val="24"/>
          <w:highlight w:val="none"/>
          <w:lang w:val="en-US" w:eastAsia="zh-CN"/>
        </w:rPr>
      </w:pPr>
      <w:r>
        <w:rPr>
          <w:rFonts w:hint="eastAsia" w:cs="仿宋"/>
          <w:color w:val="auto"/>
          <w:sz w:val="24"/>
          <w:highlight w:val="none"/>
          <w:lang w:val="en-US" w:eastAsia="zh-CN"/>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▲本项目前期物业介入服务期限不超过3个月（</w:t>
      </w:r>
      <w:r>
        <w:rPr>
          <w:rFonts w:hint="eastAsia" w:ascii="仿宋" w:hAnsi="仿宋" w:eastAsia="仿宋" w:cs="仿宋"/>
          <w:color w:val="auto"/>
          <w:sz w:val="24"/>
          <w:highlight w:val="none"/>
          <w:lang w:val="en-US" w:eastAsia="zh-CN"/>
        </w:rPr>
        <w:t>最高25万元</w:t>
      </w:r>
      <w:r>
        <w:rPr>
          <w:rFonts w:hint="eastAsia" w:ascii="仿宋" w:hAnsi="仿宋" w:eastAsia="仿宋" w:cs="仿宋"/>
          <w:color w:val="auto"/>
          <w:sz w:val="24"/>
          <w:highlight w:val="none"/>
        </w:rPr>
        <w:t>）。费用结算参照投标报价，根据合同约定按月度结算，必须在报价明细表中单列。</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该费用报价为3个月的费用，</w:t>
      </w:r>
      <w:r>
        <w:rPr>
          <w:rFonts w:hint="eastAsia" w:cs="仿宋"/>
          <w:color w:val="auto"/>
          <w:sz w:val="24"/>
          <w:highlight w:val="none"/>
          <w:lang w:val="en-US" w:eastAsia="zh-CN"/>
        </w:rPr>
        <w:t xml:space="preserve"> </w:t>
      </w:r>
      <w:r>
        <w:rPr>
          <w:rFonts w:hint="eastAsia" w:ascii="仿宋" w:hAnsi="仿宋" w:eastAsia="仿宋" w:cs="仿宋"/>
          <w:color w:val="auto"/>
          <w:sz w:val="24"/>
          <w:highlight w:val="none"/>
          <w:lang w:val="en-US" w:eastAsia="zh-CN"/>
        </w:rPr>
        <w:t xml:space="preserve">单月价格为其平均价）  </w:t>
      </w:r>
    </w:p>
    <w:p>
      <w:pPr>
        <w:keepNext w:val="0"/>
        <w:keepLines w:val="0"/>
        <w:pageBreakBefore w:val="0"/>
        <w:widowControl/>
        <w:numPr>
          <w:ilvl w:val="0"/>
          <w:numId w:val="0"/>
        </w:numPr>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本项目服务面积为项目基本情况中注明的总建筑面积。</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物业费结算最终按地上建筑实测面积进行调整，若实测面积大于规划面积物业费用不作调整；若实测面积小于规划面积按实测面积结算物业费用。</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b/>
          <w:bCs/>
          <w:color w:val="auto"/>
          <w:sz w:val="24"/>
          <w:highlight w:val="none"/>
        </w:rPr>
      </w:pPr>
      <w:r>
        <w:rPr>
          <w:rFonts w:hint="eastAsia" w:cs="仿宋"/>
          <w:color w:val="auto"/>
          <w:sz w:val="24"/>
          <w:highlight w:val="none"/>
          <w:lang w:val="en-US" w:eastAsia="zh-CN"/>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高层及地下车库物业费包含需从事正常物业活动的所有各项费用，并含电梯年检、电梯日常维保（含相关配件损耗）、公共能耗（含楼道公共能耗、照明、弱电设备能耗、自来水设备能耗等）（水泵房自来水设备维修保养由水务公司负责）、电梯能耗等，今后物业将不再向业主收取公共能耗费用。</w:t>
      </w:r>
      <w:r>
        <w:rPr>
          <w:rFonts w:hint="eastAsia" w:ascii="仿宋" w:hAnsi="仿宋" w:eastAsia="仿宋" w:cs="仿宋"/>
          <w:b/>
          <w:color w:val="auto"/>
          <w:sz w:val="24"/>
          <w:highlight w:val="none"/>
        </w:rPr>
        <w:t>物业办公用房的物业管理费由中标人自行承担物业费用。</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color w:val="auto"/>
          <w:sz w:val="24"/>
          <w:highlight w:val="none"/>
        </w:rPr>
      </w:pPr>
      <w:r>
        <w:rPr>
          <w:rFonts w:hint="eastAsia" w:cs="仿宋"/>
          <w:b/>
          <w:bCs/>
          <w:color w:val="auto"/>
          <w:sz w:val="24"/>
          <w:highlight w:val="none"/>
          <w:lang w:val="en-US" w:eastAsia="zh-CN"/>
        </w:rPr>
        <w:t>5</w:t>
      </w:r>
      <w:r>
        <w:rPr>
          <w:rFonts w:hint="eastAsia" w:ascii="仿宋" w:hAnsi="仿宋" w:eastAsia="仿宋" w:cs="仿宋"/>
          <w:color w:val="auto"/>
          <w:sz w:val="24"/>
          <w:highlight w:val="none"/>
          <w:lang w:eastAsia="zh-CN"/>
        </w:rPr>
        <w:t>）</w:t>
      </w:r>
      <w:r>
        <w:rPr>
          <w:rFonts w:hint="eastAsia" w:ascii="仿宋" w:hAnsi="仿宋" w:eastAsia="仿宋" w:cs="仿宋"/>
          <w:b/>
          <w:bCs/>
          <w:color w:val="auto"/>
          <w:sz w:val="24"/>
          <w:highlight w:val="none"/>
        </w:rPr>
        <w:t>高层空置管理费</w:t>
      </w:r>
      <w:r>
        <w:rPr>
          <w:rFonts w:hint="eastAsia" w:ascii="仿宋" w:hAnsi="仿宋" w:eastAsia="仿宋" w:cs="仿宋"/>
          <w:color w:val="auto"/>
          <w:sz w:val="24"/>
          <w:highlight w:val="none"/>
        </w:rPr>
        <w:t>指至采购人完成正式安置分房并业主开始装修为止的物业管理服务费用，工作内容和费用包括室内外保洁费用、室内外的安保费用、绿化养护、期间产生的公共能耗费用以及可能存在的保修期之后的设施设备维修保养工作，上述涉及的工作内容均按不低于杭州市普通住宅物业管理乙级服务标准执行。考虑到前期空置管理的特殊性，前期高层空置管理费按住宅物业费用中标价的70%收取（空置管理期间的费用含电梯年检费用），相关优惠折扣由投标人自行考虑计入报价，今后不调整。</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color w:val="auto"/>
          <w:sz w:val="24"/>
          <w:highlight w:val="none"/>
        </w:rPr>
      </w:pPr>
      <w:r>
        <w:rPr>
          <w:rFonts w:hint="eastAsia" w:cs="仿宋"/>
          <w:b/>
          <w:bCs/>
          <w:color w:val="auto"/>
          <w:sz w:val="24"/>
          <w:highlight w:val="none"/>
          <w:lang w:val="en-US" w:eastAsia="zh-CN"/>
        </w:rPr>
        <w:t>6</w:t>
      </w:r>
      <w:r>
        <w:rPr>
          <w:rFonts w:hint="eastAsia" w:ascii="仿宋" w:hAnsi="仿宋" w:eastAsia="仿宋" w:cs="仿宋"/>
          <w:color w:val="auto"/>
          <w:sz w:val="24"/>
          <w:highlight w:val="none"/>
          <w:lang w:eastAsia="zh-CN"/>
        </w:rPr>
        <w:t>）</w:t>
      </w:r>
      <w:r>
        <w:rPr>
          <w:rFonts w:hint="eastAsia" w:ascii="仿宋" w:hAnsi="仿宋" w:eastAsia="仿宋" w:cs="仿宋"/>
          <w:b/>
          <w:bCs/>
          <w:color w:val="auto"/>
          <w:sz w:val="24"/>
          <w:highlight w:val="none"/>
        </w:rPr>
        <w:t>地下室空置管理费</w:t>
      </w:r>
      <w:r>
        <w:rPr>
          <w:rFonts w:hint="eastAsia" w:ascii="仿宋" w:hAnsi="仿宋" w:eastAsia="仿宋" w:cs="仿宋"/>
          <w:color w:val="auto"/>
          <w:sz w:val="24"/>
          <w:highlight w:val="none"/>
        </w:rPr>
        <w:t xml:space="preserve">指各个车库分配到户前的费用，工作内容和费用包括地下车库的安保费用、不定期保洁费用、通风、期间产生的公共能耗费用以及可能存在的保修期之后的设施设备维修保养工作。上述涉及的工作内容均按不低于杭州市普通住宅物业管理乙级服务标准执行。考虑到前期空置管理的特殊性，前期地下车库空置管理费按车库物业费用中标价的70%收取，相关优惠折扣由投标人自行考虑计入报价，今后不调整。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7</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空置配套商业用房的物业管理费按住宅物业费用中标价的70%收取，相关物业管理费用及优惠折扣由投标人自行考虑计入本次投标报价，今后不调整。配套商业用房将由采购人进行出租，房屋租金等盈利性收入归采购人所有，已出租的配套商业用房正常物业服务管理工作由中标人负责，物业费由中标人自行向使用人收取。</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b/>
          <w:color w:val="auto"/>
          <w:sz w:val="24"/>
          <w:highlight w:val="none"/>
        </w:rPr>
      </w:pPr>
      <w:r>
        <w:rPr>
          <w:rFonts w:hint="eastAsia" w:cs="仿宋"/>
          <w:color w:val="auto"/>
          <w:sz w:val="24"/>
          <w:highlight w:val="none"/>
          <w:lang w:val="en-US" w:eastAsia="zh-CN"/>
        </w:rPr>
        <w:t>8</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其它用房包括社区服务用房、老年服务用房、卫生服务、邮政用房、开闭所、专变等物业费用均包含在本次预算价中。</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9</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其中物业经营性用房今后将由物业公司代为出租，物业经营性用房房屋租金等盈利性收入暂由中标人管理并设立独立账户直至移交给今后指定的单位。此笔费用主要用于小区公共区域设施设备重大维修、举办便民服务活动、业委会运作开支等事项并定期公示。使用时应当以书面形式征得业委会（物业管理委员会）同意，经社区或者采购人批准。物业经营性用房出租时合同需向社区或采购人备案。</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10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中标人开展经营性项目必须征得业委会（物业管理委员会）、采购人同意后方可设置，合同需向采购人备案。取得的经营性收益暂由中标人管理并设立独立账户直至移交给相关单位，此笔收益用主要用于小区公共区域设施设备重大维修、小区改造建设、小区举办便民服务活动、业委会运作开支等事项并定期公示，申请使用时应当以书面形式征得业委会同意，并经社区或者采购人批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bCs/>
          <w:color w:val="auto"/>
          <w:sz w:val="24"/>
          <w:highlight w:val="none"/>
        </w:rPr>
      </w:pPr>
      <w:r>
        <w:rPr>
          <w:rFonts w:hint="eastAsia" w:cs="仿宋"/>
          <w:bCs/>
          <w:color w:val="auto"/>
          <w:sz w:val="24"/>
          <w:highlight w:val="none"/>
          <w:lang w:val="en-US" w:eastAsia="zh-CN"/>
        </w:rPr>
        <w:t>11</w:t>
      </w:r>
      <w:r>
        <w:rPr>
          <w:rFonts w:hint="eastAsia" w:ascii="仿宋" w:hAnsi="仿宋" w:eastAsia="仿宋" w:cs="仿宋"/>
          <w:color w:val="auto"/>
          <w:sz w:val="24"/>
          <w:highlight w:val="none"/>
          <w:lang w:eastAsia="zh-CN"/>
        </w:rPr>
        <w:t>）</w:t>
      </w:r>
      <w:r>
        <w:rPr>
          <w:rFonts w:hint="eastAsia" w:ascii="仿宋" w:hAnsi="仿宋" w:eastAsia="仿宋" w:cs="仿宋"/>
          <w:bCs/>
          <w:color w:val="auto"/>
          <w:sz w:val="24"/>
          <w:highlight w:val="none"/>
        </w:rPr>
        <w:t>报价必须考虑小区内标准垃圾桶合计不少于</w:t>
      </w:r>
      <w:r>
        <w:rPr>
          <w:rFonts w:hint="eastAsia" w:cs="仿宋"/>
          <w:bCs/>
          <w:color w:val="auto"/>
          <w:sz w:val="24"/>
          <w:highlight w:val="none"/>
          <w:lang w:val="en-US" w:eastAsia="zh-CN"/>
        </w:rPr>
        <w:t>50</w:t>
      </w:r>
      <w:r>
        <w:rPr>
          <w:rFonts w:hint="eastAsia" w:ascii="仿宋" w:hAnsi="仿宋" w:eastAsia="仿宋" w:cs="仿宋"/>
          <w:bCs/>
          <w:color w:val="auto"/>
          <w:sz w:val="24"/>
          <w:highlight w:val="none"/>
        </w:rPr>
        <w:t>只（垃圾桶的式样容量须符合采购人要求），</w:t>
      </w:r>
      <w:r>
        <w:rPr>
          <w:rFonts w:hint="eastAsia" w:ascii="仿宋" w:hAnsi="仿宋" w:eastAsia="仿宋" w:cs="仿宋"/>
          <w:color w:val="auto"/>
          <w:sz w:val="24"/>
          <w:highlight w:val="none"/>
        </w:rPr>
        <w:t>垃圾清运车1辆，用于日常巡查得电瓶车不小于2辆。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12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在服务管理期内，装修垃圾清运费按每户</w:t>
      </w:r>
      <w:r>
        <w:rPr>
          <w:rFonts w:hint="eastAsia" w:cs="仿宋"/>
          <w:color w:val="auto"/>
          <w:sz w:val="24"/>
          <w:highlight w:val="none"/>
          <w:lang w:val="en-US" w:eastAsia="zh-CN"/>
        </w:rPr>
        <w:t>600</w:t>
      </w:r>
      <w:r>
        <w:rPr>
          <w:rFonts w:hint="eastAsia" w:ascii="仿宋" w:hAnsi="仿宋" w:eastAsia="仿宋" w:cs="仿宋"/>
          <w:color w:val="auto"/>
          <w:sz w:val="24"/>
          <w:highlight w:val="none"/>
        </w:rPr>
        <w:t>元为最高限价列入投标总价中，按实际装修结算。</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13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物业服务收费按投标人自行报价考虑，同时必须考虑到对小区物业档次核定所产生的风险。</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14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请各投标人根据本项目物业档次、乙级管理服务水平自行确定各种物业收费标准。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各投标人应充分考虑本项目是安置小区这一管理特色，各投标人应综合考虑拆迁安置房的实际情况进行报价。</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6</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投标企业人员工资、社会保障、加班费、福利等标准由投标人按现行有关规定执行。</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7</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报价中缺项、漏项或严重不平衡报价的由投标人</w:t>
      </w:r>
      <w:r>
        <w:rPr>
          <w:rFonts w:hint="eastAsia" w:ascii="仿宋" w:hAnsi="仿宋" w:eastAsia="仿宋" w:cs="仿宋"/>
          <w:bCs/>
          <w:color w:val="auto"/>
          <w:sz w:val="24"/>
          <w:highlight w:val="none"/>
        </w:rPr>
        <w:t>自行</w:t>
      </w:r>
      <w:r>
        <w:rPr>
          <w:rFonts w:hint="eastAsia" w:ascii="仿宋" w:hAnsi="仿宋" w:eastAsia="仿宋" w:cs="仿宋"/>
          <w:color w:val="auto"/>
          <w:sz w:val="24"/>
          <w:highlight w:val="none"/>
        </w:rPr>
        <w:t>负责。中标后的价格不作调整。</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8</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前期介入及前期服务阶段，中标人人身、财产安全，由中标人自行完全负责。各项服务阶段，中标人服务人员应做好相关安全保障措施。</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中标人须根据采购人书面正式通知进场进行前期介入服务，包括分户验收、保洁、安保、前期准备及试运转等前期物业工作，具体根据采购人工作部署与要求开展前期置办与前期服务管理，中标人必须随时做好相应保障措施及相关前期准备等待竣工验收及安置，相关费用自行考虑计入报价。</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9</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投标人应承担其参加本招标活动自身所发生的费用。</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cs="仿宋"/>
          <w:color w:val="auto"/>
          <w:sz w:val="24"/>
          <w:highlight w:val="none"/>
          <w:lang w:val="en-US" w:eastAsia="zh-CN"/>
        </w:rPr>
        <w:t>20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上述相关费用投标人应充分考虑计入报价，若不报将视作投标优惠，今后不另计。</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1.7报价费用特别提示及人员要求：</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1、报价费用特别提示：</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 各投标人费用测算时按招标文件中规定测算，并提供相应测算详细子目及价格，除采购文件明确调整的内容外，其余均考虑在投标风险内。</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管理费用报价应充分考虑物业服务人员、保洁、绿化养护、公共设施维护及零星维修（包括开关、阀门等日常零星维修材料费用）、公共能耗（包括电瓶车充电能耗）、办公服务、办公水电、电梯维保费、电梯年检费、消防维保年检费、零星维修费、生活垃圾清运费、建筑垃圾清运费，管理以及其它开展正常物业服务所需的全部项目因素，物业服务内容包括对小区内所有住宅、公共配套建筑、地下（地上）车库（位）、自行车库、绿地、道路、广场、照明等小区内及小区围墙外代征绿化带、环路范围内所有设施及配套设施的物业管理内容。</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3)投标文件依照杭州市萧山区普通住宅物业管理价格标准编制，各单位应充分考虑该文件精神后优惠报价。</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物业办公用房范围内的所有水电费、垃圾清运费等物业服务均由中标人负责。物业办公用房由采购人免费提供给中标人使用，服务期间采购人提供给中标人的其他用房面积均不含在物业费中。物业费按实际面积核减，由中标人自行承担。</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sz w:val="24"/>
          <w:highlight w:val="none"/>
        </w:rPr>
        <w:t>5)中标人应全力配合采购人安置分房工作，安置分房阶段加派物业服务人员，在安置分房前一周，中标人需对小区内进行整体清洁等前期安置准备工作，包括所有住宅户内、公共部位进行清洁、安置分房时小区现场布置。</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1.7.2</w:t>
      </w:r>
      <w:r>
        <w:rPr>
          <w:rFonts w:hint="eastAsia" w:ascii="仿宋" w:hAnsi="仿宋" w:eastAsia="仿宋" w:cs="仿宋"/>
          <w:b/>
          <w:bCs/>
          <w:color w:val="auto"/>
          <w:sz w:val="24"/>
          <w:highlight w:val="none"/>
        </w:rPr>
        <w:t>人员要求:</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本项目物业管理人员配备建议方案，投标人可根据实际情况自行增加配备人员。投标方案中明确的重要岗位人员和技术人员，今后必须在本小区从事物业服务工作，不允许兼职本小区以外的物业服务。</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hint="eastAsia" w:ascii="仿宋" w:hAnsi="仿宋" w:eastAsia="仿宋" w:cs="仿宋"/>
          <w:b/>
          <w:bCs/>
          <w:color w:val="auto"/>
          <w:sz w:val="24"/>
          <w:highlight w:val="none"/>
          <w:lang w:eastAsia="zh-CN"/>
        </w:rPr>
      </w:pPr>
      <w:r>
        <w:rPr>
          <w:rFonts w:hint="eastAsia" w:ascii="仿宋" w:hAnsi="仿宋" w:eastAsia="仿宋" w:cs="仿宋"/>
          <w:b/>
          <w:color w:val="auto"/>
          <w:sz w:val="24"/>
          <w:highlight w:val="none"/>
        </w:rPr>
        <w:t>▲</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南阳街道四期一号地块物业管理人员配备建议方案，共配置不少于</w:t>
      </w:r>
      <w:r>
        <w:rPr>
          <w:rFonts w:hint="eastAsia" w:cs="仿宋"/>
          <w:b/>
          <w:bCs/>
          <w:color w:val="auto"/>
          <w:sz w:val="24"/>
          <w:highlight w:val="none"/>
          <w:lang w:val="en-US" w:eastAsia="zh-CN"/>
        </w:rPr>
        <w:t>37</w:t>
      </w:r>
      <w:r>
        <w:rPr>
          <w:rFonts w:hint="eastAsia" w:ascii="仿宋" w:hAnsi="仿宋" w:eastAsia="仿宋" w:cs="仿宋"/>
          <w:b/>
          <w:bCs/>
          <w:color w:val="auto"/>
          <w:sz w:val="24"/>
          <w:highlight w:val="none"/>
        </w:rPr>
        <w:t>人</w:t>
      </w:r>
      <w:r>
        <w:rPr>
          <w:rFonts w:hint="eastAsia" w:ascii="仿宋" w:hAnsi="仿宋" w:eastAsia="仿宋" w:cs="仿宋"/>
          <w:b/>
          <w:bCs/>
          <w:color w:val="auto"/>
          <w:sz w:val="24"/>
          <w:highlight w:val="none"/>
          <w:lang w:eastAsia="zh-CN"/>
        </w:rPr>
        <w:t>。</w:t>
      </w:r>
    </w:p>
    <w:tbl>
      <w:tblPr>
        <w:tblStyle w:val="62"/>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663"/>
        <w:gridCol w:w="3077"/>
        <w:gridCol w:w="144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627" w:type="dxa"/>
            <w:gridSpan w:val="5"/>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南阳街道四期一号地块物业管理服务人员配备表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部门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岗位</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人数</w:t>
            </w:r>
          </w:p>
        </w:tc>
        <w:tc>
          <w:tcPr>
            <w:tcW w:w="151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1</w:t>
            </w:r>
          </w:p>
        </w:tc>
        <w:tc>
          <w:tcPr>
            <w:tcW w:w="166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综合部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物业经理</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66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客服部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客服主管</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客服接待</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66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设施部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设施主管</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综合维修工程人员</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66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安全部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主管</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领班</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安保人员</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13</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消防操作员</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66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环境部</w:t>
            </w: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主管</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17"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1663"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c>
          <w:tcPr>
            <w:tcW w:w="3077"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保洁员</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11</w:t>
            </w:r>
          </w:p>
        </w:tc>
        <w:tc>
          <w:tcPr>
            <w:tcW w:w="1517"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4740"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合    计</w:t>
            </w:r>
          </w:p>
        </w:tc>
        <w:tc>
          <w:tcPr>
            <w:tcW w:w="144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37</w:t>
            </w:r>
          </w:p>
        </w:tc>
        <w:tc>
          <w:tcPr>
            <w:tcW w:w="1517"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jc w:val="center"/>
              <w:textAlignment w:val="auto"/>
              <w:rPr>
                <w:rFonts w:ascii="仿宋" w:hAnsi="仿宋" w:eastAsia="仿宋" w:cs="仿宋"/>
                <w:color w:val="auto"/>
                <w:sz w:val="24"/>
                <w:highlight w:val="none"/>
              </w:rPr>
            </w:pPr>
          </w:p>
        </w:tc>
      </w:tr>
    </w:tbl>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上述人员不允许兼职本小区以外的物业服务。</w:t>
      </w:r>
    </w:p>
    <w:p>
      <w:pPr>
        <w:pStyle w:val="4"/>
        <w:keepNext w:val="0"/>
        <w:keepLines w:val="0"/>
        <w:pageBreakBefore w:val="0"/>
        <w:widowControl/>
        <w:numPr>
          <w:ilvl w:val="2"/>
          <w:numId w:val="0"/>
        </w:numPr>
        <w:kinsoku/>
        <w:wordWrap/>
        <w:overflowPunct/>
        <w:topLinePunct w:val="0"/>
        <w:bidi w:val="0"/>
        <w:adjustRightInd/>
        <w:spacing w:before="0" w:after="0" w:line="360" w:lineRule="auto"/>
        <w:ind w:firstLine="482" w:firstLineChars="200"/>
        <w:textAlignment w:val="auto"/>
        <w:rPr>
          <w:rFonts w:eastAsia="仿宋"/>
          <w:color w:val="auto"/>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人员具体要求：</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①综合部（</w:t>
      </w:r>
      <w:r>
        <w:rPr>
          <w:rFonts w:hint="eastAsia" w:cs="仿宋"/>
          <w:color w:val="auto"/>
          <w:sz w:val="24"/>
          <w:highlight w:val="none"/>
          <w:lang w:val="en-US" w:eastAsia="zh-CN"/>
        </w:rPr>
        <w:t>1</w:t>
      </w:r>
      <w:r>
        <w:rPr>
          <w:rFonts w:hint="eastAsia" w:ascii="仿宋" w:hAnsi="仿宋" w:eastAsia="仿宋" w:cs="仿宋"/>
          <w:color w:val="auto"/>
          <w:sz w:val="24"/>
          <w:highlight w:val="none"/>
        </w:rPr>
        <w:t>人）：物业经理1人，性别不限，曾从事物业管理相关的财务工作三年以上。</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负责项目的日常运营及与街道、代建公司的对接；日常办公事物的处理、档案资料的管理、内部质量审核、服务处人力资源及行政财务管理、宣传策划后勤保障工作。</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②客服部（2人）：</w:t>
      </w:r>
      <w:r>
        <w:rPr>
          <w:rFonts w:hint="eastAsia" w:ascii="仿宋" w:hAnsi="仿宋" w:eastAsia="仿宋" w:cs="仿宋"/>
          <w:color w:val="auto"/>
          <w:sz w:val="24"/>
          <w:highlight w:val="none"/>
        </w:rPr>
        <w:t>客服主管1人，女性，从事物业服务或社区服务相关工作两年以上。客服接待1人，女性，35周岁以下，大专及以上学历，从事物业服务或社区服务相关工作两年以上。</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主要负责受理业主或住户的咨询、报修、投诉和社区活动的组织等，对其实施跟踪、确认、回访，并对入驻业主或住户进行不定期的上门拜访，征询业主或住户的意见和建议，了解他们的需求，同时为业主办理特约服务。</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③设施部（2人）：工程主管1人。综合维修工程人员1人（如为电梯安全管理员、高配工、电工等物业所需专业的必须持证上岗）。</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负责公共设备设施的日常巡检和维修养护工作，并做好业主的报修处理和装修户的图纸审核，为有需要的业主提供特约家居维修服务等。</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rPr>
        <w:t>④安全部（</w:t>
      </w:r>
      <w:r>
        <w:rPr>
          <w:rFonts w:hint="eastAsia" w:cs="仿宋"/>
          <w:b/>
          <w:color w:val="auto"/>
          <w:sz w:val="24"/>
          <w:highlight w:val="none"/>
          <w:lang w:val="en-US" w:eastAsia="zh-CN"/>
        </w:rPr>
        <w:t>20</w:t>
      </w:r>
      <w:r>
        <w:rPr>
          <w:rFonts w:hint="eastAsia" w:ascii="仿宋" w:hAnsi="仿宋" w:eastAsia="仿宋" w:cs="仿宋"/>
          <w:b/>
          <w:color w:val="auto"/>
          <w:sz w:val="24"/>
          <w:highlight w:val="none"/>
        </w:rPr>
        <w:t>人）：</w:t>
      </w:r>
      <w:r>
        <w:rPr>
          <w:rFonts w:hint="eastAsia" w:ascii="仿宋" w:hAnsi="仿宋" w:eastAsia="仿宋" w:cs="仿宋"/>
          <w:color w:val="auto"/>
          <w:sz w:val="24"/>
          <w:highlight w:val="none"/>
        </w:rPr>
        <w:t>主管1人，男性，身体健康，高中及以上学历，担任安保主管两年以上。领班3人，男性，50岁以下，身体健康，高中及以上学历，担任安保领班一年以上，有入伍服役经历或经安保公司培训取得保安上岗证优先；门卫形象岗、巡逻岗</w:t>
      </w:r>
      <w:r>
        <w:rPr>
          <w:rFonts w:hint="eastAsia" w:cs="仿宋"/>
          <w:color w:val="auto"/>
          <w:sz w:val="24"/>
          <w:highlight w:val="none"/>
          <w:lang w:val="en-US" w:eastAsia="zh-CN"/>
        </w:rPr>
        <w:t>13</w:t>
      </w:r>
      <w:r>
        <w:rPr>
          <w:rFonts w:hint="eastAsia" w:ascii="仿宋" w:hAnsi="仿宋" w:eastAsia="仿宋" w:cs="仿宋"/>
          <w:color w:val="auto"/>
          <w:sz w:val="24"/>
          <w:highlight w:val="none"/>
        </w:rPr>
        <w:t>人，男性，50岁以下，具备初中及以上文化程度，有入伍服役经历或经安保公司培训取得保安上岗证优先；消控岗3人，性别不限，40岁以下，具备建（构）筑物消防员上岗证书。</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主要负责管理区域内巡逻岗、形象岗、消控岗的日常工作，做好管理区域安全防范、日常疫情防控管理工作，为有需要的业主提供特约安全保卫服务；日常秩序维护、降低治安事件的发生和施工出入证办理及施工人员的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如业主需要，该项目中标人必须选派人员参加定向消防安全责任人和消防安全管理人培训、考试，并获得杭州市消防安全知识培训合格证。</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⑤环境部（</w:t>
      </w:r>
      <w:r>
        <w:rPr>
          <w:rFonts w:hint="eastAsia" w:cs="仿宋"/>
          <w:color w:val="auto"/>
          <w:sz w:val="24"/>
          <w:highlight w:val="none"/>
          <w:lang w:val="en-US" w:eastAsia="zh-CN"/>
        </w:rPr>
        <w:t>12</w:t>
      </w:r>
      <w:r>
        <w:rPr>
          <w:rFonts w:hint="eastAsia" w:ascii="仿宋" w:hAnsi="仿宋" w:eastAsia="仿宋" w:cs="仿宋"/>
          <w:color w:val="auto"/>
          <w:sz w:val="24"/>
          <w:highlight w:val="none"/>
        </w:rPr>
        <w:t>人）：环境部主管1人，性别不限，保洁员1</w:t>
      </w:r>
      <w:r>
        <w:rPr>
          <w:rFonts w:hint="eastAsia" w:cs="仿宋"/>
          <w:color w:val="auto"/>
          <w:sz w:val="24"/>
          <w:highlight w:val="none"/>
          <w:lang w:val="en-US" w:eastAsia="zh-CN"/>
        </w:rPr>
        <w:t>1</w:t>
      </w:r>
      <w:r>
        <w:rPr>
          <w:rFonts w:hint="eastAsia" w:ascii="仿宋" w:hAnsi="仿宋" w:eastAsia="仿宋" w:cs="仿宋"/>
          <w:color w:val="auto"/>
          <w:sz w:val="24"/>
          <w:highlight w:val="none"/>
        </w:rPr>
        <w:t>人，女性，55岁以下。上述人员要求：小学及以上学历，从事相关服务工作两年以上，无不良历史记录。</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主要负责公共区域内包括楼层、架空层、地下室、公共路面等的环境卫生清理及绿化的养护、监督管理。</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4）</w:t>
      </w:r>
      <w:r>
        <w:rPr>
          <w:rFonts w:hint="eastAsia" w:ascii="仿宋" w:hAnsi="仿宋" w:eastAsia="仿宋" w:cs="仿宋"/>
          <w:b/>
          <w:bCs/>
          <w:color w:val="auto"/>
          <w:sz w:val="24"/>
          <w:highlight w:val="none"/>
        </w:rPr>
        <w:t>其他要求：</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(1)若遇特殊情况有人员临时不能到位或岗位不符的，须及时替补，保证物业服务的正常运行，如影响正常运行情况下，按其岗位平均每月人员开支的标准扣除服务费。</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保安员上岗时必须统一着装，着装整齐，佩戴上岗标志，保持良好的精神面貌，做到礼貌值勤、文明值勤。明确重点、落实到人；各相关专业人员必须持证上岗。上述各项费用均应包括在物业费中。符合用工条件的本地人优先考虑。</w:t>
      </w:r>
    </w:p>
    <w:p>
      <w:pPr>
        <w:keepNext w:val="0"/>
        <w:keepLines w:val="0"/>
        <w:pageBreakBefore w:val="0"/>
        <w:widowControl/>
        <w:shd w:val="clear" w:color="auto" w:fill="FFFFFF"/>
        <w:kinsoku/>
        <w:wordWrap/>
        <w:overflowPunct/>
        <w:topLinePunct w:val="0"/>
        <w:bidi w:val="0"/>
        <w:adjustRightInd/>
        <w:snapToGrid w:val="0"/>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中标人必须在合同签订前提供所有工程人员的有效职称证、技工证、上岗证等原件供采购人审核，如果中标人不能提供，则采购人有权拒绝签订合同并上报监管部门，因此产生的损失由中标人赔偿。所有人员必须专职为本采购项目服务，不得兼职。</w:t>
      </w:r>
    </w:p>
    <w:p>
      <w:pPr>
        <w:keepNext w:val="0"/>
        <w:keepLines w:val="0"/>
        <w:pageBreakBefore w:val="0"/>
        <w:widowControl/>
        <w:shd w:val="clear" w:color="auto" w:fill="FFFFFF"/>
        <w:kinsoku/>
        <w:wordWrap/>
        <w:overflowPunct/>
        <w:topLinePunct w:val="0"/>
        <w:bidi w:val="0"/>
        <w:adjustRightInd/>
        <w:snapToGrid w:val="0"/>
        <w:spacing w:after="0" w:line="360" w:lineRule="auto"/>
        <w:ind w:firstLine="482" w:firstLineChars="200"/>
        <w:textAlignment w:val="auto"/>
        <w:rPr>
          <w:rFonts w:ascii="仿宋" w:hAnsi="仿宋" w:eastAsia="仿宋" w:cs="仿宋"/>
          <w:b/>
          <w:bCs/>
          <w:color w:val="auto"/>
          <w:kern w:val="0"/>
          <w:sz w:val="24"/>
          <w:highlight w:val="none"/>
        </w:rPr>
      </w:pPr>
      <w:r>
        <w:rPr>
          <w:rFonts w:hint="eastAsia" w:ascii="仿宋" w:hAnsi="仿宋" w:eastAsia="仿宋" w:cs="仿宋"/>
          <w:b/>
          <w:bCs/>
          <w:color w:val="auto"/>
          <w:sz w:val="24"/>
          <w:highlight w:val="none"/>
        </w:rPr>
        <w:t>1.8项目技术范围和服务要求：</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1、前期介入服务，包括前期置办、保洁、保卫等前期服务；</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2、房屋和公共配套设施的管理和维修养护；</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3、公共场所的监控系统及消防设备的管理和维修养护；</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4、服务设施、文化娱乐、体育活动场所等公用设备设施的管理和维护保养；</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5、清洁卫生；</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6、公共绿化的维护和管理；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kern w:val="0"/>
          <w:sz w:val="24"/>
          <w:highlight w:val="none"/>
        </w:rPr>
        <w:t>公共秩序的维护和管理、</w:t>
      </w:r>
      <w:r>
        <w:rPr>
          <w:rFonts w:hint="eastAsia" w:ascii="仿宋" w:hAnsi="仿宋" w:eastAsia="仿宋" w:cs="仿宋"/>
          <w:color w:val="auto"/>
          <w:sz w:val="24"/>
          <w:highlight w:val="none"/>
        </w:rPr>
        <w:t>各种车辆（包括机动和非机动）的管理；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8、协助公安部门进行治安防范工作，对物业管理区域内违反有关治安、环</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保物业装修和使用法律、法规规定的行为，应当制止并及时报告；</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9、对装修活动进行监督的管理；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10、商业网点的管理；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11、社区文化活动；</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12、档案资料管理；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13、</w:t>
      </w:r>
      <w:r>
        <w:rPr>
          <w:rFonts w:hint="eastAsia" w:ascii="仿宋" w:hAnsi="仿宋" w:eastAsia="仿宋" w:cs="仿宋"/>
          <w:color w:val="auto"/>
          <w:kern w:val="0"/>
          <w:sz w:val="24"/>
          <w:highlight w:val="none"/>
        </w:rPr>
        <w:t>小区内公建水电费用交纳，公共车位、商业用房出租管理；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cs="仿宋"/>
          <w:color w:val="auto"/>
          <w:sz w:val="24"/>
          <w:highlight w:val="none"/>
          <w:lang w:val="en-US" w:eastAsia="zh-CN"/>
        </w:rPr>
        <w:t>4</w:t>
      </w:r>
      <w:r>
        <w:rPr>
          <w:rFonts w:hint="eastAsia" w:ascii="仿宋" w:hAnsi="仿宋" w:eastAsia="仿宋" w:cs="仿宋"/>
          <w:color w:val="auto"/>
          <w:sz w:val="24"/>
          <w:highlight w:val="none"/>
        </w:rPr>
        <w:t>、法律政策及合同规定的其它事项。</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color w:val="auto"/>
          <w:sz w:val="24"/>
          <w:highlight w:val="none"/>
        </w:rPr>
      </w:pPr>
      <w:r>
        <w:rPr>
          <w:rFonts w:hint="eastAsia" w:ascii="仿宋" w:hAnsi="仿宋" w:eastAsia="仿宋" w:cs="仿宋"/>
          <w:b/>
          <w:bCs/>
          <w:color w:val="auto"/>
          <w:kern w:val="0"/>
          <w:sz w:val="24"/>
          <w:highlight w:val="none"/>
        </w:rPr>
        <w:t>1）环境卫生管理</w:t>
      </w:r>
    </w:p>
    <w:p>
      <w:pPr>
        <w:keepNext w:val="0"/>
        <w:keepLines w:val="0"/>
        <w:pageBreakBefore w:val="0"/>
        <w:widowControl/>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①服务内容：整个小区内公共部位，包括大门口、各楼梯、公共厕所等区域的日常保洁、保养、幕墙</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玻璃每年一次</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清洗以及垃圾、废弃物清理、化粪池定期清理、灭“四害”等工作。</w:t>
      </w:r>
      <w:r>
        <w:rPr>
          <w:rFonts w:hint="eastAsia" w:ascii="仿宋" w:hAnsi="仿宋" w:eastAsia="仿宋" w:cs="仿宋"/>
          <w:color w:val="auto"/>
          <w:sz w:val="24"/>
          <w:highlight w:val="none"/>
        </w:rPr>
        <w:t>物业公司作为小区垃圾分类责任主体，小区生活垃圾定时定点投放，要确实加强垃圾分类实施，按国家标准配置垃圾分类设施设备，实施小区垃圾分类达标并积极创建示范小区。</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a、保持值班室、大门口和院子清洁、环境整洁，有序、道路畅通。</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b、围墙内的道路、停车场和门前“三包”及所有公共区域的地面，无有形垃圾和建筑垃圾、无堆积杂物、无积灰、无积水和淤泥、无阻塞等。做到每日清扫，巡回保洁。</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c、对垃圾、废弃物每天进行清除、外运，做到日产日清；化粪池及时清掏，保持常年干净、清洁，无积水、无异味。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d、建立“四害”消杀工作管理制度，根据实际情况定期开展消杀工作，有效控制鼠、蟑、蝇、蚊等害虫孳生，定期对各类病虫害进行预防控制，适时投放消杀药物和设施。</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③物业公司需确保整个小区区域范围内的清洁卫生，管理好用户的生活垃圾、建筑垃圾、装修垃圾及装修原材料的堆放及清运工作，物业公司须保证各类垃圾堆放及清运场地的合法性，如发现乱堆乱倒垃圾等情况，产生的一切后果及责任由中标人负责。</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b/>
          <w:bCs/>
          <w:color w:val="auto"/>
          <w:kern w:val="0"/>
          <w:sz w:val="24"/>
          <w:highlight w:val="none"/>
        </w:rPr>
      </w:pPr>
      <w:r>
        <w:rPr>
          <w:rFonts w:hint="eastAsia" w:ascii="仿宋" w:hAnsi="仿宋" w:eastAsia="仿宋" w:cs="仿宋"/>
          <w:color w:val="auto"/>
          <w:kern w:val="0"/>
          <w:sz w:val="24"/>
          <w:highlight w:val="none"/>
        </w:rPr>
        <w:t>④</w:t>
      </w:r>
      <w:r>
        <w:rPr>
          <w:rFonts w:hint="eastAsia" w:ascii="仿宋" w:hAnsi="仿宋" w:eastAsia="仿宋" w:cs="仿宋"/>
          <w:color w:val="auto"/>
          <w:sz w:val="24"/>
          <w:highlight w:val="none"/>
        </w:rPr>
        <w:t>装修垃圾清运费投标报价时按每套</w:t>
      </w:r>
      <w:r>
        <w:rPr>
          <w:rFonts w:hint="eastAsia" w:cs="仿宋"/>
          <w:color w:val="auto"/>
          <w:sz w:val="24"/>
          <w:highlight w:val="none"/>
          <w:lang w:val="en-US" w:eastAsia="zh-CN"/>
        </w:rPr>
        <w:t>600</w:t>
      </w:r>
      <w:r>
        <w:rPr>
          <w:rFonts w:hint="eastAsia" w:ascii="仿宋" w:hAnsi="仿宋" w:eastAsia="仿宋" w:cs="仿宋"/>
          <w:color w:val="auto"/>
          <w:sz w:val="24"/>
          <w:highlight w:val="none"/>
        </w:rPr>
        <w:t>元计入投标总价中，最终按实际装修套数进行结算。中标人须设定1个固定垃圾堆放点，装修垃圾不超过3天一清运，且同时保证总装修垃圾不超过20立方米，逾期不清运或未按照要求堆放、清运管理的按考核标准扣除中标人相应费用。</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2)公共秩序管理和消防、监控设施维护</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外来人员进入小区证件核验、登记、报刊信件收发等；维护公共秩序；处理治安及其他突发事件；负责小区内道路交通管理、机动车和非机动车停放管理；负责防盗、防火报警监控设备运行管理和维护、修理等。</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②物业公司需加强小区防盗窗安装、违章搭建设施管理，禁止建筑外立面乱搭乱建等现象发生。</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③服务质量标准: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a、门卫值班</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各小区主次出入口安排24小时值班，</w:t>
      </w:r>
      <w:r>
        <w:rPr>
          <w:rFonts w:hint="eastAsia" w:ascii="仿宋" w:hAnsi="仿宋" w:eastAsia="仿宋" w:cs="仿宋"/>
          <w:color w:val="auto"/>
          <w:sz w:val="24"/>
          <w:highlight w:val="none"/>
        </w:rPr>
        <w:t>主出入口至少安排一人礼仪站岗</w:t>
      </w:r>
      <w:r>
        <w:rPr>
          <w:rFonts w:hint="eastAsia" w:ascii="仿宋" w:hAnsi="仿宋" w:eastAsia="仿宋" w:cs="仿宋"/>
          <w:b/>
          <w:bCs/>
          <w:color w:val="auto"/>
          <w:sz w:val="24"/>
          <w:highlight w:val="none"/>
        </w:rPr>
        <w:t>，</w:t>
      </w:r>
      <w:r>
        <w:rPr>
          <w:rFonts w:hint="eastAsia" w:ascii="仿宋" w:hAnsi="仿宋" w:eastAsia="仿宋" w:cs="仿宋"/>
          <w:color w:val="auto"/>
          <w:kern w:val="0"/>
          <w:sz w:val="24"/>
          <w:highlight w:val="none"/>
        </w:rPr>
        <w:t>建立传达、保安、车辆、道路及公共秩序管理等制度。用语规范，礼貌待客，文明工作。严格验证、登记制度，杜绝闲杂人员进入小区，维护小区安全、正常的生活环境。实行物品进出审验制度。</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b、巡查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规划红线范围以内安排24小时巡查。明确巡查工作职责，规范巡视工作流程，制定相对固定的巡视路线，对重要区域、部位进行重点巡视并记录巡视情况，及时发现和处理备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c、消控、监控室值班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消防、监控设施应保持24小时开通，并保持完整的监控记录，保证对各出入口、内部重点区域的安全监控、录像及协助布警。监控室收到火情、险情及其他异常情况报警信号后，应及时报警，并派专人赶到现场进行前期处理。</w:t>
      </w:r>
      <w:r>
        <w:rPr>
          <w:rFonts w:hint="eastAsia" w:ascii="仿宋" w:hAnsi="仿宋" w:eastAsia="仿宋" w:cs="仿宋"/>
          <w:bCs/>
          <w:color w:val="auto"/>
          <w:kern w:val="0"/>
          <w:sz w:val="24"/>
          <w:highlight w:val="none"/>
        </w:rPr>
        <w:t>监控资料应至少保持9天，</w:t>
      </w:r>
      <w:r>
        <w:rPr>
          <w:rFonts w:hint="eastAsia" w:ascii="仿宋" w:hAnsi="仿宋" w:eastAsia="仿宋" w:cs="仿宋"/>
          <w:color w:val="auto"/>
          <w:kern w:val="0"/>
          <w:sz w:val="24"/>
          <w:highlight w:val="none"/>
        </w:rPr>
        <w:t>有特殊要求的参照相关规定或行业标准执行。同时，确保治安电话畅通，接听及时(铃响三声内应接听)。该小区内消防安全责任人，消防安全管理人，消防操作员负责整个小区（包括商铺）的消防安全工作，消控室必须24小时有人值班。</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d、停车管理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在管辖区域设置行车指示标志，规定车辆行驶路线，指定车辆停放区域，非机动车应实行定点停放。电瓶车充电、有序停放管理由中标人负责。对进出小区的各类车辆进行管理，维护交通秩序，保证车辆有序通行、有序停放。车库应保持良好通风，无易燃、易爆等物品存放，车库内配置道闸和监视系统，地面、墙面按要求设立明显指示牌和地标。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e、突发事件处理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f、消防、监控设施维护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3)绿化管理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①服务内容：围墙内树木、花草、色块等的日常养护和管理。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布局合理，按规定养护管理，无破坏、践踏及随意占用。每年修剪绿篱5次，每年拔草5-6次，治虫根据情况适时消杀，花草树木成活率达到95%以上。</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a、草坪、灌木。夏季高温时做好草坪、灌木防晒降温与遮挡防护措施，保持常年翠绿，无杂草、无干枯坏死和病虫侵害。</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b、树木和色块。植株修剪及时，做到枝叶紧密、圆整、无脱节、无枯枝。及时防治、灭治病虫害，主要病虫害发生率低于5%，无倾斜、缺枝、空档。</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c、花坛和花景。及时清除枯萎的花蒂、黄叶、杂草、垃圾，做好病虫害防治。花坛和花景做到造型新颖、色彩鲜艳、植物长势好。</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③物业公司需做好区域范围所有绿化卫生清洁工作，禁止绿化破坏等现象，保证所有绿化的完整性。</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4)给排水设备运行维护</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①服务内容：对小区内给排水系统的设备、设施，如水泵、消火栓、管道、管件、阀门、水嘴、卫生洁具、室外排水管及附属构筑物等进行日常养护维修，保持正常运行。                             </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a、定期对给排水系统进行维护、润滑。</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b、保证各种管道阀门完好，仪表显示正常，无跑、冒、滴、漏现象。</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c、用户末端的水压及流量满足使用要求。</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d、每季对楼宇排水总管进行检查，每半年对水泵、管道进行防锈处理。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e、定期（3个月）对生活水箱进行水质检测并清洗，形成检测记录并公示。</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5)供电设备管理维护</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①服务内容：对小区供电系统高、低压电器设备、电线电缆、电气照明装置等设备进行日常管理和维修，保持正常运行，同时配合供电部门对供电设备的维修工作。</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a、建立严格的高配供电室岗任责任制，高低配交接班制度、高低配室操作规程制度、高配倒闸操作制度、高低配及维修巡回检查等制度、供电故障报修制度。</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b、按照规定周期对变配电设备设施进行检查、维护、清洁，并做好记录，确保高(低)压变(配)电柜操作运行正常，各计量检测表计显示正常。</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c、变(配)电柜、低压配电柜运行正常，符合工作要求，各类表计显示正常。</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d、变(配)电系统联络切换正常。</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e、负责各类照明灯具、供用电设备设施的日常管理和维护修理。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f、通过有效的管理措施及技术措施，积极开展节能管理工作。</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6）电梯管理</w:t>
      </w:r>
    </w:p>
    <w:p>
      <w:pPr>
        <w:keepNext w:val="0"/>
        <w:keepLines w:val="0"/>
        <w:pageBreakBefore w:val="0"/>
        <w:widowControl/>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①、服务内容：定期年检以及专业维保外的日常管理及组织、配合专业维保单位维保。</w:t>
      </w:r>
    </w:p>
    <w:p>
      <w:pPr>
        <w:keepNext w:val="0"/>
        <w:keepLines w:val="0"/>
        <w:pageBreakBefore w:val="0"/>
        <w:widowControl/>
        <w:shd w:val="clear" w:color="auto" w:fill="FFFFFF"/>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a、建立电梯运行安全管理制度，引导乘客安全用梯，确保电梯按规定时间运行。</w:t>
      </w:r>
    </w:p>
    <w:p>
      <w:pPr>
        <w:keepNext w:val="0"/>
        <w:keepLines w:val="0"/>
        <w:pageBreakBefore w:val="0"/>
        <w:widowControl/>
        <w:shd w:val="clear" w:color="auto" w:fill="FFFFFF"/>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b、管辖区域内所有电梯有效运行，电梯按时开启和关闭。轿厢内、外按钮及灯具等配件保持完好，维持轿厢整洁。</w:t>
      </w:r>
    </w:p>
    <w:p>
      <w:pPr>
        <w:keepNext w:val="0"/>
        <w:keepLines w:val="0"/>
        <w:pageBreakBefore w:val="0"/>
        <w:widowControl/>
        <w:shd w:val="clear" w:color="auto" w:fill="FFFFFF"/>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c、由专业人员对电梯保养工作进行监督，并对电梯运行进行管理。</w:t>
      </w:r>
    </w:p>
    <w:p>
      <w:pPr>
        <w:keepNext w:val="0"/>
        <w:keepLines w:val="0"/>
        <w:pageBreakBefore w:val="0"/>
        <w:widowControl/>
        <w:shd w:val="clear" w:color="auto" w:fill="FFFFFF"/>
        <w:kinsoku/>
        <w:wordWrap/>
        <w:overflowPunct/>
        <w:topLinePunct w:val="0"/>
        <w:autoSpaceDE w:val="0"/>
        <w:autoSpaceDN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d、电梯发生一般故障时，应立即通知专业维保单位。发生电梯困人或其他重大事件时，应立即通知专业维保单位，并在专业维保单位的指导下做好现场的应急处理。  </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7)房屋及设施日常养护维修</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①服务内容：房屋日常养护和维修。</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a、做好过施工单位工程保修期外的非主体结构维修工作，确保业主正常生活。</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b、粉刷无明显剥落开裂，墙面砖、地坪、地砖、地板平整不起壳、无遗缺，吊顶无污（水）渍、开缝和破损。否则应及时修复或更换。</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c、屋面排水沟、室内室外排水管保障畅通；雨前及时巡查，排除隐患。发现过滤网及管道破损及时修复或更换。</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d、保修期后发现屋面或其他防水层有气鼓、破裂，隔热板有断裂、缺损的，屋面、墙面有渗漏的，应在3个工作日内安排专项修理。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e、及时完成备项零星维修任务，一般维修任务确保不超过24小时，确保维修合格率达到100%。 </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jc w:val="left"/>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8)弱电系统管理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①服务内容：楼宇可视对讲系统、防盗监控系统、消防报警系统、电话通迅系统、小区广播系统的日常运行、维修保养和巡视检查等工作。</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②服务质量标准:</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a、按照规定周期对弱电系统设施进行检查、维护，并做好记录，确保各弱电系统运行正常。</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b、每月应检查可视对讲系统的功能，对业主提出的故障及时维修。</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    c、</w:t>
      </w:r>
      <w:r>
        <w:rPr>
          <w:rFonts w:hint="eastAsia" w:ascii="仿宋" w:hAnsi="仿宋" w:eastAsia="仿宋" w:cs="仿宋"/>
          <w:color w:val="auto"/>
          <w:kern w:val="11"/>
          <w:sz w:val="24"/>
          <w:highlight w:val="none"/>
        </w:rPr>
        <w:t>每日应检查火灾报警控制器的功能，并填写系统运行和控制器日检登记表，发现故障及时排除。每季度应检查和试验消防系统/设备的功能并填写季度登记表。</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1.9工作时间要求：</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具体上下班时间在不影响物业服务质量的前提下由中标人制定，其中综合部，客户服务部，设施部工作人员遇周末及法定节假日须值班在岗；安全部必须24小时值班，全年在岗；环境部必须全年在岗，具体在合同中约定。</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如遇设施抢修、水电事故应急、抗台、抗震等特殊情况，经理及部门主管须24小时到场服务。</w:t>
      </w:r>
    </w:p>
    <w:p>
      <w:pPr>
        <w:keepNext w:val="0"/>
        <w:keepLines w:val="0"/>
        <w:pageBreakBefore w:val="0"/>
        <w:widowControl/>
        <w:shd w:val="clear" w:color="auto" w:fill="FFFFFF"/>
        <w:kinsoku/>
        <w:wordWrap/>
        <w:overflowPunct/>
        <w:topLinePunct w:val="0"/>
        <w:bidi w:val="0"/>
        <w:adjustRightInd/>
        <w:snapToGrid w:val="0"/>
        <w:spacing w:after="0" w:line="360" w:lineRule="auto"/>
        <w:ind w:firstLine="482" w:firstLineChars="200"/>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1.10其他要求</w:t>
      </w:r>
    </w:p>
    <w:p>
      <w:pPr>
        <w:keepNext w:val="0"/>
        <w:keepLines w:val="0"/>
        <w:pageBreakBefore w:val="0"/>
        <w:widowControl/>
        <w:shd w:val="clear" w:color="auto" w:fill="FFFFFF"/>
        <w:kinsoku/>
        <w:wordWrap/>
        <w:overflowPunct/>
        <w:topLinePunct w:val="0"/>
        <w:bidi w:val="0"/>
        <w:adjustRightInd/>
        <w:snapToGrid w:val="0"/>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所有人员服装费用由投标人自行配备，计入投标总价，但服装样式需经过采购人认可。根据招标文件，各投标人须按国家有关标准及规范完成上述要求的物业管理工作。以上工作内容的费用均包含在投标报价中。</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2、中标人在履行合同期间内，应及时妥善处理业主的合理诉求，积极与社区及采购人沟通。若发生重大群诉事件，采购人有权根据实际情况扣除履约保证金，直至解除合同。</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3、中标人在履行合同期间每季度应向采购人书面汇报物业服务情况，如有重大问题，须立即汇报。</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4、中标人在履行合同期间，不得采用小区服务队等形式强制业主采购装修材料等，如发生上述情况，采购人有权中止合同，并视具体情况扣除履约保证金。</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sz w:val="24"/>
          <w:highlight w:val="none"/>
        </w:rPr>
        <w:t>合同履行完毕后，在未找到接替物业公司前，中标人应延续服务，费用按原合同签订的物业管理月度费用标准支付。</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hint="eastAsia" w:ascii="仿宋" w:hAnsi="仿宋" w:eastAsia="仿宋" w:cs="仿宋"/>
          <w:b/>
          <w:bCs/>
          <w:color w:val="auto"/>
          <w:kern w:val="0"/>
          <w:sz w:val="24"/>
          <w:highlight w:val="none"/>
        </w:rPr>
      </w:pPr>
      <w:r>
        <w:rPr>
          <w:rFonts w:hint="eastAsia" w:cs="仿宋"/>
          <w:b/>
          <w:bCs/>
          <w:color w:val="auto"/>
          <w:kern w:val="0"/>
          <w:sz w:val="24"/>
          <w:highlight w:val="none"/>
          <w:lang w:eastAsia="zh-CN"/>
        </w:rPr>
        <w:t>（</w:t>
      </w:r>
      <w:r>
        <w:rPr>
          <w:rFonts w:hint="eastAsia" w:cs="仿宋"/>
          <w:b/>
          <w:bCs/>
          <w:color w:val="auto"/>
          <w:kern w:val="0"/>
          <w:sz w:val="24"/>
          <w:highlight w:val="none"/>
          <w:lang w:val="en-US" w:eastAsia="zh-CN"/>
        </w:rPr>
        <w:t>二</w:t>
      </w:r>
      <w:r>
        <w:rPr>
          <w:rFonts w:hint="eastAsia" w:cs="仿宋"/>
          <w:b/>
          <w:bCs/>
          <w:color w:val="auto"/>
          <w:kern w:val="0"/>
          <w:sz w:val="24"/>
          <w:highlight w:val="none"/>
          <w:lang w:eastAsia="zh-CN"/>
        </w:rPr>
        <w:t>）</w:t>
      </w:r>
      <w:r>
        <w:rPr>
          <w:rFonts w:hint="eastAsia" w:ascii="仿宋" w:hAnsi="仿宋" w:eastAsia="仿宋" w:cs="仿宋"/>
          <w:b/>
          <w:bCs/>
          <w:color w:val="auto"/>
          <w:kern w:val="0"/>
          <w:sz w:val="24"/>
          <w:highlight w:val="none"/>
        </w:rPr>
        <w:t>商务需求</w:t>
      </w:r>
    </w:p>
    <w:p>
      <w:pPr>
        <w:pStyle w:val="2"/>
        <w:ind w:left="0" w:leftChars="0" w:firstLine="482" w:firstLineChars="200"/>
        <w:rPr>
          <w:rFonts w:hint="default" w:eastAsia="仿宋"/>
          <w:lang w:val="en-US" w:eastAsia="zh-CN"/>
        </w:rPr>
      </w:pPr>
      <w:r>
        <w:rPr>
          <w:rFonts w:hint="eastAsia" w:ascii="仿宋" w:eastAsia="仿宋" w:cs="仿宋"/>
          <w:b/>
          <w:bCs/>
          <w:color w:val="auto"/>
          <w:kern w:val="0"/>
          <w:sz w:val="24"/>
          <w:highlight w:val="none"/>
          <w:lang w:val="en-US" w:eastAsia="zh-CN"/>
        </w:rPr>
        <w:t>2.1服务时间与地点</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2.1.1</w:t>
      </w:r>
      <w:r>
        <w:rPr>
          <w:rFonts w:hint="eastAsia" w:ascii="仿宋" w:hAnsi="仿宋" w:eastAsia="仿宋" w:cs="仿宋"/>
          <w:b/>
          <w:color w:val="auto"/>
          <w:sz w:val="24"/>
          <w:highlight w:val="none"/>
        </w:rPr>
        <w:t>▲</w:t>
      </w:r>
      <w:r>
        <w:rPr>
          <w:rFonts w:hint="eastAsia" w:ascii="仿宋" w:hAnsi="仿宋" w:eastAsia="仿宋" w:cs="仿宋"/>
          <w:color w:val="auto"/>
          <w:kern w:val="0"/>
          <w:sz w:val="24"/>
          <w:highlight w:val="none"/>
        </w:rPr>
        <w:t>服务期限：</w:t>
      </w:r>
      <w:r>
        <w:rPr>
          <w:rFonts w:hint="eastAsia" w:cs="仿宋"/>
          <w:color w:val="auto"/>
          <w:kern w:val="0"/>
          <w:sz w:val="24"/>
          <w:highlight w:val="none"/>
          <w:lang w:val="en-US" w:eastAsia="zh-CN"/>
        </w:rPr>
        <w:t>2</w:t>
      </w:r>
      <w:r>
        <w:rPr>
          <w:rFonts w:hint="eastAsia" w:ascii="仿宋" w:hAnsi="仿宋" w:eastAsia="仿宋" w:cs="仿宋"/>
          <w:color w:val="auto"/>
          <w:kern w:val="0"/>
          <w:sz w:val="24"/>
          <w:highlight w:val="none"/>
        </w:rPr>
        <w:t>年（具体日期根据招标进度在合同中约定）</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合同一年一签，合同价格为中标价格/2。考核合格后续签下一年合同。在服务期内中标人未能严格履行合同，采购单位有权终止合同。</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2.1.2合同履行完毕后，在未找到接替公司前，中标人应延续</w:t>
      </w:r>
      <w:r>
        <w:rPr>
          <w:rFonts w:hint="eastAsia" w:ascii="仿宋" w:hAnsi="仿宋" w:eastAsia="仿宋" w:cs="仿宋"/>
          <w:color w:val="auto"/>
          <w:kern w:val="0"/>
          <w:sz w:val="24"/>
          <w:highlight w:val="none"/>
          <w:lang w:val="en-US" w:eastAsia="zh-CN"/>
        </w:rPr>
        <w:t>一段时间</w:t>
      </w:r>
      <w:r>
        <w:rPr>
          <w:rFonts w:hint="eastAsia" w:ascii="仿宋" w:hAnsi="仿宋" w:eastAsia="仿宋" w:cs="仿宋"/>
          <w:color w:val="auto"/>
          <w:kern w:val="0"/>
          <w:sz w:val="24"/>
          <w:highlight w:val="none"/>
        </w:rPr>
        <w:t>的服务，费用按原合同签订的月度费用标准支付。如中标人在服务期内违反合同约定，经考核不合格，采购单位有权提前终止合同，并由中标人赔偿相应损失。合同期满后，妥善处理好退场移交、人员安置，如果出现劳资纠纷，责任在中标单位。</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2.1.3服务地点：南阳街道四期一号地块内。</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2.2付款方式：</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2.2.1</w:t>
      </w:r>
      <w:r>
        <w:rPr>
          <w:rFonts w:hint="eastAsia" w:ascii="仿宋" w:hAnsi="仿宋" w:eastAsia="仿宋" w:cs="仿宋"/>
          <w:b/>
          <w:color w:val="auto"/>
          <w:sz w:val="24"/>
          <w:highlight w:val="none"/>
        </w:rPr>
        <w:t>▲中标人在合同签订前向采购人支付中标金额的</w:t>
      </w:r>
      <w:r>
        <w:rPr>
          <w:rFonts w:hint="eastAsia" w:cs="仿宋"/>
          <w:b/>
          <w:color w:val="auto"/>
          <w:sz w:val="24"/>
          <w:highlight w:val="none"/>
          <w:lang w:val="en-US" w:eastAsia="zh-CN"/>
        </w:rPr>
        <w:t>1</w:t>
      </w:r>
      <w:r>
        <w:rPr>
          <w:rFonts w:hint="eastAsia" w:ascii="仿宋" w:hAnsi="仿宋" w:eastAsia="仿宋" w:cs="仿宋"/>
          <w:b/>
          <w:color w:val="auto"/>
          <w:sz w:val="24"/>
          <w:highlight w:val="none"/>
        </w:rPr>
        <w:t>%作为履约保证金；同时采购人向中标人支付合同</w:t>
      </w:r>
      <w:r>
        <w:rPr>
          <w:rFonts w:hint="eastAsia" w:ascii="仿宋" w:hAnsi="仿宋" w:eastAsia="仿宋" w:cs="仿宋"/>
          <w:b/>
          <w:color w:val="auto"/>
          <w:sz w:val="24"/>
          <w:highlight w:val="none"/>
          <w:lang w:val="en-US" w:eastAsia="zh-CN"/>
        </w:rPr>
        <w:t>价</w:t>
      </w:r>
      <w:r>
        <w:rPr>
          <w:rFonts w:hint="eastAsia" w:cs="仿宋"/>
          <w:b/>
          <w:color w:val="auto"/>
          <w:sz w:val="24"/>
          <w:highlight w:val="none"/>
          <w:lang w:val="en-US" w:eastAsia="zh-CN"/>
        </w:rPr>
        <w:t>20</w:t>
      </w:r>
      <w:r>
        <w:rPr>
          <w:rFonts w:hint="eastAsia" w:ascii="仿宋" w:hAnsi="仿宋" w:eastAsia="仿宋" w:cs="仿宋"/>
          <w:b/>
          <w:color w:val="auto"/>
          <w:sz w:val="24"/>
          <w:highlight w:val="none"/>
        </w:rPr>
        <w:t>%的预付款</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考核通过后，物业管理费每季度支付一次，支付合同价的20%，支付时间为下季度初，最后一次支付时间为合同期满以后，同时履约保证金无息退还。</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2.2.2前期介入产生的服务费用按要求完成合同内工作内容后，中标人向采购人书面申请后30日内支付。</w:t>
      </w:r>
    </w:p>
    <w:p>
      <w:pPr>
        <w:keepNext w:val="0"/>
        <w:keepLines w:val="0"/>
        <w:pageBreakBefore w:val="0"/>
        <w:widowControl/>
        <w:shd w:val="clear" w:color="auto" w:fill="FFFFFF"/>
        <w:kinsoku/>
        <w:wordWrap/>
        <w:overflowPunct/>
        <w:topLinePunct w:val="0"/>
        <w:bidi w:val="0"/>
        <w:adjustRightInd/>
        <w:spacing w:after="0" w:line="360" w:lineRule="auto"/>
        <w:ind w:firstLine="482" w:firstLineChars="200"/>
        <w:textAlignment w:val="auto"/>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2.3奖惩方式</w:t>
      </w:r>
      <w:r>
        <w:rPr>
          <w:rFonts w:hint="eastAsia" w:ascii="仿宋" w:hAnsi="仿宋" w:eastAsia="仿宋" w:cs="仿宋"/>
          <w:color w:val="auto"/>
          <w:kern w:val="0"/>
          <w:sz w:val="24"/>
          <w:highlight w:val="none"/>
        </w:rPr>
        <w:t>：</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①前期物业服务费按半年度支付，采购人组织社区或业委会、业主代表半年度末对物业服务人员、内容及质量以《杭州市普通住宅小区物业服务收费等级评分标准(乙级)》（以附件1为准）为依据，按照《安置小区物业管理考核办法》（以附件2为准）进行考核，费用按考核结果拨付。采购人在收到中标人书面物业费用申请报告后按考核结果30日内支付。</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sz w:val="24"/>
          <w:highlight w:val="none"/>
        </w:rPr>
        <w:t>③采购人将不定期随时对中标人到岗及履约情况进行检查。中标人应现场配</w:t>
      </w:r>
      <w:r>
        <w:rPr>
          <w:rFonts w:hint="eastAsia" w:ascii="仿宋" w:hAnsi="仿宋" w:eastAsia="仿宋" w:cs="仿宋"/>
          <w:color w:val="auto"/>
          <w:kern w:val="0"/>
          <w:sz w:val="24"/>
          <w:highlight w:val="none"/>
        </w:rPr>
        <w:t>备指纹考勤机。</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④中标人对采购人提出的人员数量，在投标文件中做出响应承诺。今后中标后如不能按要求到位，被采购人查实未到岗的，承担违约责任，违约金按照项目负责人缺岗1000元/次/人，其他重要岗位管理人员缺岗800元/天/人，其余人员缺岗500元/天/人，采购人将在每季度支付中标人的物业费时直接扣除。前期介入人员不按要求到岗的，处以扣罚500元/天·人的履约保证金。</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⑤中标人若未按《杭州市普通住宅小区物业服务收费等级评分标准(乙级)》（以附件1为准）履约的，或被社区、村民代表投诉的，处以扣罚1000-20000元/次履约保证金。</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⑥中标方案中的重要岗位的管理人员和技术人员原则上不同意变更，若确须更换，须由中标人提出申请，经采购人同意后才能变更，并处以以下数额罚款：物业经理变更20000元/次；其他重要岗位人员变更10000元/次。更换后的人员不能低于招标文件要求。</w:t>
      </w:r>
    </w:p>
    <w:p>
      <w:pPr>
        <w:keepNext w:val="0"/>
        <w:keepLines w:val="0"/>
        <w:pageBreakBefore w:val="0"/>
        <w:widowControl/>
        <w:shd w:val="clear" w:color="auto" w:fill="FFFFFF"/>
        <w:kinsoku/>
        <w:wordWrap/>
        <w:overflowPunct/>
        <w:topLinePunct w:val="0"/>
        <w:bidi w:val="0"/>
        <w:adjustRightIn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kern w:val="0"/>
          <w:sz w:val="24"/>
          <w:highlight w:val="none"/>
        </w:rPr>
        <w:t>⑦中标人应积极配合采购人完成前期介入服务，若中标人未按采购人标准及时间完成分户验收工作的，未完成一项工作或延迟一天的，处以扣罚3000元/</w:t>
      </w:r>
      <w:r>
        <w:rPr>
          <w:rFonts w:hint="eastAsia" w:ascii="仿宋" w:hAnsi="仿宋" w:eastAsia="仿宋" w:cs="仿宋"/>
          <w:color w:val="auto"/>
          <w:sz w:val="24"/>
          <w:highlight w:val="none"/>
        </w:rPr>
        <w:t>项、2000元/天的履约保证金；若中标人对分户验收情况及数据弄虚作假，一经发现，扣罚5000-50000元履约保证金，并全数重新检查。</w:t>
      </w:r>
    </w:p>
    <w:p>
      <w:pPr>
        <w:widowControl/>
        <w:shd w:val="clear" w:color="auto" w:fill="FFFFFF"/>
        <w:spacing w:before="100" w:beforeAutospacing="1" w:after="100" w:afterAutospacing="1"/>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ascii="仿宋" w:hAnsi="仿宋" w:eastAsia="仿宋" w:cs="仿宋"/>
          <w:b/>
          <w:bCs/>
          <w:color w:val="auto"/>
          <w:kern w:val="0"/>
          <w:sz w:val="28"/>
          <w:szCs w:val="28"/>
          <w:highlight w:val="none"/>
        </w:rPr>
      </w:pPr>
    </w:p>
    <w:p>
      <w:pPr>
        <w:rPr>
          <w:rFonts w:hint="eastAsia" w:ascii="仿宋" w:hAnsi="仿宋" w:eastAsia="仿宋" w:cs="仿宋"/>
          <w:b/>
          <w:bCs/>
          <w:color w:val="auto"/>
          <w:kern w:val="0"/>
          <w:sz w:val="28"/>
          <w:szCs w:val="28"/>
          <w:highlight w:val="none"/>
        </w:rPr>
      </w:pPr>
    </w:p>
    <w:p>
      <w:pPr>
        <w:pStyle w:val="2"/>
        <w:rPr>
          <w:rFonts w:hint="eastAsia"/>
        </w:rPr>
      </w:pPr>
    </w:p>
    <w:p>
      <w:pPr>
        <w:widowControl/>
        <w:shd w:val="clear" w:color="auto" w:fill="FFFFFF"/>
        <w:spacing w:before="100" w:beforeAutospacing="1" w:after="100" w:afterAutospacing="1"/>
        <w:rPr>
          <w:rFonts w:hint="eastAsia" w:ascii="仿宋" w:hAnsi="仿宋" w:eastAsia="仿宋" w:cs="仿宋"/>
          <w:b/>
          <w:bCs/>
          <w:color w:val="auto"/>
          <w:kern w:val="0"/>
          <w:sz w:val="28"/>
          <w:szCs w:val="28"/>
          <w:highlight w:val="none"/>
        </w:rPr>
      </w:pPr>
    </w:p>
    <w:p>
      <w:pPr>
        <w:widowControl/>
        <w:shd w:val="clear" w:color="auto" w:fill="FFFFFF"/>
        <w:spacing w:before="100" w:beforeAutospacing="1" w:after="100" w:afterAutospacing="1"/>
        <w:rPr>
          <w:rFonts w:hint="eastAsia" w:ascii="仿宋" w:hAnsi="仿宋" w:eastAsia="仿宋" w:cs="仿宋"/>
          <w:b/>
          <w:bCs/>
          <w:color w:val="auto"/>
          <w:kern w:val="0"/>
          <w:sz w:val="28"/>
          <w:szCs w:val="28"/>
          <w:highlight w:val="none"/>
        </w:rPr>
      </w:pPr>
    </w:p>
    <w:p>
      <w:pPr>
        <w:widowControl/>
        <w:shd w:val="clear" w:color="auto" w:fill="FFFFFF"/>
        <w:spacing w:before="100" w:beforeAutospacing="1" w:after="100" w:afterAutospacing="1"/>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附件1：杭州市普通住宅小区物业服务收费等级评分标准(乙级)</w:t>
      </w:r>
    </w:p>
    <w:tbl>
      <w:tblPr>
        <w:tblStyle w:val="62"/>
        <w:tblW w:w="0" w:type="auto"/>
        <w:jc w:val="center"/>
        <w:tblLayout w:type="fixed"/>
        <w:tblCellMar>
          <w:top w:w="0" w:type="dxa"/>
          <w:left w:w="0" w:type="dxa"/>
          <w:bottom w:w="0" w:type="dxa"/>
          <w:right w:w="0" w:type="dxa"/>
        </w:tblCellMar>
      </w:tblPr>
      <w:tblGrid>
        <w:gridCol w:w="750"/>
        <w:gridCol w:w="8070"/>
      </w:tblGrid>
      <w:tr>
        <w:tblPrEx>
          <w:tblCellMar>
            <w:top w:w="0" w:type="dxa"/>
            <w:left w:w="0" w:type="dxa"/>
            <w:bottom w:w="0" w:type="dxa"/>
            <w:right w:w="0" w:type="dxa"/>
          </w:tblCellMar>
        </w:tblPrEx>
        <w:trPr>
          <w:trHeight w:val="250" w:hRule="atLeast"/>
          <w:jc w:val="center"/>
        </w:trPr>
        <w:tc>
          <w:tcPr>
            <w:tcW w:w="750" w:type="dxa"/>
            <w:tcBorders>
              <w:top w:val="inset" w:color="003366" w:sz="8"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项目</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服务内容与服务标准</w:t>
            </w:r>
          </w:p>
        </w:tc>
      </w:tr>
      <w:tr>
        <w:tblPrEx>
          <w:tblCellMar>
            <w:top w:w="0" w:type="dxa"/>
            <w:left w:w="0" w:type="dxa"/>
            <w:bottom w:w="0" w:type="dxa"/>
            <w:right w:w="0" w:type="dxa"/>
          </w:tblCellMar>
        </w:tblPrEx>
        <w:trPr>
          <w:trHeight w:val="1154" w:hRule="atLeast"/>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(一)基本</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要求</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1、企业具有三级资质或相当于三级资质的服务水平，有管理处办公机构，办公设施设备较完备，应用计算机等现代化管理手段进行科学管理，办公场所整洁有序。</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2、服务与被服务双方签订规范的物业服务合同，双方权利义务关系明确。</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3、承接项目时，对住宅小区共用部位、共用设施设备进行认真查验，验收手续齐全。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4、管理人员、专业操作人员按照国家有关规定取得物业管理职业资格证书或者岗位证书。</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5、有完善的物业管理方案，质量管理、财务管理、档案管理等制度健全。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6、管理服务人员着装统一、佩戴标志，行为规范，服务主动、热情。</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7、公示24小时服务电话。急修1小时内、其它报修按双方约定时间到达现场，有报修、维修和回访记录。遇紧急意外事件接电话后应尽快到达现场。</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8、根据业主需求，提供物业服务合同之外的特约服务和代办服务的，在明显位置公示服务项目与收费标准。</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9、按有关规定和合同约定公布物业服务资金的收支情况或物业经营性收支情况。</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10、按有关规定和合同约定规范使用住房专项维修资金。</w:t>
            </w:r>
          </w:p>
        </w:tc>
      </w:tr>
      <w:tr>
        <w:tblPrEx>
          <w:tblCellMar>
            <w:top w:w="0" w:type="dxa"/>
            <w:left w:w="0" w:type="dxa"/>
            <w:bottom w:w="0" w:type="dxa"/>
            <w:right w:w="0" w:type="dxa"/>
          </w:tblCellMar>
        </w:tblPrEx>
        <w:trPr>
          <w:trHeight w:val="532"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11、每年至少4次征询业主对物业服务的意见，满意率75%以上。</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(二)房屋管理</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1、对房屋共用部位进行日常管理和维修养护（每月至少2次），检修记录和保养记录齐全。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根据房屋实际使用年限，适时检查房屋共用部位的使用状况，需要维修，属于小修范围的，及时组织修复；业主委员会成立后的小区，属于大、中修范围的，及时编制维修计划和住房专项维修资金使用计划，向业主大会或者业主委员会提出报告与建议，根据业主大会的决定，组织维修。</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3、每3日巡查1次小区房屋单元门、楼梯通道以及其他共用部位的门窗、玻璃等，做好巡查记录，并及时维修养护。</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按照住宅装饰装修管理有关规定和业主公约（业主临时公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5、对违反规划私搭乱建和擅自改变房屋用途的行为及时劝阻，并报告业主委员会和有关主管部门。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6、小区主出入口设有小区平面示意图，各组团、栋及单元（门）、户有明显标志。</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共用设施设备维修</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养护</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1、对共用设施设备进行日常管理和维修养护（依法应由专业部门负责的除外）。</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2、建立共用设施设备档案（设备台帐），设施设备的运行、检查、维修、保养等记录齐全。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3、设施设备标志齐全、规范，责任人明确；操作维护人员严格执行设施设备操作规程及保养规范；设施设备运行正常。</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对共用设施设备定期组织巡查，做好巡查记录，需要维修，属于小修范围的，及时组织修复；业主委员会成立后的小区，属于大、中修范围或者需要更新改造的，及时编制维修、更新改造计划和住房专项维修资金使用计划，向业主大会或业主委员会提出报告与建议，根据业主大会的决定，组织维修或者更新改造。</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5、载人电梯24小时正常运行。</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6、消防设施设备完好，可随时启用；消防通道畅通。</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7、设备房保持整洁、通风，无跑、冒、滴、漏和鼠害现象。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8、小区主要道路及停车场交通标志齐全。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9、路灯、楼道灯完好率不低于98%。</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10、容易危及人身安全的设施设备有明显警示标志和防范措施；对可能发生的各种突发设备故障有应急方案。</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协助维护公共秩序</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1、小区主、次出入口24小时值班看守，高峰时间站岗值勤，并有交接班记录和外来车辆的登记记录</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2、对重点区域、重点部位每2小时至少巡查1次。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3、对进出小区的车辆进行管理，引导车辆有序通行、停放。</w:t>
            </w:r>
          </w:p>
        </w:tc>
      </w:tr>
      <w:tr>
        <w:tblPrEx>
          <w:tblCellMar>
            <w:top w:w="0" w:type="dxa"/>
            <w:left w:w="0" w:type="dxa"/>
            <w:bottom w:w="0" w:type="dxa"/>
            <w:right w:w="0" w:type="dxa"/>
          </w:tblCellMar>
        </w:tblPrEx>
        <w:trPr>
          <w:trHeight w:val="797"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4、对进出小区的装修、家政等人员实行临时出入证管理，大型物件搬出小区实行记录。</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5、对火灾、治安、公共卫生等突发事件有应急预案，事发时及时报告业主委员会和有关部门，并协助采取相应措施。</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保洁服务</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1、按单元设置垃圾桶，每日清运不少于1次。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2、小区活动场所合理设置果壳箱或垃圾桶，每日清运1次，果壳箱、垃圾桶清洁、无异味。</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小区道路、广场、停车场、绿地等每日清扫1次；高层电梯厅每天清扫1次，半月拖洗1次，楼道每天清扫1次，每周拖洗1次；楼梯扶手每周擦洗2次；共用部位玻璃每月清洁1次；路灯、楼道灯每季度清洁1次。及时清除区内主要道路积水、积雪。</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4、公共雨、污水管道每年疏通1次；雨、污水井每季度检查1次，并视检查情况及时清掏；化粪池每2个月检查1次，每年清掏1次，发现异常及时清掏。</w:t>
            </w:r>
          </w:p>
        </w:tc>
      </w:tr>
      <w:tr>
        <w:tblPrEx>
          <w:tblCellMar>
            <w:top w:w="0" w:type="dxa"/>
            <w:left w:w="0" w:type="dxa"/>
            <w:bottom w:w="0" w:type="dxa"/>
            <w:right w:w="0" w:type="dxa"/>
          </w:tblCellMar>
        </w:tblPrEx>
        <w:trPr>
          <w:trHeight w:val="822"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5、二次供水水箱按规定期(每年不少于2次)清洗，定时巡查，水质符合卫生要求。</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6、根据当地实际情况定期进行消毒和灭虫除害。</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绿化养护管理</w:t>
            </w: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1、有专业人员实施绿化养护管理。</w:t>
            </w:r>
          </w:p>
        </w:tc>
      </w:tr>
      <w:tr>
        <w:tblPrEx>
          <w:tblCellMar>
            <w:top w:w="0" w:type="dxa"/>
            <w:left w:w="0" w:type="dxa"/>
            <w:bottom w:w="0" w:type="dxa"/>
            <w:right w:w="0" w:type="dxa"/>
          </w:tblCellMar>
        </w:tblPrEx>
        <w:trPr>
          <w:trHeight w:val="521"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2、对草坪、花卉、绿篱、树木定期进行修剪、养护，灌木每年修剪不少于4次。</w:t>
            </w:r>
          </w:p>
        </w:tc>
      </w:tr>
      <w:tr>
        <w:tblPrEx>
          <w:tblCellMar>
            <w:top w:w="0" w:type="dxa"/>
            <w:left w:w="0" w:type="dxa"/>
            <w:bottom w:w="0" w:type="dxa"/>
            <w:right w:w="0" w:type="dxa"/>
          </w:tblCellMar>
        </w:tblPrEx>
        <w:trPr>
          <w:trHeight w:val="822"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3、无枯枝、落叶、纸屑、果壳、胶袋等杂物及5cm以上石块; 每日保洁2次，不定时巡视保洁。</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4、适时组织浇灌、施肥和松土，绿地施肥每年不少于4次，做好防涝、防冻，</w:t>
            </w:r>
          </w:p>
        </w:tc>
      </w:tr>
      <w:tr>
        <w:tblPrEx>
          <w:tblCellMar>
            <w:top w:w="0" w:type="dxa"/>
            <w:left w:w="0" w:type="dxa"/>
            <w:bottom w:w="0" w:type="dxa"/>
            <w:right w:w="0" w:type="dxa"/>
          </w:tblCellMar>
        </w:tblPrEx>
        <w:trPr>
          <w:trHeight w:val="347"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p>
        </w:tc>
        <w:tc>
          <w:tcPr>
            <w:tcW w:w="8070" w:type="dxa"/>
            <w:tcBorders>
              <w:top w:val="inset" w:color="003366" w:sz="8" w:space="0"/>
              <w:left w:val="single" w:color="auto" w:sz="6" w:space="0"/>
              <w:bottom w:val="inset" w:color="003366" w:sz="8" w:space="0"/>
              <w:right w:val="inset" w:color="003366" w:sz="8"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5、适时喷洒药物，预防病虫害。不得出现病虫害。</w:t>
            </w:r>
          </w:p>
        </w:tc>
      </w:tr>
    </w:tbl>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仿宋" w:hAnsi="仿宋" w:eastAsia="仿宋" w:cs="仿宋"/>
          <w:b/>
          <w:bCs/>
          <w:color w:val="auto"/>
          <w:sz w:val="24"/>
          <w:highlight w:val="none"/>
        </w:rPr>
      </w:pP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ascii="仿宋" w:hAnsi="仿宋" w:eastAsia="仿宋" w:cs="仿宋"/>
          <w:color w:val="auto"/>
          <w:sz w:val="24"/>
          <w:highlight w:val="none"/>
        </w:rPr>
      </w:pPr>
      <w:r>
        <w:rPr>
          <w:rFonts w:hint="eastAsia" w:ascii="仿宋" w:hAnsi="仿宋" w:eastAsia="仿宋" w:cs="仿宋"/>
          <w:b/>
          <w:bCs/>
          <w:color w:val="auto"/>
          <w:sz w:val="24"/>
          <w:highlight w:val="none"/>
        </w:rPr>
        <w:t>附件2：</w:t>
      </w:r>
    </w:p>
    <w:p>
      <w:pPr>
        <w:keepNext w:val="0"/>
        <w:keepLines w:val="0"/>
        <w:pageBreakBefore w:val="0"/>
        <w:widowControl/>
        <w:kinsoku/>
        <w:wordWrap/>
        <w:overflowPunct/>
        <w:topLinePunct w:val="0"/>
        <w:autoSpaceDE/>
        <w:autoSpaceDN/>
        <w:bidi w:val="0"/>
        <w:adjustRightInd/>
        <w:snapToGrid/>
        <w:spacing w:after="0" w:line="440" w:lineRule="exact"/>
        <w:ind w:left="0" w:firstLine="560" w:firstLineChars="200"/>
        <w:jc w:val="center"/>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物业管理考核办法</w:t>
      </w:r>
    </w:p>
    <w:p>
      <w:pPr>
        <w:keepNext w:val="0"/>
        <w:keepLines w:val="0"/>
        <w:pageBreakBefore w:val="0"/>
        <w:widowControl/>
        <w:numPr>
          <w:ilvl w:val="0"/>
          <w:numId w:val="3"/>
        </w:numPr>
        <w:kinsoku/>
        <w:wordWrap/>
        <w:overflowPunct/>
        <w:topLinePunct w:val="0"/>
        <w:autoSpaceDE/>
        <w:autoSpaceDN/>
        <w:bidi w:val="0"/>
        <w:adjustRightInd/>
        <w:snapToGrid/>
        <w:spacing w:after="0" w:line="440" w:lineRule="exact"/>
        <w:ind w:left="0" w:firstLine="482" w:firstLineChars="200"/>
        <w:jc w:val="left"/>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考核机构和考核评定方式</w:t>
      </w:r>
      <w:r>
        <w:rPr>
          <w:rFonts w:hint="eastAsia" w:ascii="仿宋" w:hAnsi="仿宋" w:eastAsia="仿宋" w:cs="仿宋"/>
          <w:color w:val="auto"/>
          <w:sz w:val="24"/>
          <w:highlight w:val="none"/>
        </w:rPr>
        <w:t>：考核由采购人组织社区或业委会、业主代表组织实施考核。考核形式分半年度考核、年度考核与日常检查，日常检查情况纳入考核成绩，考核情况须提交采购人招投标领导小组讨论审核。</w:t>
      </w:r>
    </w:p>
    <w:p>
      <w:pPr>
        <w:keepNext w:val="0"/>
        <w:keepLines w:val="0"/>
        <w:pageBreakBefore w:val="0"/>
        <w:widowControl/>
        <w:numPr>
          <w:ilvl w:val="0"/>
          <w:numId w:val="3"/>
        </w:numPr>
        <w:kinsoku/>
        <w:wordWrap/>
        <w:overflowPunct/>
        <w:topLinePunct w:val="0"/>
        <w:autoSpaceDE/>
        <w:autoSpaceDN/>
        <w:bidi w:val="0"/>
        <w:adjustRightInd/>
        <w:snapToGrid/>
        <w:spacing w:after="0" w:line="440" w:lineRule="exact"/>
        <w:ind w:left="0" w:firstLine="482" w:firstLineChars="200"/>
        <w:jc w:val="left"/>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考核内容与标准：</w:t>
      </w:r>
      <w:r>
        <w:rPr>
          <w:rFonts w:hint="eastAsia" w:ascii="仿宋" w:hAnsi="仿宋" w:eastAsia="仿宋" w:cs="仿宋"/>
          <w:color w:val="auto"/>
          <w:sz w:val="24"/>
          <w:highlight w:val="none"/>
        </w:rPr>
        <w:t>详见附件考核评分细则。</w:t>
      </w:r>
    </w:p>
    <w:p>
      <w:pPr>
        <w:keepNext w:val="0"/>
        <w:keepLines w:val="0"/>
        <w:pageBreakBefore w:val="0"/>
        <w:widowControl/>
        <w:numPr>
          <w:ilvl w:val="0"/>
          <w:numId w:val="3"/>
        </w:numPr>
        <w:kinsoku/>
        <w:wordWrap/>
        <w:overflowPunct/>
        <w:topLinePunct w:val="0"/>
        <w:autoSpaceDE/>
        <w:autoSpaceDN/>
        <w:bidi w:val="0"/>
        <w:adjustRightInd/>
        <w:snapToGrid/>
        <w:spacing w:after="0" w:line="440" w:lineRule="exact"/>
        <w:ind w:left="0" w:firstLine="482" w:firstLineChars="200"/>
        <w:jc w:val="left"/>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考核时间安排：</w:t>
      </w:r>
      <w:r>
        <w:rPr>
          <w:rFonts w:hint="eastAsia" w:ascii="仿宋" w:hAnsi="仿宋" w:eastAsia="仿宋" w:cs="仿宋"/>
          <w:bCs/>
          <w:color w:val="auto"/>
          <w:sz w:val="24"/>
          <w:highlight w:val="none"/>
        </w:rPr>
        <w:t>半年度</w:t>
      </w:r>
      <w:r>
        <w:rPr>
          <w:rFonts w:hint="eastAsia" w:ascii="仿宋" w:hAnsi="仿宋" w:eastAsia="仿宋" w:cs="仿宋"/>
          <w:color w:val="auto"/>
          <w:sz w:val="24"/>
          <w:highlight w:val="none"/>
        </w:rPr>
        <w:t>考核一般安排在半年度初，年度考核在年底完成。日常检查不定期随机进行，每月不少于1次，每年不少于12次。</w:t>
      </w:r>
    </w:p>
    <w:p>
      <w:pPr>
        <w:keepNext w:val="0"/>
        <w:keepLines w:val="0"/>
        <w:pageBreakBefore w:val="0"/>
        <w:widowControl/>
        <w:numPr>
          <w:ilvl w:val="0"/>
          <w:numId w:val="3"/>
        </w:numPr>
        <w:kinsoku/>
        <w:wordWrap/>
        <w:overflowPunct/>
        <w:topLinePunct w:val="0"/>
        <w:autoSpaceDE/>
        <w:autoSpaceDN/>
        <w:bidi w:val="0"/>
        <w:adjustRightInd/>
        <w:snapToGrid/>
        <w:spacing w:after="0" w:line="440" w:lineRule="exact"/>
        <w:ind w:left="0" w:firstLine="482" w:firstLineChars="200"/>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考核工作程序：</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1、考核：</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听取汇报：听取物业服务机构对小区半年度来物业管理各方面工作具体实施情况的汇报。</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审查资料：检查相关档案资料、规章制度、物业费使用情况、日常工作运行记录等。</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现场巡查：检查小区环境卫生、房屋维修与管理、绿化管理、公共设施设备管理、公共秩序管理等工作情况。</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征询意见：采用座谈会或直接征询方式向业主、使用人征询对安置小区物业管理服务工作的评价和意见。</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综合评价：考核机构成员对物业管理服务情况进行综合评分、形成考核意见。</w:t>
      </w:r>
    </w:p>
    <w:p>
      <w:pPr>
        <w:keepNext w:val="0"/>
        <w:keepLines w:val="0"/>
        <w:pageBreakBefore w:val="0"/>
        <w:widowControl/>
        <w:numPr>
          <w:ilvl w:val="0"/>
          <w:numId w:val="4"/>
        </w:numPr>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日常检查：</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现场巡查：按考核细则内容巡查小区安置小区物业管理服务各项工作情况，对未达到考核要求的情况记录在案，在半年度考核中予以扣分。</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征询意见：征询业主、住用人对物业服务管理工作的意见、建议。</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情况汇总：将检查情况整理汇总，形成书面整改意见，抄告考核对象。</w:t>
      </w:r>
    </w:p>
    <w:p>
      <w:pPr>
        <w:keepNext w:val="0"/>
        <w:keepLines w:val="0"/>
        <w:pageBreakBefore w:val="0"/>
        <w:widowControl/>
        <w:kinsoku/>
        <w:wordWrap/>
        <w:overflowPunct/>
        <w:topLinePunct w:val="0"/>
        <w:autoSpaceDE/>
        <w:autoSpaceDN/>
        <w:bidi w:val="0"/>
        <w:adjustRightInd/>
        <w:snapToGrid/>
        <w:spacing w:after="0" w:line="440" w:lineRule="exact"/>
        <w:ind w:left="0" w:firstLine="482" w:firstLineChars="200"/>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五、经费拨付：</w:t>
      </w:r>
    </w:p>
    <w:p>
      <w:pPr>
        <w:keepNext w:val="0"/>
        <w:keepLines w:val="0"/>
        <w:pageBreakBefore w:val="0"/>
        <w:widowControl/>
        <w:kinsoku/>
        <w:wordWrap/>
        <w:overflowPunct/>
        <w:topLinePunct w:val="0"/>
        <w:autoSpaceDE/>
        <w:autoSpaceDN/>
        <w:bidi w:val="0"/>
        <w:adjustRightInd/>
        <w:snapToGrid/>
        <w:spacing w:after="0" w:line="440" w:lineRule="exact"/>
        <w:ind w:left="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物业经费按考核情况拨付，物业经费的50%分别作为半年度考核和年度考核金额，考核在90分（含）以上全额拨付，低于90分将按考核分数每一分5000元扣罚后支付费用，低于80分（不含）视为不合格暂缓拨付。</w:t>
      </w:r>
    </w:p>
    <w:p>
      <w:pPr>
        <w:spacing w:line="520" w:lineRule="exact"/>
        <w:ind w:firstLine="360" w:firstLineChars="150"/>
        <w:jc w:val="left"/>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pPr>
    </w:p>
    <w:tbl>
      <w:tblPr>
        <w:tblStyle w:val="6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821"/>
        <w:gridCol w:w="690"/>
        <w:gridCol w:w="301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341" w:type="dxa"/>
            <w:gridSpan w:val="5"/>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36"/>
                <w:szCs w:val="36"/>
                <w:highlight w:val="none"/>
              </w:rPr>
            </w:pPr>
            <w:r>
              <w:rPr>
                <w:rFonts w:hint="eastAsia" w:ascii="仿宋" w:hAnsi="仿宋" w:eastAsia="仿宋" w:cs="仿宋"/>
                <w:bCs/>
                <w:color w:val="auto"/>
                <w:kern w:val="0"/>
                <w:sz w:val="36"/>
                <w:szCs w:val="36"/>
                <w:highlight w:val="none"/>
                <w:lang w:bidi="ar"/>
              </w:rPr>
              <w:t>南阳街道四期一号地块物业管理服务考核评分表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4736" w:type="dxa"/>
            <w:gridSpan w:val="2"/>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2"/>
                <w:szCs w:val="22"/>
                <w:highlight w:val="none"/>
              </w:rPr>
            </w:pPr>
            <w:r>
              <w:rPr>
                <w:rFonts w:hint="eastAsia" w:ascii="仿宋" w:hAnsi="仿宋" w:eastAsia="仿宋" w:cs="仿宋"/>
                <w:bCs/>
                <w:color w:val="auto"/>
                <w:kern w:val="0"/>
                <w:sz w:val="22"/>
                <w:szCs w:val="22"/>
                <w:highlight w:val="none"/>
                <w:lang w:bidi="ar"/>
              </w:rPr>
              <w:t>小区名称：</w:t>
            </w:r>
          </w:p>
        </w:tc>
        <w:tc>
          <w:tcPr>
            <w:tcW w:w="4605" w:type="dxa"/>
            <w:gridSpan w:val="3"/>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2"/>
                <w:szCs w:val="22"/>
                <w:highlight w:val="none"/>
              </w:rPr>
            </w:pPr>
            <w:r>
              <w:rPr>
                <w:rFonts w:hint="eastAsia" w:ascii="仿宋" w:hAnsi="仿宋" w:eastAsia="仿宋" w:cs="仿宋"/>
                <w:bCs/>
                <w:color w:val="auto"/>
                <w:kern w:val="0"/>
                <w:sz w:val="22"/>
                <w:szCs w:val="22"/>
                <w:highlight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考核    项目</w:t>
            </w:r>
          </w:p>
        </w:tc>
        <w:tc>
          <w:tcPr>
            <w:tcW w:w="3821"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考核内容与标准</w:t>
            </w:r>
          </w:p>
        </w:tc>
        <w:tc>
          <w:tcPr>
            <w:tcW w:w="690"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规定分值</w:t>
            </w:r>
          </w:p>
        </w:tc>
        <w:tc>
          <w:tcPr>
            <w:tcW w:w="30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评分细则</w:t>
            </w:r>
          </w:p>
        </w:tc>
        <w:tc>
          <w:tcPr>
            <w:tcW w:w="900"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考核          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690"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0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900"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一、     综        合        管        理       服       务 </w:t>
            </w:r>
            <w:r>
              <w:rPr>
                <w:rStyle w:val="328"/>
                <w:rFonts w:hint="default" w:ascii="仿宋" w:hAnsi="仿宋" w:eastAsia="仿宋" w:cs="仿宋"/>
                <w:b w:val="0"/>
                <w:bCs/>
                <w:color w:val="auto"/>
                <w:highlight w:val="none"/>
                <w:lang w:bidi="ar"/>
              </w:rPr>
              <w:t xml:space="preserve">   （25分）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1、按合同约定的资质与服务等级等要求实施管理，设置项目管理人负责日常具体事务。</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符合1分， 基本符合0.5分，不符合0分。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2、管理人员配备到位，设施设备齐全完善，能按工作要求实施科学管理。</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具备1分，基本具备0.5分，不具备0分。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3、各项基础资料与管理制度完善，各类台帐齐全。</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4、各类专业人员全时持证上岗，保安人员统一着装，各类人员佩戴个人信息标识牌。</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5、签订规范的物业服务合同，明确并积极履行合同规定的义务。</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6、建立完善的财务制度与专项资金管理办法，财务管理规范。</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财务制度完善1分，履行资金管理办法1分。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7、未发生服务质量等方面的信访投诉与欺瞒相关管理部门的行为。</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无发生5分，发生一起扣1分/次。</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8、建立24小时值班制度,设立服务电话,接受业主和使用人对物业管理求助、建议、问询、质疑、投诉等各类信息的收集和反馈,并及时处理，台帐完善。</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符合3分，基本符合2分，不符合0分。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9、每年至少2次随机征询业主对物业服务的满意度意见，满意率80％以上。</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6</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符合6分，满意率达60%以上3分，60%以下0分。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10、及时主动与管理部门与所在村（社区）沟通联系、做好工作协调，积极配合小区各项工作。</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二、  房     屋     管     理    </w:t>
            </w:r>
            <w:r>
              <w:rPr>
                <w:rStyle w:val="328"/>
                <w:rFonts w:hint="default" w:ascii="仿宋" w:hAnsi="仿宋" w:eastAsia="仿宋" w:cs="仿宋"/>
                <w:b w:val="0"/>
                <w:bCs/>
                <w:color w:val="auto"/>
                <w:highlight w:val="none"/>
                <w:lang w:bidi="ar"/>
              </w:rPr>
              <w:t>（20分）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1、房屋资料、档案齐全完善，建立住户管理档案。</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2、对房屋共用部位、公用设施进行维修养护管理，维修保养记录及日常巡检台账齐全。</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符合3分，基本符合2分，不符合0分。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3、小区房屋小修及时完成，中修、大修及时编制计划上报，建立回访复查备案制度。</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维修及时2分，复查回访完善1分。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4、做好房屋装修及使用的配套管理，对装修进行事前登记与日常检查，对违规装修及时劝止与上报，按要求做好对出租房消防安全、群租及三合一场所管理的相关工作。</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装修管理符合要求4分，基本符合2分，不符合0分；因消防安全管理不到位被通报或发生火灾等事故，出现一例扣2分，上不封顶。</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5、对违章搭建建筑构筑物与安装设施，擅自改变房屋结构、用途等行为第一时间告知、制止，并上报工作计划并按要求实施。</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未发生4分，新产生违章未及时采取有效措施造成违章事实出现1例扣1分，上不封顶。</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6、对小区房屋违章行为管理、使用维护管理等无新闻媒体曝光、无重复信访投诉等情况。</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符合4分，投诉属实及媒体曝光扣4分；如情况严重可另行酌情扣分，上不封顶。</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三、 环     境     卫     生     管     理    </w:t>
            </w:r>
            <w:r>
              <w:rPr>
                <w:rStyle w:val="328"/>
                <w:rFonts w:hint="default" w:ascii="仿宋" w:hAnsi="仿宋" w:eastAsia="仿宋" w:cs="仿宋"/>
                <w:b w:val="0"/>
                <w:bCs/>
                <w:color w:val="auto"/>
                <w:highlight w:val="none"/>
                <w:lang w:bidi="ar"/>
              </w:rPr>
              <w:t>（21分)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1、环卫设施完善，场地设施清洁无异味，垃圾分类实施到位，垃圾桶定时清洗保持整洁。</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sz w:val="20"/>
                <w:szCs w:val="20"/>
                <w:highlight w:val="none"/>
              </w:rPr>
              <w:t>9</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符合9分，基本符合5分，不符合0分。因垃圾分类实施不到位被上级部门通报的发生一起扣2分。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2、小区道路、广场、绿地、停车位、空地等共用场地无垃圾、纸屑等废弃物、堆积杂物。</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符合2分，发现一处扣0.5分。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3、房屋公共楼梯、走道等公用部位保持清洁，道路、消防等通道无堆放杂物乱占道现象,保持楼道、消防通道通畅。</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符合4分，每发现一处扣0.5分。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4、小区没有违规饲养家禽、家畜及宠物的现象。</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5、无乱张贴悬挂广告，无私拉乱接水、电、弱电管线等现象。</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6、保持雨污水管、井体、化粪池设施与运行完好，污水不外溢,道路广场无明显积水积淤。</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四、   公     共     秩     序     管     理    </w:t>
            </w:r>
            <w:r>
              <w:rPr>
                <w:rStyle w:val="328"/>
                <w:rFonts w:hint="default" w:ascii="仿宋" w:hAnsi="仿宋" w:eastAsia="仿宋" w:cs="仿宋"/>
                <w:b w:val="0"/>
                <w:bCs/>
                <w:color w:val="auto"/>
                <w:highlight w:val="none"/>
                <w:lang w:bidi="ar"/>
              </w:rPr>
              <w:t>（12分）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1、实行封闭式管理，做好内外部人员、车辆门禁登记管理，主要出入口24小时值班，各项监控系统及值班制度完善，实施到位。</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2、小区公共区域无流动摊贩，无临时广告、停车等棚体或构筑物。</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3、车辆行驶停放管理有序，无乱停放机动车、非机动车，电瓶车充电点管理规范有序。</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符合3分，发现扣0.5分/辆。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4、小区全天候定时巡逻，全区域巡逻每天不少于2次，人员到岗到位。</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5、遇到突发事件时，按预案采取应急措施，第一时间报告相关部门。</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五、    设     备     设     施     管     理    </w:t>
            </w:r>
            <w:r>
              <w:rPr>
                <w:rStyle w:val="328"/>
                <w:rFonts w:hint="default" w:ascii="仿宋" w:hAnsi="仿宋" w:eastAsia="仿宋" w:cs="仿宋"/>
                <w:b w:val="0"/>
                <w:bCs/>
                <w:color w:val="auto"/>
                <w:highlight w:val="none"/>
                <w:lang w:bidi="ar"/>
              </w:rPr>
              <w:t>（13分）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1、小区所有公用设施设备档案资料齐全、存放有序，查阅方便，固定资产移交登记完备。</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2、电梯、消防、照明、门禁等各种设备完好、全天运行正常，无事故隐患，保养、检测制度完备，按时实施。</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符合5分，基本符合2.5分，不符合0分。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3、日常巡查维修及时，急修20分钟内到位，维修工程质量合格。</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及时维修与质量合格符合3分，基本符合2分，不符合0分。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4、小区道路畅通，路面平坦整洁，排水排污管线设施完好，排放畅通。</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5、对小区内危险隐患部位及实施维修部位设置安全警示标志或防护设施。</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2"/>
                <w:szCs w:val="22"/>
                <w:highlight w:val="none"/>
              </w:rPr>
            </w:pPr>
            <w:r>
              <w:rPr>
                <w:rFonts w:hint="eastAsia" w:ascii="仿宋" w:hAnsi="仿宋" w:eastAsia="仿宋" w:cs="仿宋"/>
                <w:bCs/>
                <w:color w:val="auto"/>
                <w:kern w:val="0"/>
                <w:sz w:val="22"/>
                <w:szCs w:val="22"/>
                <w:highlight w:val="none"/>
                <w:lang w:bidi="ar"/>
              </w:rPr>
              <w:t xml:space="preserve">  六、    绿化     管理     （5分）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1、对绿化定期进行修剪、养护、施肥、补种及死缺植株处理，侧石破损及时修补。</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3</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符合3分，基本符合1.5分，不符合0分。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2、绿地无改变使用用途和破坏、践踏、占用现象，晾晒衣物，改种作物等及时制止，垃圾、堆积杂物及时清除。</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15" w:type="dxa"/>
            <w:vMerge w:val="restart"/>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2"/>
                <w:szCs w:val="22"/>
                <w:highlight w:val="none"/>
              </w:rPr>
            </w:pPr>
            <w:r>
              <w:rPr>
                <w:rFonts w:hint="eastAsia" w:ascii="仿宋" w:hAnsi="仿宋" w:eastAsia="仿宋" w:cs="仿宋"/>
                <w:bCs/>
                <w:color w:val="auto"/>
                <w:kern w:val="0"/>
                <w:sz w:val="22"/>
                <w:szCs w:val="22"/>
                <w:highlight w:val="none"/>
                <w:lang w:bidi="ar"/>
              </w:rPr>
              <w:t xml:space="preserve"> 七、    其他     管理             （4分）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1、做好公共场所的相关服务管理；提供便民服务，做好活动配合。</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5" w:type="dxa"/>
            <w:vMerge w:val="continue"/>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2、按要求做好各项宣传、服务工作，对居民反映及信访事项积极做好配合及整改工作。</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2</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符合2分，基本符合1分，不符合0分。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总分</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0"/>
                <w:szCs w:val="20"/>
                <w:highlight w:val="none"/>
              </w:rPr>
            </w:pP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100</w:t>
            </w: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0"/>
                <w:szCs w:val="20"/>
                <w:highlight w:val="none"/>
              </w:rPr>
            </w:pP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915" w:type="dxa"/>
            <w:vMerge w:val="restart"/>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top"/>
              <w:rPr>
                <w:rFonts w:ascii="仿宋" w:hAnsi="仿宋" w:eastAsia="仿宋" w:cs="仿宋"/>
                <w:bCs/>
                <w:color w:val="auto"/>
                <w:sz w:val="22"/>
                <w:szCs w:val="22"/>
                <w:highlight w:val="none"/>
              </w:rPr>
            </w:pPr>
            <w:r>
              <w:rPr>
                <w:rFonts w:hint="eastAsia" w:ascii="仿宋" w:hAnsi="仿宋" w:eastAsia="仿宋" w:cs="仿宋"/>
                <w:bCs/>
                <w:color w:val="auto"/>
                <w:kern w:val="0"/>
                <w:sz w:val="22"/>
                <w:szCs w:val="22"/>
                <w:highlight w:val="none"/>
                <w:lang w:bidi="ar"/>
              </w:rPr>
              <w:t xml:space="preserve"> 八、    其它                 </w:t>
            </w: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安置小区物业需积极配合街道中心工作，服从街道统一管理。如存在有禁不止，有令不行，不作为、推诿扯皮的现象，扣5-10分不等。</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0"/>
                <w:szCs w:val="20"/>
                <w:highlight w:val="none"/>
              </w:rPr>
            </w:pP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kern w:val="0"/>
                <w:sz w:val="20"/>
                <w:szCs w:val="20"/>
                <w:highlight w:val="none"/>
                <w:lang w:bidi="ar"/>
              </w:rPr>
              <w:t>安置小区物业积极配合街道中心工作，服从街道统一管理，并做出较大成绩的，加5-10分不等。</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915" w:type="dxa"/>
            <w:vMerge w:val="continue"/>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after="0"/>
              <w:ind w:firstLine="0" w:firstLineChars="0"/>
              <w:rPr>
                <w:rFonts w:ascii="仿宋" w:hAnsi="仿宋" w:eastAsia="仿宋" w:cs="仿宋"/>
                <w:bCs/>
                <w:color w:val="auto"/>
                <w:sz w:val="20"/>
                <w:szCs w:val="20"/>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sz w:val="20"/>
                <w:szCs w:val="20"/>
                <w:highlight w:val="none"/>
              </w:rPr>
              <w:t>安置小区物业因工作不力被上级部门挂牌整治、媒体负面曝光、督查复查未通过被通报、造成重大事故的直接判定为不合格。</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0"/>
                <w:szCs w:val="20"/>
                <w:highlight w:val="none"/>
              </w:rPr>
            </w:pP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0"/>
                <w:szCs w:val="20"/>
                <w:highlight w:val="none"/>
              </w:rPr>
            </w:pPr>
            <w:r>
              <w:rPr>
                <w:rFonts w:hint="eastAsia" w:ascii="仿宋" w:hAnsi="仿宋" w:eastAsia="仿宋" w:cs="仿宋"/>
                <w:bCs/>
                <w:color w:val="auto"/>
                <w:sz w:val="20"/>
                <w:szCs w:val="20"/>
                <w:highlight w:val="none"/>
              </w:rPr>
              <w:t>物业服务管理荣获区级以上荣誉的区级加1分，市级加2分，省级及以上加4分。</w:t>
            </w: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36" w:type="dxa"/>
            <w:gridSpan w:val="2"/>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left"/>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考核意见：</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30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90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5"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3821"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考核人签字:</w:t>
            </w:r>
          </w:p>
        </w:tc>
        <w:tc>
          <w:tcPr>
            <w:tcW w:w="690" w:type="dxa"/>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rPr>
                <w:rFonts w:ascii="仿宋" w:hAnsi="仿宋" w:eastAsia="仿宋" w:cs="仿宋"/>
                <w:bCs/>
                <w:color w:val="auto"/>
                <w:sz w:val="24"/>
                <w:highlight w:val="none"/>
              </w:rPr>
            </w:pPr>
          </w:p>
        </w:tc>
        <w:tc>
          <w:tcPr>
            <w:tcW w:w="3915" w:type="dxa"/>
            <w:gridSpan w:val="2"/>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ind w:firstLine="0" w:firstLineChars="0"/>
              <w:jc w:val="center"/>
              <w:textAlignment w:val="center"/>
              <w:rPr>
                <w:rFonts w:ascii="仿宋" w:hAnsi="仿宋" w:eastAsia="仿宋" w:cs="仿宋"/>
                <w:bCs/>
                <w:color w:val="auto"/>
                <w:sz w:val="24"/>
                <w:highlight w:val="none"/>
              </w:rPr>
            </w:pPr>
            <w:r>
              <w:rPr>
                <w:rFonts w:hint="eastAsia" w:ascii="仿宋" w:hAnsi="仿宋" w:eastAsia="仿宋" w:cs="仿宋"/>
                <w:bCs/>
                <w:color w:val="auto"/>
                <w:kern w:val="0"/>
                <w:sz w:val="24"/>
                <w:highlight w:val="none"/>
                <w:lang w:bidi="ar"/>
              </w:rPr>
              <w:t xml:space="preserve">         年   月   日</w:t>
            </w: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kern w:val="0"/>
          <w:sz w:val="24"/>
          <w:highlight w:val="none"/>
        </w:rPr>
        <w:t>备注：凡是涉及业主委员会成立后予以考核的项目，在评定前期物业服务收费等级时，相应分值不作扣除。</w:t>
      </w:r>
    </w:p>
    <w:p>
      <w:pPr>
        <w:rPr>
          <w:rFonts w:hint="eastAsia" w:ascii="仿宋" w:hAnsi="仿宋" w:eastAsia="仿宋" w:cs="仿宋"/>
          <w:color w:val="auto"/>
          <w:highlight w:val="none"/>
        </w:rPr>
      </w:pP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rPr>
        <w:t>注：</w:t>
      </w: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、如有附图，仅作参考。</w:t>
      </w: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、打▲内容为实质性要求，不允许有负偏离，否则将以涉及无效投标条款作无效投标。</w:t>
      </w: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、中标人所提供的货物、服务须与投标承诺一致，不得以次充好、偷工减料，若在项目验收中发现有上述情况，将向有关部门举报，根据相关规定进行处理。</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2" w:name="_Toc184310301"/>
      <w:bookmarkEnd w:id="32"/>
      <w:bookmarkStart w:id="33" w:name="_Toc184310341"/>
      <w:bookmarkEnd w:id="33"/>
      <w:bookmarkStart w:id="34" w:name="_Toc184312125"/>
      <w:bookmarkEnd w:id="34"/>
      <w:bookmarkStart w:id="35" w:name="_Toc184310297"/>
      <w:bookmarkEnd w:id="35"/>
      <w:bookmarkStart w:id="36" w:name="_Toc184310314"/>
      <w:bookmarkEnd w:id="36"/>
      <w:bookmarkStart w:id="37" w:name="_Toc184314471"/>
      <w:bookmarkEnd w:id="37"/>
      <w:bookmarkStart w:id="38" w:name="_Toc184313289"/>
      <w:bookmarkEnd w:id="38"/>
      <w:bookmarkStart w:id="39" w:name="_Toc184312085"/>
      <w:bookmarkEnd w:id="39"/>
      <w:bookmarkStart w:id="40" w:name="_Toc184310323"/>
      <w:bookmarkEnd w:id="40"/>
      <w:bookmarkStart w:id="41" w:name="_Toc184312074"/>
      <w:bookmarkEnd w:id="41"/>
      <w:bookmarkStart w:id="42" w:name="_Toc184308080"/>
      <w:bookmarkEnd w:id="42"/>
      <w:bookmarkStart w:id="43" w:name="_Toc184310287"/>
      <w:bookmarkEnd w:id="43"/>
      <w:bookmarkStart w:id="44" w:name="_Toc184310315"/>
      <w:bookmarkEnd w:id="44"/>
      <w:bookmarkStart w:id="45" w:name="_Toc184310272"/>
      <w:bookmarkEnd w:id="45"/>
      <w:bookmarkStart w:id="46" w:name="_Toc184310303"/>
      <w:bookmarkEnd w:id="46"/>
      <w:bookmarkStart w:id="47" w:name="_Toc184308077"/>
      <w:bookmarkEnd w:id="47"/>
      <w:bookmarkStart w:id="48" w:name="_Toc184310293"/>
      <w:bookmarkEnd w:id="48"/>
      <w:bookmarkStart w:id="49" w:name="_Toc184314422"/>
      <w:bookmarkEnd w:id="49"/>
      <w:bookmarkStart w:id="50" w:name="_Toc184313294"/>
      <w:bookmarkEnd w:id="50"/>
      <w:bookmarkStart w:id="51" w:name="_Toc184313251"/>
      <w:bookmarkEnd w:id="51"/>
      <w:bookmarkStart w:id="52" w:name="_Toc184314472"/>
      <w:bookmarkEnd w:id="52"/>
      <w:bookmarkStart w:id="53" w:name="_Toc184314429"/>
      <w:bookmarkEnd w:id="53"/>
      <w:bookmarkStart w:id="54" w:name="_Toc184314473"/>
      <w:bookmarkEnd w:id="54"/>
      <w:bookmarkStart w:id="55" w:name="_Toc184312092"/>
      <w:bookmarkEnd w:id="55"/>
      <w:bookmarkStart w:id="56" w:name="_Toc184313256"/>
      <w:bookmarkEnd w:id="56"/>
      <w:bookmarkStart w:id="57" w:name="_Toc184310311"/>
      <w:bookmarkEnd w:id="57"/>
      <w:bookmarkStart w:id="58" w:name="_Toc184313262"/>
      <w:bookmarkEnd w:id="58"/>
      <w:bookmarkStart w:id="59" w:name="_Toc184313269"/>
      <w:bookmarkEnd w:id="59"/>
      <w:bookmarkStart w:id="60" w:name="_Toc184312128"/>
      <w:bookmarkEnd w:id="60"/>
      <w:bookmarkStart w:id="61" w:name="_Toc184308053"/>
      <w:bookmarkEnd w:id="61"/>
      <w:bookmarkStart w:id="62" w:name="_Toc184310337"/>
      <w:bookmarkEnd w:id="62"/>
      <w:bookmarkStart w:id="63" w:name="_Toc184312070"/>
      <w:bookmarkEnd w:id="63"/>
      <w:bookmarkStart w:id="64" w:name="_Toc184313260"/>
      <w:bookmarkEnd w:id="64"/>
      <w:bookmarkStart w:id="65" w:name="_Toc184312089"/>
      <w:bookmarkEnd w:id="65"/>
      <w:bookmarkStart w:id="66" w:name="_Toc184313238"/>
      <w:bookmarkEnd w:id="66"/>
      <w:bookmarkStart w:id="67" w:name="_Toc184313295"/>
      <w:bookmarkEnd w:id="67"/>
      <w:bookmarkStart w:id="68" w:name="_Toc184313279"/>
      <w:bookmarkEnd w:id="68"/>
      <w:bookmarkStart w:id="69" w:name="_Toc184310333"/>
      <w:bookmarkEnd w:id="69"/>
      <w:bookmarkStart w:id="70" w:name="_Toc184312078"/>
      <w:bookmarkEnd w:id="70"/>
      <w:bookmarkStart w:id="71" w:name="_Toc184314460"/>
      <w:bookmarkEnd w:id="71"/>
      <w:bookmarkStart w:id="72" w:name="_Toc184313280"/>
      <w:bookmarkEnd w:id="72"/>
      <w:bookmarkStart w:id="73" w:name="_Toc184313244"/>
      <w:bookmarkEnd w:id="73"/>
      <w:bookmarkStart w:id="74" w:name="_Toc184314421"/>
      <w:bookmarkEnd w:id="74"/>
      <w:bookmarkStart w:id="75" w:name="_Toc184314411"/>
      <w:bookmarkEnd w:id="75"/>
      <w:bookmarkStart w:id="76" w:name="_Toc184314420"/>
      <w:bookmarkEnd w:id="76"/>
      <w:bookmarkStart w:id="77" w:name="_Toc184310285"/>
      <w:bookmarkEnd w:id="77"/>
      <w:bookmarkStart w:id="78" w:name="_Toc184310339"/>
      <w:bookmarkEnd w:id="78"/>
      <w:bookmarkStart w:id="79" w:name="_Toc184310299"/>
      <w:bookmarkEnd w:id="79"/>
      <w:bookmarkStart w:id="80" w:name="_Toc184314478"/>
      <w:bookmarkEnd w:id="80"/>
      <w:bookmarkStart w:id="81" w:name="_Toc184312100"/>
      <w:bookmarkEnd w:id="81"/>
      <w:bookmarkStart w:id="82" w:name="_Toc184314461"/>
      <w:bookmarkEnd w:id="82"/>
      <w:bookmarkStart w:id="83" w:name="_Toc184308067"/>
      <w:bookmarkEnd w:id="83"/>
      <w:bookmarkStart w:id="84" w:name="_Toc184308039"/>
      <w:bookmarkEnd w:id="84"/>
      <w:bookmarkStart w:id="85" w:name="_Toc184310328"/>
      <w:bookmarkEnd w:id="85"/>
      <w:bookmarkStart w:id="86" w:name="_Toc184310278"/>
      <w:bookmarkEnd w:id="86"/>
      <w:bookmarkStart w:id="87" w:name="_Toc184310289"/>
      <w:bookmarkEnd w:id="87"/>
      <w:bookmarkStart w:id="88" w:name="_Toc184312118"/>
      <w:bookmarkEnd w:id="88"/>
      <w:bookmarkStart w:id="89" w:name="_Toc184312102"/>
      <w:bookmarkEnd w:id="89"/>
      <w:bookmarkStart w:id="90" w:name="_Toc184308097"/>
      <w:bookmarkEnd w:id="90"/>
      <w:bookmarkStart w:id="91" w:name="_Toc184310316"/>
      <w:bookmarkEnd w:id="91"/>
      <w:bookmarkStart w:id="92" w:name="_Toc184310321"/>
      <w:bookmarkEnd w:id="92"/>
      <w:bookmarkStart w:id="93" w:name="_Toc184312088"/>
      <w:bookmarkEnd w:id="93"/>
      <w:bookmarkStart w:id="94" w:name="_Toc184313243"/>
      <w:bookmarkEnd w:id="94"/>
      <w:bookmarkStart w:id="95" w:name="_Toc184308052"/>
      <w:bookmarkEnd w:id="95"/>
      <w:bookmarkStart w:id="96" w:name="_Toc184312131"/>
      <w:bookmarkEnd w:id="96"/>
      <w:bookmarkStart w:id="97" w:name="_Toc184314432"/>
      <w:bookmarkEnd w:id="97"/>
      <w:bookmarkStart w:id="98" w:name="_Toc184308096"/>
      <w:bookmarkEnd w:id="98"/>
      <w:bookmarkStart w:id="99" w:name="_Toc184314482"/>
      <w:bookmarkEnd w:id="99"/>
      <w:bookmarkStart w:id="100" w:name="_Toc184313265"/>
      <w:bookmarkEnd w:id="100"/>
      <w:bookmarkStart w:id="101" w:name="_Toc184313250"/>
      <w:bookmarkEnd w:id="101"/>
      <w:bookmarkStart w:id="102" w:name="_Toc184312105"/>
      <w:bookmarkEnd w:id="102"/>
      <w:bookmarkStart w:id="103" w:name="_Toc184308087"/>
      <w:bookmarkEnd w:id="103"/>
      <w:bookmarkStart w:id="104" w:name="_Toc184312101"/>
      <w:bookmarkEnd w:id="104"/>
      <w:bookmarkStart w:id="105" w:name="_Toc184308071"/>
      <w:bookmarkEnd w:id="105"/>
      <w:bookmarkStart w:id="106" w:name="_Toc184314413"/>
      <w:bookmarkEnd w:id="106"/>
      <w:bookmarkStart w:id="107" w:name="_Toc184312086"/>
      <w:bookmarkEnd w:id="107"/>
      <w:bookmarkStart w:id="108" w:name="_Toc184312129"/>
      <w:bookmarkEnd w:id="108"/>
      <w:bookmarkStart w:id="109" w:name="_Toc184308098"/>
      <w:bookmarkEnd w:id="109"/>
      <w:bookmarkStart w:id="110" w:name="_Toc184313282"/>
      <w:bookmarkEnd w:id="110"/>
      <w:bookmarkStart w:id="111" w:name="_Toc184308045"/>
      <w:bookmarkEnd w:id="111"/>
      <w:bookmarkStart w:id="112" w:name="_Toc184313301"/>
      <w:bookmarkEnd w:id="112"/>
      <w:bookmarkStart w:id="113" w:name="_Toc184313266"/>
      <w:bookmarkEnd w:id="113"/>
      <w:bookmarkStart w:id="114" w:name="_Toc184312068"/>
      <w:bookmarkEnd w:id="114"/>
      <w:bookmarkStart w:id="115" w:name="_Toc184313272"/>
      <w:bookmarkEnd w:id="115"/>
      <w:bookmarkStart w:id="116" w:name="_Toc184310273"/>
      <w:bookmarkEnd w:id="116"/>
      <w:bookmarkStart w:id="117" w:name="_Toc184312132"/>
      <w:bookmarkEnd w:id="117"/>
      <w:bookmarkStart w:id="118" w:name="_Toc184312079"/>
      <w:bookmarkEnd w:id="118"/>
      <w:bookmarkStart w:id="119" w:name="_Toc184308094"/>
      <w:bookmarkEnd w:id="119"/>
      <w:bookmarkStart w:id="120" w:name="_Toc184314451"/>
      <w:bookmarkEnd w:id="120"/>
      <w:bookmarkStart w:id="121" w:name="_Toc184312071"/>
      <w:bookmarkEnd w:id="121"/>
      <w:bookmarkStart w:id="122" w:name="_Toc184312073"/>
      <w:bookmarkEnd w:id="122"/>
      <w:bookmarkStart w:id="123" w:name="_Toc184313255"/>
      <w:bookmarkEnd w:id="123"/>
      <w:bookmarkStart w:id="124" w:name="_Toc184312114"/>
      <w:bookmarkEnd w:id="124"/>
      <w:bookmarkStart w:id="125" w:name="_Toc184314450"/>
      <w:bookmarkEnd w:id="125"/>
      <w:bookmarkStart w:id="126" w:name="_Toc184312121"/>
      <w:bookmarkEnd w:id="126"/>
      <w:bookmarkStart w:id="127" w:name="_Toc184313276"/>
      <w:bookmarkEnd w:id="127"/>
      <w:bookmarkStart w:id="128" w:name="_Toc184312077"/>
      <w:bookmarkEnd w:id="128"/>
      <w:bookmarkStart w:id="129" w:name="_Toc184308100"/>
      <w:bookmarkEnd w:id="129"/>
      <w:bookmarkStart w:id="130" w:name="_Toc184314449"/>
      <w:bookmarkEnd w:id="130"/>
      <w:bookmarkStart w:id="131" w:name="_Toc184313302"/>
      <w:bookmarkEnd w:id="131"/>
      <w:bookmarkStart w:id="132" w:name="_Toc184308105"/>
      <w:bookmarkEnd w:id="132"/>
      <w:bookmarkStart w:id="133" w:name="_Toc184312080"/>
      <w:bookmarkEnd w:id="133"/>
      <w:bookmarkStart w:id="134" w:name="_Toc184310324"/>
      <w:bookmarkEnd w:id="134"/>
      <w:bookmarkStart w:id="135" w:name="_Toc184310282"/>
      <w:bookmarkEnd w:id="135"/>
      <w:bookmarkStart w:id="136" w:name="_Toc184313308"/>
      <w:bookmarkEnd w:id="136"/>
      <w:bookmarkStart w:id="137" w:name="_Toc184310343"/>
      <w:bookmarkEnd w:id="137"/>
      <w:bookmarkStart w:id="138" w:name="_Toc184312115"/>
      <w:bookmarkEnd w:id="138"/>
      <w:bookmarkStart w:id="139" w:name="_Toc184312067"/>
      <w:bookmarkEnd w:id="139"/>
      <w:bookmarkStart w:id="140" w:name="_Toc184313288"/>
      <w:bookmarkEnd w:id="140"/>
      <w:bookmarkStart w:id="141" w:name="_Toc184314440"/>
      <w:bookmarkEnd w:id="141"/>
      <w:bookmarkStart w:id="142" w:name="_Toc184314433"/>
      <w:bookmarkEnd w:id="142"/>
      <w:bookmarkStart w:id="143" w:name="_Toc184313239"/>
      <w:bookmarkEnd w:id="143"/>
      <w:bookmarkStart w:id="144" w:name="_Toc184312104"/>
      <w:bookmarkEnd w:id="144"/>
      <w:bookmarkStart w:id="145" w:name="_Toc184313264"/>
      <w:bookmarkEnd w:id="145"/>
      <w:bookmarkStart w:id="146" w:name="_Toc184312138"/>
      <w:bookmarkEnd w:id="146"/>
      <w:bookmarkStart w:id="147" w:name="_Toc184313268"/>
      <w:bookmarkEnd w:id="147"/>
      <w:bookmarkStart w:id="148" w:name="_Toc184310296"/>
      <w:bookmarkEnd w:id="148"/>
      <w:bookmarkStart w:id="149" w:name="_Toc184314431"/>
      <w:bookmarkEnd w:id="149"/>
      <w:bookmarkStart w:id="150" w:name="_Toc184308050"/>
      <w:bookmarkEnd w:id="150"/>
      <w:bookmarkStart w:id="151" w:name="_Toc184313273"/>
      <w:bookmarkEnd w:id="151"/>
      <w:bookmarkStart w:id="152" w:name="_Toc184313305"/>
      <w:bookmarkEnd w:id="152"/>
      <w:bookmarkStart w:id="153" w:name="_Toc184314466"/>
      <w:bookmarkEnd w:id="153"/>
      <w:bookmarkStart w:id="154" w:name="_Toc184314454"/>
      <w:bookmarkEnd w:id="154"/>
      <w:bookmarkStart w:id="155" w:name="_Toc184314430"/>
      <w:bookmarkEnd w:id="155"/>
      <w:bookmarkStart w:id="156" w:name="_Toc184310300"/>
      <w:bookmarkEnd w:id="156"/>
      <w:bookmarkStart w:id="157" w:name="_Toc184314447"/>
      <w:bookmarkEnd w:id="157"/>
      <w:bookmarkStart w:id="158" w:name="_Toc184308047"/>
      <w:bookmarkEnd w:id="158"/>
      <w:bookmarkStart w:id="159" w:name="_Toc184314456"/>
      <w:bookmarkEnd w:id="159"/>
      <w:bookmarkStart w:id="160" w:name="_Toc184308072"/>
      <w:bookmarkEnd w:id="160"/>
      <w:bookmarkStart w:id="161" w:name="_Toc184314415"/>
      <w:bookmarkEnd w:id="161"/>
      <w:bookmarkStart w:id="162" w:name="_Toc184310290"/>
      <w:bookmarkEnd w:id="162"/>
      <w:bookmarkStart w:id="163" w:name="_Toc184308091"/>
      <w:bookmarkEnd w:id="163"/>
      <w:bookmarkStart w:id="164" w:name="_Toc184314442"/>
      <w:bookmarkEnd w:id="164"/>
      <w:bookmarkStart w:id="165" w:name="_Toc184312111"/>
      <w:bookmarkEnd w:id="165"/>
      <w:bookmarkStart w:id="166" w:name="_Toc184308089"/>
      <w:bookmarkEnd w:id="166"/>
      <w:bookmarkStart w:id="167" w:name="_Toc184313274"/>
      <w:bookmarkEnd w:id="167"/>
      <w:bookmarkStart w:id="168" w:name="_Toc184310306"/>
      <w:bookmarkEnd w:id="168"/>
      <w:bookmarkStart w:id="169" w:name="_Toc184312076"/>
      <w:bookmarkEnd w:id="169"/>
      <w:bookmarkStart w:id="170" w:name="_Toc184314418"/>
      <w:bookmarkEnd w:id="170"/>
      <w:bookmarkStart w:id="171" w:name="_Toc184310284"/>
      <w:bookmarkEnd w:id="171"/>
      <w:bookmarkStart w:id="172" w:name="_Toc184312084"/>
      <w:bookmarkEnd w:id="172"/>
      <w:bookmarkStart w:id="173" w:name="_Toc184308074"/>
      <w:bookmarkEnd w:id="173"/>
      <w:bookmarkStart w:id="174" w:name="_Toc184312135"/>
      <w:bookmarkEnd w:id="174"/>
      <w:bookmarkStart w:id="175" w:name="_Toc184312127"/>
      <w:bookmarkEnd w:id="175"/>
      <w:bookmarkStart w:id="176" w:name="_Toc184308046"/>
      <w:bookmarkEnd w:id="176"/>
      <w:bookmarkStart w:id="177" w:name="_Toc184308095"/>
      <w:bookmarkEnd w:id="177"/>
      <w:bookmarkStart w:id="178" w:name="_Toc184314426"/>
      <w:bookmarkEnd w:id="178"/>
      <w:bookmarkStart w:id="179" w:name="_Toc184310281"/>
      <w:bookmarkEnd w:id="179"/>
      <w:bookmarkStart w:id="180" w:name="_Toc184314462"/>
      <w:bookmarkEnd w:id="180"/>
      <w:bookmarkStart w:id="181" w:name="_Toc184310319"/>
      <w:bookmarkEnd w:id="181"/>
      <w:bookmarkStart w:id="182" w:name="_Toc184310318"/>
      <w:bookmarkEnd w:id="182"/>
      <w:bookmarkStart w:id="183" w:name="_Toc184308059"/>
      <w:bookmarkEnd w:id="183"/>
      <w:bookmarkStart w:id="184" w:name="_Toc184308086"/>
      <w:bookmarkEnd w:id="184"/>
      <w:bookmarkStart w:id="185" w:name="_Toc184308082"/>
      <w:bookmarkEnd w:id="185"/>
      <w:bookmarkStart w:id="186" w:name="_Toc184313309"/>
      <w:bookmarkEnd w:id="186"/>
      <w:bookmarkStart w:id="187" w:name="_Toc184313310"/>
      <w:bookmarkEnd w:id="187"/>
      <w:bookmarkStart w:id="188" w:name="_Toc184312103"/>
      <w:bookmarkEnd w:id="188"/>
      <w:bookmarkStart w:id="189" w:name="_Toc184308079"/>
      <w:bookmarkEnd w:id="189"/>
      <w:bookmarkStart w:id="190" w:name="_Toc184313246"/>
      <w:bookmarkEnd w:id="190"/>
      <w:bookmarkStart w:id="191" w:name="_Toc184310342"/>
      <w:bookmarkEnd w:id="191"/>
      <w:bookmarkStart w:id="192" w:name="_Toc184310326"/>
      <w:bookmarkEnd w:id="192"/>
      <w:bookmarkStart w:id="193" w:name="_Toc184310310"/>
      <w:bookmarkEnd w:id="193"/>
      <w:bookmarkStart w:id="194" w:name="_Toc184312095"/>
      <w:bookmarkEnd w:id="194"/>
      <w:bookmarkStart w:id="195" w:name="_Toc184313307"/>
      <w:bookmarkEnd w:id="195"/>
      <w:bookmarkStart w:id="196" w:name="_Toc184313252"/>
      <w:bookmarkEnd w:id="196"/>
      <w:bookmarkStart w:id="197" w:name="_Toc184313259"/>
      <w:bookmarkEnd w:id="197"/>
      <w:bookmarkStart w:id="198" w:name="_Toc184314459"/>
      <w:bookmarkEnd w:id="198"/>
      <w:bookmarkStart w:id="199" w:name="_Toc184310335"/>
      <w:bookmarkEnd w:id="199"/>
      <w:bookmarkStart w:id="200" w:name="_Toc184310283"/>
      <w:bookmarkEnd w:id="200"/>
      <w:bookmarkStart w:id="201" w:name="_Toc184312120"/>
      <w:bookmarkEnd w:id="201"/>
      <w:bookmarkStart w:id="202" w:name="_Toc184308042"/>
      <w:bookmarkEnd w:id="202"/>
      <w:bookmarkStart w:id="203" w:name="_Toc184312097"/>
      <w:bookmarkEnd w:id="203"/>
      <w:bookmarkStart w:id="204" w:name="_Toc184312081"/>
      <w:bookmarkEnd w:id="204"/>
      <w:bookmarkStart w:id="205" w:name="_Toc184308108"/>
      <w:bookmarkEnd w:id="205"/>
      <w:bookmarkStart w:id="206" w:name="_Toc184308060"/>
      <w:bookmarkEnd w:id="206"/>
      <w:bookmarkStart w:id="207" w:name="_Toc184313277"/>
      <w:bookmarkEnd w:id="207"/>
      <w:bookmarkStart w:id="208" w:name="_Toc184308093"/>
      <w:bookmarkEnd w:id="208"/>
      <w:bookmarkStart w:id="209" w:name="_Toc184313253"/>
      <w:bookmarkEnd w:id="209"/>
      <w:bookmarkStart w:id="210" w:name="_Toc184310295"/>
      <w:bookmarkEnd w:id="210"/>
      <w:bookmarkStart w:id="211" w:name="_Toc184312099"/>
      <w:bookmarkEnd w:id="211"/>
      <w:bookmarkStart w:id="212" w:name="_Toc184313291"/>
      <w:bookmarkEnd w:id="212"/>
      <w:bookmarkStart w:id="213" w:name="_Toc184308062"/>
      <w:bookmarkEnd w:id="213"/>
      <w:bookmarkStart w:id="214" w:name="_Toc184313261"/>
      <w:bookmarkEnd w:id="214"/>
      <w:bookmarkStart w:id="215" w:name="_Toc184308081"/>
      <w:bookmarkEnd w:id="215"/>
      <w:bookmarkStart w:id="216" w:name="_Toc184314439"/>
      <w:bookmarkEnd w:id="216"/>
      <w:bookmarkStart w:id="217" w:name="_Toc184308063"/>
      <w:bookmarkEnd w:id="217"/>
      <w:bookmarkStart w:id="218" w:name="_Toc184308090"/>
      <w:bookmarkEnd w:id="218"/>
      <w:bookmarkStart w:id="219" w:name="_Toc184314452"/>
      <w:bookmarkEnd w:id="219"/>
      <w:bookmarkStart w:id="220" w:name="_Toc184314438"/>
      <w:bookmarkEnd w:id="220"/>
      <w:bookmarkStart w:id="221" w:name="_Toc184308106"/>
      <w:bookmarkEnd w:id="221"/>
      <w:bookmarkStart w:id="222" w:name="_Toc184310312"/>
      <w:bookmarkEnd w:id="222"/>
      <w:bookmarkStart w:id="223" w:name="_Toc184314453"/>
      <w:bookmarkEnd w:id="223"/>
      <w:bookmarkStart w:id="224" w:name="_Toc184312107"/>
      <w:bookmarkEnd w:id="224"/>
      <w:bookmarkStart w:id="225" w:name="_Toc184308092"/>
      <w:bookmarkEnd w:id="225"/>
      <w:bookmarkStart w:id="226" w:name="_Toc184314434"/>
      <w:bookmarkEnd w:id="226"/>
      <w:bookmarkStart w:id="227" w:name="_Toc184308084"/>
      <w:bookmarkEnd w:id="227"/>
      <w:bookmarkStart w:id="228" w:name="_Toc184312087"/>
      <w:bookmarkEnd w:id="228"/>
      <w:bookmarkStart w:id="229" w:name="_Toc184314414"/>
      <w:bookmarkEnd w:id="229"/>
      <w:bookmarkStart w:id="230" w:name="_Toc184312091"/>
      <w:bookmarkEnd w:id="230"/>
      <w:bookmarkStart w:id="231" w:name="_Toc184312075"/>
      <w:bookmarkEnd w:id="231"/>
      <w:bookmarkStart w:id="232" w:name="_Toc184308083"/>
      <w:bookmarkEnd w:id="232"/>
      <w:bookmarkStart w:id="233" w:name="_Toc184310320"/>
      <w:bookmarkEnd w:id="233"/>
      <w:bookmarkStart w:id="234" w:name="_Toc184314474"/>
      <w:bookmarkEnd w:id="234"/>
      <w:bookmarkStart w:id="235" w:name="_Toc184313284"/>
      <w:bookmarkEnd w:id="235"/>
      <w:bookmarkStart w:id="236" w:name="_Toc184310344"/>
      <w:bookmarkEnd w:id="236"/>
      <w:bookmarkStart w:id="237" w:name="_Toc184313296"/>
      <w:bookmarkEnd w:id="237"/>
      <w:bookmarkStart w:id="238" w:name="_Toc184314410"/>
      <w:bookmarkEnd w:id="238"/>
      <w:bookmarkStart w:id="239" w:name="_Toc184314455"/>
      <w:bookmarkEnd w:id="239"/>
      <w:bookmarkStart w:id="240" w:name="_Toc184313300"/>
      <w:bookmarkEnd w:id="240"/>
      <w:bookmarkStart w:id="241" w:name="_Toc184313283"/>
      <w:bookmarkEnd w:id="241"/>
      <w:bookmarkStart w:id="242" w:name="_Toc184313286"/>
      <w:bookmarkEnd w:id="242"/>
      <w:bookmarkStart w:id="243" w:name="_Toc184312093"/>
      <w:bookmarkEnd w:id="243"/>
      <w:bookmarkStart w:id="244" w:name="_Toc184314479"/>
      <w:bookmarkEnd w:id="244"/>
      <w:bookmarkStart w:id="245" w:name="_Toc184308044"/>
      <w:bookmarkEnd w:id="245"/>
      <w:bookmarkStart w:id="246" w:name="_Toc184310331"/>
      <w:bookmarkEnd w:id="246"/>
      <w:bookmarkStart w:id="247" w:name="_Toc184310280"/>
      <w:bookmarkEnd w:id="247"/>
      <w:bookmarkStart w:id="248" w:name="_Toc184314448"/>
      <w:bookmarkEnd w:id="248"/>
      <w:bookmarkStart w:id="249" w:name="_Toc184308103"/>
      <w:bookmarkEnd w:id="249"/>
      <w:bookmarkStart w:id="250" w:name="_Toc184308040"/>
      <w:bookmarkEnd w:id="250"/>
      <w:bookmarkStart w:id="251" w:name="_Toc184310305"/>
      <w:bookmarkEnd w:id="251"/>
      <w:bookmarkStart w:id="252" w:name="_Toc184314480"/>
      <w:bookmarkEnd w:id="252"/>
      <w:bookmarkStart w:id="253" w:name="_Toc184308057"/>
      <w:bookmarkEnd w:id="253"/>
      <w:bookmarkStart w:id="254" w:name="_Toc184312110"/>
      <w:bookmarkEnd w:id="254"/>
      <w:bookmarkStart w:id="255" w:name="_Toc184308043"/>
      <w:bookmarkEnd w:id="255"/>
      <w:bookmarkStart w:id="256" w:name="_Toc184310279"/>
      <w:bookmarkEnd w:id="256"/>
      <w:bookmarkStart w:id="257" w:name="_Toc184308104"/>
      <w:bookmarkEnd w:id="257"/>
      <w:bookmarkStart w:id="258" w:name="_Toc184314444"/>
      <w:bookmarkEnd w:id="258"/>
      <w:bookmarkStart w:id="259" w:name="_Toc184313275"/>
      <w:bookmarkEnd w:id="259"/>
      <w:bookmarkStart w:id="260" w:name="_Toc184314477"/>
      <w:bookmarkEnd w:id="260"/>
      <w:bookmarkStart w:id="261" w:name="_Toc184314445"/>
      <w:bookmarkEnd w:id="261"/>
      <w:bookmarkStart w:id="262" w:name="_Toc184308065"/>
      <w:bookmarkEnd w:id="262"/>
      <w:bookmarkStart w:id="263" w:name="_Toc184314428"/>
      <w:bookmarkEnd w:id="263"/>
      <w:bookmarkStart w:id="264" w:name="_Toc184313281"/>
      <w:bookmarkEnd w:id="264"/>
      <w:bookmarkStart w:id="265" w:name="_Toc184313285"/>
      <w:bookmarkEnd w:id="265"/>
      <w:bookmarkStart w:id="266" w:name="_Toc184308102"/>
      <w:bookmarkEnd w:id="266"/>
      <w:bookmarkStart w:id="267" w:name="_Toc184308061"/>
      <w:bookmarkEnd w:id="267"/>
      <w:bookmarkStart w:id="268" w:name="_Toc184314469"/>
      <w:bookmarkEnd w:id="268"/>
      <w:bookmarkStart w:id="269" w:name="_Toc184313306"/>
      <w:bookmarkEnd w:id="269"/>
      <w:bookmarkStart w:id="270" w:name="_Toc184313267"/>
      <w:bookmarkEnd w:id="270"/>
      <w:bookmarkStart w:id="271" w:name="_Toc184308041"/>
      <w:bookmarkEnd w:id="271"/>
      <w:bookmarkStart w:id="272" w:name="_Toc184312134"/>
      <w:bookmarkEnd w:id="272"/>
      <w:bookmarkStart w:id="273" w:name="_Toc184310304"/>
      <w:bookmarkEnd w:id="273"/>
      <w:bookmarkStart w:id="274" w:name="_Toc184308075"/>
      <w:bookmarkEnd w:id="274"/>
      <w:bookmarkStart w:id="275" w:name="_Toc184308085"/>
      <w:bookmarkEnd w:id="275"/>
      <w:bookmarkStart w:id="276" w:name="_Toc184310276"/>
      <w:bookmarkEnd w:id="276"/>
      <w:bookmarkStart w:id="277" w:name="_Toc184312136"/>
      <w:bookmarkEnd w:id="277"/>
      <w:bookmarkStart w:id="278" w:name="_Toc184308088"/>
      <w:bookmarkEnd w:id="278"/>
      <w:bookmarkStart w:id="279" w:name="_Toc184312096"/>
      <w:bookmarkEnd w:id="279"/>
      <w:bookmarkStart w:id="280" w:name="_Toc184313245"/>
      <w:bookmarkEnd w:id="280"/>
      <w:bookmarkStart w:id="281" w:name="_Toc184314419"/>
      <w:bookmarkEnd w:id="281"/>
      <w:bookmarkStart w:id="282" w:name="_Toc184310340"/>
      <w:bookmarkEnd w:id="282"/>
      <w:bookmarkStart w:id="283" w:name="_Toc184310317"/>
      <w:bookmarkEnd w:id="283"/>
      <w:bookmarkStart w:id="284" w:name="_Toc184314458"/>
      <w:bookmarkEnd w:id="284"/>
      <w:bookmarkStart w:id="285" w:name="_Toc184314481"/>
      <w:bookmarkEnd w:id="285"/>
      <w:bookmarkStart w:id="286" w:name="_Toc184310291"/>
      <w:bookmarkEnd w:id="286"/>
      <w:bookmarkStart w:id="287" w:name="_Toc184308066"/>
      <w:bookmarkEnd w:id="287"/>
      <w:bookmarkStart w:id="288" w:name="_Toc184312108"/>
      <w:bookmarkEnd w:id="288"/>
      <w:bookmarkStart w:id="289" w:name="_Toc184314417"/>
      <w:bookmarkEnd w:id="289"/>
      <w:bookmarkStart w:id="290" w:name="_Toc184313287"/>
      <w:bookmarkEnd w:id="290"/>
      <w:bookmarkStart w:id="291" w:name="_Toc184312123"/>
      <w:bookmarkEnd w:id="291"/>
      <w:bookmarkStart w:id="292" w:name="_Toc184308051"/>
      <w:bookmarkEnd w:id="292"/>
      <w:bookmarkStart w:id="293" w:name="_Toc184310322"/>
      <w:bookmarkEnd w:id="293"/>
      <w:bookmarkStart w:id="294" w:name="_Toc184314427"/>
      <w:bookmarkEnd w:id="294"/>
      <w:bookmarkStart w:id="295" w:name="_Toc184313298"/>
      <w:bookmarkEnd w:id="295"/>
      <w:bookmarkStart w:id="296" w:name="_Toc184312116"/>
      <w:bookmarkEnd w:id="296"/>
      <w:bookmarkStart w:id="297" w:name="_Toc184312124"/>
      <w:bookmarkEnd w:id="297"/>
      <w:bookmarkStart w:id="298" w:name="_Toc184313299"/>
      <w:bookmarkEnd w:id="298"/>
      <w:bookmarkStart w:id="299" w:name="_Toc184314443"/>
      <w:bookmarkEnd w:id="299"/>
      <w:bookmarkStart w:id="300" w:name="_Toc184314470"/>
      <w:bookmarkEnd w:id="300"/>
      <w:bookmarkStart w:id="301" w:name="_Toc184312109"/>
      <w:bookmarkEnd w:id="301"/>
      <w:bookmarkStart w:id="302" w:name="_Toc184312082"/>
      <w:bookmarkEnd w:id="302"/>
      <w:bookmarkStart w:id="303" w:name="_Toc184312106"/>
      <w:bookmarkEnd w:id="303"/>
      <w:bookmarkStart w:id="304" w:name="_Toc184310292"/>
      <w:bookmarkEnd w:id="304"/>
      <w:bookmarkStart w:id="305" w:name="_Toc184313257"/>
      <w:bookmarkEnd w:id="305"/>
      <w:bookmarkStart w:id="306" w:name="_Toc184313270"/>
      <w:bookmarkEnd w:id="306"/>
      <w:bookmarkStart w:id="307" w:name="_Toc184313263"/>
      <w:bookmarkEnd w:id="307"/>
      <w:bookmarkStart w:id="308" w:name="_Toc184314468"/>
      <w:bookmarkEnd w:id="308"/>
      <w:bookmarkStart w:id="309" w:name="_Toc184314476"/>
      <w:bookmarkEnd w:id="309"/>
      <w:bookmarkStart w:id="310" w:name="_Toc184310330"/>
      <w:bookmarkEnd w:id="310"/>
      <w:bookmarkStart w:id="311" w:name="_Toc184308099"/>
      <w:bookmarkEnd w:id="311"/>
      <w:bookmarkStart w:id="312" w:name="_Toc184310327"/>
      <w:bookmarkEnd w:id="312"/>
      <w:bookmarkStart w:id="313" w:name="_Toc184314475"/>
      <w:bookmarkEnd w:id="313"/>
      <w:bookmarkStart w:id="314" w:name="_Toc184308064"/>
      <w:bookmarkEnd w:id="314"/>
      <w:bookmarkStart w:id="315" w:name="_Toc184308069"/>
      <w:bookmarkEnd w:id="315"/>
      <w:bookmarkStart w:id="316" w:name="_Toc184308076"/>
      <w:bookmarkEnd w:id="316"/>
      <w:bookmarkStart w:id="317" w:name="_Toc184312137"/>
      <w:bookmarkEnd w:id="317"/>
      <w:bookmarkStart w:id="318" w:name="_Toc184314425"/>
      <w:bookmarkEnd w:id="318"/>
      <w:bookmarkStart w:id="319" w:name="_Toc184310302"/>
      <w:bookmarkEnd w:id="319"/>
      <w:bookmarkStart w:id="320" w:name="_Toc184308056"/>
      <w:bookmarkEnd w:id="320"/>
      <w:bookmarkStart w:id="321" w:name="_Toc184313304"/>
      <w:bookmarkEnd w:id="321"/>
      <w:bookmarkStart w:id="322" w:name="_Toc184308055"/>
      <w:bookmarkEnd w:id="322"/>
      <w:bookmarkStart w:id="323" w:name="_Toc184310274"/>
      <w:bookmarkEnd w:id="323"/>
      <w:bookmarkStart w:id="324" w:name="_Toc184313303"/>
      <w:bookmarkEnd w:id="324"/>
      <w:bookmarkStart w:id="325" w:name="_Toc184313292"/>
      <w:bookmarkEnd w:id="325"/>
      <w:bookmarkStart w:id="326" w:name="_Toc184314412"/>
      <w:bookmarkEnd w:id="326"/>
      <w:bookmarkStart w:id="327" w:name="_Toc184310288"/>
      <w:bookmarkEnd w:id="327"/>
      <w:bookmarkStart w:id="328" w:name="_Toc184313242"/>
      <w:bookmarkEnd w:id="328"/>
      <w:bookmarkStart w:id="329" w:name="_Toc184310298"/>
      <w:bookmarkEnd w:id="329"/>
      <w:bookmarkStart w:id="330" w:name="_Toc184308038"/>
      <w:bookmarkEnd w:id="330"/>
      <w:bookmarkStart w:id="331" w:name="_Toc184310307"/>
      <w:bookmarkEnd w:id="331"/>
      <w:bookmarkStart w:id="332" w:name="_Toc184308078"/>
      <w:bookmarkEnd w:id="332"/>
      <w:bookmarkStart w:id="333" w:name="_Toc184313248"/>
      <w:bookmarkEnd w:id="333"/>
      <w:bookmarkStart w:id="334" w:name="_Toc184312094"/>
      <w:bookmarkEnd w:id="334"/>
      <w:bookmarkStart w:id="335" w:name="_Toc184308048"/>
      <w:bookmarkEnd w:id="335"/>
      <w:bookmarkStart w:id="336" w:name="_Toc184314435"/>
      <w:bookmarkEnd w:id="336"/>
      <w:bookmarkStart w:id="337" w:name="_Toc184312112"/>
      <w:bookmarkEnd w:id="337"/>
      <w:bookmarkStart w:id="338" w:name="_Toc184314446"/>
      <w:bookmarkEnd w:id="338"/>
      <w:bookmarkStart w:id="339" w:name="_Toc184310286"/>
      <w:bookmarkEnd w:id="339"/>
      <w:bookmarkStart w:id="340" w:name="_Toc184308107"/>
      <w:bookmarkEnd w:id="340"/>
      <w:bookmarkStart w:id="341" w:name="_Toc184312126"/>
      <w:bookmarkEnd w:id="341"/>
      <w:bookmarkStart w:id="342" w:name="_Toc184308058"/>
      <w:bookmarkEnd w:id="342"/>
      <w:bookmarkStart w:id="343" w:name="_Toc184313271"/>
      <w:bookmarkEnd w:id="343"/>
      <w:bookmarkStart w:id="344" w:name="_Toc184310329"/>
      <w:bookmarkEnd w:id="344"/>
      <w:bookmarkStart w:id="345" w:name="_Toc184308049"/>
      <w:bookmarkEnd w:id="345"/>
      <w:bookmarkStart w:id="346" w:name="_Toc184308054"/>
      <w:bookmarkEnd w:id="346"/>
      <w:bookmarkStart w:id="347" w:name="_Toc184312090"/>
      <w:bookmarkEnd w:id="347"/>
      <w:bookmarkStart w:id="348" w:name="_Toc184313241"/>
      <w:bookmarkEnd w:id="348"/>
      <w:bookmarkStart w:id="349" w:name="_Toc184310275"/>
      <w:bookmarkEnd w:id="349"/>
      <w:bookmarkStart w:id="350" w:name="_Toc184308073"/>
      <w:bookmarkEnd w:id="350"/>
      <w:bookmarkStart w:id="351" w:name="_Toc184314423"/>
      <w:bookmarkEnd w:id="351"/>
      <w:bookmarkStart w:id="352" w:name="_Toc184310309"/>
      <w:bookmarkEnd w:id="352"/>
      <w:bookmarkStart w:id="353" w:name="_Toc184308070"/>
      <w:bookmarkEnd w:id="353"/>
      <w:bookmarkStart w:id="354" w:name="_Toc184310277"/>
      <w:bookmarkEnd w:id="354"/>
      <w:bookmarkStart w:id="355" w:name="_Toc184312072"/>
      <w:bookmarkEnd w:id="355"/>
      <w:bookmarkStart w:id="356" w:name="_Toc184310332"/>
      <w:bookmarkEnd w:id="356"/>
      <w:bookmarkStart w:id="357" w:name="_Toc184313240"/>
      <w:bookmarkEnd w:id="357"/>
      <w:bookmarkStart w:id="358" w:name="_Toc184310334"/>
      <w:bookmarkEnd w:id="358"/>
      <w:bookmarkStart w:id="359" w:name="_Toc184314436"/>
      <w:bookmarkEnd w:id="359"/>
      <w:bookmarkStart w:id="360" w:name="_Toc184314463"/>
      <w:bookmarkEnd w:id="360"/>
      <w:bookmarkStart w:id="361" w:name="_Toc184314467"/>
      <w:bookmarkEnd w:id="361"/>
      <w:bookmarkStart w:id="362" w:name="_Toc184312122"/>
      <w:bookmarkEnd w:id="362"/>
      <w:bookmarkStart w:id="363" w:name="_Toc184308036"/>
      <w:bookmarkEnd w:id="363"/>
      <w:bookmarkStart w:id="364" w:name="_Toc184312098"/>
      <w:bookmarkEnd w:id="364"/>
      <w:bookmarkStart w:id="365" w:name="_Toc184312130"/>
      <w:bookmarkEnd w:id="365"/>
      <w:bookmarkStart w:id="366" w:name="_Toc184310308"/>
      <w:bookmarkEnd w:id="366"/>
      <w:bookmarkStart w:id="367" w:name="_Toc184313293"/>
      <w:bookmarkEnd w:id="367"/>
      <w:bookmarkStart w:id="368" w:name="_Toc184314437"/>
      <w:bookmarkEnd w:id="368"/>
      <w:bookmarkStart w:id="369" w:name="_Toc184314465"/>
      <w:bookmarkEnd w:id="369"/>
      <w:bookmarkStart w:id="370" w:name="_Toc184312119"/>
      <w:bookmarkEnd w:id="370"/>
      <w:bookmarkStart w:id="371" w:name="_Toc184314416"/>
      <w:bookmarkEnd w:id="371"/>
      <w:bookmarkStart w:id="372" w:name="_Toc184313254"/>
      <w:bookmarkEnd w:id="372"/>
      <w:bookmarkStart w:id="373" w:name="_Toc184312069"/>
      <w:bookmarkEnd w:id="373"/>
      <w:bookmarkStart w:id="374" w:name="_Toc184312133"/>
      <w:bookmarkEnd w:id="374"/>
      <w:bookmarkStart w:id="375" w:name="_Toc184314441"/>
      <w:bookmarkEnd w:id="375"/>
      <w:bookmarkStart w:id="376" w:name="_Toc184313278"/>
      <w:bookmarkEnd w:id="376"/>
      <w:bookmarkStart w:id="377" w:name="_Toc184312117"/>
      <w:bookmarkEnd w:id="377"/>
      <w:bookmarkStart w:id="378" w:name="_Toc184310313"/>
      <w:bookmarkEnd w:id="378"/>
      <w:bookmarkStart w:id="379" w:name="_Toc184312083"/>
      <w:bookmarkEnd w:id="379"/>
      <w:bookmarkStart w:id="380" w:name="_Toc184310294"/>
      <w:bookmarkEnd w:id="380"/>
      <w:bookmarkStart w:id="381" w:name="_Toc184310325"/>
      <w:bookmarkEnd w:id="381"/>
      <w:bookmarkStart w:id="382" w:name="_Toc184314464"/>
      <w:bookmarkEnd w:id="382"/>
      <w:bookmarkStart w:id="383" w:name="_Toc184313290"/>
      <w:bookmarkEnd w:id="383"/>
      <w:bookmarkStart w:id="384" w:name="_Toc184313249"/>
      <w:bookmarkEnd w:id="384"/>
      <w:bookmarkStart w:id="385" w:name="_Toc184308068"/>
      <w:bookmarkEnd w:id="385"/>
      <w:bookmarkStart w:id="386" w:name="_Toc184313297"/>
      <w:bookmarkEnd w:id="386"/>
      <w:bookmarkStart w:id="387" w:name="_Toc184308037"/>
      <w:bookmarkEnd w:id="387"/>
      <w:bookmarkStart w:id="388" w:name="_Toc184313258"/>
      <w:bookmarkEnd w:id="388"/>
      <w:bookmarkStart w:id="389" w:name="_Toc184310336"/>
      <w:bookmarkEnd w:id="389"/>
      <w:bookmarkStart w:id="390" w:name="_Toc184314457"/>
      <w:bookmarkEnd w:id="390"/>
      <w:bookmarkStart w:id="391" w:name="_Toc184313247"/>
      <w:bookmarkEnd w:id="391"/>
      <w:bookmarkStart w:id="392" w:name="_Toc184312113"/>
      <w:bookmarkEnd w:id="392"/>
      <w:bookmarkStart w:id="393" w:name="_Toc184312139"/>
      <w:bookmarkEnd w:id="393"/>
      <w:bookmarkStart w:id="394" w:name="_Toc184314424"/>
      <w:bookmarkEnd w:id="394"/>
      <w:bookmarkStart w:id="395" w:name="_Toc184310338"/>
      <w:bookmarkEnd w:id="395"/>
      <w:bookmarkStart w:id="396" w:name="_Toc184308101"/>
      <w:bookmarkEnd w:id="396"/>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1、商务资信（1</w:t>
      </w: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分）</w:t>
      </w:r>
    </w:p>
    <w:tbl>
      <w:tblPr>
        <w:tblStyle w:val="62"/>
        <w:tblW w:w="877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5"/>
        <w:gridCol w:w="600"/>
        <w:gridCol w:w="5551"/>
        <w:gridCol w:w="810"/>
        <w:gridCol w:w="8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4" w:hRule="atLeast"/>
        </w:trPr>
        <w:tc>
          <w:tcPr>
            <w:tcW w:w="9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151"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评分内容和标准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8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2" w:hRule="atLeast"/>
        </w:trPr>
        <w:tc>
          <w:tcPr>
            <w:tcW w:w="92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4"/>
                <w:szCs w:val="24"/>
                <w:highlight w:val="none"/>
              </w:rPr>
              <w:t>商务资 信分（1</w:t>
            </w: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55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20</w:t>
            </w:r>
            <w:r>
              <w:rPr>
                <w:rFonts w:hint="eastAsia" w:ascii="仿宋" w:hAnsi="仿宋" w:eastAsia="仿宋" w:cs="仿宋"/>
                <w:color w:val="auto"/>
                <w:sz w:val="22"/>
                <w:szCs w:val="22"/>
                <w:highlight w:val="none"/>
                <w:lang w:val="en-US" w:eastAsia="zh-CN"/>
              </w:rPr>
              <w:t>20</w:t>
            </w:r>
            <w:r>
              <w:rPr>
                <w:rFonts w:hint="eastAsia" w:ascii="仿宋" w:hAnsi="仿宋" w:eastAsia="仿宋" w:cs="仿宋"/>
                <w:color w:val="auto"/>
                <w:sz w:val="22"/>
                <w:szCs w:val="22"/>
                <w:highlight w:val="none"/>
              </w:rPr>
              <w:t>年1月1日起投标人</w:t>
            </w:r>
            <w:r>
              <w:rPr>
                <w:rFonts w:hint="eastAsia" w:ascii="仿宋" w:hAnsi="仿宋" w:eastAsia="仿宋" w:cs="仿宋"/>
                <w:color w:val="auto"/>
                <w:sz w:val="22"/>
                <w:szCs w:val="22"/>
                <w:highlight w:val="none"/>
                <w:lang w:eastAsia="zh-CN"/>
              </w:rPr>
              <w:t>或其在管项目</w:t>
            </w:r>
            <w:r>
              <w:rPr>
                <w:rFonts w:hint="eastAsia" w:ascii="仿宋" w:hAnsi="仿宋" w:eastAsia="仿宋" w:cs="仿宋"/>
                <w:color w:val="auto"/>
                <w:sz w:val="22"/>
                <w:szCs w:val="22"/>
                <w:highlight w:val="none"/>
              </w:rPr>
              <w:t>取得行业主管部门颁发的相关物业管理</w:t>
            </w:r>
            <w:r>
              <w:rPr>
                <w:rFonts w:hint="eastAsia" w:ascii="仿宋" w:hAnsi="仿宋" w:eastAsia="仿宋" w:cs="仿宋"/>
                <w:color w:val="auto"/>
                <w:sz w:val="22"/>
                <w:szCs w:val="22"/>
                <w:highlight w:val="none"/>
                <w:lang w:val="en-US" w:eastAsia="zh-CN"/>
              </w:rPr>
              <w:t>的荣誉。</w:t>
            </w:r>
            <w:r>
              <w:rPr>
                <w:rFonts w:hint="eastAsia" w:ascii="仿宋" w:hAnsi="仿宋" w:eastAsia="仿宋" w:cs="仿宋"/>
                <w:color w:val="auto"/>
                <w:sz w:val="22"/>
                <w:szCs w:val="22"/>
                <w:highlight w:val="none"/>
              </w:rPr>
              <w:t>省级或省级以上的</w:t>
            </w:r>
            <w:r>
              <w:rPr>
                <w:rFonts w:hint="eastAsia" w:ascii="仿宋" w:hAnsi="仿宋" w:eastAsia="仿宋" w:cs="仿宋"/>
                <w:color w:val="auto"/>
                <w:sz w:val="22"/>
                <w:szCs w:val="22"/>
                <w:highlight w:val="none"/>
                <w:lang w:val="en-US" w:eastAsia="zh-CN"/>
              </w:rPr>
              <w:t>荣誉得</w:t>
            </w:r>
            <w:r>
              <w:rPr>
                <w:rFonts w:hint="eastAsia" w:ascii="仿宋" w:hAnsi="仿宋" w:eastAsia="仿宋" w:cs="仿宋"/>
                <w:color w:val="auto"/>
                <w:sz w:val="22"/>
                <w:szCs w:val="22"/>
                <w:highlight w:val="none"/>
              </w:rPr>
              <w:t>2分、省级以下</w:t>
            </w:r>
            <w:r>
              <w:rPr>
                <w:rFonts w:hint="eastAsia" w:ascii="仿宋" w:hAnsi="仿宋" w:eastAsia="仿宋" w:cs="仿宋"/>
                <w:color w:val="auto"/>
                <w:sz w:val="22"/>
                <w:szCs w:val="22"/>
                <w:highlight w:val="none"/>
                <w:lang w:val="en-US" w:eastAsia="zh-CN"/>
              </w:rPr>
              <w:t>得</w:t>
            </w:r>
            <w:r>
              <w:rPr>
                <w:rFonts w:hint="eastAsia" w:ascii="仿宋" w:hAnsi="仿宋" w:eastAsia="仿宋" w:cs="仿宋"/>
                <w:color w:val="auto"/>
                <w:sz w:val="22"/>
                <w:szCs w:val="22"/>
                <w:highlight w:val="none"/>
              </w:rPr>
              <w:t>1分、不提供不得分。（0-2分）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0-</w:t>
            </w:r>
            <w:r>
              <w:rPr>
                <w:rFonts w:hint="eastAsia" w:ascii="仿宋" w:hAnsi="仿宋" w:eastAsia="仿宋" w:cs="仿宋"/>
                <w:color w:val="auto"/>
                <w:sz w:val="22"/>
                <w:szCs w:val="22"/>
                <w:highlight w:val="none"/>
              </w:rPr>
              <w:t>2分</w:t>
            </w:r>
          </w:p>
        </w:tc>
        <w:tc>
          <w:tcPr>
            <w:tcW w:w="8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8" w:hRule="atLeast"/>
        </w:trPr>
        <w:tc>
          <w:tcPr>
            <w:tcW w:w="9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ind w:firstLine="440" w:firstLineChars="200"/>
              <w:textAlignment w:val="auto"/>
              <w:rPr>
                <w:rFonts w:hint="eastAsia" w:ascii="仿宋" w:hAnsi="仿宋" w:eastAsia="仿宋" w:cs="仿宋"/>
                <w:color w:val="auto"/>
                <w:sz w:val="22"/>
                <w:szCs w:val="22"/>
                <w:highlight w:val="none"/>
              </w:rPr>
            </w:pP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55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rPr>
              <w:t>企业信用：浙江省物业服务企业信用等级，获得“AAA”等级的得3分，获得“AA”等级的得2分，获得“A”等级的得1分，获得“B”级及以下不得分。（0-3分）提供浙江省住房和城乡建设厅《关于公布202</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年度浙江省物业服务企业信用等级结果名单的通知》附件中公司所在位置。不提供不得分。</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0-3分）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0-</w:t>
            </w:r>
            <w:r>
              <w:rPr>
                <w:rFonts w:hint="eastAsia" w:ascii="仿宋" w:hAnsi="仿宋" w:eastAsia="仿宋" w:cs="仿宋"/>
                <w:color w:val="auto"/>
                <w:sz w:val="22"/>
                <w:szCs w:val="22"/>
                <w:highlight w:val="none"/>
              </w:rPr>
              <w:t>3分</w:t>
            </w:r>
          </w:p>
        </w:tc>
        <w:tc>
          <w:tcPr>
            <w:tcW w:w="8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8" w:hRule="atLeast"/>
        </w:trPr>
        <w:tc>
          <w:tcPr>
            <w:tcW w:w="9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ind w:firstLine="440" w:firstLineChars="200"/>
              <w:textAlignment w:val="auto"/>
              <w:rPr>
                <w:rFonts w:hint="eastAsia" w:ascii="仿宋" w:hAnsi="仿宋" w:eastAsia="仿宋" w:cs="仿宋"/>
                <w:color w:val="auto"/>
                <w:sz w:val="22"/>
                <w:szCs w:val="22"/>
                <w:highlight w:val="none"/>
              </w:rPr>
            </w:pP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55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2020</w:t>
            </w:r>
            <w:r>
              <w:rPr>
                <w:rFonts w:hint="eastAsia" w:ascii="仿宋" w:hAnsi="仿宋" w:eastAsia="仿宋" w:cs="仿宋"/>
                <w:color w:val="auto"/>
                <w:sz w:val="22"/>
                <w:szCs w:val="22"/>
                <w:highlight w:val="none"/>
              </w:rPr>
              <w:t>年1月1日</w:t>
            </w:r>
            <w:r>
              <w:rPr>
                <w:rFonts w:hint="eastAsia" w:ascii="仿宋" w:hAnsi="仿宋" w:eastAsia="仿宋" w:cs="仿宋"/>
                <w:bCs/>
                <w:color w:val="auto"/>
                <w:sz w:val="22"/>
                <w:szCs w:val="22"/>
                <w:highlight w:val="none"/>
              </w:rPr>
              <w:t>以来承接的</w:t>
            </w:r>
            <w:r>
              <w:rPr>
                <w:rFonts w:hint="eastAsia" w:ascii="仿宋" w:hAnsi="仿宋" w:eastAsia="仿宋" w:cs="仿宋"/>
                <w:bCs/>
                <w:color w:val="auto"/>
                <w:sz w:val="22"/>
                <w:szCs w:val="22"/>
                <w:highlight w:val="none"/>
                <w:lang w:val="en-US" w:eastAsia="zh-CN"/>
              </w:rPr>
              <w:t>安置房</w:t>
            </w:r>
            <w:r>
              <w:rPr>
                <w:rFonts w:hint="eastAsia" w:ascii="仿宋" w:hAnsi="仿宋" w:eastAsia="仿宋" w:cs="仿宋"/>
                <w:bCs/>
                <w:color w:val="auto"/>
                <w:sz w:val="22"/>
                <w:szCs w:val="22"/>
                <w:highlight w:val="none"/>
              </w:rPr>
              <w:t>物业服务管理业绩，</w:t>
            </w:r>
            <w:r>
              <w:rPr>
                <w:rFonts w:hint="eastAsia" w:ascii="仿宋" w:hAnsi="仿宋" w:eastAsia="仿宋" w:cs="仿宋"/>
                <w:color w:val="auto"/>
                <w:sz w:val="22"/>
                <w:szCs w:val="22"/>
                <w:highlight w:val="none"/>
              </w:rPr>
              <w:t>每个得</w:t>
            </w:r>
            <w:r>
              <w:rPr>
                <w:rFonts w:hint="eastAsia" w:ascii="仿宋" w:hAnsi="仿宋" w:eastAsia="仿宋" w:cs="仿宋"/>
                <w:color w:val="auto"/>
                <w:sz w:val="22"/>
                <w:szCs w:val="22"/>
                <w:highlight w:val="none"/>
                <w:lang w:val="en-US" w:eastAsia="zh-CN"/>
              </w:rPr>
              <w:t>0.5</w:t>
            </w:r>
            <w:r>
              <w:rPr>
                <w:rFonts w:hint="eastAsia" w:ascii="仿宋" w:hAnsi="仿宋" w:eastAsia="仿宋" w:cs="仿宋"/>
                <w:color w:val="auto"/>
                <w:sz w:val="22"/>
                <w:szCs w:val="22"/>
                <w:highlight w:val="none"/>
              </w:rPr>
              <w:t>分，最高得</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分。</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0-1分）</w:t>
            </w:r>
          </w:p>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（投标文件中提供合同材料，不提供不得分）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0-1</w:t>
            </w:r>
            <w:r>
              <w:rPr>
                <w:rFonts w:hint="eastAsia" w:ascii="仿宋" w:hAnsi="仿宋" w:eastAsia="仿宋" w:cs="仿宋"/>
                <w:color w:val="auto"/>
                <w:sz w:val="22"/>
                <w:szCs w:val="22"/>
                <w:highlight w:val="none"/>
              </w:rPr>
              <w:t>分</w:t>
            </w:r>
          </w:p>
        </w:tc>
        <w:tc>
          <w:tcPr>
            <w:tcW w:w="8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1" w:hRule="atLeast"/>
        </w:trPr>
        <w:tc>
          <w:tcPr>
            <w:tcW w:w="9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ind w:firstLine="440" w:firstLineChars="200"/>
              <w:textAlignment w:val="auto"/>
              <w:rPr>
                <w:rFonts w:hint="eastAsia" w:ascii="仿宋" w:hAnsi="仿宋" w:eastAsia="仿宋" w:cs="仿宋"/>
                <w:color w:val="auto"/>
                <w:sz w:val="22"/>
                <w:szCs w:val="22"/>
                <w:highlight w:val="none"/>
              </w:rPr>
            </w:pPr>
          </w:p>
          <w:p>
            <w:pPr>
              <w:pStyle w:val="4"/>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lang w:val="en-US" w:eastAsia="zh-CN"/>
              </w:rPr>
            </w:pPr>
            <w:r>
              <w:rPr>
                <w:rFonts w:hint="eastAsia" w:cs="仿宋"/>
                <w:color w:val="auto"/>
                <w:sz w:val="22"/>
                <w:szCs w:val="22"/>
                <w:highlight w:val="none"/>
                <w:lang w:val="en-US" w:eastAsia="zh-CN"/>
              </w:rPr>
              <w:t>4</w:t>
            </w:r>
          </w:p>
        </w:tc>
        <w:tc>
          <w:tcPr>
            <w:tcW w:w="55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r>
              <w:rPr>
                <w:rFonts w:hint="eastAsia" w:ascii="仿宋" w:hAnsi="仿宋" w:eastAsia="仿宋" w:cs="仿宋"/>
                <w:b w:val="0"/>
                <w:bCs w:val="0"/>
                <w:color w:val="auto"/>
                <w:sz w:val="22"/>
                <w:szCs w:val="22"/>
                <w:highlight w:val="none"/>
                <w:lang w:val="en-US" w:eastAsia="zh-CN"/>
              </w:rPr>
              <w:t>投标人有垃圾分类经验，所管理的小区获得过省级及以上垃圾分类示范小区的每个得1分；获得过市级及以下垃圾分类示范小区的每个得0.5分。同一小区只按最高分计取一次，不重复计取。（提供荣誉证书或文件的原件扫描件）</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0-1分）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0-1</w:t>
            </w:r>
            <w:r>
              <w:rPr>
                <w:rFonts w:hint="eastAsia" w:ascii="仿宋" w:hAnsi="仿宋" w:eastAsia="仿宋" w:cs="仿宋"/>
                <w:color w:val="auto"/>
                <w:sz w:val="22"/>
                <w:szCs w:val="22"/>
                <w:highlight w:val="none"/>
              </w:rPr>
              <w:t>分</w:t>
            </w:r>
          </w:p>
        </w:tc>
        <w:tc>
          <w:tcPr>
            <w:tcW w:w="8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53" w:hRule="atLeast"/>
        </w:trPr>
        <w:tc>
          <w:tcPr>
            <w:tcW w:w="9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ind w:firstLine="440" w:firstLineChars="200"/>
              <w:textAlignment w:val="auto"/>
              <w:rPr>
                <w:rFonts w:hint="eastAsia" w:ascii="仿宋" w:hAnsi="仿宋" w:eastAsia="仿宋" w:cs="仿宋"/>
                <w:color w:val="auto"/>
                <w:sz w:val="22"/>
                <w:szCs w:val="22"/>
                <w:highlight w:val="none"/>
              </w:rPr>
            </w:pP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lang w:eastAsia="zh-CN"/>
              </w:rPr>
            </w:pPr>
            <w:r>
              <w:rPr>
                <w:rFonts w:hint="eastAsia" w:cs="仿宋"/>
                <w:color w:val="auto"/>
                <w:sz w:val="22"/>
                <w:szCs w:val="22"/>
                <w:highlight w:val="none"/>
                <w:lang w:val="en-US" w:eastAsia="zh-CN"/>
              </w:rPr>
              <w:t>5</w:t>
            </w:r>
          </w:p>
        </w:tc>
        <w:tc>
          <w:tcPr>
            <w:tcW w:w="55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投标人具有质量管理体系认证、环境管理体系认证、职业健康安全管理体系认证、能源管理体系认证证书</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诚信管理体系认证证书</w:t>
            </w:r>
            <w:r>
              <w:rPr>
                <w:rFonts w:hint="eastAsia" w:ascii="仿宋" w:hAnsi="仿宋" w:eastAsia="仿宋" w:cs="仿宋"/>
                <w:b w:val="0"/>
                <w:bCs w:val="0"/>
                <w:color w:val="auto"/>
                <w:sz w:val="22"/>
                <w:szCs w:val="22"/>
                <w:highlight w:val="none"/>
                <w:lang w:val="en-US" w:eastAsia="zh-CN"/>
              </w:rPr>
              <w:t>，</w:t>
            </w:r>
            <w:r>
              <w:rPr>
                <w:rFonts w:hint="eastAsia" w:ascii="仿宋" w:hAnsi="仿宋" w:eastAsia="仿宋" w:cs="仿宋"/>
                <w:color w:val="auto"/>
                <w:sz w:val="22"/>
                <w:szCs w:val="22"/>
                <w:highlight w:val="none"/>
                <w:lang w:val="en-US" w:eastAsia="zh-CN"/>
              </w:rPr>
              <w:t>全部符合得5分，缺一项扣1分</w:t>
            </w:r>
            <w:r>
              <w:rPr>
                <w:rFonts w:hint="eastAsia" w:ascii="仿宋" w:hAnsi="仿宋" w:eastAsia="仿宋" w:cs="仿宋"/>
                <w:color w:val="auto"/>
                <w:sz w:val="22"/>
                <w:szCs w:val="22"/>
                <w:highlight w:val="none"/>
              </w:rPr>
              <w:t>（证书需在有效期内，投标文件中提供证明材料，不提供不得分）（0-5分）</w:t>
            </w:r>
          </w:p>
        </w:tc>
        <w:tc>
          <w:tcPr>
            <w:tcW w:w="8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0-5</w:t>
            </w:r>
            <w:r>
              <w:rPr>
                <w:rFonts w:hint="eastAsia" w:ascii="仿宋" w:hAnsi="仿宋" w:eastAsia="仿宋" w:cs="仿宋"/>
                <w:color w:val="auto"/>
                <w:sz w:val="22"/>
                <w:szCs w:val="22"/>
                <w:highlight w:val="none"/>
              </w:rPr>
              <w:t>分</w:t>
            </w:r>
          </w:p>
        </w:tc>
        <w:tc>
          <w:tcPr>
            <w:tcW w:w="8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客观分</w:t>
            </w: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2"/>
          <w:szCs w:val="22"/>
          <w:highlight w:val="none"/>
          <w:lang w:val="en-US" w:eastAsia="zh-CN"/>
        </w:rPr>
      </w:pPr>
    </w:p>
    <w:p>
      <w:pPr>
        <w:pStyle w:val="2"/>
        <w:rPr>
          <w:rFonts w:hint="eastAsia" w:ascii="仿宋" w:hAnsi="仿宋" w:eastAsia="仿宋" w:cs="仿宋"/>
          <w:color w:val="auto"/>
          <w:sz w:val="22"/>
          <w:szCs w:val="22"/>
          <w:highlight w:val="none"/>
          <w:lang w:val="en-US" w:eastAsia="zh-CN"/>
        </w:rPr>
      </w:pPr>
    </w:p>
    <w:p>
      <w:pPr>
        <w:rPr>
          <w:rFonts w:hint="eastAsia"/>
          <w:color w:val="auto"/>
          <w:sz w:val="20"/>
          <w:szCs w:val="22"/>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2"/>
          <w:szCs w:val="22"/>
          <w:highlight w:val="none"/>
          <w:lang w:val="en-US" w:eastAsia="zh-CN"/>
        </w:rPr>
      </w:pPr>
    </w:p>
    <w:p>
      <w:pPr>
        <w:pStyle w:val="2"/>
        <w:rPr>
          <w:rFonts w:hint="eastAsia"/>
          <w:color w:val="auto"/>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2"/>
          <w:szCs w:val="22"/>
          <w:highlight w:val="none"/>
          <w:lang w:val="en-US" w:eastAsia="zh-CN"/>
        </w:rPr>
      </w:pPr>
    </w:p>
    <w:p>
      <w:pPr>
        <w:pStyle w:val="2"/>
        <w:rPr>
          <w:rFonts w:hint="eastAsia" w:ascii="仿宋" w:hAnsi="仿宋" w:eastAsia="仿宋" w:cs="仿宋"/>
          <w:color w:val="auto"/>
          <w:sz w:val="22"/>
          <w:szCs w:val="22"/>
          <w:highlight w:val="none"/>
          <w:lang w:val="en-US" w:eastAsia="zh-CN"/>
        </w:rPr>
      </w:pPr>
    </w:p>
    <w:p>
      <w:pPr>
        <w:rPr>
          <w:rFonts w:hint="eastAsia" w:ascii="仿宋" w:hAnsi="仿宋" w:eastAsia="仿宋" w:cs="仿宋"/>
          <w:color w:val="auto"/>
          <w:sz w:val="22"/>
          <w:szCs w:val="22"/>
          <w:highlight w:val="none"/>
          <w:lang w:val="en-US" w:eastAsia="zh-CN"/>
        </w:rPr>
      </w:pPr>
    </w:p>
    <w:p>
      <w:pPr>
        <w:pStyle w:val="2"/>
        <w:rPr>
          <w:rFonts w:hint="eastAsia"/>
          <w:color w:val="auto"/>
          <w:sz w:val="28"/>
          <w:szCs w:val="28"/>
          <w:highlight w:val="none"/>
          <w:lang w:val="en-US" w:eastAsia="zh-CN"/>
        </w:rPr>
      </w:pPr>
    </w:p>
    <w:p>
      <w:pPr>
        <w:rPr>
          <w:rFonts w:hint="eastAsia"/>
          <w:lang w:val="en-US" w:eastAsia="zh-CN"/>
        </w:rPr>
      </w:pPr>
    </w:p>
    <w:p>
      <w:pPr>
        <w:rPr>
          <w:rFonts w:hint="eastAsia"/>
          <w:color w:val="auto"/>
          <w:sz w:val="20"/>
          <w:szCs w:val="22"/>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技术和服务方案（</w:t>
      </w:r>
      <w:r>
        <w:rPr>
          <w:rFonts w:hint="eastAsia" w:ascii="仿宋" w:hAnsi="仿宋" w:eastAsia="仿宋" w:cs="仿宋"/>
          <w:color w:val="auto"/>
          <w:sz w:val="24"/>
          <w:szCs w:val="24"/>
          <w:highlight w:val="none"/>
          <w:lang w:val="en-US" w:eastAsia="zh-CN"/>
        </w:rPr>
        <w:t>7</w:t>
      </w:r>
      <w:r>
        <w:rPr>
          <w:rFonts w:hint="eastAsia" w:cs="仿宋"/>
          <w:color w:val="auto"/>
          <w:sz w:val="24"/>
          <w:szCs w:val="24"/>
          <w:highlight w:val="none"/>
          <w:lang w:val="en-US" w:eastAsia="zh-CN"/>
        </w:rPr>
        <w:t>8</w:t>
      </w:r>
      <w:r>
        <w:rPr>
          <w:rFonts w:hint="eastAsia" w:ascii="仿宋" w:hAnsi="仿宋" w:eastAsia="仿宋" w:cs="仿宋"/>
          <w:color w:val="auto"/>
          <w:sz w:val="24"/>
          <w:szCs w:val="24"/>
          <w:highlight w:val="none"/>
        </w:rPr>
        <w:t>分）</w:t>
      </w:r>
    </w:p>
    <w:tbl>
      <w:tblPr>
        <w:tblStyle w:val="62"/>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600"/>
        <w:gridCol w:w="772"/>
        <w:gridCol w:w="4763"/>
        <w:gridCol w:w="82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3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135" w:type="dxa"/>
            <w:gridSpan w:val="3"/>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评分内容和标准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权重</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restart"/>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4"/>
                <w:szCs w:val="24"/>
                <w:highlight w:val="none"/>
              </w:rPr>
              <w:t>投标方案等整体情况（</w:t>
            </w:r>
            <w:r>
              <w:rPr>
                <w:rFonts w:hint="eastAsia" w:ascii="仿宋" w:hAnsi="仿宋" w:eastAsia="仿宋" w:cs="仿宋"/>
                <w:color w:val="auto"/>
                <w:kern w:val="0"/>
                <w:sz w:val="24"/>
                <w:szCs w:val="24"/>
                <w:highlight w:val="none"/>
                <w:lang w:val="en-US" w:eastAsia="zh-CN"/>
              </w:rPr>
              <w:t>78</w:t>
            </w:r>
            <w:r>
              <w:rPr>
                <w:rFonts w:hint="eastAsia" w:ascii="仿宋" w:hAnsi="仿宋" w:eastAsia="仿宋" w:cs="仿宋"/>
                <w:color w:val="auto"/>
                <w:kern w:val="0"/>
                <w:sz w:val="24"/>
                <w:szCs w:val="24"/>
                <w:highlight w:val="none"/>
              </w:rPr>
              <w:t>分）</w:t>
            </w:r>
          </w:p>
        </w:tc>
        <w:tc>
          <w:tcPr>
            <w:tcW w:w="600" w:type="dxa"/>
            <w:noWrap/>
            <w:vAlign w:val="center"/>
          </w:tcPr>
          <w:p>
            <w:pPr>
              <w:keepNext w:val="0"/>
              <w:keepLines w:val="0"/>
              <w:pageBreakBefore w:val="0"/>
              <w:widowControl/>
              <w:tabs>
                <w:tab w:val="left" w:pos="342"/>
              </w:tabs>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6</w:t>
            </w:r>
          </w:p>
        </w:tc>
        <w:tc>
          <w:tcPr>
            <w:tcW w:w="772" w:type="dxa"/>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投标方案</w:t>
            </w:r>
          </w:p>
        </w:tc>
        <w:tc>
          <w:tcPr>
            <w:tcW w:w="4763" w:type="dxa"/>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eastAsia="zh-CN"/>
              </w:rPr>
              <w:t>投标的整体方案与采购需求的吻合程度，应答是否详尽、明晰，是否满足招标文件要求；内容是否完整齐全、表述准确、条理清晰，内容无前后矛盾，符合招标文件要求。</w:t>
            </w:r>
            <w:r>
              <w:rPr>
                <w:rFonts w:hint="eastAsia" w:ascii="仿宋" w:hAnsi="仿宋" w:eastAsia="仿宋" w:cs="仿宋"/>
                <w:color w:val="auto"/>
                <w:kern w:val="0"/>
                <w:sz w:val="22"/>
                <w:szCs w:val="22"/>
                <w:highlight w:val="none"/>
                <w:lang w:val="en-US" w:eastAsia="zh-CN"/>
              </w:rPr>
              <w:t>基本满足招标文件，</w:t>
            </w:r>
            <w:r>
              <w:rPr>
                <w:rFonts w:hint="eastAsia" w:ascii="仿宋" w:hAnsi="仿宋" w:eastAsia="仿宋" w:cs="仿宋"/>
                <w:color w:val="auto"/>
                <w:kern w:val="0"/>
                <w:sz w:val="22"/>
                <w:szCs w:val="22"/>
                <w:highlight w:val="none"/>
                <w:lang w:val="zh-CN"/>
              </w:rPr>
              <w:t>存在部分</w:t>
            </w:r>
            <w:r>
              <w:rPr>
                <w:rFonts w:hint="eastAsia" w:ascii="仿宋" w:hAnsi="仿宋" w:eastAsia="仿宋" w:cs="仿宋"/>
                <w:color w:val="auto"/>
                <w:kern w:val="0"/>
                <w:sz w:val="22"/>
                <w:szCs w:val="22"/>
                <w:highlight w:val="none"/>
                <w:lang w:val="en-US" w:eastAsia="zh-CN"/>
              </w:rPr>
              <w:t>欠缺，得1-2分；优于或满足招标文件要求得3-4分；</w:t>
            </w:r>
            <w:r>
              <w:rPr>
                <w:rFonts w:hint="eastAsia" w:ascii="仿宋" w:hAnsi="仿宋" w:eastAsia="仿宋" w:cs="仿宋"/>
                <w:color w:val="auto"/>
                <w:kern w:val="0"/>
                <w:sz w:val="22"/>
                <w:szCs w:val="22"/>
                <w:highlight w:val="none"/>
                <w:lang w:val="zh-CN"/>
              </w:rPr>
              <w:t>（1-4分）</w:t>
            </w:r>
            <w:bookmarkStart w:id="511" w:name="_GoBack"/>
            <w:bookmarkEnd w:id="511"/>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1-4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restart"/>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7</w:t>
            </w:r>
          </w:p>
        </w:tc>
        <w:tc>
          <w:tcPr>
            <w:tcW w:w="5535" w:type="dxa"/>
            <w:gridSpan w:val="2"/>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保证</w:t>
            </w:r>
            <w:r>
              <w:rPr>
                <w:rFonts w:hint="eastAsia" w:ascii="仿宋" w:hAnsi="仿宋" w:eastAsia="仿宋" w:cs="仿宋"/>
                <w:color w:val="auto"/>
                <w:kern w:val="0"/>
                <w:sz w:val="22"/>
                <w:szCs w:val="22"/>
                <w:highlight w:val="none"/>
                <w:lang w:val="en-US" w:eastAsia="zh-CN"/>
              </w:rPr>
              <w:t>项目</w:t>
            </w:r>
            <w:r>
              <w:rPr>
                <w:rFonts w:hint="eastAsia" w:ascii="仿宋" w:hAnsi="仿宋" w:eastAsia="仿宋" w:cs="仿宋"/>
                <w:color w:val="auto"/>
                <w:kern w:val="0"/>
                <w:sz w:val="22"/>
                <w:szCs w:val="22"/>
                <w:highlight w:val="none"/>
                <w:lang w:val="zh-CN"/>
              </w:rPr>
              <w:t>进度和项目完成的方案和措施是否具有详细、科学、合理的培训计划、培训内容、时间段等情况：</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1-4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restart"/>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物业管理与服务方案</w:t>
            </w:r>
          </w:p>
        </w:tc>
        <w:tc>
          <w:tcPr>
            <w:tcW w:w="4763" w:type="dxa"/>
            <w:noWrap/>
            <w:vAlign w:val="center"/>
          </w:tcPr>
          <w:p>
            <w:pPr>
              <w:rPr>
                <w:rFonts w:hint="eastAsia" w:ascii="仿宋" w:hAnsi="仿宋" w:eastAsia="仿宋" w:cs="仿宋"/>
                <w:color w:val="auto"/>
                <w:kern w:val="0"/>
                <w:sz w:val="22"/>
                <w:szCs w:val="22"/>
                <w:highlight w:val="none"/>
                <w:lang w:val="zh-CN" w:eastAsia="zh-CN"/>
              </w:rPr>
            </w:pPr>
            <w:r>
              <w:rPr>
                <w:rFonts w:hint="eastAsia" w:ascii="仿宋" w:hAnsi="仿宋" w:eastAsia="仿宋" w:cs="仿宋"/>
                <w:color w:val="auto"/>
                <w:kern w:val="0"/>
                <w:sz w:val="22"/>
                <w:szCs w:val="22"/>
                <w:highlight w:val="none"/>
                <w:lang w:val="zh-CN"/>
              </w:rPr>
              <w:t>物业管理区域内安全保卫服务方案综合评定</w:t>
            </w:r>
            <w:r>
              <w:rPr>
                <w:rFonts w:hint="eastAsia" w:ascii="仿宋" w:hAnsi="仿宋" w:eastAsia="仿宋" w:cs="仿宋"/>
                <w:color w:val="auto"/>
                <w:kern w:val="0"/>
                <w:sz w:val="22"/>
                <w:szCs w:val="22"/>
                <w:highlight w:val="none"/>
                <w:lang w:val="zh-CN" w:eastAsia="zh-CN"/>
              </w:rPr>
              <w:t>。</w:t>
            </w:r>
            <w:r>
              <w:rPr>
                <w:rFonts w:hint="eastAsia" w:ascii="仿宋" w:hAnsi="仿宋" w:eastAsia="仿宋" w:cs="仿宋"/>
                <w:color w:val="auto"/>
                <w:kern w:val="0"/>
                <w:sz w:val="22"/>
                <w:szCs w:val="22"/>
                <w:highlight w:val="none"/>
                <w:lang w:val="zh-CN"/>
              </w:rPr>
              <w:t>针对门卫、登记、巡逻、停车、秩序维护等工作要求阐述1、服务理念、2、服务目标、3、服务标准、4、服务计划、5、管理模式：基本具备服务能力，但部分需求存在一定欠缺的，仅完成采购需求的，得1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lang w:val="zh-CN"/>
              </w:rPr>
              <w:t>分；完全满足采购需求的基础上，服务和员工合理安排，提供方案，视上述5方面的方案优秀程度，得</w:t>
            </w:r>
            <w:r>
              <w:rPr>
                <w:rFonts w:hint="eastAsia" w:ascii="仿宋" w:hAnsi="仿宋" w:eastAsia="仿宋" w:cs="仿宋"/>
                <w:color w:val="auto"/>
                <w:kern w:val="0"/>
                <w:sz w:val="22"/>
                <w:szCs w:val="22"/>
                <w:highlight w:val="none"/>
                <w:lang w:val="en-US" w:eastAsia="zh-CN"/>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center"/>
          </w:tcPr>
          <w:p>
            <w:pPr>
              <w:rPr>
                <w:rFonts w:hint="eastAsia" w:ascii="仿宋" w:hAnsi="仿宋" w:eastAsia="仿宋" w:cs="仿宋"/>
                <w:color w:val="auto"/>
                <w:kern w:val="0"/>
                <w:sz w:val="22"/>
                <w:szCs w:val="22"/>
                <w:highlight w:val="none"/>
                <w:lang w:val="zh-CN" w:eastAsia="zh-CN"/>
              </w:rPr>
            </w:pPr>
            <w:r>
              <w:rPr>
                <w:rFonts w:hint="eastAsia" w:ascii="仿宋" w:hAnsi="仿宋" w:eastAsia="仿宋" w:cs="仿宋"/>
                <w:color w:val="auto"/>
                <w:kern w:val="0"/>
                <w:sz w:val="22"/>
                <w:szCs w:val="22"/>
                <w:highlight w:val="none"/>
                <w:lang w:val="zh-CN"/>
              </w:rPr>
              <w:t>物业管理区域内环境卫生绿化服务方案综合评定</w:t>
            </w:r>
            <w:r>
              <w:rPr>
                <w:rFonts w:hint="eastAsia" w:ascii="仿宋" w:hAnsi="仿宋" w:eastAsia="仿宋" w:cs="仿宋"/>
                <w:color w:val="auto"/>
                <w:kern w:val="0"/>
                <w:sz w:val="22"/>
                <w:szCs w:val="22"/>
                <w:highlight w:val="none"/>
                <w:lang w:val="zh-CN" w:eastAsia="zh-CN"/>
              </w:rPr>
              <w:t>。</w:t>
            </w:r>
            <w:r>
              <w:rPr>
                <w:rFonts w:hint="eastAsia" w:ascii="仿宋" w:hAnsi="仿宋" w:eastAsia="仿宋" w:cs="仿宋"/>
                <w:color w:val="auto"/>
                <w:kern w:val="0"/>
                <w:sz w:val="22"/>
                <w:szCs w:val="22"/>
                <w:highlight w:val="none"/>
                <w:lang w:val="zh-CN"/>
              </w:rPr>
              <w:t>针对包括绿化带的树木、花草、色块等的日常养护和管理，是否做好室内环境绿化的摆放和地面卫生清理工作；是否定期除草、修剪制度，确保绿化无杂草、造型规整；及时喷洒农药、浇水施肥，确保绿化养护期内100%存活，方案是否根据服务区域内实际情况设计要求阐述1、服务理念、2、服务目标、3、服务标准、4、服务计划、5、管理模式：基本具备服务能力，但部分需求存在一定欠缺的，仅完成采购需求的，得1</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lang w:val="zh-CN"/>
              </w:rPr>
              <w:t>分；完全满足采购需求的基础上，服务和员工合理安排，提供方案，视上述5方面的方案优秀程度，得</w:t>
            </w:r>
            <w:r>
              <w:rPr>
                <w:rFonts w:hint="eastAsia" w:ascii="仿宋" w:hAnsi="仿宋" w:eastAsia="仿宋" w:cs="仿宋"/>
                <w:color w:val="auto"/>
                <w:kern w:val="0"/>
                <w:sz w:val="22"/>
                <w:szCs w:val="22"/>
                <w:highlight w:val="none"/>
                <w:lang w:val="en-US" w:eastAsia="zh-CN"/>
              </w:rPr>
              <w:t>3-4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center"/>
          </w:tcPr>
          <w:p>
            <w:pPr>
              <w:jc w:val="left"/>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zh-CN"/>
              </w:rPr>
              <w:t>物业管理区域内房屋及设备维护方案综评定。根据服务方案是否适应本项目的需求，提供或使用主要设备的优劣,器材、物资配备是否齐全、详尽、明晰</w:t>
            </w:r>
            <w:r>
              <w:rPr>
                <w:rFonts w:hint="eastAsia" w:ascii="仿宋" w:hAnsi="仿宋" w:eastAsia="仿宋" w:cs="仿宋"/>
                <w:color w:val="auto"/>
                <w:kern w:val="0"/>
                <w:sz w:val="22"/>
                <w:szCs w:val="22"/>
                <w:highlight w:val="none"/>
                <w:lang w:val="zh-CN" w:eastAsia="zh-CN"/>
              </w:rPr>
              <w:t>、</w:t>
            </w:r>
            <w:r>
              <w:rPr>
                <w:rFonts w:hint="eastAsia" w:ascii="仿宋" w:hAnsi="仿宋" w:eastAsia="仿宋" w:cs="仿宋"/>
                <w:color w:val="auto"/>
                <w:kern w:val="0"/>
                <w:sz w:val="22"/>
                <w:szCs w:val="22"/>
                <w:highlight w:val="none"/>
                <w:lang w:val="zh-CN"/>
              </w:rPr>
              <w:t>房屋维修养护管理</w:t>
            </w:r>
            <w:r>
              <w:rPr>
                <w:rFonts w:hint="eastAsia" w:ascii="仿宋" w:hAnsi="仿宋" w:eastAsia="仿宋" w:cs="仿宋"/>
                <w:color w:val="auto"/>
                <w:kern w:val="0"/>
                <w:sz w:val="22"/>
                <w:szCs w:val="22"/>
                <w:highlight w:val="none"/>
                <w:lang w:val="en-US" w:eastAsia="zh-CN"/>
              </w:rPr>
              <w:t>等</w:t>
            </w:r>
            <w:r>
              <w:rPr>
                <w:rFonts w:hint="eastAsia" w:ascii="仿宋" w:hAnsi="仿宋" w:eastAsia="仿宋" w:cs="仿宋"/>
                <w:color w:val="auto"/>
                <w:kern w:val="0"/>
                <w:sz w:val="22"/>
                <w:szCs w:val="22"/>
                <w:highlight w:val="none"/>
                <w:lang w:val="zh-CN"/>
              </w:rPr>
              <w:t>情况：基本满足项目需求的，存在部分不够完善合理的，得1-2分；完全满足或超出项目需求的，</w:t>
            </w:r>
            <w:r>
              <w:rPr>
                <w:rFonts w:hint="eastAsia" w:ascii="仿宋" w:hAnsi="仿宋" w:eastAsia="仿宋" w:cs="仿宋"/>
                <w:color w:val="auto"/>
                <w:kern w:val="0"/>
                <w:sz w:val="22"/>
                <w:szCs w:val="22"/>
                <w:highlight w:val="none"/>
                <w:lang w:val="en-US" w:eastAsia="zh-CN"/>
              </w:rPr>
              <w:t>得3-4分；</w:t>
            </w:r>
            <w:r>
              <w:rPr>
                <w:rFonts w:hint="eastAsia" w:ascii="仿宋" w:hAnsi="仿宋" w:eastAsia="仿宋" w:cs="仿宋"/>
                <w:color w:val="auto"/>
                <w:kern w:val="0"/>
                <w:sz w:val="22"/>
                <w:szCs w:val="22"/>
                <w:highlight w:val="none"/>
                <w:lang w:val="zh-CN"/>
              </w:rPr>
              <w:t>（1-4分）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top"/>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val="zh-CN" w:eastAsia="zh-CN"/>
              </w:rPr>
            </w:pPr>
            <w:r>
              <w:rPr>
                <w:rFonts w:hint="eastAsia" w:ascii="仿宋" w:hAnsi="仿宋" w:eastAsia="仿宋" w:cs="仿宋"/>
                <w:color w:val="auto"/>
                <w:kern w:val="0"/>
                <w:sz w:val="22"/>
                <w:szCs w:val="22"/>
                <w:highlight w:val="none"/>
                <w:lang w:val="zh-CN"/>
              </w:rPr>
              <w:t>物业管理区域内垃圾分类管理服务方案综合评定。</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top"/>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zh-CN"/>
              </w:rPr>
              <w:t>物业管理区域内党建引领，建设红色物业服务方案综合评定</w:t>
            </w:r>
            <w:r>
              <w:rPr>
                <w:rFonts w:hint="eastAsia" w:ascii="仿宋" w:hAnsi="仿宋" w:eastAsia="仿宋" w:cs="仿宋"/>
                <w:color w:val="auto"/>
                <w:kern w:val="0"/>
                <w:sz w:val="22"/>
                <w:szCs w:val="22"/>
                <w:highlight w:val="none"/>
                <w:lang w:val="zh-CN" w:eastAsia="zh-CN"/>
              </w:rPr>
              <w:t>。</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center"/>
          </w:tcPr>
          <w:p>
            <w:pPr>
              <w:jc w:val="left"/>
              <w:rPr>
                <w:rFonts w:hint="eastAsia" w:ascii="仿宋" w:hAnsi="仿宋" w:eastAsia="仿宋" w:cs="仿宋"/>
                <w:color w:val="auto"/>
                <w:kern w:val="0"/>
                <w:sz w:val="22"/>
                <w:szCs w:val="22"/>
                <w:highlight w:val="none"/>
                <w:lang w:val="zh-CN"/>
              </w:rPr>
            </w:pPr>
            <w:r>
              <w:rPr>
                <w:rFonts w:hint="eastAsia" w:ascii="仿宋" w:hAnsi="仿宋" w:eastAsia="仿宋" w:cs="仿宋"/>
                <w:color w:val="auto"/>
                <w:kern w:val="0"/>
                <w:sz w:val="22"/>
                <w:szCs w:val="22"/>
                <w:highlight w:val="none"/>
                <w:lang w:val="zh-CN"/>
              </w:rPr>
              <w:t>电梯运维服务</w:t>
            </w:r>
            <w:r>
              <w:rPr>
                <w:rFonts w:hint="eastAsia" w:ascii="仿宋" w:hAnsi="仿宋" w:eastAsia="仿宋" w:cs="仿宋"/>
                <w:color w:val="auto"/>
                <w:kern w:val="0"/>
                <w:sz w:val="22"/>
                <w:szCs w:val="22"/>
                <w:highlight w:val="none"/>
                <w:lang w:val="zh-CN" w:eastAsia="zh-CN"/>
              </w:rPr>
              <w:t>方案</w:t>
            </w:r>
            <w:r>
              <w:rPr>
                <w:rFonts w:hint="eastAsia" w:ascii="仿宋" w:hAnsi="仿宋" w:eastAsia="仿宋" w:cs="仿宋"/>
                <w:color w:val="auto"/>
                <w:kern w:val="0"/>
                <w:sz w:val="22"/>
                <w:szCs w:val="22"/>
                <w:highlight w:val="none"/>
                <w:lang w:val="zh-CN"/>
              </w:rPr>
              <w:t>：包括对建立电梯运行管理、设备管理、安全管理制度，确保电梯按规定时间运行。电梯发生一般故障时，专业维修人员是否能及时到达现场修理，发生电梯困人或其他重大事件时，专业维修人员是否能及时到达现场进行抢修和处理，确保电梯设备的完好运行等情况：</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满足项目需求的，但部分需求存在一定欠缺的，仅完成采购需求的，得1-2分；完全满足采购需求的基础上，服务和员工合理安排，提供方案，得</w:t>
            </w:r>
            <w:r>
              <w:rPr>
                <w:rFonts w:hint="eastAsia" w:ascii="仿宋" w:hAnsi="仿宋" w:eastAsia="仿宋" w:cs="仿宋"/>
                <w:color w:val="auto"/>
                <w:kern w:val="0"/>
                <w:sz w:val="22"/>
                <w:szCs w:val="22"/>
                <w:highlight w:val="none"/>
                <w:lang w:val="en-US" w:eastAsia="zh-CN"/>
              </w:rPr>
              <w:t>3-4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noWrap/>
            <w:vAlign w:val="center"/>
          </w:tcPr>
          <w:p>
            <w:pPr>
              <w:jc w:val="left"/>
              <w:rPr>
                <w:rFonts w:hint="eastAsia"/>
                <w:lang w:val="zh-CN"/>
              </w:rPr>
            </w:pPr>
            <w:r>
              <w:rPr>
                <w:rFonts w:hint="eastAsia" w:ascii="仿宋" w:hAnsi="仿宋" w:eastAsia="仿宋" w:cs="仿宋"/>
                <w:color w:val="auto"/>
                <w:kern w:val="0"/>
                <w:sz w:val="22"/>
                <w:szCs w:val="22"/>
                <w:highlight w:val="none"/>
                <w:lang w:val="zh-CN"/>
              </w:rPr>
              <w:t>根据安置小区物业管理的特点，提供小区违章搭建设施管理制度，制定详细的违章行为事前及事后应对措施与详细说明管理方案，及提供其他有建设性、针对性的管理办法与特色服务方案，综合评定。</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1-</w:t>
            </w:r>
            <w:r>
              <w:rPr>
                <w:rFonts w:hint="eastAsia" w:ascii="仿宋" w:hAnsi="仿宋" w:eastAsia="仿宋" w:cs="仿宋"/>
                <w:color w:val="auto"/>
                <w:kern w:val="0"/>
                <w:sz w:val="22"/>
                <w:szCs w:val="22"/>
                <w:highlight w:val="none"/>
                <w:lang w:val="en-US" w:eastAsia="zh-CN"/>
              </w:rPr>
              <w:t>4</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restart"/>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8</w:t>
            </w:r>
          </w:p>
        </w:tc>
        <w:tc>
          <w:tcPr>
            <w:tcW w:w="772" w:type="dxa"/>
            <w:vMerge w:val="restart"/>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项目组人员配备情况</w:t>
            </w:r>
          </w:p>
        </w:tc>
        <w:tc>
          <w:tcPr>
            <w:tcW w:w="4763" w:type="dxa"/>
            <w:noWrap/>
            <w:vAlign w:val="center"/>
          </w:tcPr>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eastAsia="zh-CN"/>
              </w:rPr>
            </w:pPr>
            <w:r>
              <w:rPr>
                <w:rFonts w:hint="eastAsia" w:ascii="仿宋" w:hAnsi="仿宋" w:eastAsia="仿宋" w:cs="仿宋"/>
                <w:bCs/>
                <w:color w:val="auto"/>
                <w:kern w:val="0"/>
                <w:sz w:val="22"/>
                <w:szCs w:val="22"/>
                <w:highlight w:val="none"/>
              </w:rPr>
              <w:t>物业经理：①</w:t>
            </w:r>
            <w:r>
              <w:rPr>
                <w:rFonts w:hint="eastAsia" w:ascii="仿宋" w:hAnsi="仿宋" w:eastAsia="仿宋" w:cs="仿宋"/>
                <w:color w:val="auto"/>
                <w:kern w:val="0"/>
                <w:sz w:val="22"/>
                <w:szCs w:val="22"/>
                <w:highlight w:val="none"/>
                <w:lang w:val="en-US" w:eastAsia="zh-CN"/>
              </w:rPr>
              <w:t>55</w:t>
            </w:r>
            <w:r>
              <w:rPr>
                <w:rFonts w:hint="eastAsia" w:ascii="仿宋" w:hAnsi="仿宋" w:eastAsia="仿宋" w:cs="仿宋"/>
                <w:color w:val="auto"/>
                <w:kern w:val="0"/>
                <w:sz w:val="22"/>
                <w:szCs w:val="22"/>
                <w:highlight w:val="none"/>
              </w:rPr>
              <w:t>周岁及以下</w:t>
            </w:r>
            <w:r>
              <w:rPr>
                <w:rFonts w:hint="eastAsia" w:ascii="仿宋" w:hAnsi="仿宋" w:eastAsia="仿宋" w:cs="仿宋"/>
                <w:color w:val="auto"/>
                <w:kern w:val="0"/>
                <w:sz w:val="22"/>
                <w:szCs w:val="22"/>
                <w:highlight w:val="none"/>
                <w:lang w:eastAsia="zh-CN"/>
              </w:rPr>
              <w:t>、本科</w:t>
            </w:r>
            <w:r>
              <w:rPr>
                <w:rFonts w:hint="eastAsia" w:ascii="仿宋" w:hAnsi="仿宋" w:eastAsia="仿宋" w:cs="仿宋"/>
                <w:color w:val="auto"/>
                <w:kern w:val="0"/>
                <w:sz w:val="22"/>
                <w:szCs w:val="22"/>
                <w:highlight w:val="none"/>
              </w:rPr>
              <w:t>及以上学历</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rPr>
              <w:t>②</w:t>
            </w:r>
            <w:r>
              <w:rPr>
                <w:rFonts w:hint="eastAsia" w:ascii="仿宋" w:hAnsi="仿宋" w:eastAsia="仿宋" w:cs="仿宋"/>
                <w:color w:val="auto"/>
                <w:kern w:val="0"/>
                <w:sz w:val="22"/>
                <w:szCs w:val="22"/>
                <w:highlight w:val="none"/>
                <w:lang w:val="en-US" w:eastAsia="zh-CN"/>
              </w:rPr>
              <w:t>中共党员</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rPr>
              <w:t>③</w:t>
            </w:r>
            <w:r>
              <w:rPr>
                <w:rFonts w:hint="eastAsia" w:ascii="仿宋" w:hAnsi="仿宋" w:eastAsia="仿宋" w:cs="仿宋"/>
                <w:color w:val="auto"/>
                <w:sz w:val="22"/>
                <w:szCs w:val="22"/>
                <w:highlight w:val="none"/>
              </w:rPr>
              <w:t>从事类似物业服务管理相关工作5年及以上（合同中体现或业主证明）</w:t>
            </w:r>
            <w:r>
              <w:rPr>
                <w:rFonts w:hint="eastAsia" w:ascii="仿宋" w:hAnsi="仿宋" w:eastAsia="仿宋" w:cs="仿宋"/>
                <w:color w:val="auto"/>
                <w:kern w:val="0"/>
                <w:sz w:val="22"/>
                <w:szCs w:val="22"/>
                <w:highlight w:val="none"/>
              </w:rPr>
              <w:t>。全部符合得</w:t>
            </w:r>
            <w:r>
              <w:rPr>
                <w:rFonts w:hint="eastAsia" w:ascii="仿宋" w:hAnsi="仿宋" w:eastAsia="仿宋" w:cs="仿宋"/>
                <w:color w:val="auto"/>
                <w:kern w:val="0"/>
                <w:sz w:val="22"/>
                <w:szCs w:val="22"/>
                <w:highlight w:val="none"/>
                <w:lang w:val="en-US" w:eastAsia="zh-CN"/>
              </w:rPr>
              <w:t>3</w:t>
            </w:r>
            <w:r>
              <w:rPr>
                <w:rFonts w:hint="eastAsia" w:ascii="仿宋" w:hAnsi="仿宋" w:eastAsia="仿宋" w:cs="仿宋"/>
                <w:color w:val="auto"/>
                <w:kern w:val="0"/>
                <w:sz w:val="22"/>
                <w:szCs w:val="22"/>
                <w:highlight w:val="none"/>
              </w:rPr>
              <w:t>分，</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项符合得2分，</w:t>
            </w:r>
            <w:r>
              <w:rPr>
                <w:rFonts w:hint="eastAsia" w:ascii="仿宋" w:hAnsi="仿宋" w:eastAsia="仿宋" w:cs="仿宋"/>
                <w:color w:val="auto"/>
                <w:kern w:val="0"/>
                <w:sz w:val="22"/>
                <w:szCs w:val="22"/>
                <w:highlight w:val="none"/>
                <w:lang w:val="en-US" w:eastAsia="zh-CN"/>
              </w:rPr>
              <w:t>1</w:t>
            </w:r>
            <w:r>
              <w:rPr>
                <w:rFonts w:hint="eastAsia" w:ascii="仿宋" w:hAnsi="仿宋" w:eastAsia="仿宋" w:cs="仿宋"/>
                <w:color w:val="auto"/>
                <w:kern w:val="0"/>
                <w:sz w:val="22"/>
                <w:szCs w:val="22"/>
                <w:highlight w:val="none"/>
              </w:rPr>
              <w:t>项符合得1分</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lang w:val="en-US" w:eastAsia="zh-CN"/>
              </w:rPr>
              <w:t>(0-3分）</w:t>
            </w:r>
            <w:r>
              <w:rPr>
                <w:rFonts w:hint="eastAsia" w:ascii="仿宋" w:hAnsi="仿宋" w:eastAsia="仿宋" w:cs="仿宋"/>
                <w:color w:val="auto"/>
                <w:kern w:val="0"/>
                <w:sz w:val="22"/>
                <w:szCs w:val="22"/>
                <w:highlight w:val="none"/>
              </w:rPr>
              <w:t>（投标文件提供相关证明材料和</w:t>
            </w:r>
            <w:r>
              <w:rPr>
                <w:rFonts w:hint="eastAsia" w:ascii="仿宋" w:hAnsi="仿宋" w:eastAsia="仿宋" w:cs="仿宋"/>
                <w:color w:val="auto"/>
                <w:kern w:val="0"/>
                <w:sz w:val="22"/>
                <w:szCs w:val="22"/>
                <w:highlight w:val="none"/>
                <w:lang w:eastAsia="zh-CN"/>
              </w:rPr>
              <w:t>公司最近三个月的社保证明</w:t>
            </w:r>
            <w:r>
              <w:rPr>
                <w:rFonts w:hint="eastAsia" w:ascii="仿宋" w:hAnsi="仿宋" w:eastAsia="仿宋" w:cs="仿宋"/>
                <w:color w:val="auto"/>
                <w:kern w:val="0"/>
                <w:sz w:val="22"/>
                <w:szCs w:val="22"/>
                <w:highlight w:val="none"/>
              </w:rPr>
              <w:t>，若未提供</w:t>
            </w:r>
            <w:r>
              <w:rPr>
                <w:rFonts w:hint="eastAsia" w:ascii="仿宋" w:hAnsi="仿宋" w:eastAsia="仿宋" w:cs="仿宋"/>
                <w:color w:val="auto"/>
                <w:kern w:val="0"/>
                <w:sz w:val="22"/>
                <w:szCs w:val="22"/>
                <w:highlight w:val="none"/>
                <w:lang w:eastAsia="zh-CN"/>
              </w:rPr>
              <w:t>或提供不全的</w:t>
            </w:r>
            <w:r>
              <w:rPr>
                <w:rFonts w:hint="eastAsia" w:ascii="仿宋" w:hAnsi="仿宋" w:eastAsia="仿宋" w:cs="仿宋"/>
                <w:color w:val="auto"/>
                <w:kern w:val="0"/>
                <w:sz w:val="22"/>
                <w:szCs w:val="22"/>
                <w:highlight w:val="none"/>
              </w:rPr>
              <w:t>不得分。</w:t>
            </w:r>
            <w:r>
              <w:rPr>
                <w:rFonts w:hint="eastAsia" w:ascii="仿宋" w:hAnsi="仿宋" w:eastAsia="仿宋" w:cs="仿宋"/>
                <w:color w:val="auto"/>
                <w:kern w:val="0"/>
                <w:sz w:val="22"/>
                <w:szCs w:val="22"/>
                <w:highlight w:val="none"/>
                <w:lang w:eastAsia="zh-CN"/>
              </w:rPr>
              <w:t>）</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4763" w:type="dxa"/>
            <w:noWrap/>
            <w:vAlign w:val="center"/>
          </w:tcPr>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after="0"/>
              <w:ind w:left="0" w:leftChars="0" w:firstLine="0" w:firstLineChars="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工程主管：</w:t>
            </w:r>
            <w:r>
              <w:rPr>
                <w:rFonts w:hint="eastAsia" w:ascii="仿宋" w:hAnsi="仿宋" w:eastAsia="仿宋" w:cs="仿宋"/>
                <w:bCs/>
                <w:color w:val="auto"/>
                <w:kern w:val="0"/>
                <w:sz w:val="22"/>
                <w:szCs w:val="22"/>
                <w:highlight w:val="none"/>
              </w:rPr>
              <w:t>①</w:t>
            </w:r>
            <w:r>
              <w:rPr>
                <w:rFonts w:hint="eastAsia" w:ascii="仿宋" w:hAnsi="仿宋" w:eastAsia="仿宋" w:cs="仿宋"/>
                <w:color w:val="auto"/>
                <w:kern w:val="0"/>
                <w:sz w:val="22"/>
                <w:szCs w:val="22"/>
                <w:highlight w:val="none"/>
                <w:lang w:val="en-US" w:eastAsia="zh-CN"/>
              </w:rPr>
              <w:t>50</w:t>
            </w:r>
            <w:r>
              <w:rPr>
                <w:rFonts w:hint="eastAsia" w:ascii="仿宋" w:hAnsi="仿宋" w:eastAsia="仿宋" w:cs="仿宋"/>
                <w:color w:val="auto"/>
                <w:kern w:val="0"/>
                <w:sz w:val="22"/>
                <w:szCs w:val="22"/>
                <w:highlight w:val="none"/>
                <w:lang w:val="zh-CN"/>
              </w:rPr>
              <w:t>周岁及以下、大专及以上学历，</w:t>
            </w:r>
            <w:r>
              <w:rPr>
                <w:rFonts w:hint="eastAsia" w:ascii="仿宋" w:hAnsi="仿宋" w:eastAsia="仿宋" w:cs="仿宋"/>
                <w:color w:val="auto"/>
                <w:kern w:val="0"/>
                <w:sz w:val="22"/>
                <w:szCs w:val="22"/>
                <w:highlight w:val="none"/>
              </w:rPr>
              <w:t>②</w:t>
            </w:r>
            <w:r>
              <w:rPr>
                <w:rFonts w:hint="eastAsia" w:ascii="仿宋" w:hAnsi="仿宋" w:eastAsia="仿宋" w:cs="仿宋"/>
                <w:color w:val="auto"/>
                <w:kern w:val="0"/>
                <w:sz w:val="22"/>
                <w:szCs w:val="22"/>
                <w:highlight w:val="none"/>
                <w:lang w:val="zh-CN"/>
              </w:rPr>
              <w:t>具有高压电工证书，</w:t>
            </w:r>
            <w:r>
              <w:rPr>
                <w:rFonts w:hint="eastAsia" w:ascii="仿宋" w:hAnsi="仿宋" w:eastAsia="仿宋" w:cs="仿宋"/>
                <w:color w:val="auto"/>
                <w:kern w:val="0"/>
                <w:sz w:val="22"/>
                <w:szCs w:val="22"/>
                <w:highlight w:val="none"/>
              </w:rPr>
              <w:t>③低压电工证书</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rPr>
              <w:t>全部符合得3分，</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项符合得2分，</w:t>
            </w:r>
            <w:r>
              <w:rPr>
                <w:rFonts w:hint="eastAsia" w:ascii="仿宋" w:hAnsi="仿宋" w:eastAsia="仿宋" w:cs="仿宋"/>
                <w:color w:val="auto"/>
                <w:kern w:val="0"/>
                <w:sz w:val="22"/>
                <w:szCs w:val="22"/>
                <w:highlight w:val="none"/>
                <w:lang w:val="en-US" w:eastAsia="zh-CN"/>
              </w:rPr>
              <w:t>1</w:t>
            </w:r>
            <w:r>
              <w:rPr>
                <w:rFonts w:hint="eastAsia" w:ascii="仿宋" w:hAnsi="仿宋" w:eastAsia="仿宋" w:cs="仿宋"/>
                <w:color w:val="auto"/>
                <w:kern w:val="0"/>
                <w:sz w:val="22"/>
                <w:szCs w:val="22"/>
                <w:highlight w:val="none"/>
              </w:rPr>
              <w:t>项符合得1分</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lang w:val="en-US" w:eastAsia="zh-CN"/>
              </w:rPr>
              <w:t>(0-3分）</w:t>
            </w:r>
            <w:r>
              <w:rPr>
                <w:rFonts w:hint="eastAsia" w:ascii="仿宋" w:hAnsi="仿宋" w:eastAsia="仿宋" w:cs="仿宋"/>
                <w:color w:val="auto"/>
                <w:kern w:val="0"/>
                <w:sz w:val="22"/>
                <w:szCs w:val="22"/>
                <w:highlight w:val="none"/>
              </w:rPr>
              <w:t>（投标文件提供相关证明材料和</w:t>
            </w:r>
            <w:r>
              <w:rPr>
                <w:rFonts w:hint="eastAsia" w:ascii="仿宋" w:hAnsi="仿宋" w:eastAsia="仿宋" w:cs="仿宋"/>
                <w:color w:val="auto"/>
                <w:kern w:val="0"/>
                <w:sz w:val="22"/>
                <w:szCs w:val="22"/>
                <w:highlight w:val="none"/>
                <w:lang w:eastAsia="zh-CN"/>
              </w:rPr>
              <w:t>公司最近三个月的社保证明</w:t>
            </w:r>
            <w:r>
              <w:rPr>
                <w:rFonts w:hint="eastAsia" w:ascii="仿宋" w:hAnsi="仿宋" w:eastAsia="仿宋" w:cs="仿宋"/>
                <w:color w:val="auto"/>
                <w:kern w:val="0"/>
                <w:sz w:val="22"/>
                <w:szCs w:val="22"/>
                <w:highlight w:val="none"/>
              </w:rPr>
              <w:t>，若未提供</w:t>
            </w:r>
            <w:r>
              <w:rPr>
                <w:rFonts w:hint="eastAsia" w:ascii="仿宋" w:hAnsi="仿宋" w:eastAsia="仿宋" w:cs="仿宋"/>
                <w:color w:val="auto"/>
                <w:kern w:val="0"/>
                <w:sz w:val="22"/>
                <w:szCs w:val="22"/>
                <w:highlight w:val="none"/>
                <w:lang w:eastAsia="zh-CN"/>
              </w:rPr>
              <w:t>或提供不全的</w:t>
            </w:r>
            <w:r>
              <w:rPr>
                <w:rFonts w:hint="eastAsia" w:ascii="仿宋" w:hAnsi="仿宋" w:eastAsia="仿宋" w:cs="仿宋"/>
                <w:color w:val="auto"/>
                <w:kern w:val="0"/>
                <w:sz w:val="22"/>
                <w:szCs w:val="22"/>
                <w:highlight w:val="none"/>
              </w:rPr>
              <w:t>不得分。</w:t>
            </w:r>
            <w:r>
              <w:rPr>
                <w:rFonts w:hint="eastAsia" w:ascii="仿宋" w:hAnsi="仿宋" w:eastAsia="仿宋" w:cs="仿宋"/>
                <w:color w:val="auto"/>
                <w:kern w:val="0"/>
                <w:sz w:val="22"/>
                <w:szCs w:val="22"/>
                <w:highlight w:val="none"/>
                <w:lang w:eastAsia="zh-CN"/>
              </w:rPr>
              <w:t>）</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4763" w:type="dxa"/>
            <w:noWrap/>
            <w:vAlign w:val="center"/>
          </w:tcPr>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after="0"/>
              <w:ind w:left="0" w:leftChars="0" w:firstLine="0" w:firstLineChars="0"/>
              <w:rPr>
                <w:rFonts w:hint="eastAsia" w:ascii="仿宋" w:hAnsi="仿宋" w:eastAsia="仿宋" w:cs="仿宋"/>
                <w:bCs/>
                <w:color w:val="auto"/>
                <w:kern w:val="0"/>
                <w:sz w:val="22"/>
                <w:szCs w:val="22"/>
                <w:highlight w:val="none"/>
              </w:rPr>
            </w:pPr>
            <w:r>
              <w:rPr>
                <w:rFonts w:hint="eastAsia" w:ascii="仿宋" w:hAnsi="仿宋" w:eastAsia="仿宋" w:cs="仿宋"/>
                <w:bCs/>
                <w:color w:val="auto"/>
                <w:kern w:val="0"/>
                <w:sz w:val="22"/>
                <w:szCs w:val="22"/>
                <w:highlight w:val="none"/>
                <w:lang w:val="zh-CN"/>
              </w:rPr>
              <w:t>秩序</w:t>
            </w:r>
            <w:r>
              <w:rPr>
                <w:rFonts w:hint="eastAsia" w:ascii="仿宋" w:hAnsi="仿宋" w:eastAsia="仿宋" w:cs="仿宋"/>
                <w:bCs/>
                <w:color w:val="auto"/>
                <w:kern w:val="0"/>
                <w:sz w:val="22"/>
                <w:szCs w:val="22"/>
                <w:highlight w:val="none"/>
              </w:rPr>
              <w:t>维护部</w:t>
            </w:r>
            <w:r>
              <w:rPr>
                <w:rFonts w:hint="eastAsia" w:ascii="仿宋" w:hAnsi="仿宋" w:eastAsia="仿宋" w:cs="仿宋"/>
                <w:bCs/>
                <w:color w:val="auto"/>
                <w:kern w:val="0"/>
                <w:sz w:val="22"/>
                <w:szCs w:val="22"/>
                <w:highlight w:val="none"/>
                <w:lang w:val="zh-CN"/>
              </w:rPr>
              <w:t>主管：</w:t>
            </w:r>
            <w:r>
              <w:rPr>
                <w:rFonts w:hint="eastAsia" w:ascii="仿宋" w:hAnsi="仿宋" w:eastAsia="仿宋" w:cs="仿宋"/>
                <w:bCs/>
                <w:color w:val="auto"/>
                <w:kern w:val="0"/>
                <w:sz w:val="22"/>
                <w:szCs w:val="22"/>
                <w:highlight w:val="none"/>
              </w:rPr>
              <w:t>①</w:t>
            </w:r>
            <w:r>
              <w:rPr>
                <w:rFonts w:hint="eastAsia" w:ascii="仿宋" w:hAnsi="仿宋" w:eastAsia="仿宋" w:cs="仿宋"/>
                <w:bCs/>
                <w:color w:val="auto"/>
                <w:kern w:val="0"/>
                <w:sz w:val="22"/>
                <w:szCs w:val="22"/>
                <w:highlight w:val="none"/>
                <w:lang w:val="en-US" w:eastAsia="zh-CN"/>
              </w:rPr>
              <w:t>50</w:t>
            </w:r>
            <w:r>
              <w:rPr>
                <w:rFonts w:hint="eastAsia" w:ascii="仿宋" w:hAnsi="仿宋" w:eastAsia="仿宋" w:cs="仿宋"/>
                <w:bCs/>
                <w:color w:val="auto"/>
                <w:kern w:val="0"/>
                <w:sz w:val="22"/>
                <w:szCs w:val="22"/>
                <w:highlight w:val="none"/>
                <w:lang w:val="zh-CN"/>
              </w:rPr>
              <w:t>周岁及以下、</w:t>
            </w:r>
            <w:r>
              <w:rPr>
                <w:rFonts w:hint="eastAsia" w:ascii="仿宋" w:hAnsi="仿宋" w:eastAsia="仿宋" w:cs="仿宋"/>
                <w:bCs/>
                <w:color w:val="auto"/>
                <w:kern w:val="0"/>
                <w:sz w:val="22"/>
                <w:szCs w:val="22"/>
                <w:highlight w:val="none"/>
              </w:rPr>
              <w:t>②</w:t>
            </w:r>
            <w:r>
              <w:rPr>
                <w:rFonts w:hint="eastAsia" w:ascii="仿宋" w:hAnsi="仿宋" w:eastAsia="仿宋" w:cs="仿宋"/>
                <w:bCs/>
                <w:color w:val="auto"/>
                <w:kern w:val="0"/>
                <w:sz w:val="22"/>
                <w:szCs w:val="22"/>
                <w:highlight w:val="none"/>
                <w:lang w:val="zh-CN"/>
              </w:rPr>
              <w:t>持有</w:t>
            </w:r>
            <w:r>
              <w:rPr>
                <w:rFonts w:hint="eastAsia" w:ascii="仿宋" w:hAnsi="仿宋" w:eastAsia="仿宋" w:cs="仿宋"/>
                <w:bCs/>
                <w:color w:val="auto"/>
                <w:kern w:val="0"/>
                <w:sz w:val="22"/>
                <w:szCs w:val="22"/>
                <w:highlight w:val="none"/>
                <w:lang w:val="en-US" w:eastAsia="zh-CN"/>
              </w:rPr>
              <w:t>三级</w:t>
            </w:r>
            <w:r>
              <w:rPr>
                <w:rFonts w:hint="eastAsia" w:ascii="仿宋" w:hAnsi="仿宋" w:eastAsia="仿宋" w:cs="仿宋"/>
                <w:bCs/>
                <w:color w:val="auto"/>
                <w:kern w:val="0"/>
                <w:sz w:val="22"/>
                <w:szCs w:val="22"/>
                <w:highlight w:val="none"/>
              </w:rPr>
              <w:t>及以上</w:t>
            </w:r>
            <w:r>
              <w:rPr>
                <w:rFonts w:hint="eastAsia" w:ascii="仿宋" w:hAnsi="仿宋" w:eastAsia="仿宋" w:cs="仿宋"/>
                <w:bCs/>
                <w:color w:val="auto"/>
                <w:kern w:val="0"/>
                <w:sz w:val="22"/>
                <w:szCs w:val="22"/>
                <w:highlight w:val="none"/>
                <w:lang w:val="zh-CN"/>
              </w:rPr>
              <w:t>保安员证、</w:t>
            </w:r>
            <w:r>
              <w:rPr>
                <w:rFonts w:hint="eastAsia" w:ascii="仿宋" w:hAnsi="仿宋" w:eastAsia="仿宋" w:cs="仿宋"/>
                <w:bCs/>
                <w:color w:val="auto"/>
                <w:kern w:val="0"/>
                <w:sz w:val="22"/>
                <w:szCs w:val="22"/>
                <w:highlight w:val="none"/>
              </w:rPr>
              <w:t>③具有消防</w:t>
            </w:r>
            <w:r>
              <w:rPr>
                <w:rFonts w:hint="eastAsia" w:ascii="仿宋" w:hAnsi="仿宋" w:eastAsia="仿宋" w:cs="仿宋"/>
                <w:color w:val="auto"/>
                <w:kern w:val="0"/>
                <w:sz w:val="22"/>
                <w:szCs w:val="22"/>
                <w:highlight w:val="none"/>
              </w:rPr>
              <w:t>建（构）筑物消防员证书（或</w:t>
            </w:r>
            <w:r>
              <w:rPr>
                <w:rFonts w:hint="eastAsia" w:ascii="仿宋" w:hAnsi="仿宋" w:eastAsia="仿宋" w:cs="仿宋"/>
                <w:color w:val="auto"/>
                <w:kern w:val="0"/>
                <w:sz w:val="22"/>
                <w:szCs w:val="22"/>
                <w:highlight w:val="none"/>
                <w:lang w:val="zh-CN"/>
              </w:rPr>
              <w:t>消防设施操作员证</w:t>
            </w:r>
            <w:r>
              <w:rPr>
                <w:rFonts w:hint="eastAsia" w:ascii="仿宋" w:hAnsi="仿宋" w:eastAsia="仿宋" w:cs="仿宋"/>
                <w:color w:val="auto"/>
                <w:kern w:val="0"/>
                <w:sz w:val="22"/>
                <w:szCs w:val="22"/>
                <w:highlight w:val="none"/>
              </w:rPr>
              <w:t>）</w:t>
            </w:r>
            <w:r>
              <w:rPr>
                <w:rFonts w:hint="eastAsia" w:ascii="仿宋" w:hAnsi="仿宋" w:eastAsia="仿宋" w:cs="仿宋"/>
                <w:bCs/>
                <w:color w:val="auto"/>
                <w:kern w:val="0"/>
                <w:sz w:val="22"/>
                <w:szCs w:val="22"/>
                <w:highlight w:val="none"/>
                <w:lang w:val="zh-CN"/>
              </w:rPr>
              <w:t>。</w:t>
            </w:r>
            <w:r>
              <w:rPr>
                <w:rFonts w:hint="eastAsia" w:ascii="仿宋" w:hAnsi="仿宋" w:eastAsia="仿宋" w:cs="仿宋"/>
                <w:bCs/>
                <w:color w:val="auto"/>
                <w:kern w:val="0"/>
                <w:sz w:val="22"/>
                <w:szCs w:val="22"/>
                <w:highlight w:val="none"/>
              </w:rPr>
              <w:t>全部符合得3分，3项符合得2分，2项符合得1分</w:t>
            </w:r>
            <w:r>
              <w:rPr>
                <w:rFonts w:hint="eastAsia" w:ascii="仿宋" w:hAnsi="仿宋" w:eastAsia="仿宋" w:cs="仿宋"/>
                <w:bCs/>
                <w:color w:val="auto"/>
                <w:kern w:val="0"/>
                <w:sz w:val="22"/>
                <w:szCs w:val="22"/>
                <w:highlight w:val="none"/>
                <w:lang w:eastAsia="zh-CN"/>
              </w:rPr>
              <w:t>。</w:t>
            </w:r>
            <w:r>
              <w:rPr>
                <w:rFonts w:hint="eastAsia" w:ascii="仿宋" w:hAnsi="仿宋" w:eastAsia="仿宋" w:cs="仿宋"/>
                <w:color w:val="auto"/>
                <w:kern w:val="0"/>
                <w:sz w:val="22"/>
                <w:szCs w:val="22"/>
                <w:highlight w:val="none"/>
                <w:lang w:val="en-US" w:eastAsia="zh-CN"/>
              </w:rPr>
              <w:t>(0-3分）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ind w:leftChars="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（投标文件提供相关证明材料和</w:t>
            </w:r>
            <w:r>
              <w:rPr>
                <w:rFonts w:hint="eastAsia" w:ascii="仿宋" w:hAnsi="仿宋" w:eastAsia="仿宋" w:cs="仿宋"/>
                <w:color w:val="auto"/>
                <w:kern w:val="0"/>
                <w:sz w:val="22"/>
                <w:szCs w:val="22"/>
                <w:highlight w:val="none"/>
                <w:lang w:eastAsia="zh-CN"/>
              </w:rPr>
              <w:t>公司最近三个月的社保证明</w:t>
            </w:r>
            <w:r>
              <w:rPr>
                <w:rFonts w:hint="eastAsia" w:ascii="仿宋" w:hAnsi="仿宋" w:eastAsia="仿宋" w:cs="仿宋"/>
                <w:color w:val="auto"/>
                <w:kern w:val="0"/>
                <w:sz w:val="22"/>
                <w:szCs w:val="22"/>
                <w:highlight w:val="none"/>
              </w:rPr>
              <w:t>，若未提供</w:t>
            </w:r>
            <w:r>
              <w:rPr>
                <w:rFonts w:hint="eastAsia" w:ascii="仿宋" w:hAnsi="仿宋" w:eastAsia="仿宋" w:cs="仿宋"/>
                <w:color w:val="auto"/>
                <w:kern w:val="0"/>
                <w:sz w:val="22"/>
                <w:szCs w:val="22"/>
                <w:highlight w:val="none"/>
                <w:lang w:eastAsia="zh-CN"/>
              </w:rPr>
              <w:t>或提供不全的</w:t>
            </w:r>
            <w:r>
              <w:rPr>
                <w:rFonts w:hint="eastAsia" w:ascii="仿宋" w:hAnsi="仿宋" w:eastAsia="仿宋" w:cs="仿宋"/>
                <w:color w:val="auto"/>
                <w:kern w:val="0"/>
                <w:sz w:val="22"/>
                <w:szCs w:val="22"/>
                <w:highlight w:val="none"/>
              </w:rPr>
              <w:t>不得分。</w:t>
            </w:r>
            <w:r>
              <w:rPr>
                <w:rFonts w:hint="eastAsia" w:ascii="仿宋" w:hAnsi="仿宋" w:eastAsia="仿宋" w:cs="仿宋"/>
                <w:color w:val="auto"/>
                <w:kern w:val="0"/>
                <w:sz w:val="22"/>
                <w:szCs w:val="22"/>
                <w:highlight w:val="none"/>
                <w:lang w:eastAsia="zh-CN"/>
              </w:rPr>
              <w:t>）</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4763" w:type="dxa"/>
            <w:noWrap/>
            <w:vAlign w:val="center"/>
          </w:tcPr>
          <w:p>
            <w:pPr>
              <w:keepNext w:val="0"/>
              <w:keepLines w:val="0"/>
              <w:pageBreakBefore w:val="0"/>
              <w:widowControl/>
              <w:numPr>
                <w:ilvl w:val="0"/>
                <w:numId w:val="5"/>
              </w:numPr>
              <w:shd w:val="clear" w:color="auto" w:fill="FFFFFF"/>
              <w:tabs>
                <w:tab w:val="left" w:pos="900"/>
              </w:tabs>
              <w:kinsoku/>
              <w:wordWrap/>
              <w:overflowPunct/>
              <w:topLinePunct w:val="0"/>
              <w:autoSpaceDE/>
              <w:autoSpaceDN/>
              <w:bidi w:val="0"/>
              <w:adjustRightInd/>
              <w:snapToGrid/>
              <w:spacing w:after="0"/>
              <w:ind w:left="0" w:leftChars="0" w:firstLine="0" w:firstLineChars="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客服主管：</w:t>
            </w:r>
            <w:r>
              <w:rPr>
                <w:rFonts w:hint="eastAsia" w:ascii="仿宋" w:hAnsi="仿宋" w:eastAsia="仿宋" w:cs="仿宋"/>
                <w:bCs/>
                <w:color w:val="auto"/>
                <w:kern w:val="0"/>
                <w:sz w:val="22"/>
                <w:szCs w:val="22"/>
                <w:highlight w:val="none"/>
              </w:rPr>
              <w:t>①</w:t>
            </w:r>
            <w:r>
              <w:rPr>
                <w:rFonts w:hint="eastAsia" w:ascii="仿宋" w:hAnsi="仿宋" w:eastAsia="仿宋" w:cs="仿宋"/>
                <w:bCs/>
                <w:color w:val="auto"/>
                <w:kern w:val="0"/>
                <w:sz w:val="22"/>
                <w:szCs w:val="22"/>
                <w:highlight w:val="none"/>
                <w:lang w:val="en-US" w:eastAsia="zh-CN"/>
              </w:rPr>
              <w:t>45</w:t>
            </w:r>
            <w:r>
              <w:rPr>
                <w:rFonts w:hint="eastAsia" w:ascii="仿宋" w:hAnsi="仿宋" w:eastAsia="仿宋" w:cs="仿宋"/>
                <w:bCs/>
                <w:color w:val="auto"/>
                <w:kern w:val="0"/>
                <w:sz w:val="22"/>
                <w:szCs w:val="22"/>
                <w:highlight w:val="none"/>
                <w:lang w:val="zh-CN"/>
              </w:rPr>
              <w:t>周岁及以下、</w:t>
            </w:r>
            <w:r>
              <w:rPr>
                <w:rFonts w:hint="eastAsia" w:ascii="仿宋" w:hAnsi="仿宋" w:eastAsia="仿宋" w:cs="仿宋"/>
                <w:bCs/>
                <w:color w:val="auto"/>
                <w:kern w:val="0"/>
                <w:sz w:val="22"/>
                <w:szCs w:val="22"/>
                <w:highlight w:val="none"/>
              </w:rPr>
              <w:t>②</w:t>
            </w:r>
            <w:r>
              <w:rPr>
                <w:rFonts w:hint="eastAsia" w:ascii="仿宋" w:hAnsi="仿宋" w:eastAsia="仿宋" w:cs="仿宋"/>
                <w:bCs/>
                <w:color w:val="auto"/>
                <w:kern w:val="0"/>
                <w:sz w:val="22"/>
                <w:szCs w:val="22"/>
                <w:highlight w:val="none"/>
                <w:lang w:val="en-US" w:eastAsia="zh-CN"/>
              </w:rPr>
              <w:t>大专</w:t>
            </w:r>
            <w:r>
              <w:rPr>
                <w:rFonts w:hint="eastAsia" w:ascii="仿宋" w:hAnsi="仿宋" w:eastAsia="仿宋" w:cs="仿宋"/>
                <w:bCs/>
                <w:color w:val="auto"/>
                <w:kern w:val="0"/>
                <w:sz w:val="22"/>
                <w:szCs w:val="22"/>
                <w:highlight w:val="none"/>
                <w:lang w:val="zh-CN"/>
              </w:rPr>
              <w:t>及以上学历、</w:t>
            </w:r>
            <w:r>
              <w:rPr>
                <w:rFonts w:hint="eastAsia" w:ascii="仿宋" w:hAnsi="仿宋" w:eastAsia="仿宋" w:cs="仿宋"/>
                <w:color w:val="auto"/>
                <w:kern w:val="0"/>
                <w:sz w:val="22"/>
                <w:szCs w:val="22"/>
                <w:highlight w:val="none"/>
                <w:lang w:val="zh-CN"/>
              </w:rPr>
              <w:t>③</w:t>
            </w:r>
            <w:r>
              <w:rPr>
                <w:rFonts w:hint="eastAsia" w:ascii="仿宋" w:hAnsi="仿宋" w:eastAsia="仿宋" w:cs="仿宋"/>
                <w:color w:val="auto"/>
                <w:kern w:val="0"/>
                <w:sz w:val="22"/>
                <w:szCs w:val="22"/>
                <w:highlight w:val="none"/>
              </w:rPr>
              <w:t>具有红十字救护员证。</w:t>
            </w:r>
            <w:r>
              <w:rPr>
                <w:rFonts w:hint="eastAsia" w:ascii="仿宋" w:hAnsi="仿宋" w:eastAsia="仿宋" w:cs="仿宋"/>
                <w:bCs/>
                <w:color w:val="auto"/>
                <w:kern w:val="0"/>
                <w:sz w:val="22"/>
                <w:szCs w:val="22"/>
                <w:highlight w:val="none"/>
              </w:rPr>
              <w:t>全部符合得3分，3项符合得2分，2项符合得1分</w:t>
            </w:r>
            <w:r>
              <w:rPr>
                <w:rFonts w:hint="eastAsia" w:ascii="仿宋" w:hAnsi="仿宋" w:eastAsia="仿宋" w:cs="仿宋"/>
                <w:bCs/>
                <w:color w:val="auto"/>
                <w:kern w:val="0"/>
                <w:sz w:val="22"/>
                <w:szCs w:val="22"/>
                <w:highlight w:val="none"/>
                <w:lang w:eastAsia="zh-CN"/>
              </w:rPr>
              <w:t>。</w:t>
            </w:r>
            <w:r>
              <w:rPr>
                <w:rFonts w:hint="eastAsia" w:ascii="仿宋" w:hAnsi="仿宋" w:eastAsia="仿宋" w:cs="仿宋"/>
                <w:color w:val="auto"/>
                <w:kern w:val="0"/>
                <w:sz w:val="22"/>
                <w:szCs w:val="22"/>
                <w:highlight w:val="none"/>
                <w:lang w:val="en-US" w:eastAsia="zh-CN"/>
              </w:rPr>
              <w:t>(0-3分）</w:t>
            </w:r>
          </w:p>
          <w:p>
            <w:pPr>
              <w:keepNext w:val="0"/>
              <w:keepLines w:val="0"/>
              <w:pageBreakBefore w:val="0"/>
              <w:widowControl/>
              <w:numPr>
                <w:ilvl w:val="0"/>
                <w:numId w:val="0"/>
              </w:numPr>
              <w:shd w:val="clear" w:color="auto" w:fill="FFFFFF"/>
              <w:tabs>
                <w:tab w:val="left" w:pos="900"/>
              </w:tabs>
              <w:kinsoku/>
              <w:wordWrap/>
              <w:overflowPunct/>
              <w:topLinePunct w:val="0"/>
              <w:autoSpaceDE/>
              <w:autoSpaceDN/>
              <w:bidi w:val="0"/>
              <w:adjustRightInd/>
              <w:snapToGrid/>
              <w:spacing w:after="0"/>
              <w:ind w:leftChars="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（投标文件提供相关证明材料和</w:t>
            </w:r>
            <w:r>
              <w:rPr>
                <w:rFonts w:hint="eastAsia" w:ascii="仿宋" w:hAnsi="仿宋" w:eastAsia="仿宋" w:cs="仿宋"/>
                <w:color w:val="auto"/>
                <w:kern w:val="0"/>
                <w:sz w:val="22"/>
                <w:szCs w:val="22"/>
                <w:highlight w:val="none"/>
                <w:lang w:eastAsia="zh-CN"/>
              </w:rPr>
              <w:t>公司最近三个月的社保证明</w:t>
            </w:r>
            <w:r>
              <w:rPr>
                <w:rFonts w:hint="eastAsia" w:ascii="仿宋" w:hAnsi="仿宋" w:eastAsia="仿宋" w:cs="仿宋"/>
                <w:color w:val="auto"/>
                <w:kern w:val="0"/>
                <w:sz w:val="22"/>
                <w:szCs w:val="22"/>
                <w:highlight w:val="none"/>
              </w:rPr>
              <w:t>，若未提供</w:t>
            </w:r>
            <w:r>
              <w:rPr>
                <w:rFonts w:hint="eastAsia" w:ascii="仿宋" w:hAnsi="仿宋" w:eastAsia="仿宋" w:cs="仿宋"/>
                <w:color w:val="auto"/>
                <w:kern w:val="0"/>
                <w:sz w:val="22"/>
                <w:szCs w:val="22"/>
                <w:highlight w:val="none"/>
                <w:lang w:eastAsia="zh-CN"/>
              </w:rPr>
              <w:t>或提供不全的</w:t>
            </w:r>
            <w:r>
              <w:rPr>
                <w:rFonts w:hint="eastAsia" w:ascii="仿宋" w:hAnsi="仿宋" w:eastAsia="仿宋" w:cs="仿宋"/>
                <w:color w:val="auto"/>
                <w:kern w:val="0"/>
                <w:sz w:val="22"/>
                <w:szCs w:val="22"/>
                <w:highlight w:val="none"/>
              </w:rPr>
              <w:t>不得分。</w:t>
            </w:r>
            <w:r>
              <w:rPr>
                <w:rFonts w:hint="eastAsia" w:ascii="仿宋" w:hAnsi="仿宋" w:eastAsia="仿宋" w:cs="仿宋"/>
                <w:color w:val="auto"/>
                <w:kern w:val="0"/>
                <w:sz w:val="22"/>
                <w:szCs w:val="22"/>
                <w:highlight w:val="none"/>
                <w:lang w:eastAsia="zh-CN"/>
              </w:rPr>
              <w:t>）</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34"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4763" w:type="dxa"/>
            <w:noWrap/>
            <w:vAlign w:val="center"/>
          </w:tcPr>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after="0"/>
              <w:ind w:left="0" w:leftChars="0" w:firstLine="0" w:firstLineChars="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环境</w:t>
            </w:r>
            <w:r>
              <w:rPr>
                <w:rFonts w:hint="eastAsia" w:ascii="仿宋" w:hAnsi="仿宋" w:eastAsia="仿宋" w:cs="仿宋"/>
                <w:color w:val="auto"/>
                <w:kern w:val="0"/>
                <w:sz w:val="22"/>
                <w:szCs w:val="22"/>
                <w:highlight w:val="none"/>
              </w:rPr>
              <w:t>部</w:t>
            </w:r>
            <w:r>
              <w:rPr>
                <w:rFonts w:hint="eastAsia" w:ascii="仿宋" w:hAnsi="仿宋" w:eastAsia="仿宋" w:cs="仿宋"/>
                <w:color w:val="auto"/>
                <w:kern w:val="0"/>
                <w:sz w:val="22"/>
                <w:szCs w:val="22"/>
                <w:highlight w:val="none"/>
                <w:lang w:val="zh-CN"/>
              </w:rPr>
              <w:t>主管：</w:t>
            </w:r>
            <w:r>
              <w:rPr>
                <w:rFonts w:hint="eastAsia" w:ascii="仿宋" w:hAnsi="仿宋" w:eastAsia="仿宋" w:cs="仿宋"/>
                <w:bCs/>
                <w:color w:val="auto"/>
                <w:kern w:val="0"/>
                <w:sz w:val="22"/>
                <w:szCs w:val="22"/>
                <w:highlight w:val="none"/>
              </w:rPr>
              <w:t>①</w:t>
            </w:r>
            <w:r>
              <w:rPr>
                <w:rFonts w:hint="eastAsia" w:ascii="仿宋" w:hAnsi="仿宋" w:eastAsia="仿宋" w:cs="仿宋"/>
                <w:color w:val="auto"/>
                <w:kern w:val="0"/>
                <w:sz w:val="22"/>
                <w:szCs w:val="22"/>
                <w:highlight w:val="none"/>
                <w:lang w:val="en-US" w:eastAsia="zh-CN"/>
              </w:rPr>
              <w:t>50</w:t>
            </w:r>
            <w:r>
              <w:rPr>
                <w:rFonts w:hint="eastAsia" w:ascii="仿宋" w:hAnsi="仿宋" w:eastAsia="仿宋" w:cs="仿宋"/>
                <w:color w:val="auto"/>
                <w:kern w:val="0"/>
                <w:sz w:val="22"/>
                <w:szCs w:val="22"/>
                <w:highlight w:val="none"/>
              </w:rPr>
              <w:t>周岁及以下、②大专及以上学历、③具有绿化园林等相关专业证书。</w:t>
            </w:r>
            <w:r>
              <w:rPr>
                <w:rFonts w:hint="eastAsia" w:ascii="仿宋" w:hAnsi="仿宋" w:eastAsia="仿宋" w:cs="仿宋"/>
                <w:bCs/>
                <w:color w:val="auto"/>
                <w:kern w:val="0"/>
                <w:sz w:val="22"/>
                <w:szCs w:val="22"/>
                <w:highlight w:val="none"/>
              </w:rPr>
              <w:t>全部符合得3分，3项符合得2分，2项符合得1分</w:t>
            </w:r>
            <w:r>
              <w:rPr>
                <w:rFonts w:hint="eastAsia" w:ascii="仿宋" w:hAnsi="仿宋" w:eastAsia="仿宋" w:cs="仿宋"/>
                <w:bCs/>
                <w:color w:val="auto"/>
                <w:kern w:val="0"/>
                <w:sz w:val="22"/>
                <w:szCs w:val="2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(0-3分）</w:t>
            </w:r>
            <w:r>
              <w:rPr>
                <w:rFonts w:hint="eastAsia" w:ascii="仿宋" w:hAnsi="仿宋" w:eastAsia="仿宋" w:cs="仿宋"/>
                <w:color w:val="auto"/>
                <w:kern w:val="0"/>
                <w:sz w:val="22"/>
                <w:szCs w:val="22"/>
                <w:highlight w:val="none"/>
              </w:rPr>
              <w:t>（投标文件提供相关证明材料和</w:t>
            </w:r>
            <w:r>
              <w:rPr>
                <w:rFonts w:hint="eastAsia" w:ascii="仿宋" w:hAnsi="仿宋" w:eastAsia="仿宋" w:cs="仿宋"/>
                <w:color w:val="auto"/>
                <w:kern w:val="0"/>
                <w:sz w:val="22"/>
                <w:szCs w:val="22"/>
                <w:highlight w:val="none"/>
                <w:lang w:eastAsia="zh-CN"/>
              </w:rPr>
              <w:t>公司最近三个月的社保证明</w:t>
            </w:r>
            <w:r>
              <w:rPr>
                <w:rFonts w:hint="eastAsia" w:ascii="仿宋" w:hAnsi="仿宋" w:eastAsia="仿宋" w:cs="仿宋"/>
                <w:color w:val="auto"/>
                <w:kern w:val="0"/>
                <w:sz w:val="22"/>
                <w:szCs w:val="22"/>
                <w:highlight w:val="none"/>
              </w:rPr>
              <w:t>，若未提供</w:t>
            </w:r>
            <w:r>
              <w:rPr>
                <w:rFonts w:hint="eastAsia" w:ascii="仿宋" w:hAnsi="仿宋" w:eastAsia="仿宋" w:cs="仿宋"/>
                <w:color w:val="auto"/>
                <w:kern w:val="0"/>
                <w:sz w:val="22"/>
                <w:szCs w:val="22"/>
                <w:highlight w:val="none"/>
                <w:lang w:eastAsia="zh-CN"/>
              </w:rPr>
              <w:t>或提供不全的</w:t>
            </w:r>
            <w:r>
              <w:rPr>
                <w:rFonts w:hint="eastAsia" w:ascii="仿宋" w:hAnsi="仿宋" w:eastAsia="仿宋" w:cs="仿宋"/>
                <w:color w:val="auto"/>
                <w:kern w:val="0"/>
                <w:sz w:val="22"/>
                <w:szCs w:val="22"/>
                <w:highlight w:val="none"/>
              </w:rPr>
              <w:t>不得分。</w:t>
            </w:r>
            <w:r>
              <w:rPr>
                <w:rFonts w:hint="eastAsia" w:ascii="仿宋" w:hAnsi="仿宋" w:eastAsia="仿宋" w:cs="仿宋"/>
                <w:color w:val="auto"/>
                <w:kern w:val="0"/>
                <w:sz w:val="22"/>
                <w:szCs w:val="22"/>
                <w:highlight w:val="none"/>
                <w:lang w:eastAsia="zh-CN"/>
              </w:rPr>
              <w:t>）</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9</w:t>
            </w:r>
          </w:p>
        </w:tc>
        <w:tc>
          <w:tcPr>
            <w:tcW w:w="772"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zh-CN"/>
              </w:rPr>
              <w:t>应急能力</w:t>
            </w:r>
          </w:p>
        </w:tc>
        <w:tc>
          <w:tcPr>
            <w:tcW w:w="4763" w:type="dxa"/>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val="zh-CN"/>
              </w:rPr>
            </w:pPr>
            <w:r>
              <w:rPr>
                <w:rFonts w:hint="eastAsia" w:ascii="仿宋" w:hAnsi="仿宋" w:eastAsia="仿宋" w:cs="仿宋"/>
                <w:color w:val="auto"/>
                <w:kern w:val="0"/>
                <w:sz w:val="22"/>
                <w:szCs w:val="22"/>
                <w:highlight w:val="none"/>
                <w:lang w:val="zh-CN"/>
              </w:rPr>
              <w:t>应急预案：</w:t>
            </w:r>
            <w:r>
              <w:rPr>
                <w:rFonts w:hint="eastAsia" w:ascii="仿宋" w:hAnsi="仿宋" w:eastAsia="仿宋" w:cs="仿宋"/>
                <w:color w:val="auto"/>
                <w:kern w:val="0"/>
                <w:sz w:val="22"/>
                <w:szCs w:val="22"/>
                <w:highlight w:val="none"/>
              </w:rPr>
              <w:t>对物业突发事件（包括发生台风、暴雨等灾害性天气及其他突发事件）时的应急预案及相应的措施综合评定</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lang w:val="zh-CN"/>
              </w:rPr>
              <w:t>根据大楼的运行，提出应急情况，包括设备在发生紧急情况下的应急预案以及当服务人员不足或需要调整更换时的详细应急预案是否全面性、合理性、周密性、可操作性等方面：</w:t>
            </w:r>
          </w:p>
          <w:p>
            <w:pPr>
              <w:keepNext w:val="0"/>
              <w:keepLines w:val="0"/>
              <w:pageBreakBefore w:val="0"/>
              <w:widowControl/>
              <w:shd w:val="clear" w:color="auto" w:fill="FFFFFF"/>
              <w:kinsoku/>
              <w:wordWrap/>
              <w:overflowPunct/>
              <w:topLinePunct w:val="0"/>
              <w:autoSpaceDE/>
              <w:autoSpaceDN/>
              <w:bidi w:val="0"/>
              <w:adjustRightInd/>
              <w:snapToGrid/>
              <w:spacing w:after="0"/>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zh-CN"/>
              </w:rPr>
              <w:t>未提供相关服务方案</w:t>
            </w:r>
            <w:r>
              <w:rPr>
                <w:rFonts w:hint="eastAsia" w:ascii="仿宋" w:hAnsi="仿宋" w:eastAsia="仿宋" w:cs="仿宋"/>
                <w:color w:val="auto"/>
                <w:kern w:val="0"/>
                <w:sz w:val="22"/>
                <w:szCs w:val="22"/>
                <w:highlight w:val="none"/>
                <w:lang w:val="en-US" w:eastAsia="zh-CN"/>
              </w:rPr>
              <w:t>或</w:t>
            </w:r>
            <w:r>
              <w:rPr>
                <w:rFonts w:hint="eastAsia" w:ascii="仿宋" w:hAnsi="仿宋" w:eastAsia="仿宋" w:cs="仿宋"/>
                <w:color w:val="auto"/>
                <w:kern w:val="0"/>
                <w:sz w:val="22"/>
                <w:szCs w:val="22"/>
                <w:highlight w:val="none"/>
                <w:lang w:val="zh-CN"/>
              </w:rPr>
              <w:t>勉强满足项目需求的，存在部分不够完善合理的，</w:t>
            </w:r>
            <w:r>
              <w:rPr>
                <w:rFonts w:hint="eastAsia" w:ascii="仿宋" w:hAnsi="仿宋" w:eastAsia="仿宋" w:cs="仿宋"/>
                <w:color w:val="auto"/>
                <w:kern w:val="0"/>
                <w:sz w:val="22"/>
                <w:szCs w:val="22"/>
                <w:highlight w:val="none"/>
                <w:lang w:val="en-US" w:eastAsia="zh-CN"/>
              </w:rPr>
              <w:t>得0-1分</w:t>
            </w:r>
            <w:r>
              <w:rPr>
                <w:rFonts w:hint="eastAsia" w:ascii="仿宋" w:hAnsi="仿宋" w:eastAsia="仿宋" w:cs="仿宋"/>
                <w:color w:val="auto"/>
                <w:kern w:val="0"/>
                <w:sz w:val="22"/>
                <w:szCs w:val="22"/>
                <w:highlight w:val="none"/>
              </w:rPr>
              <w:br w:type="textWrapping"/>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eastAsia="zh-CN"/>
              </w:rPr>
              <w:t>3</w:t>
            </w:r>
            <w:r>
              <w:rPr>
                <w:rFonts w:hint="eastAsia" w:ascii="仿宋" w:hAnsi="仿宋" w:eastAsia="仿宋" w:cs="仿宋"/>
                <w:color w:val="auto"/>
                <w:kern w:val="0"/>
                <w:sz w:val="22"/>
                <w:szCs w:val="22"/>
                <w:highlight w:val="none"/>
              </w:rPr>
              <w:t>分</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eastAsia="zh-CN"/>
              </w:rPr>
              <w:t>(0-3分）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Style w:val="311"/>
                <w:rFonts w:hint="eastAsia" w:ascii="仿宋" w:hAnsi="仿宋" w:eastAsia="仿宋" w:cs="仿宋"/>
                <w:color w:val="auto"/>
                <w:sz w:val="22"/>
                <w:szCs w:val="22"/>
                <w:highlight w:val="none"/>
                <w:lang w:val="en-US"/>
              </w:rPr>
              <w:t>0-3</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对智慧小区设施（如门禁系统、停车收费系统、监控系统、电气照明装置、周界系统等智慧化设施）、对消防设施的日常管理和应急维修方案等综合评定</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lang w:val="zh-CN"/>
              </w:rPr>
              <w:t>未提供相关服务方案</w:t>
            </w:r>
            <w:r>
              <w:rPr>
                <w:rFonts w:hint="eastAsia" w:ascii="仿宋" w:hAnsi="仿宋" w:eastAsia="仿宋" w:cs="仿宋"/>
                <w:color w:val="auto"/>
                <w:kern w:val="0"/>
                <w:sz w:val="22"/>
                <w:szCs w:val="22"/>
                <w:highlight w:val="none"/>
                <w:lang w:val="en-US" w:eastAsia="zh-CN"/>
              </w:rPr>
              <w:t>或</w:t>
            </w:r>
            <w:r>
              <w:rPr>
                <w:rFonts w:hint="eastAsia" w:ascii="仿宋" w:hAnsi="仿宋" w:eastAsia="仿宋" w:cs="仿宋"/>
                <w:color w:val="auto"/>
                <w:kern w:val="0"/>
                <w:sz w:val="22"/>
                <w:szCs w:val="22"/>
                <w:highlight w:val="none"/>
                <w:lang w:val="zh-CN"/>
              </w:rPr>
              <w:t>勉强满足项目需求的，存在部分不够完善合理的，</w:t>
            </w:r>
            <w:r>
              <w:rPr>
                <w:rFonts w:hint="eastAsia" w:ascii="仿宋" w:hAnsi="仿宋" w:eastAsia="仿宋" w:cs="仿宋"/>
                <w:color w:val="auto"/>
                <w:kern w:val="0"/>
                <w:sz w:val="22"/>
                <w:szCs w:val="22"/>
                <w:highlight w:val="none"/>
                <w:lang w:val="en-US" w:eastAsia="zh-CN"/>
              </w:rPr>
              <w:t>得0-1分；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eastAsia="zh-CN"/>
              </w:rPr>
              <w:t>(0-2分）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0-2</w:t>
            </w:r>
            <w:r>
              <w:rPr>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p>
        </w:tc>
        <w:tc>
          <w:tcPr>
            <w:tcW w:w="77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p>
        </w:tc>
        <w:tc>
          <w:tcPr>
            <w:tcW w:w="476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对消防重点区域管理方案及消防应急预案综合评定</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lang w:val="zh-CN"/>
              </w:rPr>
              <w:t>未提供相关服务方案</w:t>
            </w:r>
            <w:r>
              <w:rPr>
                <w:rFonts w:hint="eastAsia" w:ascii="仿宋" w:hAnsi="仿宋" w:eastAsia="仿宋" w:cs="仿宋"/>
                <w:color w:val="auto"/>
                <w:kern w:val="0"/>
                <w:sz w:val="22"/>
                <w:szCs w:val="22"/>
                <w:highlight w:val="none"/>
                <w:lang w:val="en-US" w:eastAsia="zh-CN"/>
              </w:rPr>
              <w:t>或</w:t>
            </w:r>
            <w:r>
              <w:rPr>
                <w:rFonts w:hint="eastAsia" w:ascii="仿宋" w:hAnsi="仿宋" w:eastAsia="仿宋" w:cs="仿宋"/>
                <w:color w:val="auto"/>
                <w:kern w:val="0"/>
                <w:sz w:val="22"/>
                <w:szCs w:val="22"/>
                <w:highlight w:val="none"/>
                <w:lang w:val="zh-CN"/>
              </w:rPr>
              <w:t>勉强满足项目需求的，存在部分不够完善合理的，</w:t>
            </w:r>
            <w:r>
              <w:rPr>
                <w:rFonts w:hint="eastAsia" w:ascii="仿宋" w:hAnsi="仿宋" w:eastAsia="仿宋" w:cs="仿宋"/>
                <w:color w:val="auto"/>
                <w:kern w:val="0"/>
                <w:sz w:val="22"/>
                <w:szCs w:val="22"/>
                <w:highlight w:val="none"/>
                <w:lang w:val="en-US" w:eastAsia="zh-CN"/>
              </w:rPr>
              <w:t>得0-1分；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eastAsia="zh-CN"/>
              </w:rPr>
              <w:t>(0-2分）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0-2</w:t>
            </w:r>
            <w:r>
              <w:rPr>
                <w:rFonts w:hint="eastAsia" w:ascii="仿宋" w:hAnsi="仿宋" w:eastAsia="仿宋" w:cs="仿宋"/>
                <w:color w:val="auto"/>
                <w:kern w:val="0"/>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10</w:t>
            </w:r>
          </w:p>
        </w:tc>
        <w:tc>
          <w:tcPr>
            <w:tcW w:w="5535"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质量管理目标的定位准确性和针对性，以及管理方式的科学性、合理性和先进性综合评定。</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1-4</w:t>
            </w:r>
            <w:r>
              <w:rPr>
                <w:rStyle w:val="263"/>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11</w:t>
            </w:r>
          </w:p>
        </w:tc>
        <w:tc>
          <w:tcPr>
            <w:tcW w:w="5535"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根据做好管理工作的交接以及对项目的合理化建议和做法综合评定。</w:t>
            </w:r>
            <w:r>
              <w:rPr>
                <w:rFonts w:hint="eastAsia" w:ascii="仿宋" w:hAnsi="仿宋" w:eastAsia="仿宋" w:cs="仿宋"/>
                <w:color w:val="auto"/>
                <w:kern w:val="0"/>
                <w:sz w:val="22"/>
                <w:szCs w:val="22"/>
                <w:highlight w:val="none"/>
                <w:lang w:val="en-US" w:eastAsia="zh-CN"/>
              </w:rPr>
              <w:t>基本</w:t>
            </w:r>
            <w:r>
              <w:rPr>
                <w:rFonts w:hint="eastAsia" w:ascii="仿宋" w:hAnsi="仿宋" w:eastAsia="仿宋" w:cs="仿宋"/>
                <w:color w:val="auto"/>
                <w:kern w:val="0"/>
                <w:sz w:val="22"/>
                <w:szCs w:val="22"/>
                <w:highlight w:val="none"/>
                <w:lang w:val="zh-CN"/>
              </w:rPr>
              <w:t>满足项目需求的，存在部分不够完善合理的，得1-</w:t>
            </w:r>
            <w:r>
              <w:rPr>
                <w:rFonts w:hint="eastAsia" w:ascii="仿宋" w:hAnsi="仿宋" w:eastAsia="仿宋" w:cs="仿宋"/>
                <w:color w:val="auto"/>
                <w:kern w:val="0"/>
                <w:sz w:val="22"/>
                <w:szCs w:val="22"/>
                <w:highlight w:val="none"/>
                <w:lang w:val="en-US"/>
              </w:rPr>
              <w:t>2分</w:t>
            </w:r>
            <w:r>
              <w:rPr>
                <w:rFonts w:hint="eastAsia" w:ascii="仿宋" w:hAnsi="仿宋" w:eastAsia="仿宋" w:cs="仿宋"/>
                <w:color w:val="auto"/>
                <w:kern w:val="0"/>
                <w:sz w:val="22"/>
                <w:szCs w:val="22"/>
                <w:highlight w:val="none"/>
                <w:lang w:val="zh-CN"/>
              </w:rPr>
              <w:t>；方案完善、完全满足或超出项目需求的，得</w:t>
            </w:r>
            <w:r>
              <w:rPr>
                <w:rFonts w:hint="eastAsia" w:ascii="仿宋" w:hAnsi="仿宋" w:eastAsia="仿宋" w:cs="仿宋"/>
                <w:color w:val="auto"/>
                <w:kern w:val="0"/>
                <w:sz w:val="22"/>
                <w:szCs w:val="22"/>
                <w:highlight w:val="none"/>
                <w:lang w:val="en-US"/>
              </w:rPr>
              <w:t>3</w:t>
            </w:r>
            <w:r>
              <w:rPr>
                <w:rFonts w:hint="eastAsia" w:ascii="仿宋" w:hAnsi="仿宋" w:eastAsia="仿宋" w:cs="仿宋"/>
                <w:color w:val="auto"/>
                <w:kern w:val="0"/>
                <w:sz w:val="22"/>
                <w:szCs w:val="22"/>
                <w:highlight w:val="none"/>
                <w:lang w:val="zh-CN"/>
              </w:rPr>
              <w:t>-</w:t>
            </w:r>
            <w:r>
              <w:rPr>
                <w:rFonts w:hint="eastAsia" w:ascii="仿宋" w:hAnsi="仿宋" w:eastAsia="仿宋" w:cs="仿宋"/>
                <w:color w:val="auto"/>
                <w:kern w:val="0"/>
                <w:sz w:val="22"/>
                <w:szCs w:val="22"/>
                <w:highlight w:val="none"/>
                <w:lang w:val="en-US"/>
              </w:rPr>
              <w:t>4</w:t>
            </w:r>
            <w:r>
              <w:rPr>
                <w:rFonts w:hint="eastAsia" w:ascii="仿宋" w:hAnsi="仿宋" w:eastAsia="仿宋" w:cs="仿宋"/>
                <w:color w:val="auto"/>
                <w:kern w:val="0"/>
                <w:sz w:val="22"/>
                <w:szCs w:val="22"/>
                <w:highlight w:val="none"/>
                <w:lang w:val="zh-CN"/>
              </w:rPr>
              <w:t>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1-4</w:t>
            </w:r>
            <w:r>
              <w:rPr>
                <w:rStyle w:val="311"/>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12</w:t>
            </w:r>
          </w:p>
        </w:tc>
        <w:tc>
          <w:tcPr>
            <w:tcW w:w="5535" w:type="dxa"/>
            <w:gridSpan w:val="2"/>
            <w:shd w:val="clear" w:color="auto" w:fill="auto"/>
            <w:noWrap/>
            <w:vAlign w:val="center"/>
          </w:tcPr>
          <w:p>
            <w:pP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rPr>
              <w:t>本项目所能提供的相关机械设备、器材、物资配备情况（提供本项目投入清单）。设备完整、先进、智能的得4分；设备比较完整、比较先进、比较智能的得2分；设备相对完整、相对先进、相对智能的得1分。（1-4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1-4</w:t>
            </w:r>
            <w:r>
              <w:rPr>
                <w:rStyle w:val="311"/>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b/>
                <w:color w:val="auto"/>
                <w:kern w:val="0"/>
                <w:sz w:val="22"/>
                <w:szCs w:val="22"/>
                <w:highlight w:val="none"/>
              </w:rPr>
            </w:pPr>
            <w:r>
              <w:rPr>
                <w:rFonts w:hint="eastAsia" w:ascii="仿宋" w:hAnsi="仿宋" w:eastAsia="仿宋" w:cs="仿宋"/>
                <w:color w:val="auto"/>
                <w:kern w:val="0"/>
                <w:sz w:val="22"/>
                <w:szCs w:val="22"/>
                <w:highlight w:val="none"/>
                <w:lang w:val="en-US" w:eastAsia="zh-CN"/>
              </w:rPr>
              <w:t>主</w:t>
            </w:r>
            <w:r>
              <w:rPr>
                <w:rFonts w:hint="eastAsia" w:ascii="仿宋" w:hAnsi="仿宋" w:eastAsia="仿宋" w:cs="仿宋"/>
                <w:color w:val="auto"/>
                <w:kern w:val="0"/>
                <w:sz w:val="22"/>
                <w:szCs w:val="22"/>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13</w:t>
            </w:r>
          </w:p>
        </w:tc>
        <w:tc>
          <w:tcPr>
            <w:tcW w:w="5535"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快捷服务承诺、项目管理及质量保证、优惠措施等。在采购人日常需求以外，是否给出优惠承诺，如遇重要活动或非工作日中，能够提供采购需求之外保安、保洁、</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rPr>
              <w:t>工程维修等的工时情况（提出优惠承诺得</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分，否则不得分）。（0-</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p>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以及其他特色服务和响应措施等情况。（提出服务措施得</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分，否则不得分）（0-</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0-4</w:t>
            </w:r>
            <w:r>
              <w:rPr>
                <w:rStyle w:val="311"/>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3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p>
        </w:tc>
        <w:tc>
          <w:tcPr>
            <w:tcW w:w="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14</w:t>
            </w:r>
          </w:p>
          <w:p>
            <w:pPr>
              <w:rPr>
                <w:rFonts w:hint="default"/>
                <w:sz w:val="20"/>
                <w:szCs w:val="22"/>
                <w:lang w:val="en-US" w:eastAsia="zh-CN"/>
              </w:rPr>
            </w:pPr>
          </w:p>
        </w:tc>
        <w:tc>
          <w:tcPr>
            <w:tcW w:w="5535" w:type="dxa"/>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1、各项内部管理制度（人员管理、设备管理、财务管理、安全管理等）和质量控制标准情况，是否具有相关规章制度和保障措施综合评定；（0-</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p>
          <w:p>
            <w:pPr>
              <w:keepNext w:val="0"/>
              <w:keepLines w:val="0"/>
              <w:pageBreakBefore w:val="0"/>
              <w:widowControl/>
              <w:kinsoku/>
              <w:wordWrap/>
              <w:overflowPunct/>
              <w:topLinePunct w:val="0"/>
              <w:autoSpaceDE/>
              <w:autoSpaceDN/>
              <w:bidi w:val="0"/>
              <w:adjustRightInd/>
              <w:snapToGrid/>
              <w:spacing w:after="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2、是否实行信息化管理</w:t>
            </w:r>
            <w:r>
              <w:rPr>
                <w:rFonts w:hint="eastAsia" w:ascii="仿宋" w:hAnsi="仿宋" w:eastAsia="仿宋" w:cs="仿宋"/>
                <w:color w:val="auto"/>
                <w:kern w:val="0"/>
                <w:sz w:val="22"/>
                <w:szCs w:val="22"/>
                <w:highlight w:val="none"/>
                <w:lang w:val="en-US" w:eastAsia="zh-CN"/>
              </w:rPr>
              <w:t>等</w:t>
            </w:r>
            <w:r>
              <w:rPr>
                <w:rFonts w:hint="eastAsia" w:ascii="仿宋" w:hAnsi="仿宋" w:eastAsia="仿宋" w:cs="仿宋"/>
                <w:color w:val="auto"/>
                <w:kern w:val="0"/>
                <w:sz w:val="22"/>
                <w:szCs w:val="22"/>
                <w:highlight w:val="none"/>
                <w:lang w:eastAsia="zh-CN"/>
              </w:rPr>
              <w:t>：</w:t>
            </w:r>
            <w:r>
              <w:rPr>
                <w:rFonts w:hint="eastAsia" w:ascii="仿宋" w:hAnsi="仿宋" w:eastAsia="仿宋" w:cs="仿宋"/>
                <w:color w:val="auto"/>
                <w:kern w:val="0"/>
                <w:sz w:val="22"/>
                <w:szCs w:val="22"/>
                <w:highlight w:val="none"/>
              </w:rPr>
              <w:t>视公司信息化管理程度。（0-</w:t>
            </w: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color w:val="auto"/>
                <w:kern w:val="0"/>
                <w:sz w:val="22"/>
                <w:szCs w:val="22"/>
                <w:highlight w:val="none"/>
              </w:rPr>
              <w:t>分）</w:t>
            </w:r>
          </w:p>
        </w:tc>
        <w:tc>
          <w:tcPr>
            <w:tcW w:w="825" w:type="dxa"/>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0-4</w:t>
            </w:r>
            <w:r>
              <w:rPr>
                <w:rStyle w:val="311"/>
                <w:rFonts w:hint="eastAsia" w:ascii="仿宋" w:hAnsi="仿宋" w:eastAsia="仿宋" w:cs="仿宋"/>
                <w:color w:val="auto"/>
                <w:sz w:val="22"/>
                <w:szCs w:val="22"/>
                <w:highlight w:val="none"/>
              </w:rPr>
              <w:t>分</w:t>
            </w:r>
          </w:p>
        </w:tc>
        <w:tc>
          <w:tcPr>
            <w:tcW w:w="914" w:type="dxa"/>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主观分</w:t>
            </w:r>
          </w:p>
        </w:tc>
      </w:tr>
    </w:tbl>
    <w:p>
      <w:pPr>
        <w:rPr>
          <w:color w:val="auto"/>
          <w:highlight w:val="none"/>
        </w:rPr>
      </w:pPr>
    </w:p>
    <w:p>
      <w:pPr>
        <w:keepNext w:val="0"/>
        <w:keepLines w:val="0"/>
        <w:pageBreakBefore w:val="0"/>
        <w:widowControl/>
        <w:kinsoku/>
        <w:wordWrap/>
        <w:overflowPunct/>
        <w:topLinePunct w:val="0"/>
        <w:autoSpaceDE/>
        <w:autoSpaceDN/>
        <w:bidi w:val="0"/>
        <w:adjustRightInd/>
        <w:snapToGrid/>
        <w:spacing w:after="0" w:line="240" w:lineRule="auto"/>
        <w:ind w:firstLine="400" w:firstLineChars="200"/>
        <w:textAlignment w:val="auto"/>
        <w:rPr>
          <w:rFonts w:hint="eastAsia" w:ascii="仿宋" w:hAnsi="仿宋" w:eastAsia="仿宋" w:cs="仿宋"/>
          <w:color w:val="auto"/>
          <w:sz w:val="24"/>
          <w:szCs w:val="24"/>
          <w:highlight w:val="none"/>
        </w:rPr>
      </w:pPr>
      <w:r>
        <w:rPr>
          <w:rFonts w:hint="eastAsia" w:ascii="宋体" w:hAnsi="宋体" w:cs="宋体"/>
          <w:color w:val="auto"/>
          <w:sz w:val="20"/>
          <w:szCs w:val="20"/>
          <w:highlight w:val="none"/>
          <w:shd w:val="clear" w:color="auto" w:fill="FFFFFF"/>
        </w:rPr>
        <w:t xml:space="preserve">  </w:t>
      </w:r>
      <w:r>
        <w:rPr>
          <w:rFonts w:hint="eastAsia" w:ascii="仿宋" w:hAnsi="仿宋" w:eastAsia="仿宋" w:cs="仿宋"/>
          <w:color w:val="auto"/>
          <w:sz w:val="24"/>
          <w:szCs w:val="24"/>
          <w:highlight w:val="none"/>
        </w:rPr>
        <w:t>3、价格分（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0分）</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价格权值=0.</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最低有效投标价格为评标基准价</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投标报价得分=(评标基准价／投标报价)×价格权值×100 </w:t>
            </w:r>
          </w:p>
          <w:p>
            <w:pPr>
              <w:keepNext w:val="0"/>
              <w:keepLines w:val="0"/>
              <w:pageBreakBefore w:val="0"/>
              <w:widowControl/>
              <w:kinsoku/>
              <w:wordWrap/>
              <w:overflowPunct/>
              <w:topLinePunct w:val="0"/>
              <w:autoSpaceDE/>
              <w:autoSpaceDN/>
              <w:bidi w:val="0"/>
              <w:adjustRightInd/>
              <w:snapToGrid/>
              <w:spacing w:after="0"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（计算得分保留小数点后2位）</w:t>
            </w:r>
          </w:p>
        </w:tc>
      </w:tr>
    </w:tbl>
    <w:p>
      <w:pPr>
        <w:spacing w:line="360" w:lineRule="auto"/>
        <w:rPr>
          <w:rFonts w:hint="eastAsia" w:ascii="宋体" w:hAnsi="宋体" w:cs="宋体"/>
          <w:b w:val="0"/>
          <w:bCs w:val="0"/>
          <w:color w:val="auto"/>
          <w:sz w:val="24"/>
          <w:highlight w:val="none"/>
        </w:rPr>
      </w:pPr>
      <w:r>
        <w:rPr>
          <w:rFonts w:hint="eastAsia" w:ascii="宋体" w:hAnsi="宋体" w:cs="宋体"/>
          <w:b w:val="0"/>
          <w:bCs w:val="0"/>
          <w:color w:val="auto"/>
          <w:sz w:val="20"/>
          <w:szCs w:val="20"/>
          <w:highlight w:val="none"/>
          <w:shd w:val="clear" w:color="auto" w:fill="FFFFFF"/>
        </w:rPr>
        <w:t>*</w:t>
      </w:r>
      <w:r>
        <w:rPr>
          <w:rFonts w:hint="eastAsia" w:ascii="宋体" w:hAnsi="宋体" w:cs="宋体"/>
          <w:b w:val="0"/>
          <w:bCs w:val="0"/>
          <w:color w:val="auto"/>
          <w:sz w:val="24"/>
          <w:highlight w:val="none"/>
        </w:rPr>
        <w:t xml:space="preserve">备注：1、投标人编制投标文件（商务技术文件部分）时，建议按此目录（序号和内容）提供评标标准相应的商务技术资料。 </w:t>
      </w:r>
    </w:p>
    <w:p>
      <w:pPr>
        <w:spacing w:line="360" w:lineRule="auto"/>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2、评分条款中涉及的业绩、荣誉、人员、社保等分公司均有效。涉及社保、劳动关系证明关系的，如人员为法人代表，则无需提供相关证明</w:t>
      </w:r>
      <w:r>
        <w:rPr>
          <w:rFonts w:hint="default" w:ascii="宋体" w:hAnsi="宋体" w:cs="宋体"/>
          <w:b w:val="0"/>
          <w:bCs w:val="0"/>
          <w:color w:val="auto"/>
          <w:sz w:val="24"/>
          <w:highlight w:val="none"/>
        </w:rPr>
        <w:t>，提供营业执照及身份证</w:t>
      </w:r>
      <w:r>
        <w:rPr>
          <w:rFonts w:hint="eastAsia" w:ascii="宋体" w:hAnsi="宋体" w:cs="宋体"/>
          <w:b w:val="0"/>
          <w:bCs w:val="0"/>
          <w:color w:val="auto"/>
          <w:sz w:val="24"/>
          <w:highlight w:val="none"/>
        </w:rPr>
        <w:t>。</w:t>
      </w:r>
    </w:p>
    <w:p>
      <w:pPr>
        <w:spacing w:line="360" w:lineRule="auto"/>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3、投标文件中如附有外文资料，必须逐一对应翻译成中文并加盖投标人公章后附在相关外文资料后面，否则外文资料不予认可。</w:t>
      </w:r>
    </w:p>
    <w:p>
      <w:pPr>
        <w:spacing w:line="360" w:lineRule="auto"/>
        <w:rPr>
          <w:rFonts w:cs="仿宋_GB2312"/>
          <w:color w:val="auto"/>
          <w:highlight w:val="none"/>
        </w:rPr>
      </w:pP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color w:val="auto"/>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 xml:space="preserve"> 投标文件不满足招标文件的实质性要求的；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hint="eastAsia"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rPr>
          <w:rFonts w:hint="eastAsia" w:cs="宋体"/>
          <w:color w:val="auto"/>
          <w:highlight w:val="none"/>
        </w:rPr>
      </w:pPr>
    </w:p>
    <w:p>
      <w:pPr>
        <w:pStyle w:val="24"/>
        <w:snapToGrid w:val="0"/>
        <w:spacing w:line="360" w:lineRule="auto"/>
        <w:ind w:firstLine="0" w:firstLineChars="0"/>
        <w:rPr>
          <w:rFonts w:cs="宋体"/>
          <w:color w:val="auto"/>
          <w:highlight w:val="none"/>
        </w:rPr>
      </w:pPr>
    </w:p>
    <w:bookmarkEnd w:id="31"/>
    <w:p>
      <w:pPr>
        <w:spacing w:line="360" w:lineRule="auto"/>
        <w:ind w:left="720" w:leftChars="343" w:firstLine="1084" w:firstLineChars="300"/>
        <w:outlineLvl w:val="0"/>
        <w:rPr>
          <w:rFonts w:ascii="宋体" w:hAnsi="宋体" w:cs="宋体"/>
          <w:b/>
          <w:color w:val="auto"/>
          <w:sz w:val="36"/>
          <w:szCs w:val="36"/>
          <w:highlight w:val="none"/>
        </w:rPr>
      </w:pPr>
      <w:bookmarkStart w:id="397" w:name="第五部分"/>
      <w:bookmarkStart w:id="398"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240" w:lineRule="auto"/>
        <w:ind w:left="0" w:leftChars="0" w:firstLine="0" w:firstLineChars="0"/>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9" w:name="_Toc22967"/>
      <w:bookmarkStart w:id="400" w:name="_Toc28855"/>
      <w:bookmarkStart w:id="401" w:name="_Toc20421"/>
      <w:bookmarkStart w:id="402" w:name="_Toc19273"/>
      <w:bookmarkStart w:id="403" w:name="_Toc15367"/>
      <w:r>
        <w:rPr>
          <w:rFonts w:ascii="宋体" w:hAnsi="宋体"/>
          <w:b/>
          <w:sz w:val="24"/>
        </w:rPr>
        <w:t xml:space="preserve">1.1 </w:t>
      </w:r>
      <w:r>
        <w:rPr>
          <w:rFonts w:hint="eastAsia" w:ascii="宋体" w:hAnsi="宋体"/>
          <w:b/>
          <w:sz w:val="24"/>
        </w:rPr>
        <w:t>合同组成部分</w:t>
      </w:r>
      <w:bookmarkEnd w:id="399"/>
      <w:bookmarkEnd w:id="400"/>
      <w:bookmarkEnd w:id="401"/>
      <w:bookmarkEnd w:id="402"/>
      <w:bookmarkEnd w:id="40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4" w:name="_Toc18585"/>
      <w:bookmarkStart w:id="405" w:name="_Toc2918"/>
      <w:bookmarkStart w:id="406" w:name="_Toc6773"/>
      <w:bookmarkStart w:id="407" w:name="_Toc22185"/>
      <w:bookmarkStart w:id="408" w:name="_Toc6311"/>
      <w:r>
        <w:rPr>
          <w:rFonts w:ascii="宋体" w:hAnsi="宋体"/>
          <w:b/>
          <w:sz w:val="24"/>
        </w:rPr>
        <w:t xml:space="preserve">1.2 </w:t>
      </w:r>
      <w:r>
        <w:rPr>
          <w:rFonts w:hint="eastAsia" w:ascii="宋体" w:hAnsi="宋体"/>
          <w:b/>
          <w:sz w:val="24"/>
        </w:rPr>
        <w:t>标的</w:t>
      </w:r>
      <w:bookmarkEnd w:id="404"/>
      <w:bookmarkEnd w:id="405"/>
      <w:bookmarkEnd w:id="406"/>
      <w:bookmarkEnd w:id="407"/>
      <w:bookmarkEnd w:id="40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9" w:name="_Toc13918"/>
      <w:bookmarkStart w:id="410" w:name="_Toc5635"/>
      <w:bookmarkStart w:id="411" w:name="_Toc4929"/>
      <w:bookmarkStart w:id="412" w:name="_Toc21124"/>
      <w:bookmarkStart w:id="413"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4" w:name="_Toc3654"/>
      <w:bookmarkStart w:id="415" w:name="_Toc30158"/>
      <w:bookmarkStart w:id="416" w:name="_Toc30506"/>
      <w:bookmarkStart w:id="417" w:name="_Toc26916"/>
      <w:bookmarkStart w:id="418"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4"/>
    <w:bookmarkEnd w:id="415"/>
    <w:bookmarkEnd w:id="416"/>
    <w:bookmarkEnd w:id="417"/>
    <w:bookmarkEnd w:id="418"/>
    <w:p>
      <w:pPr>
        <w:pStyle w:val="957"/>
        <w:spacing w:before="0" w:beforeAutospacing="0" w:after="0" w:afterAutospacing="0" w:line="360" w:lineRule="auto"/>
        <w:ind w:firstLine="480"/>
        <w:rPr>
          <w:b/>
        </w:rPr>
      </w:pPr>
      <w:bookmarkStart w:id="419" w:name="_Toc4760"/>
      <w:bookmarkStart w:id="420" w:name="_Toc8772"/>
      <w:bookmarkStart w:id="421" w:name="_Toc3625"/>
      <w:bookmarkStart w:id="422" w:name="_Toc31421"/>
      <w:bookmarkStart w:id="423" w:name="_Toc11108"/>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3079"/>
      <w:bookmarkStart w:id="425" w:name="_Toc5698"/>
      <w:bookmarkStart w:id="426" w:name="_Toc2375"/>
      <w:bookmarkStart w:id="427" w:name="_Toc24662"/>
      <w:bookmarkStart w:id="428"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26807"/>
      <w:bookmarkStart w:id="430" w:name="_Toc30329"/>
      <w:bookmarkStart w:id="431" w:name="_Toc32454"/>
      <w:bookmarkStart w:id="432" w:name="_Toc18683"/>
      <w:bookmarkStart w:id="433"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4" w:name="_Toc14021"/>
      <w:bookmarkStart w:id="435" w:name="_Toc31297"/>
      <w:bookmarkStart w:id="436" w:name="_Toc19680"/>
      <w:bookmarkStart w:id="437" w:name="_Toc5228"/>
      <w:bookmarkStart w:id="438" w:name="_Toc25079"/>
      <w:r>
        <w:rPr>
          <w:rFonts w:ascii="宋体" w:hAnsi="宋体"/>
          <w:b/>
          <w:sz w:val="24"/>
        </w:rPr>
        <w:t>2.1 定义</w:t>
      </w:r>
      <w:bookmarkEnd w:id="434"/>
      <w:bookmarkEnd w:id="435"/>
      <w:bookmarkEnd w:id="436"/>
      <w:bookmarkEnd w:id="437"/>
      <w:bookmarkEnd w:id="438"/>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39" w:name="_Toc19539"/>
      <w:bookmarkStart w:id="440" w:name="_Toc31402"/>
      <w:bookmarkStart w:id="441" w:name="_Toc16752"/>
      <w:bookmarkStart w:id="442" w:name="_Toc23289"/>
      <w:bookmarkStart w:id="443" w:name="_Toc3769"/>
      <w:r>
        <w:rPr>
          <w:rFonts w:ascii="宋体" w:hAnsi="宋体"/>
          <w:b/>
          <w:sz w:val="24"/>
        </w:rPr>
        <w:t>2.2 技术规范</w:t>
      </w:r>
      <w:bookmarkEnd w:id="439"/>
      <w:bookmarkEnd w:id="440"/>
      <w:bookmarkEnd w:id="441"/>
      <w:bookmarkEnd w:id="442"/>
      <w:bookmarkEnd w:id="443"/>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4" w:name="_Toc9161"/>
      <w:bookmarkStart w:id="445" w:name="_Toc12412"/>
      <w:bookmarkStart w:id="446" w:name="_Toc4133"/>
      <w:bookmarkStart w:id="447" w:name="_Toc27945"/>
      <w:bookmarkStart w:id="448" w:name="_Toc13673"/>
      <w:r>
        <w:rPr>
          <w:rFonts w:ascii="宋体" w:hAnsi="宋体"/>
          <w:b/>
          <w:sz w:val="24"/>
        </w:rPr>
        <w:t>2.3 知识产权</w:t>
      </w:r>
      <w:bookmarkEnd w:id="444"/>
      <w:bookmarkEnd w:id="445"/>
      <w:bookmarkEnd w:id="446"/>
      <w:bookmarkEnd w:id="447"/>
      <w:bookmarkEnd w:id="448"/>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49" w:name="_Toc31233"/>
      <w:bookmarkStart w:id="450" w:name="_Toc15447"/>
      <w:bookmarkStart w:id="451" w:name="_Toc26555"/>
      <w:bookmarkStart w:id="452" w:name="_Toc22011"/>
      <w:bookmarkStart w:id="453" w:name="_Toc32670"/>
      <w:r>
        <w:rPr>
          <w:rFonts w:ascii="宋体" w:hAnsi="宋体"/>
          <w:b/>
          <w:sz w:val="24"/>
        </w:rPr>
        <w:t>2.5 结算方式和付款条件</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4" w:name="_Toc16163"/>
      <w:bookmarkStart w:id="455" w:name="_Toc13467"/>
      <w:bookmarkStart w:id="456" w:name="_Toc13154"/>
      <w:bookmarkStart w:id="457" w:name="_Toc30507"/>
      <w:bookmarkStart w:id="458" w:name="_Toc18990"/>
      <w:r>
        <w:rPr>
          <w:rFonts w:ascii="宋体" w:hAnsi="宋体"/>
          <w:b/>
          <w:sz w:val="24"/>
        </w:rPr>
        <w:t>2.6 技术资料和保密义务</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59" w:name="_Toc19069"/>
      <w:r>
        <w:rPr>
          <w:rFonts w:ascii="宋体" w:hAnsi="宋体"/>
          <w:b/>
          <w:sz w:val="24"/>
        </w:rPr>
        <w:t xml:space="preserve">2.7 </w:t>
      </w:r>
      <w:r>
        <w:rPr>
          <w:rFonts w:hint="eastAsia" w:ascii="宋体" w:hAnsi="宋体"/>
          <w:b/>
          <w:sz w:val="24"/>
        </w:rPr>
        <w:t>质量保证</w:t>
      </w:r>
      <w:bookmarkEnd w:id="459"/>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0" w:name="_Toc22267"/>
      <w:r>
        <w:rPr>
          <w:rFonts w:ascii="宋体" w:hAnsi="宋体"/>
          <w:b/>
          <w:sz w:val="24"/>
        </w:rPr>
        <w:t xml:space="preserve">2.8 </w:t>
      </w:r>
      <w:r>
        <w:rPr>
          <w:rFonts w:hint="eastAsia" w:ascii="宋体" w:hAnsi="宋体"/>
          <w:b/>
          <w:sz w:val="24"/>
        </w:rPr>
        <w:t>延迟履行</w:t>
      </w:r>
      <w:bookmarkEnd w:id="460"/>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1" w:name="_Toc10611"/>
      <w:r>
        <w:rPr>
          <w:rFonts w:ascii="宋体" w:hAnsi="宋体"/>
          <w:b/>
          <w:sz w:val="24"/>
        </w:rPr>
        <w:t xml:space="preserve">2.9 </w:t>
      </w:r>
      <w:r>
        <w:rPr>
          <w:rFonts w:hint="eastAsia" w:ascii="宋体" w:hAnsi="宋体"/>
          <w:b/>
          <w:sz w:val="24"/>
        </w:rPr>
        <w:t>合同变更</w:t>
      </w:r>
      <w:bookmarkEnd w:id="461"/>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2" w:name="_Toc21830"/>
      <w:bookmarkStart w:id="463" w:name="_Toc26689"/>
      <w:bookmarkStart w:id="464" w:name="_Toc23368"/>
      <w:bookmarkStart w:id="465" w:name="_Toc42"/>
      <w:bookmarkStart w:id="466" w:name="_Toc10663"/>
      <w:r>
        <w:rPr>
          <w:rFonts w:ascii="宋体" w:hAnsi="宋体"/>
          <w:b/>
          <w:sz w:val="24"/>
        </w:rPr>
        <w:t>2.10 合同转让和分包</w:t>
      </w:r>
      <w:bookmarkEnd w:id="462"/>
      <w:bookmarkEnd w:id="463"/>
      <w:bookmarkEnd w:id="464"/>
      <w:bookmarkEnd w:id="465"/>
      <w:bookmarkEnd w:id="466"/>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7" w:name="_Toc4720"/>
      <w:bookmarkStart w:id="468" w:name="_Toc26633"/>
      <w:bookmarkStart w:id="469" w:name="_Toc32494"/>
      <w:bookmarkStart w:id="470" w:name="_Toc14371"/>
      <w:bookmarkStart w:id="471" w:name="_Toc25571"/>
      <w:r>
        <w:rPr>
          <w:rFonts w:ascii="宋体" w:hAnsi="宋体"/>
          <w:b/>
          <w:sz w:val="24"/>
        </w:rPr>
        <w:t>2.11 不可抗力</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2" w:name="_Toc14115"/>
      <w:bookmarkStart w:id="473" w:name="_Toc24465"/>
      <w:bookmarkStart w:id="474" w:name="_Toc23854"/>
      <w:bookmarkStart w:id="475" w:name="_Toc25783"/>
      <w:bookmarkStart w:id="476" w:name="_Toc3638"/>
      <w:r>
        <w:rPr>
          <w:rFonts w:ascii="宋体" w:hAnsi="宋体"/>
          <w:b/>
          <w:sz w:val="24"/>
        </w:rPr>
        <w:t>2.12 税费</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7" w:name="_Toc26883"/>
      <w:bookmarkStart w:id="478" w:name="_Toc14814"/>
      <w:bookmarkStart w:id="479" w:name="_Toc30105"/>
      <w:bookmarkStart w:id="480" w:name="_Toc25525"/>
      <w:bookmarkStart w:id="481" w:name="_Toc7315"/>
      <w:r>
        <w:rPr>
          <w:rFonts w:ascii="宋体" w:hAnsi="宋体"/>
          <w:b/>
          <w:sz w:val="24"/>
        </w:rPr>
        <w:t>2.13 乙方破产</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2" w:name="_Toc23323"/>
      <w:bookmarkStart w:id="483" w:name="_Toc1123"/>
      <w:bookmarkStart w:id="484" w:name="_Toc2016"/>
      <w:r>
        <w:rPr>
          <w:rFonts w:ascii="宋体" w:hAnsi="宋体"/>
          <w:b/>
          <w:sz w:val="24"/>
        </w:rPr>
        <w:t>2.14 合同中止、终止</w:t>
      </w:r>
      <w:bookmarkEnd w:id="482"/>
      <w:bookmarkEnd w:id="483"/>
      <w:bookmarkEnd w:id="484"/>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5" w:name="_Toc17363"/>
      <w:bookmarkStart w:id="486" w:name="_Toc14525"/>
      <w:bookmarkStart w:id="487" w:name="_Toc1969"/>
      <w:r>
        <w:rPr>
          <w:rFonts w:ascii="宋体" w:hAnsi="宋体"/>
          <w:b/>
          <w:sz w:val="24"/>
        </w:rPr>
        <w:t>2.15 检验和验收</w:t>
      </w:r>
      <w:bookmarkEnd w:id="485"/>
      <w:bookmarkEnd w:id="486"/>
      <w:bookmarkEnd w:id="487"/>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8" w:name="_Toc12666"/>
      <w:bookmarkStart w:id="489" w:name="_Toc25198"/>
      <w:bookmarkStart w:id="490" w:name="_Toc2308"/>
      <w:bookmarkStart w:id="491" w:name="_Toc9808"/>
      <w:bookmarkStart w:id="492" w:name="_Toc31892"/>
      <w:r>
        <w:rPr>
          <w:rFonts w:ascii="宋体" w:hAnsi="宋体"/>
          <w:b/>
          <w:sz w:val="24"/>
        </w:rPr>
        <w:t>2.16 通知和送达</w:t>
      </w:r>
      <w:bookmarkEnd w:id="488"/>
      <w:bookmarkEnd w:id="489"/>
      <w:bookmarkEnd w:id="490"/>
      <w:bookmarkEnd w:id="491"/>
      <w:bookmarkEnd w:id="492"/>
    </w:p>
    <w:p>
      <w:pPr>
        <w:spacing w:line="560" w:lineRule="exact"/>
        <w:ind w:firstLine="480" w:firstLineChars="200"/>
        <w:rPr>
          <w:rFonts w:ascii="宋体" w:hAnsi="宋体"/>
          <w:sz w:val="24"/>
        </w:rPr>
      </w:pPr>
      <w:bookmarkStart w:id="493" w:name="_Toc27674"/>
      <w:bookmarkStart w:id="494"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3"/>
      <w:bookmarkEnd w:id="494"/>
    </w:p>
    <w:p>
      <w:pPr>
        <w:spacing w:line="560" w:lineRule="exact"/>
        <w:ind w:firstLine="482" w:firstLineChars="200"/>
        <w:outlineLvl w:val="0"/>
        <w:rPr>
          <w:rFonts w:ascii="宋体" w:hAnsi="宋体"/>
          <w:b/>
          <w:sz w:val="24"/>
        </w:rPr>
      </w:pPr>
      <w:bookmarkStart w:id="495" w:name="_Toc5063"/>
      <w:bookmarkStart w:id="496" w:name="_Toc27644"/>
      <w:bookmarkStart w:id="497" w:name="_Toc20808"/>
      <w:bookmarkStart w:id="498" w:name="_Toc28906"/>
      <w:bookmarkStart w:id="499"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5"/>
      <w:bookmarkEnd w:id="496"/>
      <w:bookmarkEnd w:id="497"/>
      <w:bookmarkEnd w:id="498"/>
      <w:bookmarkEnd w:id="499"/>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p>
    <w:p>
      <w:pPr>
        <w:spacing w:line="360" w:lineRule="auto"/>
        <w:jc w:val="center"/>
        <w:outlineLvl w:val="0"/>
        <w:rPr>
          <w:rFonts w:ascii="宋体" w:hAnsi="宋体" w:cs="宋体"/>
          <w:b/>
          <w:sz w:val="24"/>
        </w:rPr>
      </w:pPr>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149" w:type="dxa"/>
          </w:tcPr>
          <w:p>
            <w:pPr>
              <w:spacing w:line="360" w:lineRule="auto"/>
              <w:rPr>
                <w:rFonts w:ascii="宋体" w:hAnsi="宋体" w:cs="宋体"/>
                <w:sz w:val="24"/>
              </w:rPr>
            </w:pPr>
          </w:p>
        </w:tc>
      </w:tr>
    </w:tbl>
    <w:p>
      <w:pPr>
        <w:pStyle w:val="2"/>
      </w:pPr>
    </w:p>
    <w:p>
      <w:pPr>
        <w:spacing w:line="360" w:lineRule="auto"/>
        <w:ind w:left="-420" w:leftChars="-200" w:right="-420" w:rightChars="-200"/>
        <w:rPr>
          <w:rFonts w:ascii="宋体" w:hAnsi="宋体" w:cs="宋体"/>
          <w:color w:val="auto"/>
          <w:sz w:val="24"/>
          <w:highlight w:val="none"/>
        </w:rPr>
      </w:pPr>
    </w:p>
    <w:p>
      <w:pPr>
        <w:pStyle w:val="2"/>
        <w:rPr>
          <w:color w:val="auto"/>
          <w:highlight w:val="none"/>
        </w:rPr>
      </w:pPr>
    </w:p>
    <w:p>
      <w:pPr>
        <w:rPr>
          <w:color w:val="auto"/>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7"/>
      <w:r>
        <w:rPr>
          <w:rFonts w:hint="eastAsia" w:ascii="宋体" w:hAnsi="宋体" w:cs="宋体"/>
          <w:b/>
          <w:color w:val="auto"/>
          <w:sz w:val="36"/>
          <w:szCs w:val="20"/>
          <w:highlight w:val="none"/>
        </w:rPr>
        <w:t xml:space="preserve"> </w:t>
      </w:r>
      <w:bookmarkEnd w:id="39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b/>
          <w:color w:val="auto"/>
          <w:kern w:val="0"/>
          <w:sz w:val="32"/>
          <w:szCs w:val="32"/>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both"/>
        <w:rPr>
          <w:rFonts w:ascii="宋体" w:hAnsi="宋体" w:cs="宋体"/>
          <w:b/>
          <w:color w:val="auto"/>
          <w:kern w:val="0"/>
          <w:sz w:val="32"/>
          <w:szCs w:val="32"/>
          <w:highlight w:val="none"/>
        </w:rPr>
      </w:pPr>
    </w:p>
    <w:p>
      <w:pPr>
        <w:snapToGrid w:val="0"/>
        <w:spacing w:line="360" w:lineRule="auto"/>
        <w:ind w:right="480" w:firstLine="559" w:firstLineChars="233"/>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zh-CN"/>
        </w:rPr>
        <w:t xml:space="preserve">                                                 签发日期：  年  月   日</w:t>
      </w:r>
    </w:p>
    <w:p>
      <w:pPr>
        <w:jc w:val="center"/>
        <w:rPr>
          <w:rFonts w:hint="eastAsia"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 xml:space="preserve">      </w:t>
      </w: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b/>
          <w:color w:val="auto"/>
          <w:kern w:val="0"/>
          <w:sz w:val="32"/>
          <w:szCs w:val="32"/>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500"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00"/>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lang w:eastAsia="zh-CN"/>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未做阐述说明的，投标无效。</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01" w:name="_Hlk101259491"/>
      <w:r>
        <w:rPr>
          <w:rFonts w:hint="eastAsia" w:ascii="宋体" w:hAnsi="宋体" w:eastAsia="宋体" w:cs="宋体"/>
          <w:color w:val="auto"/>
          <w:sz w:val="32"/>
          <w:szCs w:val="32"/>
          <w:highlight w:val="none"/>
        </w:rPr>
        <w:t>（如果有）</w:t>
      </w:r>
      <w:bookmarkEnd w:id="501"/>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02" w:name="_Toc465665161"/>
      <w:r>
        <w:rPr>
          <w:rFonts w:hint="eastAsia" w:ascii="宋体" w:hAnsi="宋体" w:cs="宋体"/>
          <w:color w:val="auto"/>
          <w:highlight w:val="none"/>
        </w:rPr>
        <w:t>附件</w:t>
      </w:r>
      <w:bookmarkEnd w:id="502"/>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3" w:name="OLE_LINK14"/>
      <w:bookmarkStart w:id="504" w:name="OLE_LINK13"/>
      <w:r>
        <w:rPr>
          <w:rFonts w:hint="eastAsia" w:ascii="宋体" w:hAnsi="宋体" w:cs="宋体"/>
          <w:b/>
          <w:color w:val="auto"/>
          <w:spacing w:val="6"/>
          <w:sz w:val="32"/>
          <w:szCs w:val="32"/>
          <w:highlight w:val="none"/>
        </w:rPr>
        <w:t>残疾人福利性单位声明函</w:t>
      </w:r>
    </w:p>
    <w:bookmarkEnd w:id="503"/>
    <w:bookmarkEnd w:id="50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05"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05"/>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06"/>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outlineLvl w:val="0"/>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附件</w:t>
      </w:r>
      <w:r>
        <w:rPr>
          <w:rFonts w:ascii="宋体" w:hAnsi="宋体" w:cs="宋体"/>
          <w:b/>
          <w:color w:val="auto"/>
          <w:kern w:val="0"/>
          <w:sz w:val="44"/>
          <w:szCs w:val="44"/>
          <w:highlight w:val="none"/>
        </w:rPr>
        <w:t>7</w:t>
      </w:r>
      <w:r>
        <w:rPr>
          <w:rFonts w:hint="eastAsia" w:ascii="宋体" w:hAnsi="宋体" w:cs="宋体"/>
          <w:b/>
          <w:color w:val="auto"/>
          <w:kern w:val="0"/>
          <w:sz w:val="44"/>
          <w:szCs w:val="44"/>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r>
        <w:rPr>
          <w:rFonts w:ascii="宋体" w:hAnsi="宋体" w:cs="宋体"/>
          <w:b/>
          <w:color w:val="auto"/>
          <w:sz w:val="32"/>
          <w:szCs w:val="32"/>
          <w:highlight w:val="none"/>
        </w:rPr>
        <w:br w:type="page"/>
      </w:r>
    </w:p>
    <w:p>
      <w:pPr>
        <w:pStyle w:val="2"/>
        <w:jc w:val="left"/>
        <w:rPr>
          <w:rFonts w:cs="仿宋_GB2312"/>
          <w:color w:val="auto"/>
          <w:sz w:val="24"/>
          <w:highlight w:val="none"/>
        </w:rPr>
      </w:pPr>
      <w:r>
        <w:rPr>
          <w:rFonts w:hint="eastAsia"/>
          <w:color w:val="auto"/>
          <w:highlight w:val="none"/>
        </w:rPr>
        <w:t>附件</w:t>
      </w:r>
      <w:r>
        <w:rPr>
          <w:rFonts w:hint="eastAsia"/>
          <w:color w:val="auto"/>
          <w:highlight w:val="none"/>
          <w:lang w:val="en-US" w:eastAsia="zh-CN"/>
        </w:rPr>
        <w:t>8</w:t>
      </w:r>
      <w:r>
        <w:rPr>
          <w:rFonts w:hint="eastAsia"/>
          <w:color w:val="auto"/>
          <w:highlight w:val="none"/>
        </w:rPr>
        <w:t>样品（演示）授权委托书</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cs="仿宋"/>
          <w:color w:val="auto"/>
          <w:highlight w:val="none"/>
        </w:rPr>
      </w:pPr>
      <w:r>
        <w:rPr>
          <w:rFonts w:hint="eastAsia" w:cs="仿宋_GB2312"/>
          <w:color w:val="auto"/>
          <w:highlight w:val="none"/>
        </w:rPr>
        <w:t>XXX（单位名称或采购机构名称）</w:t>
      </w:r>
      <w:r>
        <w:rPr>
          <w:rFonts w:hint="eastAsia" w:cs="仿宋"/>
          <w:color w:val="auto"/>
          <w:highlight w:val="none"/>
          <w:lang w:val="zh-CN"/>
        </w:rPr>
        <w:t>：</w:t>
      </w:r>
    </w:p>
    <w:p>
      <w:pPr>
        <w:snapToGrid w:val="0"/>
        <w:spacing w:line="360" w:lineRule="auto"/>
        <w:ind w:left="254" w:leftChars="121" w:firstLine="420" w:firstLineChars="200"/>
        <w:rPr>
          <w:rFonts w:cs="仿宋"/>
          <w:color w:val="auto"/>
          <w:highlight w:val="none"/>
          <w:u w:val="single"/>
          <w:lang w:val="zh-CN"/>
        </w:rPr>
      </w:pPr>
      <w:r>
        <w:rPr>
          <w:rFonts w:hint="eastAsia" w:cs="仿宋"/>
          <w:color w:val="auto"/>
          <w:highlight w:val="none"/>
          <w:lang w:val="zh-CN"/>
        </w:rPr>
        <w:t>兹委派</w:t>
      </w:r>
      <w:r>
        <w:rPr>
          <w:rFonts w:hint="eastAsia" w:cs="仿宋"/>
          <w:color w:val="auto"/>
          <w:highlight w:val="none"/>
          <w:u w:val="single"/>
          <w:lang w:val="zh-CN"/>
        </w:rPr>
        <w:t xml:space="preserve">                </w:t>
      </w:r>
      <w:r>
        <w:rPr>
          <w:rFonts w:hint="eastAsia" w:cs="仿宋"/>
          <w:color w:val="auto"/>
          <w:highlight w:val="none"/>
          <w:lang w:val="zh-CN"/>
        </w:rPr>
        <w:t>先生/女士，身份证号：</w:t>
      </w:r>
      <w:r>
        <w:rPr>
          <w:rFonts w:hint="eastAsia" w:cs="仿宋"/>
          <w:color w:val="auto"/>
          <w:highlight w:val="none"/>
          <w:u w:val="single"/>
          <w:lang w:val="zh-CN"/>
        </w:rPr>
        <w:t xml:space="preserve"> </w:t>
      </w:r>
      <w:r>
        <w:rPr>
          <w:rFonts w:cs="仿宋"/>
          <w:color w:val="auto"/>
          <w:highlight w:val="none"/>
          <w:u w:val="single"/>
          <w:lang w:val="zh-CN"/>
        </w:rPr>
        <w:t xml:space="preserve">                  </w:t>
      </w:r>
    </w:p>
    <w:p>
      <w:pPr>
        <w:snapToGrid w:val="0"/>
        <w:spacing w:line="360" w:lineRule="auto"/>
        <w:ind w:left="254" w:leftChars="121" w:firstLine="420" w:firstLineChars="200"/>
        <w:rPr>
          <w:rFonts w:cs="仿宋"/>
          <w:color w:val="auto"/>
          <w:highlight w:val="none"/>
        </w:rPr>
      </w:pPr>
      <w:r>
        <w:rPr>
          <w:rFonts w:hint="eastAsia" w:cs="仿宋"/>
          <w:color w:val="auto"/>
          <w:highlight w:val="none"/>
          <w:lang w:val="zh-CN"/>
        </w:rPr>
        <w:t>手机：</w:t>
      </w:r>
      <w:r>
        <w:rPr>
          <w:rFonts w:hint="eastAsia" w:cs="仿宋"/>
          <w:color w:val="auto"/>
          <w:highlight w:val="none"/>
          <w:u w:val="single"/>
          <w:lang w:val="zh-CN"/>
        </w:rPr>
        <w:t xml:space="preserve">      </w:t>
      </w:r>
      <w:r>
        <w:rPr>
          <w:rFonts w:cs="仿宋"/>
          <w:color w:val="auto"/>
          <w:highlight w:val="none"/>
          <w:u w:val="single"/>
          <w:lang w:val="zh-CN"/>
        </w:rPr>
        <w:t xml:space="preserve">     </w:t>
      </w:r>
      <w:r>
        <w:rPr>
          <w:rFonts w:hint="eastAsia" w:cs="仿宋"/>
          <w:color w:val="auto"/>
          <w:highlight w:val="none"/>
          <w:u w:val="single"/>
          <w:lang w:val="zh-CN"/>
        </w:rPr>
        <w:t xml:space="preserve">  </w:t>
      </w:r>
      <w:r>
        <w:rPr>
          <w:rFonts w:hint="eastAsia" w:cs="仿宋"/>
          <w:color w:val="auto"/>
          <w:highlight w:val="none"/>
          <w:lang w:val="zh-CN"/>
        </w:rPr>
        <w:t>，代表我公司前来递交</w:t>
      </w:r>
      <w:r>
        <w:rPr>
          <w:rFonts w:cs="仿宋"/>
          <w:color w:val="auto"/>
          <w:highlight w:val="none"/>
          <w:u w:val="single"/>
          <w:lang w:val="zh-CN"/>
        </w:rPr>
        <w:t xml:space="preserve">                           </w:t>
      </w:r>
      <w:r>
        <w:rPr>
          <w:rFonts w:hint="eastAsia" w:cs="仿宋"/>
          <w:color w:val="auto"/>
          <w:highlight w:val="none"/>
          <w:u w:val="single"/>
          <w:lang w:val="zh-CN"/>
        </w:rPr>
        <w:t>采购项目</w:t>
      </w:r>
      <w:r>
        <w:rPr>
          <w:rFonts w:hint="eastAsia" w:cs="仿宋"/>
          <w:color w:val="auto"/>
          <w:highlight w:val="none"/>
          <w:lang w:val="zh-CN"/>
        </w:rPr>
        <w:t>【项目编号：</w:t>
      </w:r>
      <w:r>
        <w:rPr>
          <w:rFonts w:cs="仿宋"/>
          <w:color w:val="auto"/>
          <w:highlight w:val="none"/>
          <w:lang w:val="zh-CN"/>
        </w:rPr>
        <w:t xml:space="preserve">              </w:t>
      </w:r>
      <w:r>
        <w:rPr>
          <w:rFonts w:hint="eastAsia" w:cs="仿宋"/>
          <w:color w:val="auto"/>
          <w:highlight w:val="none"/>
          <w:lang w:val="zh-CN"/>
        </w:rPr>
        <w:t xml:space="preserve">】（标项号： </w:t>
      </w:r>
      <w:r>
        <w:rPr>
          <w:rFonts w:cs="仿宋"/>
          <w:color w:val="auto"/>
          <w:highlight w:val="none"/>
          <w:lang w:val="zh-CN"/>
        </w:rPr>
        <w:t xml:space="preserve"> </w:t>
      </w:r>
      <w:r>
        <w:rPr>
          <w:rFonts w:hint="eastAsia" w:cs="仿宋"/>
          <w:color w:val="auto"/>
          <w:highlight w:val="none"/>
          <w:lang w:val="zh-CN"/>
        </w:rPr>
        <w:t>）投标样品或参加演示，并全权负责标后取回样品等其他处理事宜。</w:t>
      </w:r>
    </w:p>
    <w:p>
      <w:pPr>
        <w:snapToGrid w:val="0"/>
        <w:spacing w:line="360" w:lineRule="auto"/>
        <w:rPr>
          <w:rFonts w:cs="仿宋"/>
          <w:color w:val="auto"/>
          <w:highlight w:val="none"/>
          <w:lang w:val="zh-CN"/>
        </w:rPr>
      </w:pPr>
      <w:r>
        <w:rPr>
          <w:rFonts w:hint="eastAsia" w:cs="仿宋"/>
          <w:color w:val="auto"/>
          <w:highlight w:val="none"/>
          <w:lang w:val="zh-CN"/>
        </w:rPr>
        <w:t xml:space="preserve">  </w:t>
      </w:r>
    </w:p>
    <w:p>
      <w:pPr>
        <w:snapToGrid w:val="0"/>
        <w:spacing w:line="360" w:lineRule="auto"/>
        <w:rPr>
          <w:rFonts w:cs="仿宋"/>
          <w:color w:val="auto"/>
          <w:highlight w:val="none"/>
        </w:rPr>
      </w:pPr>
      <w:r>
        <w:rPr>
          <w:rFonts w:hint="eastAsia" w:cs="仿宋"/>
          <w:color w:val="auto"/>
          <w:highlight w:val="none"/>
          <w:lang w:val="zh-CN"/>
        </w:rPr>
        <w:t xml:space="preserve">    特此告知。</w:t>
      </w:r>
    </w:p>
    <w:p>
      <w:pPr>
        <w:snapToGrid w:val="0"/>
        <w:spacing w:line="360" w:lineRule="auto"/>
        <w:rPr>
          <w:rFonts w:cs="仿宋"/>
          <w:color w:val="auto"/>
          <w:highlight w:val="none"/>
        </w:rPr>
      </w:pPr>
      <w:r>
        <w:rPr>
          <w:rFonts w:hint="eastAsia" w:cs="仿宋"/>
          <w:color w:val="auto"/>
          <w:highlight w:val="none"/>
          <w:lang w:val="zh-CN"/>
        </w:rPr>
        <w:t xml:space="preserve">                                                  投标人名称(公章)：</w:t>
      </w:r>
    </w:p>
    <w:p>
      <w:pPr>
        <w:snapToGrid w:val="0"/>
        <w:spacing w:line="360" w:lineRule="auto"/>
        <w:rPr>
          <w:rFonts w:cs="仿宋"/>
          <w:color w:val="auto"/>
          <w:highlight w:val="none"/>
        </w:rPr>
      </w:pPr>
      <w:r>
        <w:rPr>
          <w:rFonts w:hint="eastAsia" w:cs="仿宋"/>
          <w:color w:val="auto"/>
          <w:highlight w:val="none"/>
          <w:lang w:val="zh-CN"/>
        </w:rPr>
        <w:t xml:space="preserve">                                                  </w:t>
      </w:r>
    </w:p>
    <w:p>
      <w:pPr>
        <w:snapToGrid w:val="0"/>
        <w:spacing w:line="360" w:lineRule="auto"/>
        <w:ind w:right="240"/>
        <w:jc w:val="right"/>
        <w:rPr>
          <w:rFonts w:cs="仿宋"/>
          <w:color w:val="auto"/>
          <w:highlight w:val="none"/>
          <w:lang w:val="zh-CN"/>
        </w:rPr>
      </w:pPr>
      <w:r>
        <w:rPr>
          <w:rFonts w:hint="eastAsia" w:cs="仿宋"/>
          <w:color w:val="auto"/>
          <w:highlight w:val="none"/>
          <w:lang w:val="zh-CN"/>
        </w:rPr>
        <w:t>签发日期：  年  月   日</w:t>
      </w:r>
    </w:p>
    <w:p>
      <w:pPr>
        <w:snapToGrid w:val="0"/>
        <w:spacing w:line="360" w:lineRule="auto"/>
        <w:ind w:right="240"/>
        <w:jc w:val="right"/>
        <w:rPr>
          <w:rFonts w:cs="仿宋"/>
          <w:color w:val="auto"/>
          <w:highlight w:val="none"/>
          <w:lang w:val="zh-CN"/>
        </w:rPr>
      </w:pPr>
    </w:p>
    <w:p>
      <w:pPr>
        <w:snapToGrid w:val="0"/>
        <w:spacing w:line="360" w:lineRule="auto"/>
        <w:ind w:right="1920"/>
        <w:rPr>
          <w:rFonts w:cs="仿宋"/>
          <w:color w:val="auto"/>
          <w:highlight w:val="none"/>
          <w:lang w:val="zh-CN"/>
        </w:rPr>
      </w:pPr>
    </w:p>
    <w:p>
      <w:pPr>
        <w:snapToGrid w:val="0"/>
        <w:spacing w:line="360" w:lineRule="auto"/>
        <w:ind w:right="240"/>
        <w:jc w:val="right"/>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rPr>
        <w:t>受委托人</w:t>
      </w:r>
      <w:r>
        <w:rPr>
          <w:rFonts w:hint="eastAsia" w:cs="仿宋"/>
          <w:color w:val="auto"/>
          <w:highlight w:val="none"/>
          <w:lang w:val="zh-CN"/>
        </w:rPr>
        <w:t>身份证复印件：</w:t>
      </w:r>
    </w:p>
    <w:p>
      <w:pPr>
        <w:snapToGrid w:val="0"/>
        <w:spacing w:line="360" w:lineRule="auto"/>
        <w:ind w:right="240"/>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lang w:val="zh-CN"/>
        </w:rPr>
        <w:t>说明：本委托书在有样品或演示时由受委托人携带至指定地点。</w:t>
      </w:r>
    </w:p>
    <w:p>
      <w:pPr>
        <w:spacing w:line="360" w:lineRule="auto"/>
        <w:rPr>
          <w:rFonts w:cs="仿宋_GB2312"/>
          <w:b/>
          <w:color w:val="auto"/>
          <w:highlight w:val="none"/>
        </w:rPr>
      </w:pPr>
      <w:r>
        <w:rPr>
          <w:rFonts w:cs="仿宋_GB2312"/>
          <w:b/>
          <w:color w:val="auto"/>
          <w:highlight w:val="none"/>
        </w:rPr>
        <w:t>同时有样品和演示的</w:t>
      </w:r>
      <w:r>
        <w:rPr>
          <w:rFonts w:hint="eastAsia" w:cs="仿宋_GB2312"/>
          <w:b/>
          <w:color w:val="auto"/>
          <w:highlight w:val="none"/>
        </w:rPr>
        <w:t>，</w:t>
      </w:r>
      <w:r>
        <w:rPr>
          <w:rFonts w:cs="仿宋_GB2312"/>
          <w:b/>
          <w:color w:val="auto"/>
          <w:highlight w:val="none"/>
        </w:rPr>
        <w:t>可委托不同人员</w:t>
      </w:r>
      <w:r>
        <w:rPr>
          <w:rFonts w:hint="eastAsia" w:cs="仿宋_GB2312"/>
          <w:b/>
          <w:color w:val="auto"/>
          <w:highlight w:val="none"/>
        </w:rPr>
        <w:t>。</w:t>
      </w:r>
    </w:p>
    <w:p>
      <w:pPr>
        <w:pStyle w:val="2"/>
        <w:rPr>
          <w:color w:val="auto"/>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both"/>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Georgia"/>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Arial Unicode MS"/>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07" w:name="_Toc131845147"/>
    <w:bookmarkStart w:id="508" w:name="_Toc36110187"/>
    <w:bookmarkStart w:id="509" w:name="_Toc164085800"/>
    <w:bookmarkStart w:id="510" w:name="_Toc91899912"/>
    <w:r>
      <w:rPr>
        <w:rFonts w:hint="eastAsia" w:ascii="仿宋_GB2312" w:eastAsia="仿宋_GB2312"/>
        <w:kern w:val="0"/>
        <w:szCs w:val="21"/>
      </w:rPr>
      <w:t xml:space="preserve"> 页</w:t>
    </w:r>
    <w:bookmarkEnd w:id="507"/>
    <w:bookmarkEnd w:id="508"/>
    <w:bookmarkEnd w:id="509"/>
    <w:bookmarkEnd w:id="5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A0392"/>
    <w:multiLevelType w:val="singleLevel"/>
    <w:tmpl w:val="BF9A0392"/>
    <w:lvl w:ilvl="0" w:tentative="0">
      <w:start w:val="1"/>
      <w:numFmt w:val="decimal"/>
      <w:suff w:val="nothing"/>
      <w:lvlText w:val="%1、"/>
      <w:lvlJc w:val="left"/>
    </w:lvl>
  </w:abstractNum>
  <w:abstractNum w:abstractNumId="1">
    <w:nsid w:val="04D894CF"/>
    <w:multiLevelType w:val="singleLevel"/>
    <w:tmpl w:val="04D894CF"/>
    <w:lvl w:ilvl="0" w:tentative="0">
      <w:start w:val="1"/>
      <w:numFmt w:val="decimal"/>
      <w:suff w:val="nothing"/>
      <w:lvlText w:val="%1、"/>
      <w:lvlJc w:val="left"/>
    </w:lvl>
  </w:abstractNum>
  <w:abstractNum w:abstractNumId="2">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90D103"/>
    <w:multiLevelType w:val="singleLevel"/>
    <w:tmpl w:val="5790D103"/>
    <w:lvl w:ilvl="0" w:tentative="0">
      <w:start w:val="1"/>
      <w:numFmt w:val="chineseCounting"/>
      <w:suff w:val="nothing"/>
      <w:lvlText w:val="%1、"/>
      <w:lvlJc w:val="left"/>
      <w:rPr>
        <w:b/>
      </w:rPr>
    </w:lvl>
  </w:abstractNum>
  <w:abstractNum w:abstractNumId="4">
    <w:nsid w:val="5790DB0B"/>
    <w:multiLevelType w:val="singleLevel"/>
    <w:tmpl w:val="5790DB0B"/>
    <w:lvl w:ilvl="0" w:tentative="0">
      <w:start w:val="2"/>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ZDg1MDQxYTFhNTJmYzkzNDRiZGU1ZjI0YjZiN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3BF"/>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CE57B8"/>
    <w:rsid w:val="01D55165"/>
    <w:rsid w:val="01DF6BF8"/>
    <w:rsid w:val="01EC2C57"/>
    <w:rsid w:val="025F0711"/>
    <w:rsid w:val="026B2E25"/>
    <w:rsid w:val="02824D4D"/>
    <w:rsid w:val="02DC4B10"/>
    <w:rsid w:val="02DD76CE"/>
    <w:rsid w:val="02F36323"/>
    <w:rsid w:val="02F5619C"/>
    <w:rsid w:val="0326446A"/>
    <w:rsid w:val="032D5555"/>
    <w:rsid w:val="036634D2"/>
    <w:rsid w:val="03B74E41"/>
    <w:rsid w:val="03DD35E4"/>
    <w:rsid w:val="04076900"/>
    <w:rsid w:val="041A5A3B"/>
    <w:rsid w:val="042311BA"/>
    <w:rsid w:val="042B157A"/>
    <w:rsid w:val="04824B9E"/>
    <w:rsid w:val="048F763B"/>
    <w:rsid w:val="049F330E"/>
    <w:rsid w:val="04AA775C"/>
    <w:rsid w:val="04AF1889"/>
    <w:rsid w:val="04F66F48"/>
    <w:rsid w:val="05251E14"/>
    <w:rsid w:val="05A16594"/>
    <w:rsid w:val="05A33A8F"/>
    <w:rsid w:val="05A7762D"/>
    <w:rsid w:val="05EE467B"/>
    <w:rsid w:val="060E5941"/>
    <w:rsid w:val="06110FAF"/>
    <w:rsid w:val="06493CA7"/>
    <w:rsid w:val="065A6178"/>
    <w:rsid w:val="066F1CF3"/>
    <w:rsid w:val="06930BB8"/>
    <w:rsid w:val="06A92350"/>
    <w:rsid w:val="06E94CD4"/>
    <w:rsid w:val="07245D42"/>
    <w:rsid w:val="07264C62"/>
    <w:rsid w:val="0779354C"/>
    <w:rsid w:val="08061376"/>
    <w:rsid w:val="08266F0D"/>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A755C"/>
    <w:rsid w:val="0CC007F7"/>
    <w:rsid w:val="0CC617AC"/>
    <w:rsid w:val="0CC70BCA"/>
    <w:rsid w:val="0CE618DF"/>
    <w:rsid w:val="0CFE707A"/>
    <w:rsid w:val="0D063BDA"/>
    <w:rsid w:val="0D08375F"/>
    <w:rsid w:val="0D0F7E0C"/>
    <w:rsid w:val="0D184CFB"/>
    <w:rsid w:val="0D4A7419"/>
    <w:rsid w:val="0D827401"/>
    <w:rsid w:val="0D84094E"/>
    <w:rsid w:val="0D8A00E9"/>
    <w:rsid w:val="0D8D589E"/>
    <w:rsid w:val="0DA01C73"/>
    <w:rsid w:val="0DD63300"/>
    <w:rsid w:val="0DE46D10"/>
    <w:rsid w:val="0DF50604"/>
    <w:rsid w:val="0DF702FE"/>
    <w:rsid w:val="0E060E51"/>
    <w:rsid w:val="0E4E33A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0FC6AD8"/>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5556D"/>
    <w:rsid w:val="1465451B"/>
    <w:rsid w:val="146D271E"/>
    <w:rsid w:val="14982588"/>
    <w:rsid w:val="149A5AD9"/>
    <w:rsid w:val="14A7619D"/>
    <w:rsid w:val="14F21366"/>
    <w:rsid w:val="150536C3"/>
    <w:rsid w:val="150C1963"/>
    <w:rsid w:val="151447A0"/>
    <w:rsid w:val="154A6454"/>
    <w:rsid w:val="15762120"/>
    <w:rsid w:val="16A8729C"/>
    <w:rsid w:val="16B33777"/>
    <w:rsid w:val="16BC70A7"/>
    <w:rsid w:val="16C6339E"/>
    <w:rsid w:val="16E64EFA"/>
    <w:rsid w:val="172F2D79"/>
    <w:rsid w:val="17557BEF"/>
    <w:rsid w:val="17D349C1"/>
    <w:rsid w:val="18244F26"/>
    <w:rsid w:val="1830729E"/>
    <w:rsid w:val="18650755"/>
    <w:rsid w:val="1870062C"/>
    <w:rsid w:val="187B448D"/>
    <w:rsid w:val="18817102"/>
    <w:rsid w:val="18830A15"/>
    <w:rsid w:val="18852B28"/>
    <w:rsid w:val="188B5321"/>
    <w:rsid w:val="19563CB9"/>
    <w:rsid w:val="19932372"/>
    <w:rsid w:val="19A20DD5"/>
    <w:rsid w:val="19A838D1"/>
    <w:rsid w:val="19AE03F1"/>
    <w:rsid w:val="1A071A03"/>
    <w:rsid w:val="1A1F16AE"/>
    <w:rsid w:val="1A3B5C77"/>
    <w:rsid w:val="1A8D44CC"/>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EF6D8A"/>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5D622D"/>
    <w:rsid w:val="208921B3"/>
    <w:rsid w:val="208D5628"/>
    <w:rsid w:val="20973DEB"/>
    <w:rsid w:val="20B26522"/>
    <w:rsid w:val="20B44310"/>
    <w:rsid w:val="20BD6CC8"/>
    <w:rsid w:val="211116EB"/>
    <w:rsid w:val="216133FC"/>
    <w:rsid w:val="21D56769"/>
    <w:rsid w:val="21E52EF3"/>
    <w:rsid w:val="21FB5D7B"/>
    <w:rsid w:val="22015E94"/>
    <w:rsid w:val="220B1C3D"/>
    <w:rsid w:val="221D1D20"/>
    <w:rsid w:val="22334A87"/>
    <w:rsid w:val="227A4A01"/>
    <w:rsid w:val="22BE6801"/>
    <w:rsid w:val="23255132"/>
    <w:rsid w:val="233500BF"/>
    <w:rsid w:val="23377FF7"/>
    <w:rsid w:val="236B425F"/>
    <w:rsid w:val="23836192"/>
    <w:rsid w:val="23901F29"/>
    <w:rsid w:val="239C0061"/>
    <w:rsid w:val="23B24780"/>
    <w:rsid w:val="23B908A4"/>
    <w:rsid w:val="23BA7198"/>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67BCF"/>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EDE3F05"/>
    <w:rsid w:val="2F0A6B38"/>
    <w:rsid w:val="2F946CCB"/>
    <w:rsid w:val="2FD25781"/>
    <w:rsid w:val="2FDC745C"/>
    <w:rsid w:val="2FFD7934"/>
    <w:rsid w:val="30733ACD"/>
    <w:rsid w:val="307A1D6B"/>
    <w:rsid w:val="308C3862"/>
    <w:rsid w:val="309379D8"/>
    <w:rsid w:val="30A270F7"/>
    <w:rsid w:val="30DF1478"/>
    <w:rsid w:val="30EC586F"/>
    <w:rsid w:val="310E70FE"/>
    <w:rsid w:val="319C6071"/>
    <w:rsid w:val="31AC537E"/>
    <w:rsid w:val="31E3679B"/>
    <w:rsid w:val="31E732FD"/>
    <w:rsid w:val="320C1E63"/>
    <w:rsid w:val="322C5B85"/>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9327BC"/>
    <w:rsid w:val="35D20560"/>
    <w:rsid w:val="363A3B40"/>
    <w:rsid w:val="365302AE"/>
    <w:rsid w:val="36607A0A"/>
    <w:rsid w:val="366E227C"/>
    <w:rsid w:val="366F2E0D"/>
    <w:rsid w:val="367B6A5C"/>
    <w:rsid w:val="36A74ADA"/>
    <w:rsid w:val="36AD60D5"/>
    <w:rsid w:val="36B224F9"/>
    <w:rsid w:val="36EC0CC9"/>
    <w:rsid w:val="373F410B"/>
    <w:rsid w:val="376D4844"/>
    <w:rsid w:val="37EE7094"/>
    <w:rsid w:val="38296C89"/>
    <w:rsid w:val="383002EB"/>
    <w:rsid w:val="38586797"/>
    <w:rsid w:val="385D15DF"/>
    <w:rsid w:val="38746732"/>
    <w:rsid w:val="38BC0149"/>
    <w:rsid w:val="38D87D1C"/>
    <w:rsid w:val="39636459"/>
    <w:rsid w:val="396B7F6C"/>
    <w:rsid w:val="39B417A9"/>
    <w:rsid w:val="39FC5695"/>
    <w:rsid w:val="3A006D8E"/>
    <w:rsid w:val="3A136626"/>
    <w:rsid w:val="3A1E0383"/>
    <w:rsid w:val="3A3651E5"/>
    <w:rsid w:val="3A744481"/>
    <w:rsid w:val="3A8C7BEF"/>
    <w:rsid w:val="3A906246"/>
    <w:rsid w:val="3B2349B7"/>
    <w:rsid w:val="3B616CFF"/>
    <w:rsid w:val="3B6259F6"/>
    <w:rsid w:val="3B976654"/>
    <w:rsid w:val="3BC01EFC"/>
    <w:rsid w:val="3BCA786A"/>
    <w:rsid w:val="3BD31E2F"/>
    <w:rsid w:val="3BF15831"/>
    <w:rsid w:val="3C0331F7"/>
    <w:rsid w:val="3C105946"/>
    <w:rsid w:val="3C471448"/>
    <w:rsid w:val="3C5F759A"/>
    <w:rsid w:val="3C6C525A"/>
    <w:rsid w:val="3CCE23CB"/>
    <w:rsid w:val="3CD17D17"/>
    <w:rsid w:val="3D3C7F39"/>
    <w:rsid w:val="3D440F09"/>
    <w:rsid w:val="3D4504A0"/>
    <w:rsid w:val="3D677D5B"/>
    <w:rsid w:val="3D8734BB"/>
    <w:rsid w:val="3D9616FC"/>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E50CF"/>
    <w:rsid w:val="4CB6685F"/>
    <w:rsid w:val="4CC367FE"/>
    <w:rsid w:val="4D077F3C"/>
    <w:rsid w:val="4D123355"/>
    <w:rsid w:val="4D2A3B31"/>
    <w:rsid w:val="4D312C52"/>
    <w:rsid w:val="4D905305"/>
    <w:rsid w:val="4D964A72"/>
    <w:rsid w:val="4D9C1254"/>
    <w:rsid w:val="4E774F3B"/>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CF1F80"/>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F7816"/>
    <w:rsid w:val="53097272"/>
    <w:rsid w:val="530B3D85"/>
    <w:rsid w:val="53476745"/>
    <w:rsid w:val="53544462"/>
    <w:rsid w:val="5397158E"/>
    <w:rsid w:val="53A72B6C"/>
    <w:rsid w:val="54013861"/>
    <w:rsid w:val="54487265"/>
    <w:rsid w:val="544D6070"/>
    <w:rsid w:val="54544735"/>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B0089"/>
    <w:rsid w:val="55DC29B6"/>
    <w:rsid w:val="55DD4241"/>
    <w:rsid w:val="561B338B"/>
    <w:rsid w:val="566B6D1E"/>
    <w:rsid w:val="56CB5E58"/>
    <w:rsid w:val="56D71D4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B7576D"/>
    <w:rsid w:val="59F80043"/>
    <w:rsid w:val="5A09252F"/>
    <w:rsid w:val="5A0B2778"/>
    <w:rsid w:val="5A2A7C7B"/>
    <w:rsid w:val="5A3E2560"/>
    <w:rsid w:val="5A5D3B6E"/>
    <w:rsid w:val="5A637A76"/>
    <w:rsid w:val="5A6D33BA"/>
    <w:rsid w:val="5A792B1F"/>
    <w:rsid w:val="5A874767"/>
    <w:rsid w:val="5AA85BE2"/>
    <w:rsid w:val="5AAD6F28"/>
    <w:rsid w:val="5AD63A24"/>
    <w:rsid w:val="5AE71988"/>
    <w:rsid w:val="5B2E1A1D"/>
    <w:rsid w:val="5B843A1C"/>
    <w:rsid w:val="5B873E3F"/>
    <w:rsid w:val="5C02690E"/>
    <w:rsid w:val="5C196DA7"/>
    <w:rsid w:val="5C2A048C"/>
    <w:rsid w:val="5C327B4C"/>
    <w:rsid w:val="5C80234E"/>
    <w:rsid w:val="5C8A680C"/>
    <w:rsid w:val="5D0C4701"/>
    <w:rsid w:val="5D0F0395"/>
    <w:rsid w:val="5D221076"/>
    <w:rsid w:val="5D397964"/>
    <w:rsid w:val="5D5A391C"/>
    <w:rsid w:val="5D5F10C0"/>
    <w:rsid w:val="5D891B7B"/>
    <w:rsid w:val="5DAD38EE"/>
    <w:rsid w:val="5DFE6A15"/>
    <w:rsid w:val="5E006862"/>
    <w:rsid w:val="5E0207B9"/>
    <w:rsid w:val="5E1834A1"/>
    <w:rsid w:val="5E261785"/>
    <w:rsid w:val="5E4A7017"/>
    <w:rsid w:val="5E552BBA"/>
    <w:rsid w:val="5E611C10"/>
    <w:rsid w:val="5E7A0F3F"/>
    <w:rsid w:val="5EFC7377"/>
    <w:rsid w:val="5F06174D"/>
    <w:rsid w:val="5F3A3602"/>
    <w:rsid w:val="5F45733B"/>
    <w:rsid w:val="5F482646"/>
    <w:rsid w:val="5F5D2E4C"/>
    <w:rsid w:val="5F6277C6"/>
    <w:rsid w:val="5F6D0B1D"/>
    <w:rsid w:val="5F8D0B82"/>
    <w:rsid w:val="5FA40637"/>
    <w:rsid w:val="5FCC5339"/>
    <w:rsid w:val="5FE34A5B"/>
    <w:rsid w:val="5FFE1E36"/>
    <w:rsid w:val="60232584"/>
    <w:rsid w:val="606049A2"/>
    <w:rsid w:val="607330CE"/>
    <w:rsid w:val="60825176"/>
    <w:rsid w:val="609F2AC4"/>
    <w:rsid w:val="60FA2EE8"/>
    <w:rsid w:val="61054A27"/>
    <w:rsid w:val="610A52BC"/>
    <w:rsid w:val="611D2366"/>
    <w:rsid w:val="61421856"/>
    <w:rsid w:val="615227C4"/>
    <w:rsid w:val="61654E3F"/>
    <w:rsid w:val="6182292A"/>
    <w:rsid w:val="619F7F92"/>
    <w:rsid w:val="61C64CD9"/>
    <w:rsid w:val="61C6614F"/>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E66273"/>
    <w:rsid w:val="66195831"/>
    <w:rsid w:val="662E75B1"/>
    <w:rsid w:val="66342C2E"/>
    <w:rsid w:val="663E784C"/>
    <w:rsid w:val="668B6A45"/>
    <w:rsid w:val="66F71F79"/>
    <w:rsid w:val="672F3F24"/>
    <w:rsid w:val="673E055F"/>
    <w:rsid w:val="67551CE3"/>
    <w:rsid w:val="67A22552"/>
    <w:rsid w:val="67B22DCC"/>
    <w:rsid w:val="67BE71AA"/>
    <w:rsid w:val="67C823EF"/>
    <w:rsid w:val="67D90273"/>
    <w:rsid w:val="67DE5875"/>
    <w:rsid w:val="67E55852"/>
    <w:rsid w:val="67EB1AB4"/>
    <w:rsid w:val="67FA1285"/>
    <w:rsid w:val="682269E1"/>
    <w:rsid w:val="68551F4F"/>
    <w:rsid w:val="687C10C9"/>
    <w:rsid w:val="68840C16"/>
    <w:rsid w:val="68876EFB"/>
    <w:rsid w:val="68884654"/>
    <w:rsid w:val="689F444F"/>
    <w:rsid w:val="68B96DBB"/>
    <w:rsid w:val="68BC69A9"/>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F2B3A"/>
    <w:rsid w:val="6ED446C5"/>
    <w:rsid w:val="6F2A7D94"/>
    <w:rsid w:val="6F8331F1"/>
    <w:rsid w:val="6FAE1A09"/>
    <w:rsid w:val="6FD75BF8"/>
    <w:rsid w:val="70713D1E"/>
    <w:rsid w:val="707723D0"/>
    <w:rsid w:val="708446DD"/>
    <w:rsid w:val="70F5661B"/>
    <w:rsid w:val="71360107"/>
    <w:rsid w:val="713B688E"/>
    <w:rsid w:val="719F449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257AA"/>
    <w:rsid w:val="75067759"/>
    <w:rsid w:val="751002ED"/>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F5330"/>
    <w:rsid w:val="77052AA4"/>
    <w:rsid w:val="77136511"/>
    <w:rsid w:val="77167A87"/>
    <w:rsid w:val="77340A39"/>
    <w:rsid w:val="77351FD0"/>
    <w:rsid w:val="77472422"/>
    <w:rsid w:val="777F31F2"/>
    <w:rsid w:val="77D1700D"/>
    <w:rsid w:val="77EA74CC"/>
    <w:rsid w:val="77EC04CC"/>
    <w:rsid w:val="78775729"/>
    <w:rsid w:val="78A42DB0"/>
    <w:rsid w:val="78A656AB"/>
    <w:rsid w:val="78B2245C"/>
    <w:rsid w:val="78E172CC"/>
    <w:rsid w:val="78EA1D1F"/>
    <w:rsid w:val="7904172F"/>
    <w:rsid w:val="790F7E27"/>
    <w:rsid w:val="791F4620"/>
    <w:rsid w:val="792A231A"/>
    <w:rsid w:val="79316829"/>
    <w:rsid w:val="79635B60"/>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732F0"/>
    <w:rsid w:val="7C7C10F6"/>
    <w:rsid w:val="7C853BEA"/>
    <w:rsid w:val="7C881368"/>
    <w:rsid w:val="7CE27788"/>
    <w:rsid w:val="7D0C32F1"/>
    <w:rsid w:val="7D0F408D"/>
    <w:rsid w:val="7D491C6C"/>
    <w:rsid w:val="7D5429C0"/>
    <w:rsid w:val="7D6E6D43"/>
    <w:rsid w:val="7DB57A34"/>
    <w:rsid w:val="7DE60973"/>
    <w:rsid w:val="7DEF0916"/>
    <w:rsid w:val="7E1E5218"/>
    <w:rsid w:val="7E856583"/>
    <w:rsid w:val="7E9A4E1F"/>
    <w:rsid w:val="7EA7723A"/>
    <w:rsid w:val="7EF56FBB"/>
    <w:rsid w:val="7F0768EB"/>
    <w:rsid w:val="7F143BEC"/>
    <w:rsid w:val="7F715AF2"/>
    <w:rsid w:val="7F886E69"/>
    <w:rsid w:val="9EFF1932"/>
    <w:rsid w:val="BB7FA927"/>
    <w:rsid w:val="DEFB09E1"/>
    <w:rsid w:val="F5FFD31F"/>
    <w:rsid w:val="F7FF2692"/>
    <w:rsid w:val="FA7FF1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95</Pages>
  <Words>52497</Words>
  <Characters>55042</Characters>
  <Lines>279</Lines>
  <Paragraphs>78</Paragraphs>
  <TotalTime>0</TotalTime>
  <ScaleCrop>false</ScaleCrop>
  <LinksUpToDate>false</LinksUpToDate>
  <CharactersWithSpaces>61050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cmt</cp:lastModifiedBy>
  <cp:lastPrinted>2021-12-27T19:06:00Z</cp:lastPrinted>
  <dcterms:modified xsi:type="dcterms:W3CDTF">2023-06-30T07:29:36Z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11D69BD8E1E9475680408B5781614150_13</vt:lpwstr>
  </property>
</Properties>
</file>