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刑罚执行实时监督建设项目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编号:</w:t>
      </w:r>
      <w:r>
        <w:rPr>
          <w:rFonts w:hint="eastAsia" w:ascii="宋体" w:hAnsi="宋体" w:eastAsia="宋体" w:cs="宋体"/>
          <w:color w:val="auto"/>
          <w:sz w:val="30"/>
          <w:szCs w:val="30"/>
          <w:highlight w:val="none"/>
          <w:lang w:val="en-US" w:eastAsia="zh-CN"/>
        </w:rPr>
        <w:t>XSJC-GK2024-0411</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pacing w:line="360" w:lineRule="auto"/>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rPr>
        <w:t>采购人</w:t>
      </w:r>
      <w:r>
        <w:rPr>
          <w:rFonts w:hint="eastAsia" w:ascii="宋体" w:hAnsi="宋体" w:eastAsia="宋体" w:cs="宋体"/>
          <w:bCs/>
          <w:color w:val="auto"/>
          <w:sz w:val="32"/>
          <w:szCs w:val="32"/>
          <w:highlight w:val="none"/>
          <w:lang w:eastAsia="zh-CN"/>
        </w:rPr>
        <w:t>：</w:t>
      </w:r>
      <w:r>
        <w:rPr>
          <w:rFonts w:hint="eastAsia" w:ascii="宋体" w:hAnsi="宋体" w:eastAsia="宋体" w:cs="宋体"/>
          <w:bCs/>
          <w:color w:val="auto"/>
          <w:sz w:val="32"/>
          <w:szCs w:val="32"/>
          <w:highlight w:val="none"/>
        </w:rPr>
        <w:t>杭州市萧山区人民检察院</w:t>
      </w:r>
    </w:p>
    <w:p>
      <w:pPr>
        <w:spacing w:line="360" w:lineRule="auto"/>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rPr>
        <w:t>采购代理机构</w:t>
      </w:r>
      <w:r>
        <w:rPr>
          <w:rFonts w:hint="eastAsia" w:ascii="宋体" w:hAnsi="宋体" w:eastAsia="宋体" w:cs="宋体"/>
          <w:bCs/>
          <w:color w:val="auto"/>
          <w:sz w:val="32"/>
          <w:szCs w:val="32"/>
          <w:highlight w:val="none"/>
          <w:lang w:eastAsia="zh-CN"/>
        </w:rPr>
        <w:t>：</w:t>
      </w:r>
      <w:r>
        <w:rPr>
          <w:rFonts w:hint="eastAsia" w:ascii="宋体" w:hAnsi="宋体" w:eastAsia="宋体" w:cs="宋体"/>
          <w:bCs/>
          <w:color w:val="auto"/>
          <w:sz w:val="32"/>
          <w:szCs w:val="32"/>
          <w:highlight w:val="none"/>
          <w:lang w:val="en-US" w:eastAsia="zh-CN"/>
        </w:rPr>
        <w:t>杭州地上建筑项目管理有限公司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 xml:space="preserve"> </w:t>
      </w:r>
      <w:r>
        <w:rPr>
          <w:rFonts w:hint="eastAsia" w:ascii="宋体" w:hAnsi="宋体" w:eastAsia="宋体" w:cs="宋体"/>
          <w:bCs/>
          <w:color w:val="auto"/>
          <w:sz w:val="32"/>
          <w:szCs w:val="32"/>
          <w:highlight w:val="none"/>
        </w:rPr>
        <w:t xml:space="preserve"> </w:t>
      </w:r>
      <w:r>
        <w:rPr>
          <w:rFonts w:hint="eastAsia" w:ascii="宋体" w:hAnsi="宋体" w:eastAsia="宋体" w:cs="宋体"/>
          <w:bCs/>
          <w:color w:val="auto"/>
          <w:sz w:val="32"/>
          <w:szCs w:val="32"/>
          <w:highlight w:val="none"/>
          <w:lang w:val="en-US" w:eastAsia="zh-CN"/>
        </w:rPr>
        <w:t>2024</w:t>
      </w:r>
      <w:r>
        <w:rPr>
          <w:rFonts w:hint="eastAsia" w:ascii="宋体" w:hAnsi="宋体" w:eastAsia="宋体" w:cs="宋体"/>
          <w:bCs/>
          <w:color w:val="auto"/>
          <w:sz w:val="32"/>
          <w:szCs w:val="32"/>
          <w:highlight w:val="none"/>
        </w:rPr>
        <w:t>年</w:t>
      </w:r>
      <w:r>
        <w:rPr>
          <w:rFonts w:hint="eastAsia" w:ascii="宋体" w:hAnsi="宋体" w:eastAsia="宋体" w:cs="宋体"/>
          <w:bCs/>
          <w:color w:val="auto"/>
          <w:sz w:val="32"/>
          <w:szCs w:val="32"/>
          <w:highlight w:val="none"/>
          <w:lang w:val="en-US" w:eastAsia="zh-CN"/>
        </w:rPr>
        <w:t>04</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26</w:t>
      </w:r>
      <w:r>
        <w:rPr>
          <w:rFonts w:hint="eastAsia" w:ascii="宋体" w:hAnsi="宋体" w:eastAsia="宋体" w:cs="宋体"/>
          <w:bCs/>
          <w:color w:val="auto"/>
          <w:sz w:val="32"/>
          <w:szCs w:val="32"/>
          <w:highlight w:val="none"/>
        </w:rPr>
        <w:t>日</w:t>
      </w:r>
    </w:p>
    <w:p>
      <w:pPr>
        <w:pStyle w:val="3"/>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pStyle w:val="634"/>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刑罚执行实时监督建设项目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4</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05</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17</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09</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30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eastAsia="宋体" w:cs="宋体"/>
          <w:snapToGrid/>
          <w:color w:val="auto"/>
          <w:kern w:val="2"/>
          <w:sz w:val="24"/>
          <w:szCs w:val="24"/>
          <w:highlight w:val="none"/>
          <w:lang w:val="en-US" w:eastAsia="zh-CN" w:bidi="ar-SA"/>
        </w:rPr>
        <w:t>XSJC-GK2024-0411</w:t>
      </w:r>
    </w:p>
    <w:p>
      <w:pPr>
        <w:spacing w:line="360" w:lineRule="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eastAsia="宋体" w:cs="宋体"/>
          <w:snapToGrid/>
          <w:color w:val="auto"/>
          <w:kern w:val="2"/>
          <w:sz w:val="24"/>
          <w:szCs w:val="24"/>
          <w:highlight w:val="none"/>
          <w:lang w:val="en-US" w:eastAsia="zh-CN" w:bidi="ar-SA"/>
        </w:rPr>
        <w:t>刑罚执行实时监督建设项目</w:t>
      </w:r>
    </w:p>
    <w:p>
      <w:pPr>
        <w:spacing w:line="360" w:lineRule="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eastAsia="宋体" w:cs="宋体"/>
          <w:snapToGrid/>
          <w:color w:val="auto"/>
          <w:kern w:val="2"/>
          <w:sz w:val="24"/>
          <w:szCs w:val="24"/>
          <w:highlight w:val="none"/>
          <w:lang w:val="en-US" w:eastAsia="zh-CN" w:bidi="ar-SA"/>
        </w:rPr>
        <w:t xml:space="preserve"> 560000</w:t>
      </w:r>
    </w:p>
    <w:p>
      <w:pPr>
        <w:spacing w:line="360" w:lineRule="auto"/>
        <w:ind w:firstLine="480"/>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b/>
          <w:color w:val="auto"/>
          <w:sz w:val="24"/>
          <w:highlight w:val="none"/>
        </w:rPr>
        <w:t>最高限价（元）：</w:t>
      </w:r>
      <w:r>
        <w:rPr>
          <w:rFonts w:hint="eastAsia" w:ascii="宋体" w:hAnsi="宋体" w:eastAsia="宋体" w:cs="宋体"/>
          <w:color w:val="auto"/>
          <w:sz w:val="24"/>
          <w:highlight w:val="none"/>
        </w:rPr>
        <w:t xml:space="preserve"> </w:t>
      </w:r>
      <w:r>
        <w:rPr>
          <w:rFonts w:hint="eastAsia" w:ascii="宋体" w:hAnsi="宋体" w:eastAsia="宋体" w:cs="宋体"/>
          <w:snapToGrid/>
          <w:color w:val="auto"/>
          <w:kern w:val="2"/>
          <w:sz w:val="24"/>
          <w:szCs w:val="24"/>
          <w:highlight w:val="none"/>
          <w:lang w:val="en-US" w:eastAsia="zh-CN" w:bidi="ar-SA"/>
        </w:rPr>
        <w:t>560000</w:t>
      </w:r>
    </w:p>
    <w:p>
      <w:pPr>
        <w:pStyle w:val="5"/>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ascii="宋体" w:hAnsi="宋体" w:eastAsia="宋体" w:cs="宋体"/>
          <w:bCs/>
          <w:snapToGrid/>
          <w:color w:val="auto"/>
          <w:kern w:val="2"/>
          <w:sz w:val="24"/>
          <w:szCs w:val="24"/>
          <w:highlight w:val="none"/>
          <w:lang w:eastAsia="zh-CN"/>
        </w:rPr>
        <w:t>刑罚执行实时监督建设项目</w:t>
      </w:r>
      <w:r>
        <w:rPr>
          <w:rFonts w:hint="eastAsia" w:ascii="宋体" w:hAnsi="宋体" w:eastAsia="宋体" w:cs="宋体"/>
          <w:bCs/>
          <w:snapToGrid/>
          <w:color w:val="auto"/>
          <w:kern w:val="2"/>
          <w:sz w:val="24"/>
          <w:szCs w:val="24"/>
          <w:highlight w:val="none"/>
        </w:rPr>
        <w:t xml:space="preserve">主要内容： </w:t>
      </w:r>
      <w:r>
        <w:rPr>
          <w:rFonts w:hint="eastAsia" w:ascii="宋体" w:hAnsi="宋体" w:eastAsia="宋体" w:cs="宋体"/>
          <w:bCs/>
          <w:snapToGrid/>
          <w:color w:val="auto"/>
          <w:kern w:val="2"/>
          <w:sz w:val="24"/>
          <w:szCs w:val="24"/>
          <w:highlight w:val="none"/>
          <w:lang w:eastAsia="zh-CN"/>
        </w:rPr>
        <w:t>刑罚执行实时监督建设</w:t>
      </w:r>
      <w:r>
        <w:rPr>
          <w:rFonts w:hint="eastAsia" w:ascii="宋体" w:hAnsi="宋体" w:eastAsia="宋体" w:cs="宋体"/>
          <w:bCs/>
          <w:snapToGrid/>
          <w:color w:val="auto"/>
          <w:kern w:val="2"/>
          <w:sz w:val="24"/>
          <w:szCs w:val="24"/>
          <w:highlight w:val="none"/>
        </w:rPr>
        <w:t>。</w:t>
      </w:r>
      <w:r>
        <w:rPr>
          <w:rFonts w:hint="eastAsia" w:ascii="宋体" w:hAnsi="宋体" w:eastAsia="宋体" w:cs="宋体"/>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b/>
          <w:color w:val="auto"/>
          <w:highlight w:val="none"/>
        </w:rPr>
        <w:t>合同履约期限：</w:t>
      </w:r>
      <w:r>
        <w:rPr>
          <w:rFonts w:hint="eastAsia" w:ascii="宋体" w:hAnsi="宋体" w:eastAsia="宋体" w:cs="宋体"/>
          <w:snapToGrid/>
          <w:color w:val="auto"/>
          <w:kern w:val="2"/>
          <w:sz w:val="24"/>
          <w:szCs w:val="24"/>
          <w:highlight w:val="none"/>
          <w:lang w:val="en-US" w:eastAsia="zh-CN" w:bidi="ar-SA"/>
        </w:rPr>
        <w:t>详见采购需求。</w:t>
      </w:r>
    </w:p>
    <w:p>
      <w:pPr>
        <w:pStyle w:val="5"/>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 xml:space="preserve"> </w:t>
      </w:r>
      <w:sdt>
        <w:sdtPr>
          <w:rPr>
            <w:rFonts w:hint="eastAsia" w:ascii="宋体" w:hAnsi="宋体" w:eastAsia="宋体" w:cs="宋体"/>
            <w:color w:val="auto"/>
            <w:kern w:val="0"/>
            <w:sz w:val="24"/>
            <w:highlight w:val="none"/>
          </w:rPr>
          <w:id w:val="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2"/>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以联合体形式投标的，提供联合协议(本项目</w:t>
      </w:r>
      <w:bookmarkStart w:id="417" w:name="_GoBack"/>
      <w:bookmarkEnd w:id="417"/>
      <w:r>
        <w:rPr>
          <w:rFonts w:hint="eastAsia" w:ascii="宋体" w:hAnsi="宋体" w:eastAsia="宋体" w:cs="宋体"/>
          <w:snapToGrid w:val="0"/>
          <w:color w:val="auto"/>
          <w:kern w:val="28"/>
          <w:sz w:val="24"/>
          <w:szCs w:val="20"/>
          <w:highlight w:val="none"/>
        </w:rPr>
        <w:t>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5"/>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服务全部由符合政策要求的中小企业承接，提供中小企业声明函；</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w:t>
      </w:r>
    </w:p>
    <w:p>
      <w:pPr>
        <w:snapToGrid w:val="0"/>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17</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年05月17日09点30分00秒</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年05月17日09点30分00秒</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eastAsia="宋体" w:cs="宋体"/>
          <w:color w:val="auto"/>
          <w:sz w:val="24"/>
          <w:highlight w:val="none"/>
          <w:lang w:val="en-US" w:eastAsia="zh-CN"/>
        </w:rPr>
        <w:t>项目是否接收备份文件，以前附表说明为准。</w:t>
      </w:r>
      <w:r>
        <w:rPr>
          <w:rFonts w:hint="eastAsia" w:ascii="宋体" w:hAnsi="宋体" w:eastAsia="宋体" w:cs="宋体"/>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 xml:space="preserve">名    称：杭州市萧山区人民检察院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址：杭州市萧山区金城路668号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项目联系人（询问）：陈海军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项目联系方式（询问）：0571-83686171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 xml:space="preserve">质疑联系人：俞苗珍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质疑联系方式：0571-82655683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val="en-US" w:eastAsia="zh-CN"/>
        </w:rPr>
        <w:t>杭州地上建筑项目管理有限公司</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val="en-US" w:eastAsia="zh-CN"/>
        </w:rPr>
        <w:t>杭州市萧山区市心中路1018号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项目联系人（询问）： </w:t>
      </w:r>
      <w:r>
        <w:rPr>
          <w:rFonts w:hint="eastAsia" w:ascii="宋体" w:hAnsi="宋体" w:eastAsia="宋体" w:cs="宋体"/>
          <w:color w:val="auto"/>
          <w:sz w:val="24"/>
          <w:highlight w:val="none"/>
          <w:lang w:val="en-US" w:eastAsia="zh-CN"/>
        </w:rPr>
        <w:t>许伟青</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val="en-US" w:eastAsia="zh-CN"/>
        </w:rPr>
        <w:t>17857571599</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质疑联系人： </w:t>
      </w:r>
      <w:r>
        <w:rPr>
          <w:rFonts w:hint="eastAsia" w:ascii="宋体" w:hAnsi="宋体" w:eastAsia="宋体" w:cs="宋体"/>
          <w:color w:val="auto"/>
          <w:sz w:val="24"/>
          <w:highlight w:val="none"/>
          <w:lang w:val="en-US" w:eastAsia="zh-CN"/>
        </w:rPr>
        <w:t>曹夏铭</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质疑联系方式：</w:t>
      </w:r>
      <w:r>
        <w:rPr>
          <w:rFonts w:hint="eastAsia" w:ascii="宋体" w:hAnsi="宋体" w:eastAsia="宋体" w:cs="宋体"/>
          <w:color w:val="auto"/>
          <w:sz w:val="24"/>
          <w:highlight w:val="none"/>
          <w:lang w:val="en-US" w:eastAsia="zh-CN"/>
        </w:rPr>
        <w:t>15988861129</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称：萧山区财政局</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浙江省政府采购行政裁决服务中心（杭州）</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val="en-US" w:eastAsia="zh-CN"/>
        </w:rPr>
        <w:t>杭州市上城区四季青街道新业路市民之家G03办公室（快递仅限ems或顺丰）</w:t>
      </w:r>
    </w:p>
    <w:p>
      <w:pPr>
        <w:spacing w:line="360" w:lineRule="auto"/>
        <w:ind w:left="237" w:leftChars="113" w:firstLine="180" w:firstLineChars="75"/>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传   真：</w:t>
      </w:r>
      <w:r>
        <w:rPr>
          <w:rFonts w:hint="eastAsia" w:ascii="宋体" w:hAnsi="宋体" w:eastAsia="宋体" w:cs="宋体"/>
          <w:color w:val="auto"/>
          <w:sz w:val="24"/>
          <w:highlight w:val="none"/>
          <w:lang w:val="en-US" w:eastAsia="zh-CN"/>
        </w:rPr>
        <w:t>/</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w:t>
      </w:r>
      <w:r>
        <w:rPr>
          <w:rFonts w:hint="eastAsia" w:ascii="宋体" w:hAnsi="宋体" w:eastAsia="宋体" w:cs="宋体"/>
          <w:color w:val="auto"/>
          <w:sz w:val="24"/>
          <w:highlight w:val="none"/>
          <w:lang w:val="en-US" w:eastAsia="zh-CN"/>
        </w:rPr>
        <w:t>朱女士/王女士</w:t>
      </w:r>
    </w:p>
    <w:p>
      <w:pPr>
        <w:spacing w:line="360" w:lineRule="auto"/>
        <w:ind w:left="237" w:leftChars="113" w:firstLine="180" w:firstLineChars="75"/>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监督投诉电话：</w:t>
      </w:r>
      <w:r>
        <w:rPr>
          <w:rFonts w:hint="eastAsia" w:ascii="宋体" w:hAnsi="宋体" w:eastAsia="宋体" w:cs="宋体"/>
          <w:color w:val="auto"/>
          <w:sz w:val="24"/>
          <w:highlight w:val="none"/>
          <w:lang w:val="en-US" w:eastAsia="zh-CN"/>
        </w:rPr>
        <w:t>0571-85252453</w:t>
      </w:r>
      <w:r>
        <w:rPr>
          <w:rFonts w:hint="eastAsia" w:ascii="宋体" w:hAnsi="宋体" w:eastAsia="宋体" w:cs="宋体"/>
          <w:color w:val="auto"/>
          <w:sz w:val="24"/>
          <w:highlight w:val="none"/>
        </w:rPr>
        <w:t xml:space="preserve"> </w:t>
      </w:r>
    </w:p>
    <w:p>
      <w:pPr>
        <w:spacing w:line="360" w:lineRule="auto"/>
        <w:ind w:firstLine="420" w:firstLine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政策咨询电话：</w:t>
      </w:r>
      <w:r>
        <w:rPr>
          <w:rFonts w:hint="eastAsia" w:ascii="宋体" w:hAnsi="宋体" w:eastAsia="宋体" w:cs="宋体"/>
          <w:color w:val="auto"/>
          <w:sz w:val="24"/>
          <w:highlight w:val="none"/>
        </w:rPr>
        <w:t>0571-82756122  </w:t>
      </w:r>
      <w:r>
        <w:rPr>
          <w:rFonts w:hint="eastAsia" w:ascii="宋体" w:hAnsi="宋体" w:eastAsia="宋体" w:cs="宋体"/>
          <w:color w:val="auto"/>
          <w:sz w:val="24"/>
          <w:highlight w:val="none"/>
          <w:lang w:eastAsia="zh-CN"/>
        </w:rPr>
        <w:t>（汤先生）</w:t>
      </w:r>
    </w:p>
    <w:p>
      <w:pPr>
        <w:spacing w:line="360" w:lineRule="auto"/>
        <w:rPr>
          <w:rFonts w:hint="eastAsia" w:ascii="宋体" w:hAnsi="宋体" w:eastAsia="宋体" w:cs="宋体"/>
          <w:color w:val="auto"/>
          <w:sz w:val="24"/>
          <w:highlight w:val="none"/>
          <w:lang w:val="en-US" w:eastAsia="zh-CN"/>
        </w:rPr>
      </w:pP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（1）标的：</w:t>
            </w:r>
            <w:r>
              <w:rPr>
                <w:rFonts w:hint="eastAsia" w:ascii="宋体" w:hAnsi="宋体" w:eastAsia="宋体" w:cs="宋体"/>
                <w:color w:val="auto"/>
                <w:sz w:val="24"/>
                <w:highlight w:val="none"/>
                <w:shd w:val="clear" w:color="auto" w:fill="auto"/>
              </w:rPr>
              <w:t>刑罚执行</w:t>
            </w:r>
            <w:r>
              <w:rPr>
                <w:rFonts w:hint="eastAsia" w:ascii="宋体" w:hAnsi="宋体" w:eastAsia="宋体" w:cs="宋体"/>
                <w:color w:val="auto"/>
                <w:highlight w:val="none"/>
              </w:rPr>
              <w:t>实时监督</w:t>
            </w:r>
            <w:r>
              <w:rPr>
                <w:rFonts w:hint="eastAsia" w:ascii="宋体" w:hAnsi="宋体" w:eastAsia="宋体" w:cs="宋体"/>
                <w:color w:val="auto"/>
                <w:highlight w:val="none"/>
                <w:lang w:eastAsia="zh-CN"/>
              </w:rPr>
              <w:t>项目</w:t>
            </w:r>
            <w:r>
              <w:rPr>
                <w:rFonts w:hint="eastAsia" w:ascii="宋体" w:hAnsi="宋体" w:eastAsia="宋体" w:cs="宋体"/>
                <w:color w:val="auto"/>
                <w:highlight w:val="none"/>
              </w:rPr>
              <w:t>，属于软件和信息技术服务业行业；</w:t>
            </w:r>
          </w:p>
          <w:p>
            <w:pPr>
              <w:rPr>
                <w:rFonts w:hint="eastAsia" w:ascii="宋体" w:hAnsi="宋体" w:eastAsia="宋体" w:cs="宋体"/>
                <w:color w:val="auto"/>
                <w:highlight w:val="none"/>
                <w:lang w:val="en-US"/>
              </w:rPr>
            </w:pPr>
            <w:r>
              <w:rPr>
                <w:rFonts w:hint="eastAsia" w:ascii="宋体" w:hAnsi="宋体" w:eastAsia="宋体" w:cs="宋体"/>
                <w:color w:val="auto"/>
                <w:sz w:val="22"/>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1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15"/>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pStyle w:val="3"/>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w:t>
            </w:r>
            <w:r>
              <w:rPr>
                <w:rFonts w:hint="eastAsia" w:ascii="宋体" w:hAnsi="宋体" w:eastAsia="宋体" w:cs="宋体"/>
                <w:color w:val="auto"/>
                <w:kern w:val="0"/>
                <w:sz w:val="24"/>
                <w:highlight w:val="none"/>
                <w:u w:val="single"/>
                <w:lang w:val="en-US" w:eastAsia="zh-CN"/>
              </w:rPr>
              <w:t>15</w:t>
            </w:r>
            <w:r>
              <w:rPr>
                <w:rFonts w:hint="eastAsia" w:ascii="宋体" w:hAnsi="宋体" w:eastAsia="宋体" w:cs="宋体"/>
                <w:color w:val="auto"/>
                <w:kern w:val="0"/>
                <w:sz w:val="24"/>
                <w:highlight w:val="none"/>
              </w:rPr>
              <w:t>分钟，讲解次序以投标文件解密时间先后次序为准，讲解演示人员不超过</w:t>
            </w:r>
            <w:r>
              <w:rPr>
                <w:rFonts w:hint="eastAsia" w:ascii="宋体" w:hAnsi="宋体" w:eastAsia="宋体" w:cs="宋体"/>
                <w:color w:val="auto"/>
                <w:kern w:val="0"/>
                <w:sz w:val="24"/>
                <w:highlight w:val="none"/>
                <w:u w:val="single"/>
              </w:rPr>
              <w:t>3</w:t>
            </w:r>
            <w:r>
              <w:rPr>
                <w:rFonts w:hint="eastAsia" w:ascii="宋体" w:hAnsi="宋体" w:eastAsia="宋体" w:cs="宋体"/>
                <w:color w:val="auto"/>
                <w:kern w:val="0"/>
                <w:sz w:val="24"/>
                <w:highlight w:val="none"/>
              </w:rPr>
              <w:t>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r>
              <w:rPr>
                <w:rFonts w:hint="eastAsia" w:ascii="宋体" w:hAnsi="宋体" w:eastAsia="宋体" w:cs="宋体"/>
                <w:bCs/>
                <w:color w:val="auto"/>
                <w:sz w:val="22"/>
                <w:highlight w:val="none"/>
                <w:lang w:val="en-US" w:eastAsia="zh-CN"/>
              </w:rPr>
              <w:t>演示人员</w:t>
            </w:r>
            <w:r>
              <w:rPr>
                <w:rFonts w:hint="eastAsia" w:ascii="宋体" w:hAnsi="宋体" w:eastAsia="宋体" w:cs="宋体"/>
                <w:bCs/>
                <w:color w:val="auto"/>
                <w:sz w:val="22"/>
                <w:highlight w:val="none"/>
              </w:rPr>
              <w:t>须提供投标人的授权书（见附件格式，法人代表请携带身份证复件及营业执照复印件）、身份证</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lang w:val="en-US" w:eastAsia="zh-CN"/>
              </w:rPr>
              <w:t>复印件</w:t>
            </w:r>
            <w:r>
              <w:rPr>
                <w:rFonts w:hint="eastAsia" w:ascii="宋体" w:hAnsi="宋体" w:eastAsia="宋体" w:cs="宋体"/>
                <w:bCs/>
                <w:color w:val="auto"/>
                <w:sz w:val="22"/>
                <w:highlight w:val="none"/>
                <w:lang w:eastAsia="zh-CN"/>
              </w:rPr>
              <w:t>）</w:t>
            </w:r>
            <w:r>
              <w:rPr>
                <w:rFonts w:hint="eastAsia" w:ascii="宋体" w:hAnsi="宋体" w:eastAsia="宋体" w:cs="宋体"/>
                <w:bCs/>
                <w:color w:val="auto"/>
                <w:sz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本项目支持《杭州市萧山区政府采购支持中小企业信用融资暂行办法》。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lang w:val="en-US" w:eastAsia="zh-CN"/>
              </w:rPr>
              <w:t>本项目</w:t>
            </w:r>
            <w:r>
              <w:rPr>
                <w:rFonts w:hint="eastAsia" w:ascii="宋体" w:hAnsi="宋体" w:eastAsia="宋体" w:cs="宋体"/>
                <w:color w:val="auto"/>
                <w:kern w:val="28"/>
                <w:sz w:val="24"/>
                <w:szCs w:val="24"/>
                <w:highlight w:val="none"/>
              </w:rPr>
              <w:t>备份文件是否收取：不收取</w:t>
            </w:r>
          </w:p>
          <w:p>
            <w:pPr>
              <w:pStyle w:val="32"/>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宋体" w:hAnsi="宋体" w:eastAsia="宋体" w:cs="宋体"/>
                <w:color w:val="auto"/>
                <w:kern w:val="28"/>
                <w:sz w:val="24"/>
                <w:szCs w:val="24"/>
                <w:highlight w:val="none"/>
              </w:rPr>
            </w:pPr>
            <w:r>
              <w:rPr>
                <w:rFonts w:hint="eastAsia" w:ascii="宋体" w:hAnsi="宋体" w:eastAsia="宋体" w:cs="宋体"/>
                <w:snapToGrid/>
                <w:color w:val="auto"/>
                <w:kern w:val="2"/>
                <w:sz w:val="22"/>
                <w:szCs w:val="24"/>
                <w:highlight w:val="none"/>
                <w:lang w:val="en-US" w:eastAsia="zh-CN" w:bidi="ar-SA"/>
              </w:rPr>
              <w:t>本项目的招标代理服务费由供应商支付。招标代理服务费计费标准：以中标（成交）金额为计费基准，按计价格[2002]1980号文规定的收费标准计取。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7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
                <w:color w:val="auto"/>
                <w:sz w:val="22"/>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2"/>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采购人、采购机构质疑接收人、联系方式：详见公告</w:t>
            </w:r>
          </w:p>
          <w:p>
            <w:pPr>
              <w:snapToGrid w:val="0"/>
              <w:spacing w:after="0" w:line="360" w:lineRule="auto"/>
              <w:rPr>
                <w:rFonts w:hint="eastAsia" w:ascii="宋体" w:hAnsi="宋体" w:eastAsia="宋体" w:cs="宋体"/>
                <w:b/>
                <w:color w:val="auto"/>
                <w:sz w:val="22"/>
                <w:highlight w:val="none"/>
              </w:rPr>
            </w:pPr>
            <w:r>
              <w:rPr>
                <w:rFonts w:hint="eastAsia" w:ascii="宋体" w:hAnsi="宋体" w:eastAsia="宋体" w:cs="宋体"/>
                <w:b/>
                <w:color w:val="auto"/>
                <w:sz w:val="22"/>
                <w:highlight w:val="none"/>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本项目涉及资格条件、采购需求、评分办法及采购过程中有关现场考察或开标前答疑会等事项由采购人进行答复。</w:t>
            </w:r>
          </w:p>
          <w:p>
            <w:pPr>
              <w:spacing w:after="0"/>
              <w:rPr>
                <w:rFonts w:hint="eastAsia" w:ascii="宋体" w:hAnsi="宋体" w:eastAsia="宋体" w:cs="宋体"/>
                <w:color w:val="auto"/>
                <w:sz w:val="22"/>
                <w:highlight w:val="none"/>
              </w:rPr>
            </w:pPr>
            <w:r>
              <w:rPr>
                <w:rFonts w:hint="eastAsia" w:ascii="宋体" w:hAnsi="宋体" w:eastAsia="宋体" w:cs="宋体"/>
                <w:color w:val="auto"/>
                <w:sz w:val="22"/>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2"/>
                <w:highlight w:val="none"/>
                <w:lang w:val="en-US" w:eastAsia="zh-CN"/>
              </w:rPr>
            </w:pPr>
            <w:r>
              <w:rPr>
                <w:rFonts w:hint="eastAsia" w:ascii="宋体" w:hAnsi="宋体" w:eastAsia="宋体" w:cs="宋体"/>
                <w:b/>
                <w:color w:val="auto"/>
                <w:sz w:val="22"/>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eastAsia="宋体" w:cs="宋体"/>
                <w:color w:val="auto"/>
                <w:highlight w:val="none"/>
                <w:lang w:val="en-US" w:eastAsia="zh-CN"/>
              </w:rPr>
              <w:t>后</w:t>
            </w:r>
            <w:r>
              <w:rPr>
                <w:rFonts w:hint="eastAsia" w:ascii="宋体" w:hAnsi="宋体" w:eastAsia="宋体" w:cs="宋体"/>
                <w:color w:val="auto"/>
                <w:highlight w:val="none"/>
              </w:rPr>
              <w:t>已有新文件</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，按照最新文件执行）。存在隐蔽工程的项目，采购单位及供应商应在货物到货并将实施安装前，申请进行初验收。</w:t>
            </w:r>
          </w:p>
          <w:p>
            <w:pPr>
              <w:rPr>
                <w:rFonts w:hint="eastAsia" w:ascii="宋体" w:hAnsi="宋体" w:eastAsia="宋体" w:cs="宋体"/>
                <w:color w:val="auto"/>
                <w:highlight w:val="none"/>
              </w:rPr>
            </w:pPr>
            <w:r>
              <w:rPr>
                <w:rFonts w:hint="eastAsia" w:ascii="宋体" w:hAnsi="宋体" w:eastAsia="宋体" w:cs="宋体"/>
                <w:color w:val="auto"/>
                <w:highlight w:val="none"/>
              </w:rPr>
              <w:t>联系电话: 0571-83587785/0571-82816012  联系地址: 萧山区通惠北路2-1号302室</w:t>
            </w:r>
          </w:p>
          <w:p>
            <w:pPr>
              <w:spacing w:after="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highlight w:val="none"/>
              </w:rPr>
            </w:pPr>
            <w:sdt>
              <w:sdtPr>
                <w:rPr>
                  <w:rFonts w:hint="eastAsia" w:ascii="宋体" w:hAnsi="宋体" w:eastAsia="宋体" w:cs="宋体"/>
                  <w:color w:val="auto"/>
                  <w:highlight w:val="none"/>
                </w:rPr>
                <w:id w:val="23"/>
                <w14:checkbox>
                  <w14:checked w14:val="0"/>
                  <w14:checkedState w14:val="00FE" w14:font="Wingdings"/>
                  <w14:uncheckedState w14:val="2610" w14:font="MS Gothic"/>
                </w14:checkbox>
              </w:sdtPr>
              <w:sdtEndPr>
                <w:rPr>
                  <w:rFonts w:hint="eastAsia" w:ascii="宋体" w:hAnsi="宋体" w:eastAsia="宋体" w:cs="宋体"/>
                  <w:color w:val="auto"/>
                  <w:highlight w:val="none"/>
                </w:rPr>
              </w:sdtEndPr>
              <w:sdtContent>
                <w:r>
                  <w:rPr>
                    <w:rFonts w:hint="eastAsia" w:ascii="宋体" w:hAnsi="宋体" w:eastAsia="宋体" w:cs="宋体"/>
                    <w:color w:val="auto"/>
                    <w:highlight w:val="none"/>
                  </w:rPr>
                  <w:t>☐</w:t>
                </w:r>
              </w:sdtContent>
            </w:sdt>
            <w:r>
              <w:rPr>
                <w:rFonts w:hint="eastAsia" w:ascii="宋体" w:hAnsi="宋体" w:eastAsia="宋体" w:cs="宋体"/>
                <w:color w:val="auto"/>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highlight w:val="none"/>
                </w:rPr>
                <w:id w:val="1052570136"/>
                <w14:checkbox>
                  <w14:checked w14:val="1"/>
                  <w14:checkedState w14:val="00FE" w14:font="Wingdings"/>
                  <w14:uncheckedState w14:val="2610" w14:font="MS Gothic"/>
                </w14:checkbox>
              </w:sdtPr>
              <w:sdtEndPr>
                <w:rPr>
                  <w:rFonts w:hint="eastAsia" w:ascii="宋体" w:hAnsi="宋体" w:eastAsia="宋体" w:cs="宋体"/>
                  <w:color w:val="auto"/>
                  <w:highlight w:val="none"/>
                </w:rPr>
              </w:sdtEndPr>
              <w:sdtContent>
                <w:r>
                  <w:rPr>
                    <w:rFonts w:hint="eastAsia" w:ascii="宋体" w:hAnsi="宋体" w:eastAsia="宋体" w:cs="宋体"/>
                    <w:color w:val="auto"/>
                    <w:highlight w:val="none"/>
                  </w:rPr>
                  <w:sym w:font="Wingdings" w:char="F0FE"/>
                </w:r>
              </w:sdtContent>
            </w:sdt>
            <w:r>
              <w:rPr>
                <w:rFonts w:hint="eastAsia" w:ascii="宋体" w:hAnsi="宋体" w:eastAsia="宋体" w:cs="宋体"/>
                <w:color w:val="auto"/>
                <w:highlight w:val="none"/>
              </w:rPr>
              <w:t>联合体投标的，联合体中有一方或者联合体成员根据分工按招标文件第四部分评标标准要求提供资信证明文件的，视为符合了相关要求。</w:t>
            </w:r>
            <w:r>
              <w:rPr>
                <w:rFonts w:hint="eastAsia" w:ascii="宋体" w:hAnsi="宋体" w:eastAsia="宋体" w:cs="宋体"/>
                <w:color w:val="auto"/>
                <w:highlight w:val="none"/>
              </w:rPr>
              <w:br w:type="textWrapping"/>
            </w:r>
            <w:r>
              <w:rPr>
                <w:rFonts w:hint="eastAsia" w:ascii="宋体" w:hAnsi="宋体" w:eastAsia="宋体" w:cs="宋体"/>
                <w:color w:val="auto"/>
                <w:kern w:val="0"/>
                <w:sz w:val="24"/>
                <w:highlight w:val="none"/>
              </w:rPr>
              <w:t>评审因素对应的要求视为采购需求的一部分。</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严格执行预算限价，项目如涉及办公用房装修、通用办公设备家具的不得超限额标准。（萧财国资【2019】389号）</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eastAsia="zh-CN"/>
              </w:rPr>
              <w:t>本项目每个标项推荐中标候选人数量：</w:t>
            </w:r>
            <w:r>
              <w:rPr>
                <w:rFonts w:hint="eastAsia" w:ascii="宋体" w:hAnsi="宋体" w:eastAsia="宋体" w:cs="宋体"/>
                <w:b/>
                <w:bCs/>
                <w:color w:val="auto"/>
                <w:highlight w:val="none"/>
                <w:lang w:val="en-US" w:eastAsia="zh-CN"/>
              </w:rPr>
              <w:t>1</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1" w:name="第三部分"/>
      <w:bookmarkStart w:id="12" w:name="_Toc164416483"/>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”系指招标公告中载明的本项目的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32"/>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的答复不满意或者采购人、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28"/>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2"/>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6. 招标文件的澄清、修改</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r>
        <w:rPr>
          <w:rFonts w:hint="eastAsia" w:ascii="宋体" w:hAnsi="宋体" w:eastAsia="宋体" w:cs="宋体"/>
          <w:snapToGrid w:val="0"/>
          <w:color w:val="auto"/>
          <w:kern w:val="28"/>
          <w:sz w:val="24"/>
          <w:szCs w:val="20"/>
          <w:highlight w:val="none"/>
        </w:rPr>
        <w:t>联合协议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snapToGrid w:val="0"/>
          <w:color w:val="auto"/>
          <w:kern w:val="28"/>
          <w:sz w:val="24"/>
          <w:szCs w:val="20"/>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2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2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2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2"/>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4"/>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有招标文件第四部分4.2规定的情形之一的，投标无效：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28"/>
        <w:spacing w:before="0"/>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可以以书面形式通知投标人延长投标有效期。投标人同意延长的，不得要求或被允许修改其投标文件，投标人拒绝延长的，其投标无效。</w:t>
      </w:r>
      <w:r>
        <w:rPr>
          <w:rFonts w:hint="eastAsia" w:ascii="宋体" w:hAnsi="宋体" w:eastAsia="宋体" w:cs="宋体"/>
          <w:color w:val="auto"/>
          <w:highlight w:val="none"/>
        </w:rPr>
        <w:br w:type="textWrapping"/>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17.4在投标截止时间起至投标有效期届满，供应商投标文件不可撤销。</w:t>
      </w:r>
    </w:p>
    <w:p>
      <w:pPr>
        <w:pStyle w:val="128"/>
        <w:spacing w:before="0"/>
        <w:ind w:firstLine="480"/>
        <w:rPr>
          <w:rFonts w:hint="eastAsia" w:ascii="宋体" w:hAnsi="宋体" w:eastAsia="宋体" w:cs="宋体"/>
          <w:color w:val="auto"/>
          <w:highlight w:val="none"/>
        </w:rPr>
      </w:pPr>
    </w:p>
    <w:p>
      <w:pPr>
        <w:pStyle w:val="128"/>
        <w:spacing w:before="0"/>
        <w:ind w:firstLine="643"/>
        <w:rPr>
          <w:rFonts w:hint="eastAsia" w:ascii="宋体" w:hAnsi="宋体" w:eastAsia="宋体" w:cs="宋体"/>
          <w:b/>
          <w:color w:val="auto"/>
          <w:sz w:val="32"/>
          <w:highlight w:val="none"/>
        </w:rPr>
      </w:pPr>
    </w:p>
    <w:p>
      <w:pPr>
        <w:pStyle w:val="12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4"/>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4"/>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19.1开标后，采购人将依据法律法规和招标文件的规定，对投标人的资格进行审查。</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19.2投标人未按照招标文件要求提供与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3对未通过资格审查的投标人，告知其未通过的原因。</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4合格投标人不足3家的，不再评标。</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val="en-US" w:eastAsia="zh-CN"/>
        </w:rPr>
        <w:t>采购人</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28"/>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rFonts w:hint="eastAsia" w:ascii="宋体" w:hAnsi="宋体" w:eastAsia="宋体" w:cs="宋体"/>
          <w:color w:val="auto"/>
          <w:highlight w:val="none"/>
        </w:rPr>
      </w:pPr>
      <w:r>
        <w:rPr>
          <w:rFonts w:hint="eastAsia" w:ascii="宋体" w:hAnsi="宋体" w:eastAsia="宋体" w:cs="宋体"/>
          <w:b/>
          <w:bCs/>
          <w:color w:val="auto"/>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sz w:val="24"/>
          <w:szCs w:val="20"/>
          <w:highlight w:val="none"/>
        </w:rPr>
        <w:t>2</w:t>
      </w:r>
      <w:r>
        <w:rPr>
          <w:rFonts w:hint="eastAsia" w:ascii="宋体" w:hAnsi="宋体" w:eastAsia="宋体" w:cs="宋体"/>
          <w:b/>
          <w:bCs/>
          <w:color w:val="auto"/>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4"/>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68073093"/>
      <w:bookmarkEnd w:id="16"/>
      <w:bookmarkStart w:id="17" w:name="_Hlt68072990"/>
      <w:bookmarkEnd w:id="17"/>
      <w:bookmarkStart w:id="18" w:name="_Hlt74707468"/>
      <w:bookmarkEnd w:id="18"/>
      <w:bookmarkStart w:id="19" w:name="_Hlt68403820"/>
      <w:bookmarkEnd w:id="19"/>
      <w:bookmarkStart w:id="20" w:name="_Hlt74714665"/>
      <w:bookmarkEnd w:id="20"/>
      <w:bookmarkStart w:id="21" w:name="_Hlt68072998"/>
      <w:bookmarkEnd w:id="21"/>
      <w:bookmarkStart w:id="22" w:name="_Hlt75236290"/>
      <w:bookmarkEnd w:id="22"/>
      <w:bookmarkStart w:id="23" w:name="_Hlt75236011"/>
      <w:bookmarkEnd w:id="23"/>
      <w:bookmarkStart w:id="24" w:name="_Hlt74729768"/>
      <w:bookmarkEnd w:id="24"/>
      <w:bookmarkStart w:id="25" w:name="_Hlt68057669"/>
      <w:bookmarkEnd w:id="25"/>
      <w:bookmarkStart w:id="26" w:name="_Hlt74730295"/>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snapToGrid w:val="0"/>
        <w:rPr>
          <w:rStyle w:val="962"/>
          <w:rFonts w:hint="eastAsia" w:ascii="宋体" w:hAnsi="宋体" w:eastAsia="宋体" w:cs="宋体"/>
          <w:color w:val="auto"/>
          <w:highlight w:val="none"/>
        </w:rPr>
      </w:pPr>
      <w:r>
        <w:rPr>
          <w:rStyle w:val="962"/>
          <w:rFonts w:hint="eastAsia" w:ascii="宋体" w:hAnsi="宋体" w:eastAsia="宋体" w:cs="宋体"/>
          <w:color w:val="auto"/>
          <w:highlight w:val="none"/>
        </w:rPr>
        <w:t>属于实质性要求条款的，请用符号“▲”标明，否则属于非实质性要求。</w:t>
      </w:r>
    </w:p>
    <w:p>
      <w:pPr>
        <w:snapToGrid w:val="0"/>
        <w:rPr>
          <w:rStyle w:val="962"/>
          <w:rFonts w:hint="eastAsia" w:ascii="宋体" w:hAnsi="宋体" w:eastAsia="宋体" w:cs="宋体"/>
          <w:color w:val="auto"/>
          <w:highlight w:val="none"/>
        </w:rPr>
      </w:pPr>
      <w:r>
        <w:rPr>
          <w:rStyle w:val="962"/>
          <w:rFonts w:hint="eastAsia" w:ascii="宋体" w:hAnsi="宋体" w:eastAsia="宋体" w:cs="宋体"/>
          <w:color w:val="auto"/>
          <w:highlight w:val="none"/>
        </w:rPr>
        <w:t>“★”系产品采购项目中单一产品或核心产品。</w:t>
      </w:r>
    </w:p>
    <w:p>
      <w:pPr>
        <w:pStyle w:val="3"/>
        <w:rPr>
          <w:rFonts w:hint="eastAsia" w:ascii="宋体" w:hAnsi="宋体" w:eastAsia="宋体" w:cs="宋体"/>
          <w:color w:val="auto"/>
          <w:highlight w:val="none"/>
        </w:rPr>
      </w:pPr>
    </w:p>
    <w:p>
      <w:pPr>
        <w:pStyle w:val="3"/>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招标一览表</w:t>
      </w:r>
    </w:p>
    <w:p>
      <w:pPr>
        <w:pStyle w:val="6"/>
        <w:rPr>
          <w:rFonts w:hint="eastAsia" w:ascii="宋体" w:hAnsi="宋体" w:eastAsia="宋体" w:cs="宋体"/>
          <w:color w:val="auto"/>
          <w:highlight w:val="none"/>
        </w:rPr>
      </w:pPr>
      <w:r>
        <w:rPr>
          <w:rFonts w:hint="eastAsia" w:ascii="宋体" w:hAnsi="宋体" w:eastAsia="宋体" w:cs="宋体"/>
          <w:color w:val="auto"/>
          <w:highlight w:val="none"/>
        </w:rPr>
        <w:t>标项一：</w:t>
      </w:r>
      <w:r>
        <w:rPr>
          <w:rFonts w:hint="eastAsia" w:ascii="宋体" w:hAnsi="宋体" w:eastAsia="宋体" w:cs="宋体"/>
          <w:color w:val="auto"/>
          <w:sz w:val="24"/>
          <w:highlight w:val="none"/>
          <w:shd w:val="clear" w:color="auto" w:fill="auto"/>
        </w:rPr>
        <w:t>刑罚执行实时监督</w:t>
      </w:r>
      <w:r>
        <w:rPr>
          <w:rFonts w:hint="eastAsia" w:ascii="宋体" w:hAnsi="宋体" w:eastAsia="宋体" w:cs="宋体"/>
          <w:color w:val="auto"/>
          <w:sz w:val="24"/>
          <w:highlight w:val="none"/>
          <w:shd w:val="clear" w:color="auto" w:fill="auto"/>
          <w:lang w:eastAsia="zh-CN"/>
        </w:rPr>
        <w:t>项目</w:t>
      </w:r>
    </w:p>
    <w:tbl>
      <w:tblPr>
        <w:tblStyle w:val="62"/>
        <w:tblpPr w:leftFromText="180" w:rightFromText="180" w:vertAnchor="text" w:horzAnchor="margin" w:tblpY="63"/>
        <w:tblOverlap w:val="never"/>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2101"/>
        <w:gridCol w:w="909"/>
        <w:gridCol w:w="1000"/>
        <w:gridCol w:w="1031"/>
        <w:gridCol w:w="178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4" w:hRule="atLeast"/>
        </w:trPr>
        <w:tc>
          <w:tcPr>
            <w:tcW w:w="562"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101"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909"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00"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031" w:type="dxa"/>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预算（元）</w:t>
            </w:r>
          </w:p>
        </w:tc>
        <w:tc>
          <w:tcPr>
            <w:tcW w:w="1787" w:type="dxa"/>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简要规格描述或基本情况介绍</w:t>
            </w:r>
          </w:p>
        </w:tc>
        <w:tc>
          <w:tcPr>
            <w:tcW w:w="1947" w:type="dxa"/>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7" w:hRule="atLeast"/>
        </w:trPr>
        <w:tc>
          <w:tcPr>
            <w:tcW w:w="562"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101"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auto"/>
              </w:rPr>
              <w:t>刑罚执行实时监督</w:t>
            </w:r>
            <w:r>
              <w:rPr>
                <w:rFonts w:hint="eastAsia" w:ascii="宋体" w:hAnsi="宋体" w:eastAsia="宋体" w:cs="宋体"/>
                <w:color w:val="auto"/>
                <w:sz w:val="24"/>
                <w:szCs w:val="24"/>
                <w:highlight w:val="none"/>
                <w:shd w:val="clear" w:color="auto" w:fill="auto"/>
                <w:lang w:eastAsia="zh-CN"/>
              </w:rPr>
              <w:t>项目</w:t>
            </w:r>
          </w:p>
        </w:tc>
        <w:tc>
          <w:tcPr>
            <w:tcW w:w="909"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00"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1031" w:type="dxa"/>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560000</w:t>
            </w:r>
          </w:p>
        </w:tc>
        <w:tc>
          <w:tcPr>
            <w:tcW w:w="1787" w:type="dxa"/>
            <w:vAlign w:val="center"/>
          </w:tcPr>
          <w:p>
            <w:pPr>
              <w:tabs>
                <w:tab w:val="left" w:pos="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auto"/>
              </w:rPr>
              <w:t>详见</w:t>
            </w:r>
            <w:r>
              <w:rPr>
                <w:rFonts w:hint="eastAsia" w:ascii="宋体" w:hAnsi="宋体" w:eastAsia="宋体" w:cs="宋体"/>
                <w:color w:val="auto"/>
                <w:sz w:val="24"/>
                <w:szCs w:val="24"/>
                <w:highlight w:val="none"/>
                <w:shd w:val="clear" w:color="auto" w:fill="auto"/>
                <w:lang w:val="en-US" w:eastAsia="zh-CN"/>
              </w:rPr>
              <w:t>采购</w:t>
            </w:r>
            <w:r>
              <w:rPr>
                <w:rFonts w:hint="eastAsia" w:ascii="宋体" w:hAnsi="宋体" w:eastAsia="宋体" w:cs="宋体"/>
                <w:color w:val="auto"/>
                <w:sz w:val="24"/>
                <w:szCs w:val="24"/>
                <w:highlight w:val="none"/>
                <w:shd w:val="clear" w:color="auto" w:fill="auto"/>
              </w:rPr>
              <w:t>需求</w:t>
            </w:r>
          </w:p>
        </w:tc>
        <w:tc>
          <w:tcPr>
            <w:tcW w:w="1947" w:type="dxa"/>
            <w:vAlign w:val="center"/>
          </w:tcPr>
          <w:p>
            <w:pP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560000</w:t>
            </w:r>
          </w:p>
        </w:tc>
      </w:tr>
    </w:tbl>
    <w:p>
      <w:pPr>
        <w:pStyle w:val="3"/>
        <w:numPr>
          <w:ilvl w:val="0"/>
          <w:numId w:val="0"/>
        </w:numPr>
        <w:ind w:leftChars="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投标人需在投标（开标）一览表中明确投标报价（总价）及以上各分项小计报价，各分项小计报价不得超过上表各最高限价。严格执行预算限价，项目如涉及办公用房装修、通用办公设备家具的不得超限额标准。（萧财国资【2019】389号）</w:t>
      </w:r>
    </w:p>
    <w:p>
      <w:pPr>
        <w:rPr>
          <w:rFonts w:hint="eastAsia" w:ascii="宋体" w:hAnsi="宋体" w:eastAsia="宋体" w:cs="宋体"/>
          <w:b/>
          <w:color w:val="auto"/>
          <w:sz w:val="22"/>
          <w:szCs w:val="22"/>
          <w:highlight w:val="none"/>
        </w:rPr>
      </w:pPr>
    </w:p>
    <w:p>
      <w:pPr>
        <w:pStyle w:val="3"/>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采购需求</w:t>
      </w: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rPr>
      </w:pP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val="en" w:eastAsia="zh-CN"/>
        </w:rPr>
        <w:t>建设背景及内容</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1.1建设背景</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信息化时代，数字检察、大数据法律监督是检察工作迈向现代化的“船”与“桥”，是检察工作提质增效、转型升级的重要抓手与引擎。近年来，检察机关深入学习贯彻习近平总书记关于数字中国建设的一系列重要指示精神，深入落实《中共中央关于加强新时代检察机关法律监督工作的意见》，加快数字检察建设，把数字检察工作作为前瞻性、基础性工作来抓，以数字革命赋能法律监督，不断驱动新时代检察工作高质量发展。</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根据《浙江省人民代表大会常务委员会关于进一步加强新时代检察机关法律监督工作的决定》和《杭州市人民代表大会常务委员会关于推进数字检察加强新时代法律监督工作的决定》，要充分发挥数智杭州建设的先发优势，着力推进检察机关履行宪法法律赋予的监督职能，促进跨场景、跨条线协同办案，提升队伍精准监督能力和水平以及确保大数据安全等数字检察重点内容，深入实践“个案办理—类案监督—社会治理”法律监督模式，实现法律监督流程全面化，监督智能化，刑罚审查专业化，实时查询精准化，以数字赋能打造法律监督工作新高地。刑罚执行实时监督系统建设完成后，能达到年检索10万份判决，每2秒处理1件判决文书的能力，将发现1000条左右监督线索。</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1.2建设内容</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刑罚执行实时监督系统以检察工作网、政法云、政务云为基础、采用虚拟化技术，对院内现有的系统资源进行整合、规划，为应用提供基础支撑。</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系统通过对接省、市级和区级各系统，来完善和补充数据。包括检察统一业务系统2.0、政法办案一体化平台等，获取相关业务数据及法院判决文书数据。</w:t>
      </w:r>
    </w:p>
    <w:p>
      <w:pPr>
        <w:spacing w:line="360" w:lineRule="auto"/>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建设电子文书提取等功能，智能提取法院判决书等相关文书，为应用层提供高质量的结构化数据。</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筛选刑事、民事等不同类型的判决书，分析被告人的主刑、附加刑，依照不同罪名下的不同刑罚种类、刑罚标准、刑罚之间搭配等是否符合法律规定进行筛查，排除缓刑、无期徒刑、死刑、死刑缓刑二年执行、单处罚金刑等难以产生执行错误的一审刑事判决。抓取刑罚时间、羁押时间、非羁押时间，通过三个时间段进行碰撞，设计普通刑期计算模型，计算刑期终止点，计算所得的刑期终止点与判决书认定的刑期终止点不相同的时候，系统能够自动预警。</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刑罚执行实时监督系统功能包括：</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数据归集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文书解析</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数据治理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文书智能筛选</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文书快速检索</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案件分析研判</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刑罚执行监控</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刑罚执行异常预警</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刑罚执行解析报告</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数据统计展示</w:t>
      </w:r>
    </w:p>
    <w:p>
      <w:pPr>
        <w:spacing w:line="360" w:lineRule="auto"/>
        <w:ind w:left="0" w:leftChars="0" w:firstLine="420" w:firstLineChars="175"/>
        <w:jc w:val="center"/>
        <w:rPr>
          <w:rFonts w:hint="eastAsia" w:ascii="宋体" w:hAnsi="宋体" w:cs="宋体"/>
          <w:color w:val="auto"/>
          <w:sz w:val="24"/>
          <w:szCs w:val="24"/>
          <w:highlight w:val="none"/>
          <w:shd w:val="clear" w:color="auto" w:fill="auto"/>
          <w:lang w:val="en-US" w:eastAsia="zh-CN"/>
        </w:rPr>
      </w:pPr>
    </w:p>
    <w:p>
      <w:pPr>
        <w:spacing w:line="360" w:lineRule="auto"/>
        <w:ind w:left="0" w:leftChars="0" w:firstLine="492" w:firstLineChars="175"/>
        <w:jc w:val="center"/>
        <w:rPr>
          <w:rFonts w:hint="default" w:ascii="宋体" w:hAnsi="宋体" w:eastAsia="宋体" w:cs="宋体"/>
          <w:b/>
          <w:bCs/>
          <w:color w:val="auto"/>
          <w:sz w:val="28"/>
          <w:szCs w:val="28"/>
          <w:highlight w:val="none"/>
          <w:shd w:val="clear" w:color="auto" w:fill="auto"/>
          <w:lang w:val="en-US" w:eastAsia="zh-CN"/>
        </w:rPr>
      </w:pPr>
      <w:r>
        <w:rPr>
          <w:rFonts w:hint="eastAsia" w:ascii="宋体" w:hAnsi="宋体" w:cs="宋体"/>
          <w:b/>
          <w:bCs/>
          <w:color w:val="auto"/>
          <w:sz w:val="28"/>
          <w:szCs w:val="28"/>
          <w:highlight w:val="none"/>
          <w:shd w:val="clear" w:color="auto" w:fill="auto"/>
          <w:lang w:val="en-US" w:eastAsia="zh-CN"/>
        </w:rPr>
        <w:t>技术需求：</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 w:eastAsia="zh-CN"/>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 w:eastAsia="zh-CN"/>
        </w:rPr>
        <w:t>系统（技术）需求</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28" w:name="_Toc140566896"/>
      <w:r>
        <w:rPr>
          <w:rFonts w:hint="eastAsia" w:ascii="宋体" w:hAnsi="宋体" w:eastAsia="宋体" w:cs="宋体"/>
          <w:color w:val="auto"/>
          <w:sz w:val="24"/>
          <w:szCs w:val="24"/>
          <w:highlight w:val="none"/>
          <w:shd w:val="clear" w:color="auto" w:fill="auto"/>
          <w:lang w:val="en-US" w:eastAsia="zh-CN"/>
        </w:rPr>
        <w:t>2.1</w:t>
      </w:r>
      <w:r>
        <w:rPr>
          <w:rFonts w:hint="eastAsia" w:ascii="宋体" w:hAnsi="宋体" w:eastAsia="宋体" w:cs="宋体"/>
          <w:color w:val="auto"/>
          <w:sz w:val="24"/>
          <w:szCs w:val="24"/>
          <w:highlight w:val="none"/>
          <w:shd w:val="clear" w:color="auto" w:fill="auto"/>
        </w:rPr>
        <w:t>功能需求清单</w:t>
      </w:r>
      <w:bookmarkEnd w:id="28"/>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29" w:name="_Toc140566897"/>
      <w:r>
        <w:rPr>
          <w:rFonts w:hint="eastAsia" w:ascii="宋体" w:hAnsi="宋体" w:eastAsia="宋体" w:cs="宋体"/>
          <w:color w:val="auto"/>
          <w:sz w:val="24"/>
          <w:szCs w:val="24"/>
          <w:highlight w:val="none"/>
          <w:shd w:val="clear" w:color="auto" w:fill="auto"/>
          <w:lang w:val="en-US" w:eastAsia="zh-CN"/>
        </w:rPr>
        <w:t>2.1.1</w:t>
      </w:r>
      <w:bookmarkEnd w:id="29"/>
      <w:r>
        <w:rPr>
          <w:rFonts w:hint="eastAsia" w:ascii="宋体" w:hAnsi="宋体" w:eastAsia="宋体" w:cs="宋体"/>
          <w:color w:val="auto"/>
          <w:sz w:val="24"/>
          <w:szCs w:val="24"/>
          <w:highlight w:val="none"/>
          <w:shd w:val="clear" w:color="auto" w:fill="auto"/>
          <w:lang w:val="en-US" w:eastAsia="zh-CN"/>
        </w:rPr>
        <w:t>刑罚执行实时监督系统</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2.1.1.1</w:t>
      </w:r>
      <w:r>
        <w:rPr>
          <w:rFonts w:hint="eastAsia" w:ascii="宋体" w:hAnsi="宋体" w:eastAsia="宋体" w:cs="宋体"/>
          <w:color w:val="auto"/>
          <w:sz w:val="24"/>
          <w:szCs w:val="24"/>
          <w:highlight w:val="none"/>
          <w:shd w:val="clear" w:color="auto" w:fill="auto"/>
        </w:rPr>
        <w:t>数据归集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1、数据接入功能</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通过对接省、市级和区级各系统，来完善和补充数据。包括检察统一业务系统2.0、政法办案一体化平台等，获取相关业务数据及法律判决文书和刑罚执行通知书数据。</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、数据清洗功能</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需对归集的所有数据进行清洗，并生成后台任务可持续执行。</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2.1.1.2文书解析</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通过AI算法，从各类文书中提取犯罪事实、犯罪情节、犯罪细节、判决罪名、判决刑期等方面的内容。为应用通过数据支撑。</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2.1.1.3数据治理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对各类数据进行治理，形成系统主题库。包括涉案人员库、类案库等。</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2.1.1.4规则管理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提供法律判决文书线索自动识别规则定义功能，可在图形化的窗口中，定义违反刑罚执行要求的案件识别规则。</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2.1.1.5智能筛查</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依据实体提取功能提取的实体数据，结合类案的综合信息和线索规则，对案件进行智能筛选</w:t>
      </w:r>
      <w:r>
        <w:rPr>
          <w:rFonts w:hint="eastAsia" w:ascii="宋体" w:hAnsi="宋体" w:eastAsia="宋体" w:cs="宋体"/>
          <w:color w:val="auto"/>
          <w:sz w:val="24"/>
          <w:szCs w:val="24"/>
          <w:highlight w:val="none"/>
          <w:shd w:val="clear" w:color="auto" w:fill="auto"/>
          <w:lang w:eastAsia="zh-CN"/>
        </w:rPr>
        <w:t>。</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2.1.1.5高级检索</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基于省、市、区各级系统完善的数据，在系统归集好相关业务数据和法律文书、通知书等相关数据的条件下，为办案人员提供文书的高级检索功能，功能包括对关键字、罚金等</w:t>
      </w:r>
      <w:r>
        <w:rPr>
          <w:rFonts w:hint="eastAsia" w:ascii="宋体" w:hAnsi="宋体" w:eastAsia="宋体" w:cs="宋体"/>
          <w:color w:val="auto"/>
          <w:sz w:val="24"/>
          <w:szCs w:val="24"/>
          <w:highlight w:val="none"/>
          <w:shd w:val="clear" w:color="auto" w:fill="auto"/>
          <w:lang w:eastAsia="zh-CN"/>
        </w:rPr>
        <w:t>多条相关条件进行检索，同时满足包含某一字段，不包含某一字段逻辑搜索。</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2.1.1.7线索分析研判</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对接统一业务系统，提供案件研判功能，提供办案指引、类案推送等功能，方便检察官对审查结果进行进一步研判。</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2.1.1.8刑期比对</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按照刑期比对规则，提供系统计算所得和识别所得刑期比对结果。</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2.1.1.9异常预警</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通过所提供的计算规则，筛选出对比或者识别异常的文书，并对案件进行预警。</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2.1.1.10决策分析</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面向“刑罚执行”各类决策分析功能。</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0" w:name="_Toc140566898"/>
      <w:r>
        <w:rPr>
          <w:rFonts w:hint="eastAsia" w:ascii="宋体" w:hAnsi="宋体" w:eastAsia="宋体" w:cs="宋体"/>
          <w:color w:val="auto"/>
          <w:sz w:val="24"/>
          <w:szCs w:val="24"/>
          <w:highlight w:val="none"/>
          <w:shd w:val="clear" w:color="auto" w:fill="auto"/>
          <w:lang w:val="en-US" w:eastAsia="zh-CN"/>
        </w:rPr>
        <w:t>2.1.2</w:t>
      </w:r>
      <w:r>
        <w:rPr>
          <w:rFonts w:hint="eastAsia" w:ascii="宋体" w:hAnsi="宋体" w:eastAsia="宋体" w:cs="宋体"/>
          <w:color w:val="auto"/>
          <w:sz w:val="24"/>
          <w:szCs w:val="24"/>
          <w:highlight w:val="none"/>
          <w:shd w:val="clear" w:color="auto" w:fill="auto"/>
        </w:rPr>
        <w:t>数据驾驶舱</w:t>
      </w:r>
      <w:bookmarkEnd w:id="30"/>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2.1.2.1</w:t>
      </w:r>
      <w:r>
        <w:rPr>
          <w:rFonts w:hint="eastAsia" w:ascii="宋体" w:hAnsi="宋体" w:eastAsia="宋体" w:cs="宋体"/>
          <w:color w:val="auto"/>
          <w:sz w:val="24"/>
          <w:szCs w:val="24"/>
          <w:highlight w:val="none"/>
          <w:shd w:val="clear" w:color="auto" w:fill="auto"/>
        </w:rPr>
        <w:t>指标计算</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需对相关指标进行统计计算建设。</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2.1.2.2</w:t>
      </w:r>
      <w:r>
        <w:rPr>
          <w:rFonts w:hint="eastAsia" w:ascii="宋体" w:hAnsi="宋体" w:eastAsia="宋体" w:cs="宋体"/>
          <w:color w:val="auto"/>
          <w:sz w:val="24"/>
          <w:szCs w:val="24"/>
          <w:highlight w:val="none"/>
          <w:shd w:val="clear" w:color="auto" w:fill="auto"/>
        </w:rPr>
        <w:t>驾驶舱设计</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需对驾驶舱大屏进行整体设计建设。</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2.1.2.3</w:t>
      </w:r>
      <w:r>
        <w:rPr>
          <w:rFonts w:hint="eastAsia" w:ascii="宋体" w:hAnsi="宋体" w:eastAsia="宋体" w:cs="宋体"/>
          <w:color w:val="auto"/>
          <w:sz w:val="24"/>
          <w:szCs w:val="24"/>
          <w:highlight w:val="none"/>
          <w:shd w:val="clear" w:color="auto" w:fill="auto"/>
        </w:rPr>
        <w:t>驾驶舱开发</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1、整体框架设计</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需对驾驶舱整体框架开发，提供数据交互，页面交互控制等设计。</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刑罚执行实时监督</w:t>
      </w:r>
      <w:r>
        <w:rPr>
          <w:rFonts w:hint="eastAsia" w:ascii="宋体" w:hAnsi="宋体" w:eastAsia="宋体" w:cs="宋体"/>
          <w:color w:val="auto"/>
          <w:sz w:val="24"/>
          <w:szCs w:val="24"/>
          <w:highlight w:val="none"/>
          <w:shd w:val="clear" w:color="auto" w:fill="auto"/>
        </w:rPr>
        <w:t>场景建设</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需提供对</w:t>
      </w:r>
      <w:r>
        <w:rPr>
          <w:rFonts w:hint="eastAsia" w:ascii="宋体" w:hAnsi="宋体" w:eastAsia="宋体" w:cs="宋体"/>
          <w:color w:val="auto"/>
          <w:sz w:val="24"/>
          <w:szCs w:val="24"/>
          <w:highlight w:val="none"/>
          <w:shd w:val="clear" w:color="auto" w:fill="auto"/>
          <w:lang w:val="en-US" w:eastAsia="zh-CN"/>
        </w:rPr>
        <w:t>刑罚执行实时监督</w:t>
      </w:r>
      <w:r>
        <w:rPr>
          <w:rFonts w:hint="eastAsia" w:ascii="宋体" w:hAnsi="宋体" w:eastAsia="宋体" w:cs="宋体"/>
          <w:color w:val="auto"/>
          <w:sz w:val="24"/>
          <w:szCs w:val="24"/>
          <w:highlight w:val="none"/>
          <w:shd w:val="clear" w:color="auto" w:fill="auto"/>
        </w:rPr>
        <w:t>场景的建设。</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1" w:name="_Toc140566899"/>
      <w:r>
        <w:rPr>
          <w:rFonts w:hint="eastAsia" w:ascii="宋体" w:hAnsi="宋体" w:eastAsia="宋体" w:cs="宋体"/>
          <w:color w:val="auto"/>
          <w:sz w:val="24"/>
          <w:szCs w:val="24"/>
          <w:highlight w:val="none"/>
          <w:shd w:val="clear" w:color="auto" w:fill="auto"/>
          <w:lang w:val="en-US" w:eastAsia="zh-CN"/>
        </w:rPr>
        <w:t>2.1.3</w:t>
      </w:r>
      <w:r>
        <w:rPr>
          <w:rFonts w:hint="eastAsia" w:ascii="宋体" w:hAnsi="宋体" w:eastAsia="宋体" w:cs="宋体"/>
          <w:color w:val="auto"/>
          <w:sz w:val="24"/>
          <w:szCs w:val="24"/>
          <w:highlight w:val="none"/>
          <w:shd w:val="clear" w:color="auto" w:fill="auto"/>
        </w:rPr>
        <w:t>系统管理</w:t>
      </w:r>
      <w:bookmarkEnd w:id="31"/>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2.1.3.1</w:t>
      </w:r>
      <w:r>
        <w:rPr>
          <w:rFonts w:hint="eastAsia" w:ascii="宋体" w:hAnsi="宋体" w:eastAsia="宋体" w:cs="宋体"/>
          <w:color w:val="auto"/>
          <w:sz w:val="24"/>
          <w:szCs w:val="24"/>
          <w:highlight w:val="none"/>
          <w:shd w:val="clear" w:color="auto" w:fill="auto"/>
        </w:rPr>
        <w:t>用户管理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提供用户注册功能，允许新用户创建账号，并通过用户名和密码进行登录系统。</w:t>
      </w:r>
      <w:r>
        <w:rPr>
          <w:rFonts w:hint="eastAsia" w:ascii="宋体" w:hAnsi="宋体" w:eastAsia="宋体" w:cs="宋体"/>
          <w:color w:val="auto"/>
          <w:sz w:val="24"/>
          <w:szCs w:val="24"/>
          <w:highlight w:val="none"/>
          <w:shd w:val="clear" w:color="auto" w:fill="auto"/>
          <w:lang w:val="en-US" w:eastAsia="zh-CN"/>
        </w:rPr>
        <w:t>同时</w:t>
      </w:r>
      <w:r>
        <w:rPr>
          <w:rFonts w:hint="eastAsia" w:ascii="宋体" w:hAnsi="宋体" w:eastAsia="宋体" w:cs="宋体"/>
          <w:color w:val="auto"/>
          <w:sz w:val="24"/>
          <w:szCs w:val="24"/>
          <w:highlight w:val="none"/>
          <w:shd w:val="clear" w:color="auto" w:fill="auto"/>
        </w:rPr>
        <w:t>对接全国检察机关检察业务应用系统2.0系统，实现检察院用户可以通过统一业务系统到本系统的免登进入。</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2.1.3.2</w:t>
      </w:r>
      <w:r>
        <w:rPr>
          <w:rFonts w:hint="eastAsia" w:ascii="宋体" w:hAnsi="宋体" w:eastAsia="宋体" w:cs="宋体"/>
          <w:color w:val="auto"/>
          <w:sz w:val="24"/>
          <w:szCs w:val="24"/>
          <w:highlight w:val="none"/>
          <w:shd w:val="clear" w:color="auto" w:fill="auto"/>
        </w:rPr>
        <w:t>功能模块授权</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定义不同用户角色和权限级别，以区分用户的操作权限。例如，管理员具有更高的权限，可以对系统进行配置和管理，而普通用户只能进行基本操作。根据用户的权限设置，限制用户对系统中数据和功能的访问权限。只有具有相应权限的用户才能查看、修改或删除相关数据</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2.1.3.3</w:t>
      </w:r>
      <w:r>
        <w:rPr>
          <w:rFonts w:hint="eastAsia" w:ascii="宋体" w:hAnsi="宋体" w:eastAsia="宋体" w:cs="宋体"/>
          <w:color w:val="auto"/>
          <w:sz w:val="24"/>
          <w:szCs w:val="24"/>
          <w:highlight w:val="none"/>
          <w:shd w:val="clear" w:color="auto" w:fill="auto"/>
        </w:rPr>
        <w:t>安全审计</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记录用户的登录、操作和系统访问日志，以便审计和追踪用户行为。这有助于发现异常操作或安全问题，并进行相应的响应和调查。</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2" w:name="_Toc140566900"/>
      <w:r>
        <w:rPr>
          <w:rFonts w:hint="eastAsia" w:ascii="宋体" w:hAnsi="宋体" w:eastAsia="宋体" w:cs="宋体"/>
          <w:color w:val="auto"/>
          <w:sz w:val="24"/>
          <w:szCs w:val="24"/>
          <w:highlight w:val="none"/>
          <w:shd w:val="clear" w:color="auto" w:fill="auto"/>
          <w:lang w:val="en-US" w:eastAsia="zh-CN"/>
        </w:rPr>
        <w:t>2.2</w:t>
      </w:r>
      <w:r>
        <w:rPr>
          <w:rFonts w:hint="eastAsia" w:ascii="宋体" w:hAnsi="宋体" w:eastAsia="宋体" w:cs="宋体"/>
          <w:color w:val="auto"/>
          <w:sz w:val="24"/>
          <w:szCs w:val="24"/>
          <w:highlight w:val="none"/>
          <w:shd w:val="clear" w:color="auto" w:fill="auto"/>
        </w:rPr>
        <w:t>其他要求</w:t>
      </w:r>
      <w:bookmarkEnd w:id="32"/>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3" w:name="_Toc140566901"/>
      <w:r>
        <w:rPr>
          <w:rFonts w:hint="eastAsia" w:ascii="宋体" w:hAnsi="宋体" w:eastAsia="宋体" w:cs="宋体"/>
          <w:color w:val="auto"/>
          <w:sz w:val="24"/>
          <w:szCs w:val="24"/>
          <w:highlight w:val="none"/>
          <w:shd w:val="clear" w:color="auto" w:fill="auto"/>
          <w:lang w:val="en-US" w:eastAsia="zh-CN"/>
        </w:rPr>
        <w:t>2.2.1</w:t>
      </w:r>
      <w:r>
        <w:rPr>
          <w:rFonts w:hint="eastAsia" w:ascii="宋体" w:hAnsi="宋体" w:eastAsia="宋体" w:cs="宋体"/>
          <w:color w:val="auto"/>
          <w:sz w:val="24"/>
          <w:szCs w:val="24"/>
          <w:highlight w:val="none"/>
          <w:shd w:val="clear" w:color="auto" w:fill="auto"/>
        </w:rPr>
        <w:t>信息安全要求</w:t>
      </w:r>
      <w:bookmarkEnd w:id="33"/>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为了保护信息的安全性，需要从物理、网络、系统、信息和管理等方面进行“整体、全面”的防护；建立综合防范机制，保障系统安全、高效、可靠的运行，确保信息的机密性、完整性、不可否认性和可用性，避免各种潜在的威胁。</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项目验收前需完成等保二级评测。</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项目验收前需完成第三方软件测评。</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项目验收前需完成</w:t>
      </w:r>
      <w:r>
        <w:rPr>
          <w:rFonts w:hint="eastAsia" w:ascii="宋体" w:hAnsi="宋体" w:eastAsia="宋体" w:cs="宋体"/>
          <w:color w:val="auto"/>
          <w:sz w:val="24"/>
          <w:szCs w:val="24"/>
          <w:highlight w:val="none"/>
          <w:shd w:val="clear" w:color="auto" w:fill="auto"/>
          <w:lang w:val="en-US" w:eastAsia="zh-CN"/>
        </w:rPr>
        <w:t>渗透测试</w:t>
      </w:r>
      <w:r>
        <w:rPr>
          <w:rFonts w:hint="eastAsia" w:ascii="宋体" w:hAnsi="宋体" w:eastAsia="宋体" w:cs="宋体"/>
          <w:color w:val="auto"/>
          <w:sz w:val="24"/>
          <w:szCs w:val="24"/>
          <w:highlight w:val="none"/>
          <w:shd w:val="clear" w:color="auto" w:fill="auto"/>
        </w:rPr>
        <w:t>。</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项目验收前需完成</w:t>
      </w:r>
      <w:r>
        <w:rPr>
          <w:rFonts w:hint="eastAsia" w:ascii="宋体" w:hAnsi="宋体" w:eastAsia="宋体" w:cs="宋体"/>
          <w:color w:val="auto"/>
          <w:sz w:val="24"/>
          <w:szCs w:val="24"/>
          <w:highlight w:val="none"/>
          <w:shd w:val="clear" w:color="auto" w:fill="auto"/>
          <w:lang w:val="en-US" w:eastAsia="zh-CN"/>
        </w:rPr>
        <w:t>代码审计</w:t>
      </w:r>
      <w:r>
        <w:rPr>
          <w:rFonts w:hint="eastAsia" w:ascii="宋体" w:hAnsi="宋体" w:eastAsia="宋体" w:cs="宋体"/>
          <w:color w:val="auto"/>
          <w:sz w:val="24"/>
          <w:szCs w:val="24"/>
          <w:highlight w:val="none"/>
          <w:shd w:val="clear" w:color="auto" w:fill="auto"/>
        </w:rPr>
        <w:t>。</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4" w:name="_Toc140566902"/>
      <w:r>
        <w:rPr>
          <w:rFonts w:hint="eastAsia" w:ascii="宋体" w:hAnsi="宋体" w:eastAsia="宋体" w:cs="宋体"/>
          <w:color w:val="auto"/>
          <w:sz w:val="24"/>
          <w:szCs w:val="24"/>
          <w:highlight w:val="none"/>
          <w:shd w:val="clear" w:color="auto" w:fill="auto"/>
          <w:lang w:val="en-US" w:eastAsia="zh-CN"/>
        </w:rPr>
        <w:t>2.2.2</w:t>
      </w:r>
      <w:r>
        <w:rPr>
          <w:rFonts w:hint="eastAsia" w:ascii="宋体" w:hAnsi="宋体" w:eastAsia="宋体" w:cs="宋体"/>
          <w:color w:val="auto"/>
          <w:sz w:val="24"/>
          <w:szCs w:val="24"/>
          <w:highlight w:val="none"/>
          <w:shd w:val="clear" w:color="auto" w:fill="auto"/>
        </w:rPr>
        <w:t>对接要求</w:t>
      </w:r>
      <w:bookmarkEnd w:id="34"/>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系统需对接省、市级和区级各系统，来完善和补充数据。包括检察统一业务系统2.0、政法办案一体化平台等，获取法院判决文书等和卷宗数据。</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sz w:val="24"/>
          <w:szCs w:val="24"/>
          <w:highlight w:val="none"/>
          <w:shd w:val="clear" w:color="auto" w:fill="auto"/>
          <w:lang w:val="en-US" w:eastAsia="zh-CN"/>
        </w:rPr>
        <w:t>2.2.3信创要求</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该项目需符合信创要求。</w:t>
      </w:r>
    </w:p>
    <w:p>
      <w:pPr>
        <w:spacing w:line="360" w:lineRule="auto"/>
        <w:ind w:left="0" w:leftChars="0" w:firstLine="492" w:firstLineChars="175"/>
        <w:jc w:val="center"/>
        <w:rPr>
          <w:rFonts w:hint="eastAsia" w:ascii="宋体" w:hAnsi="宋体" w:eastAsia="宋体" w:cs="宋体"/>
          <w:b/>
          <w:bCs/>
          <w:color w:val="auto"/>
          <w:sz w:val="28"/>
          <w:szCs w:val="28"/>
          <w:highlight w:val="none"/>
          <w:shd w:val="clear" w:color="auto" w:fill="auto"/>
          <w:lang w:val="en-US" w:eastAsia="zh-CN"/>
        </w:rPr>
      </w:pPr>
      <w:r>
        <w:rPr>
          <w:rFonts w:hint="eastAsia" w:ascii="宋体" w:hAnsi="宋体" w:eastAsia="宋体" w:cs="宋体"/>
          <w:b/>
          <w:bCs/>
          <w:color w:val="auto"/>
          <w:sz w:val="28"/>
          <w:szCs w:val="28"/>
          <w:highlight w:val="none"/>
          <w:shd w:val="clear" w:color="auto" w:fill="auto"/>
          <w:lang w:val="en-US" w:eastAsia="zh-CN"/>
        </w:rPr>
        <w:t>商务需求</w:t>
      </w:r>
      <w:r>
        <w:rPr>
          <w:rFonts w:hint="eastAsia" w:ascii="宋体" w:hAnsi="宋体" w:cs="宋体"/>
          <w:b/>
          <w:bCs/>
          <w:color w:val="auto"/>
          <w:sz w:val="28"/>
          <w:szCs w:val="28"/>
          <w:highlight w:val="none"/>
          <w:shd w:val="clear" w:color="auto" w:fill="auto"/>
          <w:lang w:val="en-US" w:eastAsia="zh-CN"/>
        </w:rPr>
        <w:t>：</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5" w:name="_Toc140566904"/>
      <w:r>
        <w:rPr>
          <w:rFonts w:hint="eastAsia" w:ascii="宋体" w:hAnsi="宋体" w:eastAsia="宋体" w:cs="宋体"/>
          <w:color w:val="auto"/>
          <w:sz w:val="24"/>
          <w:szCs w:val="24"/>
          <w:highlight w:val="none"/>
          <w:shd w:val="clear" w:color="auto" w:fill="auto"/>
          <w:lang w:val="en-US" w:eastAsia="zh-CN"/>
        </w:rPr>
        <w:t>3.1</w:t>
      </w:r>
      <w:r>
        <w:rPr>
          <w:rFonts w:hint="eastAsia" w:ascii="宋体" w:hAnsi="宋体" w:eastAsia="宋体" w:cs="宋体"/>
          <w:color w:val="auto"/>
          <w:sz w:val="24"/>
          <w:szCs w:val="24"/>
          <w:highlight w:val="none"/>
          <w:shd w:val="clear" w:color="auto" w:fill="auto"/>
        </w:rPr>
        <w:t>实施要求</w:t>
      </w:r>
      <w:bookmarkEnd w:id="35"/>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供应商应按质量管理体系规范要求，针对招标项目实施过程及交付结果进行质量规划、管理、控制。</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一、质量控制：供应商一旦中标必须提交正式的质量计划，必须接受招标人的质量监督检查，接受采购人提出的合理的质量问题整改要求，承担质量责任及因质量问题导致的进度延迟责任。</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进度控制：根据项目建设周期，供应商在投标文件中应根据对项目的理解做出项目实施的初步计划，成为供应商后必须提交正式工作方案，明确招标项目工作的方式、方法、过程步骤、按阶段分解的详细计划、对应计划应提交的工作成果、需要招标人协调与配合的事项，并经招标人审核、批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三、系统测试：招标人有权监督和管理投标项目的测试，以保证系统的处理速度和响应时间，测试和细化各种技术方案，选择最优化配置。</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试运行：试运行期间应对试运行过程中提出的合理修改需求和问题及时调整、修改，接受并服从招标人的监督、管理要求，提供中间过程工作成果。对在系统使用中发生的功能和性能问题及时反馈，及时进行整改。供应商须承诺在采购需求和政策法规范围内，随着招标人需求的变动随时做出响应，按需修改应用软件。软件的最终需求以招标人在验收前确认的需求规格说明书为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五、系统验收：供应商在试运行期满合格后，可以按照预先提交用户并得到确认的验收方案安排对各个系统模块进行验收。</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六、沟通协调：供应商必须在投标文件中阐述项目沟通计划，确保供应商与业主之间信息沟通顺畅。</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七、项目实施团队要求，本次项目需组成项目实施团队，项目实施团队由项目经理和项目成员组成，配备的人员不少于5名。</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6" w:name="_Toc140566905"/>
      <w:r>
        <w:rPr>
          <w:rFonts w:hint="eastAsia" w:ascii="宋体" w:hAnsi="宋体" w:eastAsia="宋体" w:cs="宋体"/>
          <w:color w:val="auto"/>
          <w:sz w:val="24"/>
          <w:szCs w:val="24"/>
          <w:highlight w:val="none"/>
          <w:shd w:val="clear" w:color="auto" w:fill="auto"/>
          <w:lang w:val="en-US" w:eastAsia="zh-CN"/>
        </w:rPr>
        <w:t>3.2</w:t>
      </w:r>
      <w:r>
        <w:rPr>
          <w:rFonts w:hint="eastAsia" w:ascii="宋体" w:hAnsi="宋体" w:eastAsia="宋体" w:cs="宋体"/>
          <w:color w:val="auto"/>
          <w:sz w:val="24"/>
          <w:szCs w:val="24"/>
          <w:highlight w:val="none"/>
          <w:shd w:val="clear" w:color="auto" w:fill="auto"/>
        </w:rPr>
        <w:t>培训要求</w:t>
      </w:r>
      <w:bookmarkEnd w:id="36"/>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应商在项目建设期间及质保期间，除了对系统的使用人员（含系统管理员）的专项培训以外，应对采购人后续进行运维的系统维护人员进行系统维护培训，包括：系统管理、接口对接、数据结构等。供应商应根据上述要求详细说明以下内容。</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（1）培训计划：按照培训需求分批次科学合理地制定详细的培训计划，包括试点阶段培训、常见问题答疑培训等。</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（2）培训内容：系统所覆盖的所有业务操作、系统管理操作、技术对接、系统运维对接开发等，经培训，供应商确保业务用户、系统管理员、操作人员、后续总包型运维人员安全熟练使用软件、运维。</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（3）培训对象：培训面向业务人员（主要指具体的业务操作人员）、管理人员（主要指各使用单位和部门的领导）、系统管理员（各级权限配置管理人员）、运维人员。</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（4）培训时间：根据项目推进的不同阶段，按照采购人要求安排培训，设计不少于1天课程。</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（5）培训形式：根据需要，进行现场培训、视频会议培训（需包含PPT讲解、用户手册），并根据采购人要求，制作视频培训片。</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（6）培训课程：根据不同的培训对象制定不同的课程，包括不限于系统总体情况、系统设计以及系统管理运维方法、操作方法、专业技术知识等课程内容。</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7" w:name="_Toc140566906"/>
      <w:r>
        <w:rPr>
          <w:rFonts w:hint="eastAsia" w:ascii="宋体" w:hAnsi="宋体" w:eastAsia="宋体" w:cs="宋体"/>
          <w:color w:val="auto"/>
          <w:sz w:val="24"/>
          <w:szCs w:val="24"/>
          <w:highlight w:val="none"/>
          <w:shd w:val="clear" w:color="auto" w:fill="auto"/>
          <w:lang w:val="en-US" w:eastAsia="zh-CN"/>
        </w:rPr>
        <w:t>3.3</w:t>
      </w:r>
      <w:r>
        <w:rPr>
          <w:rFonts w:hint="eastAsia" w:ascii="宋体" w:hAnsi="宋体" w:eastAsia="宋体" w:cs="宋体"/>
          <w:color w:val="auto"/>
          <w:sz w:val="24"/>
          <w:szCs w:val="24"/>
          <w:highlight w:val="none"/>
          <w:shd w:val="clear" w:color="auto" w:fill="auto"/>
        </w:rPr>
        <w:t>售后服务要求</w:t>
      </w:r>
      <w:bookmarkEnd w:id="37"/>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一、项目终验合格后应提供3年免费运行维护。免费服务期满后的售后服务方式、费用，由项目承建方和采购人将在双方的合作情况的基础上协商确定。</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二、售后方案：供应商必须根据本次采购文件所制定的目标和范围，提出以下（1）-（4）方案</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（1）客户服务：需具备客户服务体系，客户可以通过客户服务中心来解决问题。</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（2）维护方式：支持多种项目维护方式，包括热线、邮件、远程诊断、现场诊断等服务。</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（3）维护流程：支持多维护人员角色参与到维护流程的各个环节，包括日常预防性巡检以及应急故障处理流程。</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（4）维护制度：有完整的维护工作制度和规范，包括上门维护服务规范和常驻现场维护工作制度等。</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响应承诺。供应商在投标书中必须明确承诺达到用户的服务响应要求：具有7×24小时的服务响应能力，能提供及时的现场服务。1小时内做出明确响应和安排，2小时内做出故障诊断报告，如需现场服务的，具有解决故障能力的工程师应在2小时内到达现场。中标单位提供的项目现场实施服务的服务级别为5*8，即工作时间为周一到周五的08:30-17:30（具体工作起止时间可与用户协商）。</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四、系统升级服务。要求供应商承诺在质保服务期间，采购人可以免费享有使用供应商的本项目产品、数据应用的升级服务，服务方式为供应商提供升级版本的程序及其文档，并提供必要的技术支持。</w:t>
      </w:r>
    </w:p>
    <w:p>
      <w:pPr>
        <w:spacing w:line="360" w:lineRule="auto"/>
        <w:ind w:left="0" w:leftChars="0" w:firstLine="420" w:firstLineChars="175"/>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shd w:val="clear" w:color="auto" w:fill="auto"/>
        </w:rPr>
        <w:t>五、运维方案。提供本地该项目运维服务方案，包括人员、技术力量情况，一线二线人员支撑保障、系统巡检等。在设备扩容及软硬件升级、系统迁移时，供应商承诺应派专业技术人员到场支持。</w:t>
      </w:r>
    </w:p>
    <w:p>
      <w:pPr>
        <w:numPr>
          <w:ilvl w:val="0"/>
          <w:numId w:val="0"/>
        </w:numPr>
        <w:spacing w:line="360" w:lineRule="auto"/>
        <w:ind w:left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3.4</w:t>
      </w:r>
      <w:r>
        <w:rPr>
          <w:rFonts w:hint="eastAsia" w:ascii="宋体" w:hAnsi="宋体" w:eastAsia="宋体" w:cs="宋体"/>
          <w:color w:val="auto"/>
          <w:sz w:val="24"/>
          <w:szCs w:val="24"/>
          <w:highlight w:val="none"/>
          <w:shd w:val="clear" w:color="auto" w:fill="auto"/>
        </w:rPr>
        <w:t>服务时间及地点</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服务时间：在合同签订后3个月内完成系统建设及试运行。</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地点：甲方指定地点</w:t>
      </w:r>
      <w:bookmarkStart w:id="38" w:name="_Hlk126675849"/>
    </w:p>
    <w:bookmarkEnd w:id="38"/>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bookmarkStart w:id="39" w:name="_Toc140566908"/>
      <w:r>
        <w:rPr>
          <w:rFonts w:hint="eastAsia" w:ascii="宋体" w:hAnsi="宋体" w:cs="宋体"/>
          <w:color w:val="auto"/>
          <w:sz w:val="24"/>
          <w:szCs w:val="24"/>
          <w:highlight w:val="none"/>
          <w:shd w:val="clear" w:color="auto" w:fill="auto"/>
          <w:lang w:val="en-US" w:eastAsia="zh-CN"/>
        </w:rPr>
        <w:t>3.5</w:t>
      </w:r>
      <w:r>
        <w:rPr>
          <w:rFonts w:hint="eastAsia" w:ascii="宋体" w:hAnsi="宋体" w:eastAsia="宋体" w:cs="宋体"/>
          <w:color w:val="auto"/>
          <w:sz w:val="24"/>
          <w:szCs w:val="24"/>
          <w:highlight w:val="none"/>
          <w:shd w:val="clear" w:color="auto" w:fill="auto"/>
        </w:rPr>
        <w:t>付款方式</w:t>
      </w:r>
      <w:bookmarkEnd w:id="39"/>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（1）合同签订后10个工作日内，甲方向乙方支付合同总价</w:t>
      </w:r>
      <w:r>
        <w:rPr>
          <w:rFonts w:hint="eastAsia" w:ascii="宋体" w:hAnsi="宋体" w:cs="宋体"/>
          <w:color w:val="auto"/>
          <w:sz w:val="24"/>
          <w:szCs w:val="24"/>
          <w:highlight w:val="none"/>
          <w:shd w:val="clear" w:color="auto" w:fill="auto"/>
          <w:lang w:val="en-US" w:eastAsia="zh-CN"/>
        </w:rPr>
        <w:t>40</w:t>
      </w:r>
      <w:r>
        <w:rPr>
          <w:rFonts w:hint="eastAsia" w:ascii="宋体" w:hAnsi="宋体" w:eastAsia="宋体" w:cs="宋体"/>
          <w:color w:val="auto"/>
          <w:sz w:val="24"/>
          <w:szCs w:val="24"/>
          <w:highlight w:val="none"/>
          <w:shd w:val="clear" w:color="auto" w:fill="auto"/>
        </w:rPr>
        <w:t>%的预付款；</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（2）项目初步验收确认合格后支付合同金额的30%；</w:t>
      </w:r>
    </w:p>
    <w:p>
      <w:pPr>
        <w:spacing w:line="360" w:lineRule="auto"/>
        <w:ind w:left="0" w:leftChars="0" w:firstLine="420" w:firstLineChars="175"/>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（3）完成所有工作并终验通过后支付剩余合同金额的</w:t>
      </w:r>
      <w:r>
        <w:rPr>
          <w:rFonts w:hint="eastAsia" w:ascii="宋体" w:hAnsi="宋体" w:cs="宋体"/>
          <w:color w:val="auto"/>
          <w:sz w:val="24"/>
          <w:szCs w:val="24"/>
          <w:highlight w:val="none"/>
          <w:shd w:val="clear" w:color="auto" w:fill="auto"/>
          <w:lang w:val="en-US" w:eastAsia="zh-CN"/>
        </w:rPr>
        <w:t>30</w:t>
      </w:r>
      <w:r>
        <w:rPr>
          <w:rFonts w:hint="eastAsia" w:ascii="宋体" w:hAnsi="宋体" w:eastAsia="宋体" w:cs="宋体"/>
          <w:color w:val="auto"/>
          <w:sz w:val="24"/>
          <w:szCs w:val="24"/>
          <w:highlight w:val="none"/>
          <w:shd w:val="clear" w:color="auto" w:fill="auto"/>
        </w:rPr>
        <w:t>%。</w:t>
      </w:r>
    </w:p>
    <w:p>
      <w:pPr>
        <w:spacing w:line="360" w:lineRule="auto"/>
        <w:ind w:left="0" w:leftChars="0" w:firstLine="420" w:firstLineChars="17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auto"/>
        </w:rPr>
        <w:t>（4）支付说明：甲方在收到乙方开具的符合法律法规规定发票后，以转账支付的方式，支付给乙方服务费。乙方逾期开具发票或开具的发票不符合甲方要求的，甲方有权延迟付款时间，且该行为不视为违约。注：具体以合同签订为准。</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、如有附图，仅作参考。</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、打▲内容为实质性要求，不允许有负偏离，否则将以涉及无效投标条款作无效投标。</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、中标人所提供的货物、服务须与投标承诺一致，不得以次充好、偷工减料，若在项目验收中发现有上述情况，将向有关部门举报，根据相关规定进行处理。</w:t>
      </w: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40" w:name="_Toc184314465"/>
      <w:bookmarkEnd w:id="40"/>
      <w:bookmarkStart w:id="41" w:name="_Toc184312118"/>
      <w:bookmarkEnd w:id="41"/>
      <w:bookmarkStart w:id="42" w:name="_Toc184313269"/>
      <w:bookmarkEnd w:id="42"/>
      <w:bookmarkStart w:id="43" w:name="_Toc184312090"/>
      <w:bookmarkEnd w:id="43"/>
      <w:bookmarkStart w:id="44" w:name="_Toc184313300"/>
      <w:bookmarkEnd w:id="44"/>
      <w:bookmarkStart w:id="45" w:name="_Toc184314449"/>
      <w:bookmarkEnd w:id="45"/>
      <w:bookmarkStart w:id="46" w:name="_Toc184314432"/>
      <w:bookmarkEnd w:id="46"/>
      <w:bookmarkStart w:id="47" w:name="_Toc184310287"/>
      <w:bookmarkEnd w:id="47"/>
      <w:bookmarkStart w:id="48" w:name="_Toc184313274"/>
      <w:bookmarkEnd w:id="48"/>
      <w:bookmarkStart w:id="49" w:name="_Toc184313302"/>
      <w:bookmarkEnd w:id="49"/>
      <w:bookmarkStart w:id="50" w:name="_Toc184310335"/>
      <w:bookmarkEnd w:id="50"/>
      <w:bookmarkStart w:id="51" w:name="_Toc184310322"/>
      <w:bookmarkEnd w:id="51"/>
      <w:bookmarkStart w:id="52" w:name="_Toc184314443"/>
      <w:bookmarkEnd w:id="52"/>
      <w:bookmarkStart w:id="53" w:name="_Toc184314479"/>
      <w:bookmarkEnd w:id="53"/>
      <w:bookmarkStart w:id="54" w:name="_Toc184314420"/>
      <w:bookmarkEnd w:id="54"/>
      <w:bookmarkStart w:id="55" w:name="_Toc184312123"/>
      <w:bookmarkEnd w:id="55"/>
      <w:bookmarkStart w:id="56" w:name="_Toc184308088"/>
      <w:bookmarkEnd w:id="56"/>
      <w:bookmarkStart w:id="57" w:name="_Toc184312102"/>
      <w:bookmarkEnd w:id="57"/>
      <w:bookmarkStart w:id="58" w:name="_Toc184313288"/>
      <w:bookmarkEnd w:id="58"/>
      <w:bookmarkStart w:id="59" w:name="_Toc184308066"/>
      <w:bookmarkEnd w:id="59"/>
      <w:bookmarkStart w:id="60" w:name="_Toc184310342"/>
      <w:bookmarkEnd w:id="60"/>
      <w:bookmarkStart w:id="61" w:name="_Toc184313265"/>
      <w:bookmarkEnd w:id="61"/>
      <w:bookmarkStart w:id="62" w:name="_Toc184314455"/>
      <w:bookmarkEnd w:id="62"/>
      <w:bookmarkStart w:id="63" w:name="_Toc184312069"/>
      <w:bookmarkEnd w:id="63"/>
      <w:bookmarkStart w:id="64" w:name="_Toc184312097"/>
      <w:bookmarkEnd w:id="64"/>
      <w:bookmarkStart w:id="65" w:name="_Toc184310276"/>
      <w:bookmarkEnd w:id="65"/>
      <w:bookmarkStart w:id="66" w:name="_Toc184312116"/>
      <w:bookmarkEnd w:id="66"/>
      <w:bookmarkStart w:id="67" w:name="_Toc184313306"/>
      <w:bookmarkEnd w:id="67"/>
      <w:bookmarkStart w:id="68" w:name="_Toc184308049"/>
      <w:bookmarkEnd w:id="68"/>
      <w:bookmarkStart w:id="69" w:name="_Toc184308090"/>
      <w:bookmarkEnd w:id="69"/>
      <w:bookmarkStart w:id="70" w:name="_Toc184314467"/>
      <w:bookmarkEnd w:id="70"/>
      <w:bookmarkStart w:id="71" w:name="_Toc184308105"/>
      <w:bookmarkEnd w:id="71"/>
      <w:bookmarkStart w:id="72" w:name="_Toc184314481"/>
      <w:bookmarkEnd w:id="72"/>
      <w:bookmarkStart w:id="73" w:name="_Toc184310300"/>
      <w:bookmarkEnd w:id="73"/>
      <w:bookmarkStart w:id="74" w:name="_Toc184313261"/>
      <w:bookmarkEnd w:id="74"/>
      <w:bookmarkStart w:id="75" w:name="_Toc184313280"/>
      <w:bookmarkEnd w:id="75"/>
      <w:bookmarkStart w:id="76" w:name="_Toc184313291"/>
      <w:bookmarkEnd w:id="76"/>
      <w:bookmarkStart w:id="77" w:name="_Toc184308054"/>
      <w:bookmarkEnd w:id="77"/>
      <w:bookmarkStart w:id="78" w:name="_Toc184313285"/>
      <w:bookmarkEnd w:id="78"/>
      <w:bookmarkStart w:id="79" w:name="_Toc184310315"/>
      <w:bookmarkEnd w:id="79"/>
      <w:bookmarkStart w:id="80" w:name="_Toc184313258"/>
      <w:bookmarkEnd w:id="80"/>
      <w:bookmarkStart w:id="81" w:name="_Toc184310286"/>
      <w:bookmarkEnd w:id="81"/>
      <w:bookmarkStart w:id="82" w:name="_Toc184313257"/>
      <w:bookmarkEnd w:id="82"/>
      <w:bookmarkStart w:id="83" w:name="_Toc184310323"/>
      <w:bookmarkEnd w:id="83"/>
      <w:bookmarkStart w:id="84" w:name="_Toc184310301"/>
      <w:bookmarkEnd w:id="84"/>
      <w:bookmarkStart w:id="85" w:name="_Toc184314447"/>
      <w:bookmarkEnd w:id="85"/>
      <w:bookmarkStart w:id="86" w:name="_Toc184313282"/>
      <w:bookmarkEnd w:id="86"/>
      <w:bookmarkStart w:id="87" w:name="_Toc184308078"/>
      <w:bookmarkEnd w:id="87"/>
      <w:bookmarkStart w:id="88" w:name="_Toc184314473"/>
      <w:bookmarkEnd w:id="88"/>
      <w:bookmarkStart w:id="89" w:name="_Toc184314463"/>
      <w:bookmarkEnd w:id="89"/>
      <w:bookmarkStart w:id="90" w:name="_Toc184314476"/>
      <w:bookmarkEnd w:id="90"/>
      <w:bookmarkStart w:id="91" w:name="_Toc184312093"/>
      <w:bookmarkEnd w:id="91"/>
      <w:bookmarkStart w:id="92" w:name="_Toc184313240"/>
      <w:bookmarkEnd w:id="92"/>
      <w:bookmarkStart w:id="93" w:name="_Toc184313260"/>
      <w:bookmarkEnd w:id="93"/>
      <w:bookmarkStart w:id="94" w:name="_Toc184313256"/>
      <w:bookmarkEnd w:id="94"/>
      <w:bookmarkStart w:id="95" w:name="_Toc184314454"/>
      <w:bookmarkEnd w:id="95"/>
      <w:bookmarkStart w:id="96" w:name="_Toc184310295"/>
      <w:bookmarkEnd w:id="96"/>
      <w:bookmarkStart w:id="97" w:name="_Toc184312115"/>
      <w:bookmarkEnd w:id="97"/>
      <w:bookmarkStart w:id="98" w:name="_Toc184313248"/>
      <w:bookmarkEnd w:id="98"/>
      <w:bookmarkStart w:id="99" w:name="_Toc184312105"/>
      <w:bookmarkEnd w:id="99"/>
      <w:bookmarkStart w:id="100" w:name="_Toc184314478"/>
      <w:bookmarkEnd w:id="100"/>
      <w:bookmarkStart w:id="101" w:name="_Toc184310318"/>
      <w:bookmarkEnd w:id="101"/>
      <w:bookmarkStart w:id="102" w:name="_Toc184314448"/>
      <w:bookmarkEnd w:id="102"/>
      <w:bookmarkStart w:id="103" w:name="_Toc184314456"/>
      <w:bookmarkEnd w:id="103"/>
      <w:bookmarkStart w:id="104" w:name="_Toc184310327"/>
      <w:bookmarkEnd w:id="104"/>
      <w:bookmarkStart w:id="105" w:name="_Toc184310272"/>
      <w:bookmarkEnd w:id="105"/>
      <w:bookmarkStart w:id="106" w:name="_Toc184310273"/>
      <w:bookmarkEnd w:id="106"/>
      <w:bookmarkStart w:id="107" w:name="_Toc184314472"/>
      <w:bookmarkEnd w:id="107"/>
      <w:bookmarkStart w:id="108" w:name="_Toc184310274"/>
      <w:bookmarkEnd w:id="108"/>
      <w:bookmarkStart w:id="109" w:name="_Toc184308055"/>
      <w:bookmarkEnd w:id="109"/>
      <w:bookmarkStart w:id="110" w:name="_Toc184308047"/>
      <w:bookmarkEnd w:id="110"/>
      <w:bookmarkStart w:id="111" w:name="_Toc184314462"/>
      <w:bookmarkEnd w:id="111"/>
      <w:bookmarkStart w:id="112" w:name="_Toc184313307"/>
      <w:bookmarkEnd w:id="112"/>
      <w:bookmarkStart w:id="113" w:name="_Toc184308084"/>
      <w:bookmarkEnd w:id="113"/>
      <w:bookmarkStart w:id="114" w:name="_Toc184314416"/>
      <w:bookmarkEnd w:id="114"/>
      <w:bookmarkStart w:id="115" w:name="_Toc184308057"/>
      <w:bookmarkEnd w:id="115"/>
      <w:bookmarkStart w:id="116" w:name="_Toc184312129"/>
      <w:bookmarkEnd w:id="116"/>
      <w:bookmarkStart w:id="117" w:name="_Toc184313246"/>
      <w:bookmarkEnd w:id="117"/>
      <w:bookmarkStart w:id="118" w:name="_Toc184313275"/>
      <w:bookmarkEnd w:id="118"/>
      <w:bookmarkStart w:id="119" w:name="_Toc184314451"/>
      <w:bookmarkEnd w:id="119"/>
      <w:bookmarkStart w:id="120" w:name="_Toc184313287"/>
      <w:bookmarkEnd w:id="120"/>
      <w:bookmarkStart w:id="121" w:name="_Toc184313293"/>
      <w:bookmarkEnd w:id="121"/>
      <w:bookmarkStart w:id="122" w:name="_Toc184308101"/>
      <w:bookmarkEnd w:id="122"/>
      <w:bookmarkStart w:id="123" w:name="_Toc184314445"/>
      <w:bookmarkEnd w:id="123"/>
      <w:bookmarkStart w:id="124" w:name="_Toc184308086"/>
      <w:bookmarkEnd w:id="124"/>
      <w:bookmarkStart w:id="125" w:name="_Toc184312127"/>
      <w:bookmarkEnd w:id="125"/>
      <w:bookmarkStart w:id="126" w:name="_Toc184313277"/>
      <w:bookmarkEnd w:id="126"/>
      <w:bookmarkStart w:id="127" w:name="_Toc184310329"/>
      <w:bookmarkEnd w:id="127"/>
      <w:bookmarkStart w:id="128" w:name="_Toc184314437"/>
      <w:bookmarkEnd w:id="128"/>
      <w:bookmarkStart w:id="129" w:name="_Toc184310344"/>
      <w:bookmarkEnd w:id="129"/>
      <w:bookmarkStart w:id="130" w:name="_Toc184310275"/>
      <w:bookmarkEnd w:id="130"/>
      <w:bookmarkStart w:id="131" w:name="_Toc184314436"/>
      <w:bookmarkEnd w:id="131"/>
      <w:bookmarkStart w:id="132" w:name="_Toc184308050"/>
      <w:bookmarkEnd w:id="132"/>
      <w:bookmarkStart w:id="133" w:name="_Toc184308069"/>
      <w:bookmarkEnd w:id="133"/>
      <w:bookmarkStart w:id="134" w:name="_Toc184314460"/>
      <w:bookmarkEnd w:id="134"/>
      <w:bookmarkStart w:id="135" w:name="_Toc184314430"/>
      <w:bookmarkEnd w:id="135"/>
      <w:bookmarkStart w:id="136" w:name="_Toc184308104"/>
      <w:bookmarkEnd w:id="136"/>
      <w:bookmarkStart w:id="137" w:name="_Toc184308087"/>
      <w:bookmarkEnd w:id="137"/>
      <w:bookmarkStart w:id="138" w:name="_Toc184308093"/>
      <w:bookmarkEnd w:id="138"/>
      <w:bookmarkStart w:id="139" w:name="_Toc184310343"/>
      <w:bookmarkEnd w:id="139"/>
      <w:bookmarkStart w:id="140" w:name="_Toc184313267"/>
      <w:bookmarkEnd w:id="140"/>
      <w:bookmarkStart w:id="141" w:name="_Toc184308051"/>
      <w:bookmarkEnd w:id="141"/>
      <w:bookmarkStart w:id="142" w:name="_Toc184308081"/>
      <w:bookmarkEnd w:id="142"/>
      <w:bookmarkStart w:id="143" w:name="_Toc184313299"/>
      <w:bookmarkEnd w:id="143"/>
      <w:bookmarkStart w:id="144" w:name="_Toc184314435"/>
      <w:bookmarkEnd w:id="144"/>
      <w:bookmarkStart w:id="145" w:name="_Toc184313264"/>
      <w:bookmarkEnd w:id="145"/>
      <w:bookmarkStart w:id="146" w:name="_Toc184308071"/>
      <w:bookmarkEnd w:id="146"/>
      <w:bookmarkStart w:id="147" w:name="_Toc184312068"/>
      <w:bookmarkEnd w:id="147"/>
      <w:bookmarkStart w:id="148" w:name="_Toc184310292"/>
      <w:bookmarkEnd w:id="148"/>
      <w:bookmarkStart w:id="149" w:name="_Toc184314433"/>
      <w:bookmarkEnd w:id="149"/>
      <w:bookmarkStart w:id="150" w:name="_Toc184312088"/>
      <w:bookmarkEnd w:id="150"/>
      <w:bookmarkStart w:id="151" w:name="_Toc184313271"/>
      <w:bookmarkEnd w:id="151"/>
      <w:bookmarkStart w:id="152" w:name="_Toc184310331"/>
      <w:bookmarkEnd w:id="152"/>
      <w:bookmarkStart w:id="153" w:name="_Toc184314434"/>
      <w:bookmarkEnd w:id="153"/>
      <w:bookmarkStart w:id="154" w:name="_Toc184308077"/>
      <w:bookmarkEnd w:id="154"/>
      <w:bookmarkStart w:id="155" w:name="_Toc184312098"/>
      <w:bookmarkEnd w:id="155"/>
      <w:bookmarkStart w:id="156" w:name="_Toc184314458"/>
      <w:bookmarkEnd w:id="156"/>
      <w:bookmarkStart w:id="157" w:name="_Toc184314418"/>
      <w:bookmarkEnd w:id="157"/>
      <w:bookmarkStart w:id="158" w:name="_Toc184312086"/>
      <w:bookmarkEnd w:id="158"/>
      <w:bookmarkStart w:id="159" w:name="_Toc184313245"/>
      <w:bookmarkEnd w:id="159"/>
      <w:bookmarkStart w:id="160" w:name="_Toc184313309"/>
      <w:bookmarkEnd w:id="160"/>
      <w:bookmarkStart w:id="161" w:name="_Toc184314423"/>
      <w:bookmarkEnd w:id="161"/>
      <w:bookmarkStart w:id="162" w:name="_Toc184313292"/>
      <w:bookmarkEnd w:id="162"/>
      <w:bookmarkStart w:id="163" w:name="_Toc184312121"/>
      <w:bookmarkEnd w:id="163"/>
      <w:bookmarkStart w:id="164" w:name="_Toc184313290"/>
      <w:bookmarkEnd w:id="164"/>
      <w:bookmarkStart w:id="165" w:name="_Toc184310326"/>
      <w:bookmarkEnd w:id="165"/>
      <w:bookmarkStart w:id="166" w:name="_Toc184313252"/>
      <w:bookmarkEnd w:id="166"/>
      <w:bookmarkStart w:id="167" w:name="_Toc184313279"/>
      <w:bookmarkEnd w:id="167"/>
      <w:bookmarkStart w:id="168" w:name="_Toc184312117"/>
      <w:bookmarkEnd w:id="168"/>
      <w:bookmarkStart w:id="169" w:name="_Toc184314450"/>
      <w:bookmarkEnd w:id="169"/>
      <w:bookmarkStart w:id="170" w:name="_Toc184314446"/>
      <w:bookmarkEnd w:id="170"/>
      <w:bookmarkStart w:id="171" w:name="_Toc184310320"/>
      <w:bookmarkEnd w:id="171"/>
      <w:bookmarkStart w:id="172" w:name="_Toc184310308"/>
      <w:bookmarkEnd w:id="172"/>
      <w:bookmarkStart w:id="173" w:name="_Toc184312109"/>
      <w:bookmarkEnd w:id="173"/>
      <w:bookmarkStart w:id="174" w:name="_Toc184313263"/>
      <w:bookmarkEnd w:id="174"/>
      <w:bookmarkStart w:id="175" w:name="_Toc184313304"/>
      <w:bookmarkEnd w:id="175"/>
      <w:bookmarkStart w:id="176" w:name="_Toc184312111"/>
      <w:bookmarkEnd w:id="176"/>
      <w:bookmarkStart w:id="177" w:name="_Toc184313278"/>
      <w:bookmarkEnd w:id="177"/>
      <w:bookmarkStart w:id="178" w:name="_Toc184310281"/>
      <w:bookmarkEnd w:id="178"/>
      <w:bookmarkStart w:id="179" w:name="_Toc184312139"/>
      <w:bookmarkEnd w:id="179"/>
      <w:bookmarkStart w:id="180" w:name="_Toc184310328"/>
      <w:bookmarkEnd w:id="180"/>
      <w:bookmarkStart w:id="181" w:name="_Toc184314475"/>
      <w:bookmarkEnd w:id="181"/>
      <w:bookmarkStart w:id="182" w:name="_Toc184314441"/>
      <w:bookmarkEnd w:id="182"/>
      <w:bookmarkStart w:id="183" w:name="_Toc184313243"/>
      <w:bookmarkEnd w:id="183"/>
      <w:bookmarkStart w:id="184" w:name="_Toc184310288"/>
      <w:bookmarkEnd w:id="184"/>
      <w:bookmarkStart w:id="185" w:name="_Toc184313295"/>
      <w:bookmarkEnd w:id="185"/>
      <w:bookmarkStart w:id="186" w:name="_Toc184314424"/>
      <w:bookmarkEnd w:id="186"/>
      <w:bookmarkStart w:id="187" w:name="_Toc184312082"/>
      <w:bookmarkEnd w:id="187"/>
      <w:bookmarkStart w:id="188" w:name="_Toc184308067"/>
      <w:bookmarkEnd w:id="188"/>
      <w:bookmarkStart w:id="189" w:name="_Toc184312120"/>
      <w:bookmarkEnd w:id="189"/>
      <w:bookmarkStart w:id="190" w:name="_Toc184308064"/>
      <w:bookmarkEnd w:id="190"/>
      <w:bookmarkStart w:id="191" w:name="_Toc184310298"/>
      <w:bookmarkEnd w:id="191"/>
      <w:bookmarkStart w:id="192" w:name="_Toc184310293"/>
      <w:bookmarkEnd w:id="192"/>
      <w:bookmarkStart w:id="193" w:name="_Toc184310310"/>
      <w:bookmarkEnd w:id="193"/>
      <w:bookmarkStart w:id="194" w:name="_Toc184308092"/>
      <w:bookmarkEnd w:id="194"/>
      <w:bookmarkStart w:id="195" w:name="_Toc184308065"/>
      <w:bookmarkEnd w:id="195"/>
      <w:bookmarkStart w:id="196" w:name="_Toc184308100"/>
      <w:bookmarkEnd w:id="196"/>
      <w:bookmarkStart w:id="197" w:name="_Toc184312089"/>
      <w:bookmarkEnd w:id="197"/>
      <w:bookmarkStart w:id="198" w:name="_Toc184312092"/>
      <w:bookmarkEnd w:id="198"/>
      <w:bookmarkStart w:id="199" w:name="_Toc184314425"/>
      <w:bookmarkEnd w:id="199"/>
      <w:bookmarkStart w:id="200" w:name="_Toc184310304"/>
      <w:bookmarkEnd w:id="200"/>
      <w:bookmarkStart w:id="201" w:name="_Toc184310297"/>
      <w:bookmarkEnd w:id="201"/>
      <w:bookmarkStart w:id="202" w:name="_Toc184312079"/>
      <w:bookmarkEnd w:id="202"/>
      <w:bookmarkStart w:id="203" w:name="_Toc184310330"/>
      <w:bookmarkEnd w:id="203"/>
      <w:bookmarkStart w:id="204" w:name="_Toc184312075"/>
      <w:bookmarkEnd w:id="204"/>
      <w:bookmarkStart w:id="205" w:name="_Toc184308089"/>
      <w:bookmarkEnd w:id="205"/>
      <w:bookmarkStart w:id="206" w:name="_Toc184308060"/>
      <w:bookmarkEnd w:id="206"/>
      <w:bookmarkStart w:id="207" w:name="_Toc184312101"/>
      <w:bookmarkEnd w:id="207"/>
      <w:bookmarkStart w:id="208" w:name="_Toc184313244"/>
      <w:bookmarkEnd w:id="208"/>
      <w:bookmarkStart w:id="209" w:name="_Toc184314474"/>
      <w:bookmarkEnd w:id="209"/>
      <w:bookmarkStart w:id="210" w:name="_Toc184312099"/>
      <w:bookmarkEnd w:id="210"/>
      <w:bookmarkStart w:id="211" w:name="_Toc184314453"/>
      <w:bookmarkEnd w:id="211"/>
      <w:bookmarkStart w:id="212" w:name="_Toc184308058"/>
      <w:bookmarkEnd w:id="212"/>
      <w:bookmarkStart w:id="213" w:name="_Toc184310332"/>
      <w:bookmarkEnd w:id="213"/>
      <w:bookmarkStart w:id="214" w:name="_Toc184308074"/>
      <w:bookmarkEnd w:id="214"/>
      <w:bookmarkStart w:id="215" w:name="_Toc184313273"/>
      <w:bookmarkEnd w:id="215"/>
      <w:bookmarkStart w:id="216" w:name="_Toc184314471"/>
      <w:bookmarkEnd w:id="216"/>
      <w:bookmarkStart w:id="217" w:name="_Toc184312107"/>
      <w:bookmarkEnd w:id="217"/>
      <w:bookmarkStart w:id="218" w:name="_Toc184312087"/>
      <w:bookmarkEnd w:id="218"/>
      <w:bookmarkStart w:id="219" w:name="_Toc184313294"/>
      <w:bookmarkEnd w:id="219"/>
      <w:bookmarkStart w:id="220" w:name="_Toc184308094"/>
      <w:bookmarkEnd w:id="220"/>
      <w:bookmarkStart w:id="221" w:name="_Toc184308097"/>
      <w:bookmarkEnd w:id="221"/>
      <w:bookmarkStart w:id="222" w:name="_Toc184314414"/>
      <w:bookmarkEnd w:id="222"/>
      <w:bookmarkStart w:id="223" w:name="_Toc184312103"/>
      <w:bookmarkEnd w:id="223"/>
      <w:bookmarkStart w:id="224" w:name="_Toc184310277"/>
      <w:bookmarkEnd w:id="224"/>
      <w:bookmarkStart w:id="225" w:name="_Toc184308096"/>
      <w:bookmarkEnd w:id="225"/>
      <w:bookmarkStart w:id="226" w:name="_Toc184308103"/>
      <w:bookmarkEnd w:id="226"/>
      <w:bookmarkStart w:id="227" w:name="_Toc184313301"/>
      <w:bookmarkEnd w:id="227"/>
      <w:bookmarkStart w:id="228" w:name="_Toc184314464"/>
      <w:bookmarkEnd w:id="228"/>
      <w:bookmarkStart w:id="229" w:name="_Toc184310316"/>
      <w:bookmarkEnd w:id="229"/>
      <w:bookmarkStart w:id="230" w:name="_Toc184310312"/>
      <w:bookmarkEnd w:id="230"/>
      <w:bookmarkStart w:id="231" w:name="_Toc184313242"/>
      <w:bookmarkEnd w:id="231"/>
      <w:bookmarkStart w:id="232" w:name="_Toc184314480"/>
      <w:bookmarkEnd w:id="232"/>
      <w:bookmarkStart w:id="233" w:name="_Toc184308080"/>
      <w:bookmarkEnd w:id="233"/>
      <w:bookmarkStart w:id="234" w:name="_Toc184310299"/>
      <w:bookmarkEnd w:id="234"/>
      <w:bookmarkStart w:id="235" w:name="_Toc184310285"/>
      <w:bookmarkEnd w:id="235"/>
      <w:bookmarkStart w:id="236" w:name="_Toc184314411"/>
      <w:bookmarkEnd w:id="236"/>
      <w:bookmarkStart w:id="237" w:name="_Toc184308046"/>
      <w:bookmarkEnd w:id="237"/>
      <w:bookmarkStart w:id="238" w:name="_Toc184308106"/>
      <w:bookmarkEnd w:id="238"/>
      <w:bookmarkStart w:id="239" w:name="_Toc184312077"/>
      <w:bookmarkEnd w:id="239"/>
      <w:bookmarkStart w:id="240" w:name="_Toc184308091"/>
      <w:bookmarkEnd w:id="240"/>
      <w:bookmarkStart w:id="241" w:name="_Toc184312080"/>
      <w:bookmarkEnd w:id="241"/>
      <w:bookmarkStart w:id="242" w:name="_Toc184312072"/>
      <w:bookmarkEnd w:id="242"/>
      <w:bookmarkStart w:id="243" w:name="_Toc184310325"/>
      <w:bookmarkEnd w:id="243"/>
      <w:bookmarkStart w:id="244" w:name="_Toc184312074"/>
      <w:bookmarkEnd w:id="244"/>
      <w:bookmarkStart w:id="245" w:name="_Toc184312071"/>
      <w:bookmarkEnd w:id="245"/>
      <w:bookmarkStart w:id="246" w:name="_Toc184314438"/>
      <w:bookmarkEnd w:id="246"/>
      <w:bookmarkStart w:id="247" w:name="_Toc184308075"/>
      <w:bookmarkEnd w:id="247"/>
      <w:bookmarkStart w:id="248" w:name="_Toc184314469"/>
      <w:bookmarkEnd w:id="248"/>
      <w:bookmarkStart w:id="249" w:name="_Toc184310306"/>
      <w:bookmarkEnd w:id="249"/>
      <w:bookmarkStart w:id="250" w:name="_Toc184310314"/>
      <w:bookmarkEnd w:id="250"/>
      <w:bookmarkStart w:id="251" w:name="_Toc184312137"/>
      <w:bookmarkEnd w:id="251"/>
      <w:bookmarkStart w:id="252" w:name="_Toc184314442"/>
      <w:bookmarkEnd w:id="252"/>
      <w:bookmarkStart w:id="253" w:name="_Toc184308063"/>
      <w:bookmarkEnd w:id="253"/>
      <w:bookmarkStart w:id="254" w:name="_Toc184314427"/>
      <w:bookmarkEnd w:id="254"/>
      <w:bookmarkStart w:id="255" w:name="_Toc184310305"/>
      <w:bookmarkEnd w:id="255"/>
      <w:bookmarkStart w:id="256" w:name="_Toc184312134"/>
      <w:bookmarkEnd w:id="256"/>
      <w:bookmarkStart w:id="257" w:name="_Toc184308079"/>
      <w:bookmarkEnd w:id="257"/>
      <w:bookmarkStart w:id="258" w:name="_Toc184308041"/>
      <w:bookmarkEnd w:id="258"/>
      <w:bookmarkStart w:id="259" w:name="_Toc184308038"/>
      <w:bookmarkEnd w:id="259"/>
      <w:bookmarkStart w:id="260" w:name="_Toc184312081"/>
      <w:bookmarkEnd w:id="260"/>
      <w:bookmarkStart w:id="261" w:name="_Toc184312113"/>
      <w:bookmarkEnd w:id="261"/>
      <w:bookmarkStart w:id="262" w:name="_Toc184312119"/>
      <w:bookmarkEnd w:id="262"/>
      <w:bookmarkStart w:id="263" w:name="_Toc184310278"/>
      <w:bookmarkEnd w:id="263"/>
      <w:bookmarkStart w:id="264" w:name="_Toc184310290"/>
      <w:bookmarkEnd w:id="264"/>
      <w:bookmarkStart w:id="265" w:name="_Toc184314419"/>
      <w:bookmarkEnd w:id="265"/>
      <w:bookmarkStart w:id="266" w:name="_Toc184314440"/>
      <w:bookmarkEnd w:id="266"/>
      <w:bookmarkStart w:id="267" w:name="_Toc184308039"/>
      <w:bookmarkEnd w:id="267"/>
      <w:bookmarkStart w:id="268" w:name="_Toc184313297"/>
      <w:bookmarkEnd w:id="268"/>
      <w:bookmarkStart w:id="269" w:name="_Toc184308036"/>
      <w:bookmarkEnd w:id="269"/>
      <w:bookmarkStart w:id="270" w:name="_Toc184310284"/>
      <w:bookmarkEnd w:id="270"/>
      <w:bookmarkStart w:id="271" w:name="_Toc184308043"/>
      <w:bookmarkEnd w:id="271"/>
      <w:bookmarkStart w:id="272" w:name="_Toc184312125"/>
      <w:bookmarkEnd w:id="272"/>
      <w:bookmarkStart w:id="273" w:name="_Toc184310282"/>
      <w:bookmarkEnd w:id="273"/>
      <w:bookmarkStart w:id="274" w:name="_Toc184312091"/>
      <w:bookmarkEnd w:id="274"/>
      <w:bookmarkStart w:id="275" w:name="_Toc184308083"/>
      <w:bookmarkEnd w:id="275"/>
      <w:bookmarkStart w:id="276" w:name="_Toc184312106"/>
      <w:bookmarkEnd w:id="276"/>
      <w:bookmarkStart w:id="277" w:name="_Toc184310294"/>
      <w:bookmarkEnd w:id="277"/>
      <w:bookmarkStart w:id="278" w:name="_Toc184312078"/>
      <w:bookmarkEnd w:id="278"/>
      <w:bookmarkStart w:id="279" w:name="_Toc184310324"/>
      <w:bookmarkEnd w:id="279"/>
      <w:bookmarkStart w:id="280" w:name="_Toc184312131"/>
      <w:bookmarkEnd w:id="280"/>
      <w:bookmarkStart w:id="281" w:name="_Toc184312096"/>
      <w:bookmarkEnd w:id="281"/>
      <w:bookmarkStart w:id="282" w:name="_Toc184314444"/>
      <w:bookmarkEnd w:id="282"/>
      <w:bookmarkStart w:id="283" w:name="_Toc184312114"/>
      <w:bookmarkEnd w:id="283"/>
      <w:bookmarkStart w:id="284" w:name="_Toc184312094"/>
      <w:bookmarkEnd w:id="284"/>
      <w:bookmarkStart w:id="285" w:name="_Toc184310340"/>
      <w:bookmarkEnd w:id="285"/>
      <w:bookmarkStart w:id="286" w:name="_Toc184312138"/>
      <w:bookmarkEnd w:id="286"/>
      <w:bookmarkStart w:id="287" w:name="_Toc184312132"/>
      <w:bookmarkEnd w:id="287"/>
      <w:bookmarkStart w:id="288" w:name="_Toc184314470"/>
      <w:bookmarkEnd w:id="288"/>
      <w:bookmarkStart w:id="289" w:name="_Toc184313238"/>
      <w:bookmarkEnd w:id="289"/>
      <w:bookmarkStart w:id="290" w:name="_Toc184308053"/>
      <w:bookmarkEnd w:id="290"/>
      <w:bookmarkStart w:id="291" w:name="_Toc184313255"/>
      <w:bookmarkEnd w:id="291"/>
      <w:bookmarkStart w:id="292" w:name="_Toc184313310"/>
      <w:bookmarkEnd w:id="292"/>
      <w:bookmarkStart w:id="293" w:name="_Toc184308068"/>
      <w:bookmarkEnd w:id="293"/>
      <w:bookmarkStart w:id="294" w:name="_Toc184313262"/>
      <w:bookmarkEnd w:id="294"/>
      <w:bookmarkStart w:id="295" w:name="_Toc184314439"/>
      <w:bookmarkEnd w:id="295"/>
      <w:bookmarkStart w:id="296" w:name="_Toc184308108"/>
      <w:bookmarkEnd w:id="296"/>
      <w:bookmarkStart w:id="297" w:name="_Toc184308062"/>
      <w:bookmarkEnd w:id="297"/>
      <w:bookmarkStart w:id="298" w:name="_Toc184312124"/>
      <w:bookmarkEnd w:id="298"/>
      <w:bookmarkStart w:id="299" w:name="_Toc184313249"/>
      <w:bookmarkEnd w:id="299"/>
      <w:bookmarkStart w:id="300" w:name="_Toc184308095"/>
      <w:bookmarkEnd w:id="300"/>
      <w:bookmarkStart w:id="301" w:name="_Toc184312122"/>
      <w:bookmarkEnd w:id="301"/>
      <w:bookmarkStart w:id="302" w:name="_Toc184313283"/>
      <w:bookmarkEnd w:id="302"/>
      <w:bookmarkStart w:id="303" w:name="_Toc184313296"/>
      <w:bookmarkEnd w:id="303"/>
      <w:bookmarkStart w:id="304" w:name="_Toc184310291"/>
      <w:bookmarkEnd w:id="304"/>
      <w:bookmarkStart w:id="305" w:name="_Toc184312104"/>
      <w:bookmarkEnd w:id="305"/>
      <w:bookmarkStart w:id="306" w:name="_Toc184312085"/>
      <w:bookmarkEnd w:id="306"/>
      <w:bookmarkStart w:id="307" w:name="_Toc184312084"/>
      <w:bookmarkEnd w:id="307"/>
      <w:bookmarkStart w:id="308" w:name="_Toc184313270"/>
      <w:bookmarkEnd w:id="308"/>
      <w:bookmarkStart w:id="309" w:name="_Toc184313239"/>
      <w:bookmarkEnd w:id="309"/>
      <w:bookmarkStart w:id="310" w:name="_Toc184312100"/>
      <w:bookmarkEnd w:id="310"/>
      <w:bookmarkStart w:id="311" w:name="_Toc184313281"/>
      <w:bookmarkEnd w:id="311"/>
      <w:bookmarkStart w:id="312" w:name="_Toc184310283"/>
      <w:bookmarkEnd w:id="312"/>
      <w:bookmarkStart w:id="313" w:name="_Toc184308048"/>
      <w:bookmarkEnd w:id="313"/>
      <w:bookmarkStart w:id="314" w:name="_Toc184310319"/>
      <w:bookmarkEnd w:id="314"/>
      <w:bookmarkStart w:id="315" w:name="_Toc184314477"/>
      <w:bookmarkEnd w:id="315"/>
      <w:bookmarkStart w:id="316" w:name="_Toc184312108"/>
      <w:bookmarkEnd w:id="316"/>
      <w:bookmarkStart w:id="317" w:name="_Toc184312128"/>
      <w:bookmarkEnd w:id="317"/>
      <w:bookmarkStart w:id="318" w:name="_Toc184314417"/>
      <w:bookmarkEnd w:id="318"/>
      <w:bookmarkStart w:id="319" w:name="_Toc184314426"/>
      <w:bookmarkEnd w:id="319"/>
      <w:bookmarkStart w:id="320" w:name="_Toc184314468"/>
      <w:bookmarkEnd w:id="320"/>
      <w:bookmarkStart w:id="321" w:name="_Toc184308045"/>
      <w:bookmarkEnd w:id="321"/>
      <w:bookmarkStart w:id="322" w:name="_Toc184312073"/>
      <w:bookmarkEnd w:id="322"/>
      <w:bookmarkStart w:id="323" w:name="_Toc184314431"/>
      <w:bookmarkEnd w:id="323"/>
      <w:bookmarkStart w:id="324" w:name="_Toc184314421"/>
      <w:bookmarkEnd w:id="324"/>
      <w:bookmarkStart w:id="325" w:name="_Toc184310279"/>
      <w:bookmarkEnd w:id="325"/>
      <w:bookmarkStart w:id="326" w:name="_Toc184313254"/>
      <w:bookmarkEnd w:id="326"/>
      <w:bookmarkStart w:id="327" w:name="_Toc184308107"/>
      <w:bookmarkEnd w:id="327"/>
      <w:bookmarkStart w:id="328" w:name="_Toc184312095"/>
      <w:bookmarkEnd w:id="328"/>
      <w:bookmarkStart w:id="329" w:name="_Toc184314428"/>
      <w:bookmarkEnd w:id="329"/>
      <w:bookmarkStart w:id="330" w:name="_Toc184310339"/>
      <w:bookmarkEnd w:id="330"/>
      <w:bookmarkStart w:id="331" w:name="_Toc184308099"/>
      <w:bookmarkEnd w:id="331"/>
      <w:bookmarkStart w:id="332" w:name="_Toc184310334"/>
      <w:bookmarkEnd w:id="332"/>
      <w:bookmarkStart w:id="333" w:name="_Toc184308040"/>
      <w:bookmarkEnd w:id="333"/>
      <w:bookmarkStart w:id="334" w:name="_Toc184310336"/>
      <w:bookmarkEnd w:id="334"/>
      <w:bookmarkStart w:id="335" w:name="_Toc184314429"/>
      <w:bookmarkEnd w:id="335"/>
      <w:bookmarkStart w:id="336" w:name="_Toc184308059"/>
      <w:bookmarkEnd w:id="336"/>
      <w:bookmarkStart w:id="337" w:name="_Toc184312112"/>
      <w:bookmarkEnd w:id="337"/>
      <w:bookmarkStart w:id="338" w:name="_Toc184310289"/>
      <w:bookmarkEnd w:id="338"/>
      <w:bookmarkStart w:id="339" w:name="_Toc184313251"/>
      <w:bookmarkEnd w:id="339"/>
      <w:bookmarkStart w:id="340" w:name="_Toc184310280"/>
      <w:bookmarkEnd w:id="340"/>
      <w:bookmarkStart w:id="341" w:name="_Toc184312133"/>
      <w:bookmarkEnd w:id="341"/>
      <w:bookmarkStart w:id="342" w:name="_Toc184310333"/>
      <w:bookmarkEnd w:id="342"/>
      <w:bookmarkStart w:id="343" w:name="_Toc184312130"/>
      <w:bookmarkEnd w:id="343"/>
      <w:bookmarkStart w:id="344" w:name="_Toc184310303"/>
      <w:bookmarkEnd w:id="344"/>
      <w:bookmarkStart w:id="345" w:name="_Toc184313308"/>
      <w:bookmarkEnd w:id="345"/>
      <w:bookmarkStart w:id="346" w:name="_Toc184313268"/>
      <w:bookmarkEnd w:id="346"/>
      <w:bookmarkStart w:id="347" w:name="_Toc184308082"/>
      <w:bookmarkEnd w:id="347"/>
      <w:bookmarkStart w:id="348" w:name="_Toc184310302"/>
      <w:bookmarkEnd w:id="348"/>
      <w:bookmarkStart w:id="349" w:name="_Toc184310317"/>
      <w:bookmarkEnd w:id="349"/>
      <w:bookmarkStart w:id="350" w:name="_Toc184314466"/>
      <w:bookmarkEnd w:id="350"/>
      <w:bookmarkStart w:id="351" w:name="_Toc184308076"/>
      <w:bookmarkEnd w:id="351"/>
      <w:bookmarkStart w:id="352" w:name="_Toc184308044"/>
      <w:bookmarkEnd w:id="352"/>
      <w:bookmarkStart w:id="353" w:name="_Toc184310341"/>
      <w:bookmarkEnd w:id="353"/>
      <w:bookmarkStart w:id="354" w:name="_Toc184308056"/>
      <w:bookmarkEnd w:id="354"/>
      <w:bookmarkStart w:id="355" w:name="_Toc184310338"/>
      <w:bookmarkEnd w:id="355"/>
      <w:bookmarkStart w:id="356" w:name="_Toc184308061"/>
      <w:bookmarkEnd w:id="356"/>
      <w:bookmarkStart w:id="357" w:name="_Toc184313286"/>
      <w:bookmarkEnd w:id="357"/>
      <w:bookmarkStart w:id="358" w:name="_Toc184314457"/>
      <w:bookmarkEnd w:id="358"/>
      <w:bookmarkStart w:id="359" w:name="_Toc184314422"/>
      <w:bookmarkEnd w:id="359"/>
      <w:bookmarkStart w:id="360" w:name="_Toc184314461"/>
      <w:bookmarkEnd w:id="360"/>
      <w:bookmarkStart w:id="361" w:name="_Toc184313253"/>
      <w:bookmarkEnd w:id="361"/>
      <w:bookmarkStart w:id="362" w:name="_Toc184308072"/>
      <w:bookmarkEnd w:id="362"/>
      <w:bookmarkStart w:id="363" w:name="_Toc184308042"/>
      <w:bookmarkEnd w:id="363"/>
      <w:bookmarkStart w:id="364" w:name="_Toc184314415"/>
      <w:bookmarkEnd w:id="364"/>
      <w:bookmarkStart w:id="365" w:name="_Toc184310309"/>
      <w:bookmarkEnd w:id="365"/>
      <w:bookmarkStart w:id="366" w:name="_Toc184313241"/>
      <w:bookmarkEnd w:id="366"/>
      <w:bookmarkStart w:id="367" w:name="_Toc184310321"/>
      <w:bookmarkEnd w:id="367"/>
      <w:bookmarkStart w:id="368" w:name="_Toc184312067"/>
      <w:bookmarkEnd w:id="368"/>
      <w:bookmarkStart w:id="369" w:name="_Toc184314452"/>
      <w:bookmarkEnd w:id="369"/>
      <w:bookmarkStart w:id="370" w:name="_Toc184313272"/>
      <w:bookmarkEnd w:id="370"/>
      <w:bookmarkStart w:id="371" w:name="_Toc184313266"/>
      <w:bookmarkEnd w:id="371"/>
      <w:bookmarkStart w:id="372" w:name="_Toc184313284"/>
      <w:bookmarkEnd w:id="372"/>
      <w:bookmarkStart w:id="373" w:name="_Toc184313247"/>
      <w:bookmarkEnd w:id="373"/>
      <w:bookmarkStart w:id="374" w:name="_Toc184312070"/>
      <w:bookmarkEnd w:id="374"/>
      <w:bookmarkStart w:id="375" w:name="_Toc184314410"/>
      <w:bookmarkEnd w:id="375"/>
      <w:bookmarkStart w:id="376" w:name="_Toc184308037"/>
      <w:bookmarkEnd w:id="376"/>
      <w:bookmarkStart w:id="377" w:name="_Toc184313289"/>
      <w:bookmarkEnd w:id="377"/>
      <w:bookmarkStart w:id="378" w:name="_Toc184310311"/>
      <w:bookmarkEnd w:id="378"/>
      <w:bookmarkStart w:id="379" w:name="_Toc184308085"/>
      <w:bookmarkEnd w:id="379"/>
      <w:bookmarkStart w:id="380" w:name="_Toc184308073"/>
      <w:bookmarkEnd w:id="380"/>
      <w:bookmarkStart w:id="381" w:name="_Toc184313298"/>
      <w:bookmarkEnd w:id="381"/>
      <w:bookmarkStart w:id="382" w:name="_Toc184313259"/>
      <w:bookmarkEnd w:id="382"/>
      <w:bookmarkStart w:id="383" w:name="_Toc184308052"/>
      <w:bookmarkEnd w:id="383"/>
      <w:bookmarkStart w:id="384" w:name="_Toc184310307"/>
      <w:bookmarkEnd w:id="384"/>
      <w:bookmarkStart w:id="385" w:name="_Toc184314459"/>
      <w:bookmarkEnd w:id="385"/>
      <w:bookmarkStart w:id="386" w:name="_Toc184313250"/>
      <w:bookmarkEnd w:id="386"/>
      <w:bookmarkStart w:id="387" w:name="_Toc184310337"/>
      <w:bookmarkEnd w:id="387"/>
      <w:bookmarkStart w:id="388" w:name="_Toc184313276"/>
      <w:bookmarkEnd w:id="388"/>
      <w:bookmarkStart w:id="389" w:name="_Toc184312135"/>
      <w:bookmarkEnd w:id="389"/>
      <w:bookmarkStart w:id="390" w:name="_Toc184310296"/>
      <w:bookmarkEnd w:id="390"/>
      <w:bookmarkStart w:id="391" w:name="_Toc184312126"/>
      <w:bookmarkEnd w:id="391"/>
      <w:bookmarkStart w:id="392" w:name="_Toc184312083"/>
      <w:bookmarkEnd w:id="392"/>
      <w:bookmarkStart w:id="393" w:name="_Toc184310313"/>
      <w:bookmarkEnd w:id="393"/>
      <w:bookmarkStart w:id="394" w:name="_Toc184312076"/>
      <w:bookmarkEnd w:id="394"/>
      <w:bookmarkStart w:id="395" w:name="_Toc184313303"/>
      <w:bookmarkEnd w:id="395"/>
      <w:bookmarkStart w:id="396" w:name="_Toc184308070"/>
      <w:bookmarkEnd w:id="396"/>
      <w:bookmarkStart w:id="397" w:name="_Toc184312136"/>
      <w:bookmarkEnd w:id="397"/>
      <w:bookmarkStart w:id="398" w:name="_Toc184313305"/>
      <w:bookmarkEnd w:id="398"/>
      <w:bookmarkStart w:id="399" w:name="_Toc184314412"/>
      <w:bookmarkEnd w:id="399"/>
      <w:bookmarkStart w:id="400" w:name="_Toc184312110"/>
      <w:bookmarkEnd w:id="400"/>
      <w:bookmarkStart w:id="401" w:name="_Toc184314413"/>
      <w:bookmarkEnd w:id="401"/>
      <w:bookmarkStart w:id="402" w:name="_Toc184308102"/>
      <w:bookmarkEnd w:id="402"/>
      <w:bookmarkStart w:id="403" w:name="_Toc184308098"/>
      <w:bookmarkEnd w:id="403"/>
      <w:bookmarkStart w:id="404" w:name="_Toc184314482"/>
      <w:bookmarkEnd w:id="404"/>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32"/>
          <w:szCs w:val="20"/>
          <w:highlight w:val="none"/>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商务技术评分表（</w:t>
      </w:r>
      <w:r>
        <w:rPr>
          <w:rFonts w:hint="eastAsia" w:ascii="宋体" w:hAnsi="宋体" w:eastAsia="宋体" w:cs="宋体"/>
          <w:b/>
          <w:bCs/>
          <w:color w:val="auto"/>
          <w:sz w:val="24"/>
          <w:highlight w:val="none"/>
          <w:lang w:val="en-US" w:eastAsia="zh-CN"/>
        </w:rPr>
        <w:t>90</w:t>
      </w:r>
      <w:r>
        <w:rPr>
          <w:rFonts w:hint="eastAsia" w:ascii="宋体" w:hAnsi="宋体" w:eastAsia="宋体" w:cs="宋体"/>
          <w:b/>
          <w:bCs/>
          <w:color w:val="auto"/>
          <w:sz w:val="24"/>
          <w:highlight w:val="none"/>
        </w:rPr>
        <w:t>分）</w:t>
      </w:r>
    </w:p>
    <w:tbl>
      <w:tblPr>
        <w:tblStyle w:val="62"/>
        <w:tblpPr w:leftFromText="180" w:rightFromText="180" w:vertAnchor="text" w:horzAnchor="page" w:tblpXSpec="center" w:tblpY="344"/>
        <w:tblOverlap w:val="never"/>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278"/>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84" w:type="pct"/>
            <w:gridSpan w:val="2"/>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评分因素分项</w:t>
            </w:r>
          </w:p>
        </w:tc>
        <w:tc>
          <w:tcPr>
            <w:tcW w:w="3715" w:type="pct"/>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restart"/>
            <w:vAlign w:val="center"/>
          </w:tcPr>
          <w:p>
            <w:pPr>
              <w:pStyle w:val="82"/>
              <w:keepNext w:val="0"/>
              <w:keepLines w:val="0"/>
              <w:suppressLineNumbers w:val="0"/>
              <w:spacing w:before="0" w:beforeAutospacing="0" w:after="0" w:afterAutospacing="0"/>
              <w:ind w:left="0" w:right="0" w:firstLine="0" w:firstLineChars="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商务资信</w:t>
            </w:r>
          </w:p>
          <w:p>
            <w:pPr>
              <w:pStyle w:val="82"/>
              <w:keepNext w:val="0"/>
              <w:keepLines w:val="0"/>
              <w:suppressLineNumbers w:val="0"/>
              <w:spacing w:before="0" w:beforeAutospacing="0" w:after="0" w:afterAutospacing="0"/>
              <w:ind w:left="0" w:right="0" w:firstLine="0" w:firstLineChars="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w:t>
            </w: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分）</w:t>
            </w:r>
          </w:p>
        </w:tc>
        <w:tc>
          <w:tcPr>
            <w:tcW w:w="660" w:type="pct"/>
            <w:vMerge w:val="restart"/>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项目业绩</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（3分）</w:t>
            </w: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投标人自2021年1月1日以来（以合同签订时间为准）至今投标人具有政法行业相关项目案例，包括公安、检察院、法院、司法行政部门等项目，每提供一份得0.5分，最多得1分。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证明材料：提供合同复印件，否则不得分。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left"/>
              <w:rPr>
                <w:rFonts w:hint="eastAsia" w:ascii="宋体" w:hAnsi="宋体" w:eastAsia="宋体" w:cs="宋体"/>
                <w:color w:val="auto"/>
                <w:kern w:val="0"/>
                <w:sz w:val="24"/>
                <w:szCs w:val="24"/>
                <w:highlight w:val="none"/>
                <w:lang w:val="en-US" w:eastAsia="zh-CN" w:bidi="ar"/>
              </w:rPr>
            </w:pPr>
          </w:p>
        </w:tc>
        <w:tc>
          <w:tcPr>
            <w:tcW w:w="660" w:type="pct"/>
            <w:vMerge w:val="continue"/>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投标人自2021年1月1日以来投标人攻关研发产品入选省级首台（套）项目的得2分，最多得2分。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证明材料：需明确提交首台（套）相关证明材料，否则不得分。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lang w:val="en-US" w:eastAsia="zh-CN" w:bidi="ar"/>
              </w:rPr>
            </w:pPr>
          </w:p>
        </w:tc>
        <w:tc>
          <w:tcPr>
            <w:tcW w:w="660" w:type="pct"/>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知识产权（3分）</w:t>
            </w:r>
          </w:p>
        </w:tc>
        <w:tc>
          <w:tcPr>
            <w:tcW w:w="3715" w:type="pct"/>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投标人具有与本项目技术路径相关的，</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相关专利每提供一份得1分，最多得2分；</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相关软著每提供一份得</w:t>
            </w:r>
            <w:r>
              <w:rPr>
                <w:rFonts w:hint="eastAsia" w:ascii="宋体" w:hAnsi="宋体" w:cs="宋体"/>
                <w:color w:val="auto"/>
                <w:kern w:val="2"/>
                <w:sz w:val="24"/>
                <w:szCs w:val="24"/>
                <w:highlight w:val="none"/>
                <w:lang w:val="en-US" w:eastAsia="zh-CN" w:bidi="ar-SA"/>
              </w:rPr>
              <w:t>0.5</w:t>
            </w:r>
            <w:r>
              <w:rPr>
                <w:rFonts w:hint="eastAsia" w:ascii="宋体" w:hAnsi="宋体" w:eastAsia="宋体" w:cs="宋体"/>
                <w:color w:val="auto"/>
                <w:kern w:val="2"/>
                <w:sz w:val="24"/>
                <w:szCs w:val="24"/>
                <w:highlight w:val="none"/>
                <w:lang w:val="en-US" w:eastAsia="zh-CN" w:bidi="ar-SA"/>
              </w:rPr>
              <w:t>分，最多得1分。</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证明材料：提供专利或软著相关证明材料，否则不得分。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lang w:val="en-US" w:eastAsia="zh-CN" w:bidi="ar"/>
              </w:rPr>
            </w:pPr>
          </w:p>
        </w:tc>
        <w:tc>
          <w:tcPr>
            <w:tcW w:w="660" w:type="pct"/>
            <w:vMerge w:val="restart"/>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项目实施团队</w:t>
            </w:r>
          </w:p>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3715" w:type="pct"/>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项目经理（1名）：拟派项目经理具有高级信息系统项目管理师证书</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系统架构设计师证书</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注册信息安全管理人员CISP的得1分，最高</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p>
        </w:tc>
        <w:tc>
          <w:tcPr>
            <w:tcW w:w="660" w:type="pct"/>
            <w:vMerge w:val="continue"/>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lang w:val="en-US" w:eastAsia="zh-CN"/>
              </w:rPr>
            </w:pPr>
          </w:p>
        </w:tc>
        <w:tc>
          <w:tcPr>
            <w:tcW w:w="3715" w:type="pct"/>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技术负责人（1名）：拟派技术负责人具有高级信息系统项目管理师证书</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信息技术高级工程师证书的得1分，最高得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p>
        </w:tc>
        <w:tc>
          <w:tcPr>
            <w:tcW w:w="660" w:type="pct"/>
            <w:vMerge w:val="continue"/>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3715" w:type="pct"/>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项目团队成员（项目</w:t>
            </w:r>
            <w:r>
              <w:rPr>
                <w:rFonts w:hint="eastAsia" w:ascii="宋体" w:hAnsi="宋体" w:cs="宋体"/>
                <w:color w:val="auto"/>
                <w:kern w:val="2"/>
                <w:sz w:val="24"/>
                <w:szCs w:val="24"/>
                <w:highlight w:val="none"/>
                <w:lang w:val="en-US" w:eastAsia="zh-CN" w:bidi="ar-SA"/>
              </w:rPr>
              <w:t>经理</w:t>
            </w:r>
            <w:r>
              <w:rPr>
                <w:rFonts w:hint="eastAsia" w:ascii="宋体" w:hAnsi="宋体" w:eastAsia="宋体" w:cs="宋体"/>
                <w:color w:val="auto"/>
                <w:kern w:val="2"/>
                <w:sz w:val="24"/>
                <w:szCs w:val="24"/>
                <w:highlight w:val="none"/>
                <w:lang w:val="en-US" w:eastAsia="zh-CN" w:bidi="ar-SA"/>
              </w:rPr>
              <w:t>除外）（3名或以上）：项目团队成员具有软件设计师证书、网络工程师证书，每提供1本证书得1分，最高3分。同一人员具备多本证书的不得重复得分。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p>
        </w:tc>
        <w:tc>
          <w:tcPr>
            <w:tcW w:w="660" w:type="pct"/>
            <w:vMerge w:val="continue"/>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c>
          <w:tcPr>
            <w:tcW w:w="3715" w:type="pct"/>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注：以上人员须提供2024年1月起至投标截止时间止期间中任何一个连续3个月的在投标人单位任职的个人社保缴费清单及资格证书、人员职称证书复印件。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24" w:type="pct"/>
            <w:vMerge w:val="continue"/>
            <w:vAlign w:val="center"/>
          </w:tcPr>
          <w:p>
            <w:pPr>
              <w:pStyle w:val="82"/>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p>
        </w:tc>
        <w:tc>
          <w:tcPr>
            <w:tcW w:w="660" w:type="pct"/>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企业证书</w:t>
            </w:r>
          </w:p>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3715" w:type="pct"/>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投标人具有以下证书且在有效期的，每个证书得1分，本项最多得</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 xml:space="preserve">1）质量管理体系认证证书（得 </w:t>
            </w:r>
            <w:r>
              <w:rPr>
                <w:rFonts w:hint="eastAsia" w:ascii="宋体" w:hAnsi="宋体" w:eastAsia="宋体" w:cs="宋体"/>
                <w:color w:val="auto"/>
                <w:sz w:val="24"/>
                <w:szCs w:val="24"/>
                <w:highlight w:val="none"/>
                <w:lang w:val="en-US" w:eastAsia="zh-CN"/>
              </w:rPr>
              <w:t>1分）</w:t>
            </w:r>
          </w:p>
          <w:p>
            <w:pPr>
              <w:pStyle w:val="82"/>
              <w:keepNext w:val="0"/>
              <w:keepLines w:val="0"/>
              <w:suppressLineNumbers w:val="0"/>
              <w:spacing w:before="0" w:beforeAutospacing="0" w:after="0" w:afterAutospacing="0" w:line="240" w:lineRule="auto"/>
              <w:ind w:left="0" w:leftChars="0" w:right="0" w:firstLine="0" w:firstLineChars="0"/>
              <w:jc w:val="left"/>
              <w:rPr>
                <w:rFonts w:hint="eastAsia" w:ascii="仿宋" w:hAnsi="仿宋" w:eastAsia="仿宋" w:cs="仿宋"/>
                <w:color w:val="auto"/>
                <w:sz w:val="24"/>
                <w:szCs w:val="24"/>
                <w:lang w:val="en-US" w:eastAsia="zh-CN"/>
              </w:rPr>
            </w:pPr>
            <w:r>
              <w:rPr>
                <w:rFonts w:hint="eastAsia" w:cs="宋体"/>
                <w:color w:val="auto"/>
                <w:kern w:val="2"/>
                <w:sz w:val="24"/>
                <w:szCs w:val="24"/>
                <w:highlight w:val="none"/>
                <w:lang w:val="en-US" w:eastAsia="zh-CN" w:bidi="ar-SA"/>
              </w:rPr>
              <w:t>（2）</w:t>
            </w:r>
            <w:r>
              <w:rPr>
                <w:rFonts w:hint="default" w:ascii="宋体" w:hAnsi="宋体" w:eastAsia="宋体" w:cs="宋体"/>
                <w:color w:val="auto"/>
                <w:kern w:val="0"/>
                <w:sz w:val="24"/>
                <w:szCs w:val="24"/>
                <w:highlight w:val="none"/>
                <w:lang w:val="en-US" w:eastAsia="zh-CN" w:bidi="ar-SA"/>
              </w:rPr>
              <w:t>软件企业证书</w:t>
            </w:r>
            <w:r>
              <w:rPr>
                <w:rFonts w:hint="eastAsia" w:ascii="宋体" w:hAnsi="宋体" w:eastAsia="宋体" w:cs="宋体"/>
                <w:color w:val="auto"/>
                <w:kern w:val="0"/>
                <w:sz w:val="24"/>
                <w:szCs w:val="24"/>
                <w:highlight w:val="none"/>
                <w:lang w:val="en-US" w:eastAsia="zh-CN" w:bidi="ar-SA"/>
              </w:rPr>
              <w:t>（得 1分）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w:t>
            </w:r>
            <w:r>
              <w:rPr>
                <w:rFonts w:hint="eastAsia"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 xml:space="preserve">）信息安全管理体系认证证书（得 </w:t>
            </w:r>
            <w:r>
              <w:rPr>
                <w:rFonts w:hint="eastAsia" w:ascii="宋体" w:hAnsi="宋体" w:eastAsia="宋体" w:cs="宋体"/>
                <w:color w:val="auto"/>
                <w:sz w:val="24"/>
                <w:szCs w:val="24"/>
                <w:highlight w:val="none"/>
                <w:lang w:val="en-US" w:eastAsia="zh-CN"/>
              </w:rPr>
              <w:t>1分）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）信息技术服务管理体系认证证书（得 1分）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证明材料：提供有效的相应证书的复印件，否则不得分。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624" w:type="pct"/>
            <w:vMerge w:val="restar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技术</w:t>
            </w:r>
          </w:p>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（7</w:t>
            </w:r>
            <w:r>
              <w:rPr>
                <w:rFonts w:hint="eastAsia"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分）</w:t>
            </w: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投标人对采购需求的分析理解</w:t>
            </w:r>
          </w:p>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18</w:t>
            </w:r>
            <w:r>
              <w:rPr>
                <w:rFonts w:hint="eastAsia" w:ascii="宋体" w:hAnsi="宋体" w:eastAsia="宋体" w:cs="宋体"/>
                <w:color w:val="auto"/>
                <w:sz w:val="24"/>
                <w:szCs w:val="24"/>
                <w:highlight w:val="none"/>
              </w:rPr>
              <w:t>分）</w:t>
            </w: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投标人对本次建设项目的系统对接、数据获取等检察业务支撑功能的熟悉了解情况，能够从①系统功能要求；②技术要求；③标准规范要求进行清晰阐述，与本项目需求的吻合。</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（1）每有一项内容进行了详细阐述且完全满足采购需求的，得</w:t>
            </w:r>
            <w:r>
              <w:rPr>
                <w:rFonts w:hint="eastAsia" w:ascii="宋体" w:hAnsi="宋体" w:eastAsia="宋体" w:cs="宋体"/>
                <w:color w:val="auto"/>
                <w:sz w:val="24"/>
                <w:szCs w:val="24"/>
                <w:highlight w:val="none"/>
                <w:lang w:val="en-US" w:eastAsia="zh-CN"/>
              </w:rPr>
              <w:t>5</w:t>
            </w:r>
            <w:r>
              <w:rPr>
                <w:rFonts w:hint="eastAsia" w:cs="宋体"/>
                <w:color w:val="auto"/>
                <w:sz w:val="24"/>
                <w:szCs w:val="24"/>
                <w:highlight w:val="none"/>
                <w:lang w:val="en-US" w:eastAsia="zh-CN"/>
              </w:rPr>
              <w:t>（含）</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6分；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（2）每有一项内容虽然进行了阐述但并未完全贴合采购需求的，得</w:t>
            </w:r>
            <w:r>
              <w:rPr>
                <w:rFonts w:hint="eastAsia" w:ascii="宋体" w:hAnsi="宋体" w:eastAsia="宋体" w:cs="宋体"/>
                <w:color w:val="auto"/>
                <w:sz w:val="24"/>
                <w:szCs w:val="24"/>
                <w:highlight w:val="none"/>
                <w:lang w:val="en-US" w:eastAsia="zh-CN"/>
              </w:rPr>
              <w:t>3</w:t>
            </w:r>
            <w:r>
              <w:rPr>
                <w:rFonts w:hint="eastAsia" w:cs="宋体"/>
                <w:color w:val="auto"/>
                <w:sz w:val="24"/>
                <w:szCs w:val="24"/>
                <w:highlight w:val="none"/>
                <w:lang w:val="en-US" w:eastAsia="zh-CN"/>
              </w:rPr>
              <w:t>（含）</w:t>
            </w:r>
            <w:r>
              <w:rPr>
                <w:rFonts w:hint="eastAsia" w:ascii="宋体" w:hAnsi="宋体" w:eastAsia="宋体" w:cs="宋体"/>
                <w:color w:val="auto"/>
                <w:sz w:val="24"/>
                <w:szCs w:val="24"/>
                <w:highlight w:val="none"/>
                <w:lang w:val="en-US" w:eastAsia="zh-CN"/>
              </w:rPr>
              <w:t>-</w:t>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（3）每有一项内容未进行阐述或阐述内容无法满足采购需求，得0-</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技术方案（</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分）</w:t>
            </w: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技术方案包含总体需求、实现功能、实现技术等，从项目技术方案的完整性、先进性、合理</w:t>
            </w:r>
            <w:r>
              <w:rPr>
                <w:rFonts w:hint="eastAsia" w:ascii="宋体" w:hAnsi="宋体" w:eastAsia="宋体" w:cs="宋体"/>
                <w:color w:val="auto"/>
                <w:sz w:val="24"/>
                <w:szCs w:val="24"/>
                <w:highlight w:val="none"/>
                <w:lang w:val="en-US" w:eastAsia="zh-CN"/>
              </w:rPr>
              <w:t>性</w:t>
            </w:r>
            <w:r>
              <w:rPr>
                <w:rFonts w:hint="eastAsia" w:ascii="宋体" w:hAnsi="宋体" w:eastAsia="宋体" w:cs="宋体"/>
                <w:color w:val="auto"/>
                <w:sz w:val="24"/>
                <w:szCs w:val="24"/>
                <w:highlight w:val="none"/>
              </w:rPr>
              <w:t>、实用性及技术响应等角度总体评分。优秀得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分，良好得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分，一般得0-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项目详细设计（</w:t>
            </w: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系统界面控件、界面风格、典型操作界面样式设计能够深入理解系统的功能要求，并提供功能级界面说明或预览图等。共</w:t>
            </w: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rPr>
              <w:t>分，优秀</w:t>
            </w:r>
            <w:r>
              <w:rPr>
                <w:rFonts w:hint="eastAsia" w:cs="宋体"/>
                <w:color w:val="auto"/>
                <w:sz w:val="24"/>
                <w:szCs w:val="24"/>
                <w:highlight w:val="none"/>
                <w:lang w:val="en-US" w:eastAsia="zh-CN"/>
              </w:rPr>
              <w:t>7</w:t>
            </w:r>
            <w:r>
              <w:rPr>
                <w:rFonts w:hint="eastAsia" w:ascii="宋体" w:hAnsi="宋体" w:eastAsia="宋体" w:cs="宋体"/>
                <w:color w:val="auto"/>
                <w:sz w:val="24"/>
                <w:szCs w:val="24"/>
                <w:highlight w:val="none"/>
              </w:rPr>
              <w:t>（含）-</w:t>
            </w: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rPr>
              <w:t>分，良好得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（含）-</w:t>
            </w:r>
            <w:r>
              <w:rPr>
                <w:rFonts w:hint="eastAsia" w:cs="宋体"/>
                <w:color w:val="auto"/>
                <w:sz w:val="24"/>
                <w:szCs w:val="24"/>
                <w:highlight w:val="none"/>
                <w:lang w:val="en-US" w:eastAsia="zh-CN"/>
              </w:rPr>
              <w:t>7</w:t>
            </w:r>
            <w:r>
              <w:rPr>
                <w:rFonts w:hint="eastAsia" w:ascii="宋体" w:hAnsi="宋体" w:eastAsia="宋体" w:cs="宋体"/>
                <w:color w:val="auto"/>
                <w:sz w:val="24"/>
                <w:szCs w:val="24"/>
                <w:highlight w:val="none"/>
              </w:rPr>
              <w:t>分，一般得0-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组织实施方案</w:t>
            </w:r>
          </w:p>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（12分）</w:t>
            </w: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投标人针对本项目的实施方案完整与合理，包括</w:t>
            </w:r>
            <w:r>
              <w:rPr>
                <w:rFonts w:hint="eastAsia" w:ascii="宋体" w:hAnsi="宋体" w:eastAsia="宋体" w:cs="宋体"/>
                <w:b/>
                <w:bCs/>
                <w:color w:val="auto"/>
                <w:sz w:val="24"/>
                <w:szCs w:val="24"/>
                <w:highlight w:val="none"/>
              </w:rPr>
              <w:t>①质量控制；②进度控制；③系统测试；④试运行；⑤系统验收；⑥沟通协调</w:t>
            </w:r>
            <w:r>
              <w:rPr>
                <w:rFonts w:hint="eastAsia" w:ascii="宋体" w:hAnsi="宋体" w:eastAsia="宋体" w:cs="宋体"/>
                <w:color w:val="auto"/>
                <w:sz w:val="24"/>
                <w:szCs w:val="24"/>
                <w:highlight w:val="none"/>
              </w:rPr>
              <w:t>满足本项目实施要求。（满分12分）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（1）每有一项内容进行了详细阐述且完全满足采购需求的，得2分；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（2）每有一项内容虽然进行了阐述但并未完全贴合采购需求的，得1-2分；</w:t>
            </w:r>
          </w:p>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（3）每有一项内容未进行阐述或阐述内容无法满足采购需求，得0-1分。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功能演示（</w:t>
            </w:r>
            <w:r>
              <w:rPr>
                <w:rFonts w:hint="eastAsia" w:cs="宋体"/>
                <w:color w:val="auto"/>
                <w:sz w:val="24"/>
                <w:szCs w:val="24"/>
                <w:highlight w:val="none"/>
                <w:lang w:val="en-US" w:eastAsia="zh-CN"/>
              </w:rPr>
              <w:t>18</w:t>
            </w:r>
            <w:r>
              <w:rPr>
                <w:rFonts w:hint="eastAsia" w:ascii="宋体" w:hAnsi="宋体" w:eastAsia="宋体" w:cs="宋体"/>
                <w:color w:val="auto"/>
                <w:sz w:val="24"/>
                <w:szCs w:val="24"/>
                <w:highlight w:val="none"/>
              </w:rPr>
              <w:t>分）</w:t>
            </w:r>
          </w:p>
        </w:tc>
        <w:tc>
          <w:tcPr>
            <w:tcW w:w="3715" w:type="pct"/>
            <w:vAlign w:val="center"/>
          </w:tcPr>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功能演示，供应商可现场演示或录制视频进行播放演示。（最高累计得</w:t>
            </w:r>
            <w:r>
              <w:rPr>
                <w:rFonts w:hint="eastAsia" w:cs="宋体"/>
                <w:color w:val="auto"/>
                <w:sz w:val="24"/>
                <w:szCs w:val="24"/>
                <w:highlight w:val="none"/>
                <w:lang w:val="en-US" w:eastAsia="zh-CN"/>
              </w:rPr>
              <w:t>18</w:t>
            </w:r>
            <w:r>
              <w:rPr>
                <w:rFonts w:hint="eastAsia" w:ascii="宋体" w:hAnsi="宋体" w:eastAsia="宋体" w:cs="宋体"/>
                <w:color w:val="auto"/>
                <w:sz w:val="24"/>
                <w:szCs w:val="24"/>
                <w:highlight w:val="none"/>
              </w:rPr>
              <w:t>分）。演示时间不超过</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分钟。根据演示内容进行演示（详见演示要求）某项演示功能不全或少演示一项的扣分，扣完为止。</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（1）高级检索</w:t>
            </w:r>
            <w:r>
              <w:rPr>
                <w:rFonts w:hint="eastAsia" w:ascii="宋体" w:hAnsi="宋体" w:eastAsia="宋体" w:cs="宋体"/>
                <w:color w:val="auto"/>
                <w:sz w:val="24"/>
                <w:szCs w:val="24"/>
                <w:highlight w:val="none"/>
              </w:rPr>
              <w:t>：包含判决文书按</w:t>
            </w:r>
            <w:r>
              <w:rPr>
                <w:rFonts w:hint="eastAsia" w:ascii="宋体" w:hAnsi="宋体" w:eastAsia="宋体" w:cs="宋体"/>
                <w:color w:val="auto"/>
                <w:sz w:val="24"/>
                <w:szCs w:val="24"/>
                <w:highlight w:val="none"/>
                <w:lang w:val="en-US" w:eastAsia="zh-CN"/>
              </w:rPr>
              <w:t>案卡检索、按人卡检索、按</w:t>
            </w:r>
            <w:r>
              <w:rPr>
                <w:rFonts w:hint="eastAsia" w:ascii="宋体" w:hAnsi="宋体" w:eastAsia="宋体" w:cs="宋体"/>
                <w:color w:val="auto"/>
                <w:sz w:val="24"/>
                <w:szCs w:val="24"/>
                <w:highlight w:val="none"/>
              </w:rPr>
              <w:t>金额检索、按关键词检索等功能</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（2）数据接入</w:t>
            </w:r>
            <w:r>
              <w:rPr>
                <w:rFonts w:hint="eastAsia" w:ascii="宋体" w:hAnsi="宋体" w:eastAsia="宋体" w:cs="宋体"/>
                <w:color w:val="auto"/>
                <w:sz w:val="24"/>
                <w:szCs w:val="24"/>
                <w:highlight w:val="none"/>
              </w:rPr>
              <w:t>：包含判决文书单个导入和批量导入、支持txt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word等不同文件格式导入等功能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规则</w:t>
            </w:r>
            <w:r>
              <w:rPr>
                <w:rFonts w:hint="eastAsia" w:ascii="宋体" w:hAnsi="宋体" w:eastAsia="宋体" w:cs="宋体"/>
                <w:color w:val="auto"/>
                <w:sz w:val="24"/>
                <w:szCs w:val="24"/>
                <w:highlight w:val="none"/>
                <w:lang w:val="en-US" w:eastAsia="zh-CN"/>
              </w:rPr>
              <w:t>管理</w:t>
            </w:r>
            <w:r>
              <w:rPr>
                <w:rFonts w:hint="eastAsia" w:ascii="宋体" w:hAnsi="宋体" w:eastAsia="宋体" w:cs="宋体"/>
                <w:color w:val="auto"/>
                <w:sz w:val="24"/>
                <w:szCs w:val="24"/>
                <w:highlight w:val="none"/>
              </w:rPr>
              <w:t>：包含</w:t>
            </w:r>
            <w:r>
              <w:rPr>
                <w:rFonts w:hint="eastAsia" w:ascii="宋体" w:hAnsi="宋体" w:eastAsia="宋体" w:cs="宋体"/>
                <w:color w:val="auto"/>
                <w:sz w:val="24"/>
                <w:szCs w:val="24"/>
                <w:highlight w:val="none"/>
                <w:lang w:val="en-US" w:eastAsia="zh-CN"/>
              </w:rPr>
              <w:t>对</w:t>
            </w:r>
            <w:r>
              <w:rPr>
                <w:rFonts w:hint="eastAsia" w:ascii="宋体" w:hAnsi="宋体" w:eastAsia="宋体" w:cs="宋体"/>
                <w:color w:val="auto"/>
                <w:sz w:val="24"/>
                <w:szCs w:val="24"/>
                <w:highlight w:val="none"/>
              </w:rPr>
              <w:t>规则</w:t>
            </w:r>
            <w:r>
              <w:rPr>
                <w:rFonts w:hint="eastAsia" w:ascii="宋体" w:hAnsi="宋体" w:eastAsia="宋体" w:cs="宋体"/>
                <w:color w:val="auto"/>
                <w:sz w:val="24"/>
                <w:szCs w:val="24"/>
                <w:highlight w:val="none"/>
                <w:lang w:val="en-US" w:eastAsia="zh-CN"/>
              </w:rPr>
              <w:t>自定义配置设计，</w:t>
            </w:r>
            <w:r>
              <w:rPr>
                <w:rFonts w:hint="eastAsia" w:ascii="宋体" w:hAnsi="宋体" w:eastAsia="宋体" w:cs="宋体"/>
                <w:color w:val="auto"/>
                <w:sz w:val="24"/>
                <w:szCs w:val="24"/>
                <w:highlight w:val="none"/>
              </w:rPr>
              <w:t>可在图形化的窗口中，定义违反刑罚执行要求的案件识别规则功能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文书解析：</w:t>
            </w:r>
            <w:r>
              <w:rPr>
                <w:rFonts w:hint="eastAsia" w:ascii="宋体" w:hAnsi="宋体" w:eastAsia="宋体" w:cs="宋体"/>
                <w:color w:val="auto"/>
                <w:sz w:val="24"/>
                <w:szCs w:val="24"/>
                <w:highlight w:val="none"/>
                <w:lang w:val="en-US" w:eastAsia="zh-CN"/>
              </w:rPr>
              <w:t>通过AI算法解析</w:t>
            </w:r>
            <w:r>
              <w:rPr>
                <w:rFonts w:hint="eastAsia" w:ascii="宋体" w:hAnsi="宋体" w:eastAsia="宋体" w:cs="宋体"/>
                <w:color w:val="auto"/>
                <w:sz w:val="24"/>
                <w:szCs w:val="24"/>
                <w:highlight w:val="none"/>
              </w:rPr>
              <w:t>判决文书</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文书号、案件名、文件类型、文书时间、公诉机关、判决罪名、判决刑期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来源类型等</w:t>
            </w:r>
            <w:r>
              <w:rPr>
                <w:rFonts w:hint="eastAsia" w:ascii="宋体" w:hAnsi="宋体" w:eastAsia="宋体" w:cs="宋体"/>
                <w:color w:val="auto"/>
                <w:sz w:val="24"/>
                <w:szCs w:val="24"/>
                <w:highlight w:val="none"/>
                <w:lang w:val="en-US" w:eastAsia="zh-CN"/>
              </w:rPr>
              <w:t>方面内容</w:t>
            </w:r>
            <w:r>
              <w:rPr>
                <w:rFonts w:hint="eastAsia" w:ascii="宋体" w:hAnsi="宋体" w:eastAsia="宋体" w:cs="宋体"/>
                <w:color w:val="auto"/>
                <w:sz w:val="24"/>
                <w:szCs w:val="24"/>
                <w:highlight w:val="none"/>
              </w:rPr>
              <w:t>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（5）线索分析研判：</w:t>
            </w:r>
            <w:r>
              <w:rPr>
                <w:rFonts w:hint="eastAsia" w:ascii="宋体" w:hAnsi="宋体" w:eastAsia="宋体" w:cs="宋体"/>
                <w:color w:val="auto"/>
                <w:sz w:val="24"/>
                <w:szCs w:val="24"/>
                <w:highlight w:val="none"/>
                <w:lang w:eastAsia="zh-CN"/>
              </w:rPr>
              <w:t>提供案件研判功能，方便检察官对审查结果进行进一步研判；</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5.1分析研判结果：通过算法对判决文书分析，可以通过图形化手段展示刑期比对情况（</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5.2刑罚执行解析报告：通过图形化手段直观展示算法对判决文书分析过程，高亮显示算法执行分析过程从判决文书中获取的线索（2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判决文书智能分析</w:t>
            </w:r>
            <w:r>
              <w:rPr>
                <w:rFonts w:hint="eastAsia" w:ascii="宋体" w:hAnsi="宋体" w:eastAsia="宋体" w:cs="宋体"/>
                <w:color w:val="auto"/>
                <w:sz w:val="24"/>
                <w:szCs w:val="24"/>
                <w:highlight w:val="none"/>
                <w:lang w:val="en-US" w:eastAsia="zh-CN"/>
              </w:rPr>
              <w:t>算法模型</w:t>
            </w:r>
            <w:r>
              <w:rPr>
                <w:rFonts w:hint="eastAsia" w:ascii="宋体" w:hAnsi="宋体" w:eastAsia="宋体" w:cs="宋体"/>
                <w:color w:val="auto"/>
                <w:sz w:val="24"/>
                <w:szCs w:val="24"/>
                <w:highlight w:val="none"/>
              </w:rPr>
              <w:t>演示：包含智能解析判决文书被告人、罪名、刑期、判前羁押日期、判后非羁押日期、刑期开始日期、刑期结束日期，并分析出刑期计算是否正确等功能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对以下智能算法模型功能进行演示每演示一个模型得1分，最多得6分；</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 算法模型1，可以检测出决定羁押误认定为实际羁押的情况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.2 算法模型</w:t>
            </w:r>
            <w:r>
              <w:rPr>
                <w:rFonts w:hint="eastAsia" w:ascii="宋体" w:hAnsi="宋体" w:eastAsia="宋体" w:cs="宋体"/>
                <w:color w:val="auto"/>
                <w:sz w:val="24"/>
                <w:szCs w:val="24"/>
                <w:highlight w:val="none"/>
                <w:lang w:val="en-US" w:eastAsia="zh-CN"/>
              </w:rPr>
              <w:t>2，可以检测出数罪并罚，未将前罪的先行羁押期予以扣除的情况（1分）</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6.3 算法模型3，可以检测出将刑期起点前的刑拘期误作为先行羁押日期，予以扣除的情况（1分）</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6.4 算法模型4，可以检测出将刑期起点后的刑拘羁押期间，误认定为先行羁押日期扣除的情况（1分）</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 算法模型5，可以检测出遗漏羁押期限的情况（1分）</w:t>
            </w:r>
          </w:p>
          <w:p>
            <w:pPr>
              <w:pStyle w:val="82"/>
              <w:keepNext w:val="0"/>
              <w:keepLines w:val="0"/>
              <w:suppressLineNumbers w:val="0"/>
              <w:spacing w:before="0" w:beforeAutospacing="0" w:after="0" w:afterAutospacing="0" w:line="240" w:lineRule="auto"/>
              <w:ind w:left="0" w:right="0"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6.6 算法模型6，可以检测出未将精神病鉴定期限计入羁押期限折抵刑期的情况（1分）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rPr>
            </w:pPr>
            <w:r>
              <w:rPr>
                <w:rFonts w:hint="eastAsia" w:ascii="宋体" w:hAnsi="宋体" w:eastAsia="宋体" w:cs="宋体"/>
                <w:b/>
                <w:bCs/>
                <w:color w:val="auto"/>
                <w:kern w:val="2"/>
                <w:sz w:val="24"/>
                <w:szCs w:val="24"/>
                <w:highlight w:val="none"/>
                <w:lang w:val="en-US" w:eastAsia="zh-CN" w:bidi="ar"/>
              </w:rPr>
              <w:t>（注：每个投标人演示时间不得超过15分钟，超时未演示部分不得分。无系统演示或PPT演示、图片文字或者Demo演示者或效果图页面演示者均不得分。）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项目培训（</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tc>
        <w:tc>
          <w:tcPr>
            <w:tcW w:w="3715" w:type="pct"/>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根据投标人提供的项目培训方案打分，包括培训承诺、培训内容、培训流程、培训师资等内容进行评审。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shd w:val="clear" w:color="auto" w:fill="auto"/>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售后服务（2分）</w:t>
            </w:r>
          </w:p>
        </w:tc>
        <w:tc>
          <w:tcPr>
            <w:tcW w:w="3715" w:type="pct"/>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根据投标人提供</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rPr>
              <w:t>售后服务方案，包含项目维护计划、售后服务承诺、售后服务的响应情况</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对用户故障的响应、处理等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等内容进行评审。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624" w:type="pct"/>
            <w:vMerge w:val="continue"/>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p>
        </w:tc>
        <w:tc>
          <w:tcPr>
            <w:tcW w:w="660" w:type="pct"/>
            <w:vAlign w:val="center"/>
          </w:tcPr>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安全保密知识产权要求</w:t>
            </w:r>
          </w:p>
          <w:p>
            <w:pPr>
              <w:pStyle w:val="82"/>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3715" w:type="pct"/>
            <w:vAlign w:val="center"/>
          </w:tcPr>
          <w:p>
            <w:pPr>
              <w:pStyle w:val="82"/>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根据</w:t>
            </w:r>
            <w:r>
              <w:rPr>
                <w:rFonts w:hint="eastAsia" w:ascii="宋体" w:hAnsi="宋体" w:eastAsia="宋体" w:cs="宋体"/>
                <w:b w:val="0"/>
                <w:bCs w:val="0"/>
                <w:color w:val="auto"/>
                <w:sz w:val="24"/>
                <w:szCs w:val="24"/>
                <w:highlight w:val="none"/>
              </w:rPr>
              <w:t>投标人针对系统安全性安全保密设计合理，知识产权要求，对系统的保密要求</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安全性、功能性能测试要求</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系统等保要求</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信息安全承诺保障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知识产权要求</w:t>
            </w:r>
            <w:r>
              <w:rPr>
                <w:rFonts w:hint="eastAsia" w:ascii="宋体" w:hAnsi="宋体" w:eastAsia="宋体" w:cs="宋体"/>
                <w:b w:val="0"/>
                <w:bCs w:val="0"/>
                <w:color w:val="auto"/>
                <w:sz w:val="24"/>
                <w:szCs w:val="24"/>
                <w:highlight w:val="none"/>
                <w:lang w:val="en-US" w:eastAsia="zh-CN"/>
              </w:rPr>
              <w:t>等</w:t>
            </w:r>
            <w:r>
              <w:rPr>
                <w:rFonts w:hint="eastAsia" w:ascii="宋体" w:hAnsi="宋体" w:eastAsia="宋体" w:cs="宋体"/>
                <w:b w:val="0"/>
                <w:bCs w:val="0"/>
                <w:color w:val="auto"/>
                <w:sz w:val="24"/>
                <w:szCs w:val="24"/>
                <w:highlight w:val="none"/>
              </w:rPr>
              <w:t>提出</w:t>
            </w:r>
            <w:r>
              <w:rPr>
                <w:rFonts w:hint="eastAsia" w:ascii="宋体" w:hAnsi="宋体" w:eastAsia="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rPr>
              <w:t>切实可行措施和解决方案</w:t>
            </w:r>
            <w:r>
              <w:rPr>
                <w:rFonts w:hint="eastAsia" w:ascii="宋体" w:hAnsi="宋体" w:eastAsia="宋体" w:cs="宋体"/>
                <w:b w:val="0"/>
                <w:bCs w:val="0"/>
                <w:color w:val="auto"/>
                <w:sz w:val="24"/>
                <w:szCs w:val="24"/>
                <w:highlight w:val="none"/>
                <w:lang w:val="en-US" w:eastAsia="zh-CN"/>
              </w:rPr>
              <w:t>等内容进行评审</w:t>
            </w:r>
            <w:r>
              <w:rPr>
                <w:rFonts w:hint="eastAsia" w:ascii="宋体" w:hAnsi="宋体" w:eastAsia="宋体" w:cs="宋体"/>
                <w:b w:val="0"/>
                <w:bCs w:val="0"/>
                <w:color w:val="auto"/>
                <w:sz w:val="24"/>
                <w:szCs w:val="24"/>
                <w:highlight w:val="none"/>
              </w:rPr>
              <w:t>。</w:t>
            </w:r>
          </w:p>
        </w:tc>
      </w:tr>
    </w:tbl>
    <w:p>
      <w:pPr>
        <w:rPr>
          <w:rFonts w:hint="eastAsia" w:ascii="宋体" w:hAnsi="宋体" w:eastAsia="宋体" w:cs="宋体"/>
          <w:color w:val="auto"/>
          <w:highlight w:val="none"/>
        </w:rPr>
      </w:pPr>
    </w:p>
    <w:p>
      <w:pPr>
        <w:widowControl/>
        <w:jc w:val="left"/>
        <w:rPr>
          <w:rFonts w:hint="eastAsia" w:ascii="宋体" w:hAnsi="宋体" w:eastAsia="宋体" w:cs="宋体"/>
          <w:color w:val="auto"/>
          <w:highlight w:val="none"/>
        </w:rPr>
      </w:pP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注：1）若</w:t>
      </w:r>
      <w:r>
        <w:rPr>
          <w:rFonts w:hint="eastAsia" w:ascii="宋体" w:hAnsi="宋体" w:eastAsia="宋体" w:cs="宋体"/>
          <w:b/>
          <w:color w:val="auto"/>
          <w:sz w:val="24"/>
          <w:highlight w:val="none"/>
          <w:lang w:eastAsia="zh-CN"/>
        </w:rPr>
        <w:t>交易发起人</w:t>
      </w:r>
      <w:r>
        <w:rPr>
          <w:rFonts w:hint="eastAsia" w:ascii="宋体" w:hAnsi="宋体" w:eastAsia="宋体" w:cs="宋体"/>
          <w:b/>
          <w:color w:val="auto"/>
          <w:sz w:val="24"/>
          <w:highlight w:val="none"/>
        </w:rPr>
        <w:t>对</w:t>
      </w:r>
      <w:r>
        <w:rPr>
          <w:rFonts w:hint="eastAsia" w:ascii="宋体" w:hAnsi="宋体" w:eastAsia="宋体" w:cs="宋体"/>
          <w:b/>
          <w:color w:val="auto"/>
          <w:sz w:val="24"/>
          <w:highlight w:val="none"/>
          <w:lang w:eastAsia="zh-CN"/>
        </w:rPr>
        <w:t>供应商</w:t>
      </w:r>
      <w:r>
        <w:rPr>
          <w:rFonts w:hint="eastAsia" w:ascii="宋体" w:hAnsi="宋体" w:eastAsia="宋体" w:cs="宋体"/>
          <w:b/>
          <w:color w:val="auto"/>
          <w:sz w:val="24"/>
          <w:highlight w:val="none"/>
        </w:rPr>
        <w:t>提供的证明资料要求为原件的，另行提出。</w:t>
      </w:r>
    </w:p>
    <w:p>
      <w:pPr>
        <w:numPr>
          <w:ilvl w:val="0"/>
          <w:numId w:val="0"/>
        </w:numPr>
        <w:spacing w:line="440" w:lineRule="exact"/>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中如附有外文资料，必须逐一对应翻译成中文并加盖</w:t>
      </w:r>
      <w:r>
        <w:rPr>
          <w:rFonts w:hint="eastAsia" w:ascii="宋体" w:hAnsi="宋体" w:eastAsia="宋体" w:cs="宋体"/>
          <w:b/>
          <w:color w:val="auto"/>
          <w:sz w:val="24"/>
          <w:highlight w:val="none"/>
          <w:lang w:eastAsia="zh-CN"/>
        </w:rPr>
        <w:t>供应商</w:t>
      </w:r>
      <w:r>
        <w:rPr>
          <w:rFonts w:hint="eastAsia" w:ascii="宋体" w:hAnsi="宋体" w:eastAsia="宋体" w:cs="宋体"/>
          <w:b/>
          <w:color w:val="auto"/>
          <w:sz w:val="24"/>
          <w:highlight w:val="none"/>
        </w:rPr>
        <w:t>公章后附在相关外文资料后面，否则外文资料不予认可。翻译的中文资料与外文资料不符的，均不予认可。翻译严重错误的，将视同提供虚假资料。</w:t>
      </w:r>
    </w:p>
    <w:p>
      <w:pPr>
        <w:spacing w:line="440" w:lineRule="exac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价格部分评分方法（</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rPr>
        <w:t>分）</w:t>
      </w:r>
      <w:r>
        <w:rPr>
          <w:rFonts w:hint="eastAsia" w:ascii="宋体" w:hAnsi="宋体" w:eastAsia="宋体" w:cs="宋体"/>
          <w:color w:val="auto"/>
          <w:sz w:val="24"/>
          <w:highlight w:val="none"/>
        </w:rPr>
        <w:t>：</w:t>
      </w:r>
    </w:p>
    <w:tbl>
      <w:tblPr>
        <w:tblStyle w:val="62"/>
        <w:tblpPr w:leftFromText="180" w:rightFromText="180" w:vertAnchor="text" w:horzAnchor="margin" w:tblpXSpec="center"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88"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价格权值</w:t>
            </w:r>
          </w:p>
        </w:tc>
        <w:tc>
          <w:tcPr>
            <w:tcW w:w="6606"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188" w:type="dxa"/>
            <w:noWrap w:val="0"/>
            <w:vAlign w:val="center"/>
          </w:tcPr>
          <w:p>
            <w:pPr>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报价得分计算规则</w:t>
            </w:r>
          </w:p>
        </w:tc>
        <w:tc>
          <w:tcPr>
            <w:tcW w:w="6606" w:type="dxa"/>
            <w:noWrap w:val="0"/>
            <w:vAlign w:val="center"/>
          </w:tcPr>
          <w:p>
            <w:pPr>
              <w:widowControl/>
              <w:snapToGrid w:val="0"/>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最低有效投标价格为评标基准价</w:t>
            </w:r>
          </w:p>
          <w:p>
            <w:pPr>
              <w:widowControl/>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投标报价得分=(评标基准价／投标报价)×价格权值×100</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（计算得分保留小数点后2位）</w:t>
            </w:r>
          </w:p>
        </w:tc>
      </w:tr>
    </w:tbl>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b w:val="0"/>
          <w:bCs w:val="0"/>
          <w:color w:val="auto"/>
          <w:sz w:val="24"/>
          <w:highlight w:val="none"/>
        </w:rPr>
        <w:t xml:space="preserve">1、投标人编制投标文件（商务技术文件部分）时，建议按此目录（序号和内容）提供评标标准相应的商务技术资料。 </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3、投标文件中如附有外文资料，必须逐一对应翻译成中文并加盖投标人公章后附在相关外文资料后面，否则外文资料不予认可。</w:t>
      </w:r>
    </w:p>
    <w:p>
      <w:pPr>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b/>
          <w:color w:val="auto"/>
          <w:sz w:val="24"/>
          <w:highlight w:val="none"/>
        </w:rPr>
      </w:pP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8"/>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28"/>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4.2.13投标人未提供样品或提供的样品不满足采购需求实质性条件的，投标无效；</w:t>
      </w:r>
    </w:p>
    <w:p>
      <w:pPr>
        <w:pStyle w:val="3"/>
        <w:ind w:left="862" w:leftChars="205"/>
        <w:rPr>
          <w:rFonts w:hint="eastAsia" w:ascii="宋体" w:hAnsi="宋体" w:eastAsia="宋体" w:cs="宋体"/>
          <w:color w:val="auto"/>
          <w:highlight w:val="none"/>
        </w:rPr>
      </w:pPr>
      <w:r>
        <w:rPr>
          <w:rFonts w:hint="eastAsia" w:ascii="宋体" w:hAnsi="宋体" w:eastAsia="宋体" w:cs="宋体"/>
          <w:b w:val="0"/>
          <w:bCs w:val="0"/>
          <w:color w:val="auto"/>
          <w:kern w:val="0"/>
          <w:sz w:val="24"/>
          <w:szCs w:val="24"/>
          <w:highlight w:val="none"/>
          <w:lang w:val="en-US"/>
        </w:rPr>
        <w:t>4.2.14 投标文件不满足招标文件的实质性要求的；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法律、法规、规章（适用本市的）及省级以上规范性文件（适用本市的）规定的其他无效情形。</w:t>
      </w:r>
    </w:p>
    <w:p>
      <w:pPr>
        <w:pStyle w:val="24"/>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4"/>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24"/>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405" w:name="第五部分"/>
      <w:bookmarkStart w:id="406" w:name="_Toc86217003"/>
      <w:r>
        <w:rPr>
          <w:rFonts w:hint="eastAsia" w:ascii="宋体" w:hAnsi="宋体" w:eastAsia="宋体" w:cs="宋体"/>
          <w:b/>
          <w:color w:val="auto"/>
          <w:sz w:val="36"/>
          <w:szCs w:val="36"/>
          <w:highlight w:val="none"/>
        </w:rPr>
        <w:t>第五部分 拟签订的合同文本</w:t>
      </w: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405"/>
      <w:r>
        <w:rPr>
          <w:rFonts w:hint="eastAsia" w:ascii="宋体" w:hAnsi="宋体" w:eastAsia="宋体" w:cs="宋体"/>
          <w:b/>
          <w:color w:val="auto"/>
          <w:sz w:val="36"/>
          <w:szCs w:val="20"/>
          <w:highlight w:val="none"/>
        </w:rPr>
        <w:t xml:space="preserve"> </w:t>
      </w:r>
      <w:bookmarkEnd w:id="406"/>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firstLine="559" w:firstLineChars="233"/>
        <w:jc w:val="left"/>
        <w:rPr>
          <w:rFonts w:hint="eastAsia" w:ascii="宋体" w:hAnsi="宋体" w:eastAsia="宋体" w:cs="宋体"/>
          <w:b/>
          <w:color w:val="auto"/>
          <w:kern w:val="0"/>
          <w:sz w:val="32"/>
          <w:szCs w:val="32"/>
          <w:highlight w:val="none"/>
        </w:rPr>
      </w:pPr>
      <w:r>
        <w:rPr>
          <w:rFonts w:hint="eastAsia" w:ascii="宋体" w:hAnsi="宋体" w:eastAsia="宋体" w:cs="宋体"/>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宋体"/>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407" w:name="_Hlk101257010"/>
      <w:r>
        <w:rPr>
          <w:rFonts w:hint="eastAsia" w:ascii="宋体" w:hAnsi="宋体" w:eastAsia="宋体" w:cs="宋体"/>
          <w:color w:val="auto"/>
          <w:sz w:val="24"/>
          <w:highlight w:val="none"/>
        </w:rPr>
        <w:t>（如果有)</w:t>
      </w:r>
      <w:bookmarkEnd w:id="407"/>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3"/>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宋体" w:hAnsi="宋体" w:eastAsia="宋体" w:cs="宋体"/>
          <w:color w:val="auto"/>
          <w:sz w:val="24"/>
          <w:highlight w:val="none"/>
        </w:rPr>
      </w:pP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6"/>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68"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41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26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212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8647" w:type="dxa"/>
            <w:gridSpan w:val="4"/>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8647" w:type="dxa"/>
            <w:gridSpan w:val="4"/>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5、特别说明：▲供应商报价低于项目预算50%的，应当在报价文件中详细阐述不影响产品质量或者诚信履约的具体原因</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未做阐述说明的，投标无效。</w:t>
      </w:r>
    </w:p>
    <w:p>
      <w:pPr>
        <w:spacing w:line="360" w:lineRule="auto"/>
        <w:ind w:firstLine="482" w:firstLineChars="200"/>
        <w:rPr>
          <w:rFonts w:hint="eastAsia" w:ascii="宋体" w:hAnsi="宋体" w:eastAsia="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408" w:name="OLE_LINK14"/>
      <w:bookmarkStart w:id="409" w:name="OLE_LINK13"/>
      <w:r>
        <w:rPr>
          <w:rFonts w:hint="eastAsia" w:ascii="宋体" w:hAnsi="宋体" w:eastAsia="宋体" w:cs="宋体"/>
          <w:b/>
          <w:color w:val="auto"/>
          <w:spacing w:val="6"/>
          <w:sz w:val="32"/>
          <w:szCs w:val="32"/>
          <w:highlight w:val="none"/>
        </w:rPr>
        <w:t>残疾人福利性单位声明函</w:t>
      </w:r>
    </w:p>
    <w:bookmarkEnd w:id="408"/>
    <w:bookmarkEnd w:id="409"/>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410" w:name="_Hlk101131882"/>
      <w:r>
        <w:rPr>
          <w:rFonts w:hint="eastAsia" w:ascii="宋体" w:hAnsi="宋体" w:eastAsia="宋体" w:cs="宋体"/>
          <w:color w:val="auto"/>
          <w:kern w:val="0"/>
          <w:sz w:val="24"/>
          <w:highlight w:val="none"/>
          <w:u w:val="single"/>
        </w:rPr>
        <w:t>联合体成员X,……</w:t>
      </w:r>
      <w:bookmarkEnd w:id="410"/>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411"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411"/>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412"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412"/>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3"/>
        <w:jc w:val="left"/>
        <w:rPr>
          <w:rFonts w:hint="eastAsia" w:ascii="宋体" w:hAnsi="宋体" w:eastAsia="宋体" w:cs="宋体"/>
          <w:color w:val="auto"/>
          <w:sz w:val="24"/>
          <w:highlight w:val="none"/>
        </w:rPr>
      </w:pPr>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样品（演示）授权委托书</w:t>
      </w:r>
    </w:p>
    <w:p>
      <w:pPr>
        <w:jc w:val="center"/>
        <w:rPr>
          <w:rFonts w:hint="eastAsia" w:ascii="宋体" w:hAnsi="宋体" w:eastAsia="宋体" w:cs="宋体"/>
          <w:color w:val="auto"/>
          <w:sz w:val="40"/>
          <w:highlight w:val="none"/>
        </w:rPr>
      </w:pPr>
      <w:r>
        <w:rPr>
          <w:rFonts w:hint="eastAsia" w:ascii="宋体" w:hAnsi="宋体" w:eastAsia="宋体" w:cs="宋体"/>
          <w:color w:val="auto"/>
          <w:sz w:val="40"/>
          <w:highlight w:val="none"/>
        </w:rPr>
        <w:t>样品（演示）授权委托书</w:t>
      </w:r>
    </w:p>
    <w:p>
      <w:pPr>
        <w:jc w:val="center"/>
        <w:rPr>
          <w:rFonts w:hint="eastAsia" w:ascii="宋体" w:hAnsi="宋体" w:eastAsia="宋体" w:cs="宋体"/>
          <w:color w:val="auto"/>
          <w:sz w:val="40"/>
          <w:highlight w:val="none"/>
        </w:rPr>
      </w:pP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XXX（单位名称或采购机构名称）</w:t>
      </w:r>
      <w:r>
        <w:rPr>
          <w:rFonts w:hint="eastAsia" w:ascii="宋体" w:hAnsi="宋体" w:eastAsia="宋体" w:cs="宋体"/>
          <w:color w:val="auto"/>
          <w:highlight w:val="none"/>
          <w:lang w:val="zh-CN"/>
        </w:rPr>
        <w:t>：</w:t>
      </w:r>
    </w:p>
    <w:p>
      <w:pPr>
        <w:snapToGrid w:val="0"/>
        <w:spacing w:line="360" w:lineRule="auto"/>
        <w:ind w:left="254" w:leftChars="121" w:firstLine="420" w:firstLineChars="200"/>
        <w:rPr>
          <w:rFonts w:hint="eastAsia" w:ascii="宋体" w:hAnsi="宋体" w:eastAsia="宋体" w:cs="宋体"/>
          <w:color w:val="auto"/>
          <w:highlight w:val="none"/>
          <w:u w:val="single"/>
          <w:lang w:val="zh-CN"/>
        </w:rPr>
      </w:pPr>
      <w:r>
        <w:rPr>
          <w:rFonts w:hint="eastAsia" w:ascii="宋体" w:hAnsi="宋体" w:eastAsia="宋体" w:cs="宋体"/>
          <w:color w:val="auto"/>
          <w:highlight w:val="none"/>
          <w:lang w:val="zh-CN"/>
        </w:rPr>
        <w:t>兹委派</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先生/女士，身份证号：</w:t>
      </w:r>
      <w:r>
        <w:rPr>
          <w:rFonts w:hint="eastAsia" w:ascii="宋体" w:hAnsi="宋体" w:eastAsia="宋体" w:cs="宋体"/>
          <w:color w:val="auto"/>
          <w:highlight w:val="none"/>
          <w:u w:val="single"/>
          <w:lang w:val="zh-CN"/>
        </w:rPr>
        <w:t xml:space="preserve">                   </w:t>
      </w:r>
    </w:p>
    <w:p>
      <w:pPr>
        <w:snapToGrid w:val="0"/>
        <w:spacing w:line="360" w:lineRule="auto"/>
        <w:ind w:left="254" w:leftChars="121"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zh-CN"/>
        </w:rPr>
        <w:t>手机：</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，代表我公司前来递交</w:t>
      </w:r>
      <w:r>
        <w:rPr>
          <w:rFonts w:hint="eastAsia" w:ascii="宋体" w:hAnsi="宋体" w:eastAsia="宋体" w:cs="宋体"/>
          <w:color w:val="auto"/>
          <w:highlight w:val="none"/>
          <w:u w:val="single"/>
          <w:lang w:val="zh-CN"/>
        </w:rPr>
        <w:t xml:space="preserve">                           采购项目</w:t>
      </w:r>
      <w:r>
        <w:rPr>
          <w:rFonts w:hint="eastAsia" w:ascii="宋体" w:hAnsi="宋体" w:eastAsia="宋体" w:cs="宋体"/>
          <w:color w:val="auto"/>
          <w:highlight w:val="none"/>
          <w:lang w:val="zh-CN"/>
        </w:rPr>
        <w:t>【项目编号：              】（标项号：  ）投标样品或参加演示，并全权负责标后取回样品等其他处理事宜。</w:t>
      </w:r>
    </w:p>
    <w:p>
      <w:pPr>
        <w:snapToGrid w:val="0"/>
        <w:spacing w:line="360" w:lineRule="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  </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特此告知。</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投标人名称(公章)：</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right="240"/>
        <w:jc w:val="righ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签发日期：  年  月   日</w:t>
      </w:r>
    </w:p>
    <w:p>
      <w:pPr>
        <w:snapToGrid w:val="0"/>
        <w:spacing w:line="360" w:lineRule="auto"/>
        <w:ind w:right="240"/>
        <w:jc w:val="right"/>
        <w:rPr>
          <w:rFonts w:hint="eastAsia" w:ascii="宋体" w:hAnsi="宋体" w:eastAsia="宋体" w:cs="宋体"/>
          <w:color w:val="auto"/>
          <w:highlight w:val="none"/>
          <w:lang w:val="zh-CN"/>
        </w:rPr>
      </w:pPr>
    </w:p>
    <w:p>
      <w:pPr>
        <w:snapToGrid w:val="0"/>
        <w:spacing w:line="360" w:lineRule="auto"/>
        <w:ind w:right="1920"/>
        <w:rPr>
          <w:rFonts w:hint="eastAsia" w:ascii="宋体" w:hAnsi="宋体" w:eastAsia="宋体" w:cs="宋体"/>
          <w:color w:val="auto"/>
          <w:highlight w:val="none"/>
          <w:lang w:val="zh-CN"/>
        </w:rPr>
      </w:pPr>
    </w:p>
    <w:p>
      <w:pPr>
        <w:snapToGrid w:val="0"/>
        <w:spacing w:line="360" w:lineRule="auto"/>
        <w:ind w:right="240"/>
        <w:jc w:val="right"/>
        <w:rPr>
          <w:rFonts w:hint="eastAsia" w:ascii="宋体" w:hAnsi="宋体" w:eastAsia="宋体" w:cs="宋体"/>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rPr>
        <w:t>受委托人</w:t>
      </w:r>
      <w:r>
        <w:rPr>
          <w:rFonts w:hint="eastAsia" w:ascii="宋体" w:hAnsi="宋体" w:eastAsia="宋体" w:cs="宋体"/>
          <w:color w:val="auto"/>
          <w:highlight w:val="none"/>
          <w:lang w:val="zh-CN"/>
        </w:rPr>
        <w:t>身份证复印件：</w:t>
      </w:r>
    </w:p>
    <w:p>
      <w:pPr>
        <w:snapToGrid w:val="0"/>
        <w:spacing w:line="360" w:lineRule="auto"/>
        <w:ind w:right="240"/>
        <w:rPr>
          <w:rFonts w:hint="eastAsia" w:ascii="宋体" w:hAnsi="宋体" w:eastAsia="宋体" w:cs="宋体"/>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说明：本委托书在有样品或演示时由受委托人携带至指定地点。</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同时有样品和演示的，可委托不同人员。</w:t>
      </w:r>
    </w:p>
    <w:p>
      <w:pPr>
        <w:pStyle w:val="3"/>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32"/>
          <w:szCs w:val="32"/>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DejaVu Math TeX Gyre"/>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Vrinda"/>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华文中宋"/>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华文中宋"/>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华文中宋"/>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DejaVu Math TeX Gyr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DejaVu Math TeX Gyre"/>
    <w:panose1 w:val="00000000000000000000"/>
    <w:charset w:val="00"/>
    <w:family w:val="roman"/>
    <w:pitch w:val="default"/>
    <w:sig w:usb0="00000000" w:usb1="00000000" w:usb2="00000000" w:usb3="00000000" w:csb0="00000011" w:csb1="00000000"/>
  </w:font>
  <w:font w:name=".PingFang SC">
    <w:altName w:val="华文中宋"/>
    <w:panose1 w:val="00000000000000000000"/>
    <w:charset w:val="00"/>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DejaVu Math TeX Gyre">
    <w:panose1 w:val="02000503000000000000"/>
    <w:charset w:val="00"/>
    <w:family w:val="auto"/>
    <w:pitch w:val="default"/>
    <w:sig w:usb0="A10000EF" w:usb1="4201F9EE" w:usb2="02000000" w:usb3="00000000" w:csb0="60000193" w:csb1="0DD40000"/>
  </w:font>
  <w:font w:name="Vrind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13" w:name="_Toc36110187"/>
    <w:bookmarkStart w:id="414" w:name="_Toc164085800"/>
    <w:bookmarkStart w:id="415" w:name="_Toc91899912"/>
    <w:bookmarkStart w:id="416" w:name="_Toc131845147"/>
    <w:r>
      <w:rPr>
        <w:rFonts w:hint="eastAsia" w:ascii="仿宋_GB2312" w:eastAsia="仿宋_GB2312"/>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MWNkNjEwZjU1NmVkODk3MzNkNmZmMGRkZjMxNj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60AC2"/>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7A237B4"/>
    <w:rsid w:val="08061376"/>
    <w:rsid w:val="08452D77"/>
    <w:rsid w:val="086401F8"/>
    <w:rsid w:val="08751CAA"/>
    <w:rsid w:val="087E4C40"/>
    <w:rsid w:val="08A871D0"/>
    <w:rsid w:val="08D66AD6"/>
    <w:rsid w:val="08DA33A3"/>
    <w:rsid w:val="08E80F13"/>
    <w:rsid w:val="08EE4992"/>
    <w:rsid w:val="09335624"/>
    <w:rsid w:val="0944690F"/>
    <w:rsid w:val="09535675"/>
    <w:rsid w:val="095F057D"/>
    <w:rsid w:val="09642282"/>
    <w:rsid w:val="09733572"/>
    <w:rsid w:val="09772C16"/>
    <w:rsid w:val="098353B5"/>
    <w:rsid w:val="09A92330"/>
    <w:rsid w:val="09B06B87"/>
    <w:rsid w:val="09C13146"/>
    <w:rsid w:val="09C610EE"/>
    <w:rsid w:val="09E04166"/>
    <w:rsid w:val="0A1C0718"/>
    <w:rsid w:val="0A3E7710"/>
    <w:rsid w:val="0A5B7E63"/>
    <w:rsid w:val="0A6D044D"/>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964B63"/>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1152E6"/>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405F7D"/>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A1683"/>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A07E6A"/>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C93507"/>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A4A75"/>
    <w:rsid w:val="63AC6CC0"/>
    <w:rsid w:val="64055776"/>
    <w:rsid w:val="64240056"/>
    <w:rsid w:val="643A3D28"/>
    <w:rsid w:val="643E143A"/>
    <w:rsid w:val="64491666"/>
    <w:rsid w:val="648B6EEF"/>
    <w:rsid w:val="64C158BF"/>
    <w:rsid w:val="64CE2EAA"/>
    <w:rsid w:val="653C3090"/>
    <w:rsid w:val="65854376"/>
    <w:rsid w:val="658767BE"/>
    <w:rsid w:val="65892531"/>
    <w:rsid w:val="660C263F"/>
    <w:rsid w:val="66195831"/>
    <w:rsid w:val="662E75B1"/>
    <w:rsid w:val="66342C2E"/>
    <w:rsid w:val="663E784C"/>
    <w:rsid w:val="668B6A45"/>
    <w:rsid w:val="67011F07"/>
    <w:rsid w:val="672F3F24"/>
    <w:rsid w:val="673E055F"/>
    <w:rsid w:val="67551CE3"/>
    <w:rsid w:val="679C2918"/>
    <w:rsid w:val="67A22552"/>
    <w:rsid w:val="67B22DCC"/>
    <w:rsid w:val="67BE71AA"/>
    <w:rsid w:val="67D90273"/>
    <w:rsid w:val="67DE5875"/>
    <w:rsid w:val="67E20393"/>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AF50A7"/>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FEEE6"/>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8"/>
    <w:autoRedefine/>
    <w:qFormat/>
    <w:uiPriority w:val="0"/>
    <w:pPr>
      <w:ind w:left="100" w:leftChars="2500"/>
    </w:pPr>
    <w:rPr>
      <w:rFonts w:ascii="宋体"/>
      <w:sz w:val="24"/>
      <w:szCs w:val="21"/>
      <w:lang w:val="zh-CN"/>
    </w:rPr>
  </w:style>
  <w:style w:type="paragraph" w:styleId="36">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5"/>
    <w:autoRedefine/>
    <w:qFormat/>
    <w:uiPriority w:val="0"/>
    <w:rPr>
      <w:sz w:val="18"/>
      <w:szCs w:val="18"/>
    </w:rPr>
  </w:style>
  <w:style w:type="paragraph" w:styleId="39">
    <w:name w:val="footer"/>
    <w:basedOn w:val="1"/>
    <w:link w:val="380"/>
    <w:autoRedefine/>
    <w:qFormat/>
    <w:uiPriority w:val="99"/>
    <w:pPr>
      <w:tabs>
        <w:tab w:val="center" w:pos="4153"/>
        <w:tab w:val="right" w:pos="8306"/>
      </w:tabs>
      <w:snapToGrid w:val="0"/>
      <w:jc w:val="left"/>
    </w:pPr>
    <w:rPr>
      <w:sz w:val="18"/>
      <w:szCs w:val="18"/>
    </w:rPr>
  </w:style>
  <w:style w:type="paragraph" w:styleId="40">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autoRedefine/>
    <w:qFormat/>
    <w:uiPriority w:val="0"/>
    <w:rPr>
      <w:b/>
      <w:bCs/>
    </w:rPr>
  </w:style>
  <w:style w:type="paragraph" w:styleId="60">
    <w:name w:val="Body Text First Indent"/>
    <w:basedOn w:val="23"/>
    <w:link w:val="318"/>
    <w:autoRedefine/>
    <w:qFormat/>
    <w:uiPriority w:val="0"/>
    <w:pPr>
      <w:ind w:firstLine="420"/>
    </w:pPr>
    <w:rPr>
      <w:rFonts w:hAnsi="Calibri" w:cs="Times New Roman"/>
      <w:snapToGrid/>
      <w:szCs w:val="20"/>
    </w:rPr>
  </w:style>
  <w:style w:type="paragraph" w:styleId="61">
    <w:name w:val="Body Text First Indent 2"/>
    <w:basedOn w:val="24"/>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Char1"/>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6"/>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8"/>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3"/>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5"/>
    <w:autoRedefine/>
    <w:qFormat/>
    <w:uiPriority w:val="0"/>
    <w:rPr>
      <w:rFonts w:ascii="宋体"/>
      <w:kern w:val="2"/>
      <w:sz w:val="24"/>
      <w:szCs w:val="21"/>
      <w:lang w:val="zh-CN"/>
    </w:rPr>
  </w:style>
  <w:style w:type="character" w:customStyle="1" w:styleId="179">
    <w:name w:val="标题 9 Char"/>
    <w:link w:val="11"/>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38"/>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18"/>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29"/>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6"/>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2"/>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6"/>
    <w:autoRedefine/>
    <w:qFormat/>
    <w:uiPriority w:val="0"/>
    <w:rPr>
      <w:rFonts w:ascii="黑体" w:hAnsi="Courier New" w:eastAsia="黑体"/>
    </w:rPr>
  </w:style>
  <w:style w:type="character" w:customStyle="1" w:styleId="299">
    <w:name w:val="正文文本 2 Char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9"/>
    <w:autoRedefine/>
    <w:qFormat/>
    <w:uiPriority w:val="0"/>
    <w:rPr>
      <w:b/>
      <w:bCs/>
      <w:kern w:val="2"/>
      <w:sz w:val="24"/>
      <w:szCs w:val="24"/>
    </w:rPr>
  </w:style>
  <w:style w:type="character" w:customStyle="1" w:styleId="305">
    <w:name w:val="正文文本缩进 2 Char"/>
    <w:link w:val="36"/>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60"/>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autoRedefine/>
    <w:qFormat/>
    <w:uiPriority w:val="99"/>
    <w:rPr>
      <w:kern w:val="2"/>
      <w:sz w:val="21"/>
      <w:szCs w:val="24"/>
    </w:rPr>
  </w:style>
  <w:style w:type="character" w:customStyle="1" w:styleId="342">
    <w:name w:val="签名 Char"/>
    <w:link w:val="41"/>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2"/>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39"/>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0"/>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8"/>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7"/>
    <w:autoRedefine/>
    <w:qFormat/>
    <w:uiPriority w:val="0"/>
    <w:rPr>
      <w:kern w:val="2"/>
      <w:sz w:val="21"/>
      <w:szCs w:val="24"/>
      <w:lang w:val="zh-CN"/>
    </w:rPr>
  </w:style>
  <w:style w:type="character" w:customStyle="1" w:styleId="930">
    <w:name w:val="无间隔 Char"/>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5"/>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autoRedefine/>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65</Pages>
  <Words>33227</Words>
  <Characters>35004</Characters>
  <Lines>281</Lines>
  <Paragraphs>79</Paragraphs>
  <TotalTime>15</TotalTime>
  <ScaleCrop>false</ScaleCrop>
  <LinksUpToDate>false</LinksUpToDate>
  <CharactersWithSpaces>39293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佳虹</cp:lastModifiedBy>
  <cp:lastPrinted>2021-12-30T11:06:00Z</cp:lastPrinted>
  <dcterms:modified xsi:type="dcterms:W3CDTF">2024-04-26T06:51:29Z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A4D9B471C3BD409C92B55816E4BDE315_13</vt:lpwstr>
  </property>
</Properties>
</file>