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7"/>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78C4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66E998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highlight w:val="none"/>
                <w:vertAlign w:val="baseline"/>
              </w:rPr>
            </w:pP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p>
        </w:tc>
      </w:tr>
      <w:tr w14:paraId="16A9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48D4C1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FF"/>
                <w:sz w:val="48"/>
                <w:szCs w:val="48"/>
                <w:highlight w:val="none"/>
                <w:vertAlign w:val="baseline"/>
                <w:lang w:eastAsia="zh-CN"/>
              </w:rPr>
            </w:pPr>
            <w:r>
              <w:rPr>
                <w:rFonts w:hint="eastAsia" w:ascii="宋体" w:hAnsi="宋体" w:cs="宋体"/>
                <w:color w:val="auto"/>
                <w:sz w:val="48"/>
                <w:szCs w:val="48"/>
                <w:highlight w:val="none"/>
                <w:vertAlign w:val="baseline"/>
                <w:lang w:eastAsia="zh-CN"/>
              </w:rPr>
              <w:t>故宫朱氏碑帖馆布展项目</w:t>
            </w:r>
          </w:p>
        </w:tc>
      </w:tr>
      <w:tr w14:paraId="5774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F3A48E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4D81D81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highlight w:val="none"/>
              </w:rPr>
            </w:pPr>
            <w:r>
              <w:rPr>
                <w:rFonts w:hint="eastAsia" w:ascii="宋体" w:hAnsi="宋体" w:cs="宋体"/>
                <w:b/>
                <w:color w:val="auto"/>
                <w:sz w:val="44"/>
                <w:szCs w:val="44"/>
                <w:highlight w:val="none"/>
              </w:rPr>
              <w:t>（电子招投标）</w:t>
            </w:r>
          </w:p>
        </w:tc>
      </w:tr>
      <w:tr w14:paraId="4CC5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07730C7">
            <w:pPr>
              <w:pStyle w:val="3"/>
              <w:jc w:val="center"/>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val="en-US" w:eastAsia="zh-CN"/>
              </w:rPr>
              <w:t xml:space="preserve"> XT-GYGK-2025617</w:t>
            </w:r>
          </w:p>
        </w:tc>
      </w:tr>
      <w:tr w14:paraId="7919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8E1321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highlight w:val="none"/>
                <w:vertAlign w:val="baseline"/>
              </w:rPr>
            </w:pPr>
          </w:p>
        </w:tc>
      </w:tr>
      <w:tr w14:paraId="6AE6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2EBB97F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p>
        </w:tc>
      </w:tr>
      <w:tr w14:paraId="1970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8440" w:type="dxa"/>
          </w:tcPr>
          <w:p w14:paraId="0999D28C">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杭州市萧山区人民政府新塘街道办事处</w:t>
            </w:r>
          </w:p>
          <w:p w14:paraId="724DE5FD">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浙江华域高宇项目管理有限公司</w:t>
            </w:r>
          </w:p>
          <w:p w14:paraId="05E4A7EC">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2025年6月27</w:t>
            </w:r>
            <w:r>
              <w:rPr>
                <w:rFonts w:hint="eastAsia" w:ascii="宋体" w:hAnsi="宋体" w:cs="宋体"/>
                <w:bCs/>
                <w:color w:val="auto"/>
                <w:sz w:val="32"/>
                <w:szCs w:val="32"/>
                <w:highlight w:val="none"/>
              </w:rPr>
              <w:t>日</w:t>
            </w:r>
          </w:p>
        </w:tc>
      </w:tr>
    </w:tbl>
    <w:p w14:paraId="01B64985">
      <w:pPr>
        <w:rPr>
          <w:highlight w:val="none"/>
        </w:rPr>
      </w:pPr>
      <w:r>
        <w:rPr>
          <w:rFonts w:hint="eastAsia"/>
          <w:highlight w:val="none"/>
        </w:rPr>
        <w:br w:type="page"/>
      </w:r>
    </w:p>
    <w:p w14:paraId="3084DA04">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0CFF34F">
      <w:pPr>
        <w:spacing w:line="360" w:lineRule="auto"/>
        <w:rPr>
          <w:rFonts w:ascii="宋体" w:hAnsi="宋体" w:cs="宋体"/>
          <w:sz w:val="32"/>
          <w:szCs w:val="32"/>
          <w:highlight w:val="none"/>
        </w:rPr>
      </w:pPr>
    </w:p>
    <w:p w14:paraId="47569912">
      <w:pPr>
        <w:spacing w:line="360" w:lineRule="auto"/>
        <w:rPr>
          <w:rFonts w:ascii="宋体" w:hAnsi="宋体" w:cs="宋体"/>
          <w:sz w:val="32"/>
          <w:szCs w:val="32"/>
          <w:highlight w:val="none"/>
        </w:rPr>
      </w:pPr>
    </w:p>
    <w:p w14:paraId="6A87D98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255856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7584452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0EC7E76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691C5BE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F78BC8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33CEEAE">
      <w:pPr>
        <w:rPr>
          <w:rFonts w:ascii="宋体" w:hAnsi="宋体" w:cs="宋体"/>
          <w:sz w:val="32"/>
          <w:szCs w:val="32"/>
          <w:highlight w:val="none"/>
        </w:rPr>
      </w:pPr>
      <w:r>
        <w:rPr>
          <w:rFonts w:hint="eastAsia" w:ascii="宋体" w:hAnsi="宋体" w:cs="宋体"/>
          <w:sz w:val="32"/>
          <w:szCs w:val="32"/>
          <w:highlight w:val="none"/>
        </w:rPr>
        <w:br w:type="page"/>
      </w:r>
    </w:p>
    <w:p w14:paraId="70E8AED4">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p>
    <w:p w14:paraId="35D6DDE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07A7272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故宫朱氏碑帖馆布展项目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cs="Times New Roman" w:asciiTheme="minorEastAsia" w:hAnsiTheme="minorEastAsia" w:eastAsiaTheme="minorEastAsia"/>
          <w:snapToGrid/>
          <w:color w:val="auto"/>
          <w:kern w:val="2"/>
          <w:sz w:val="24"/>
          <w:szCs w:val="24"/>
          <w:highlight w:val="none"/>
        </w:rPr>
        <w:t>https://www.zcygov.cn/）获取（下载）招标文件，并于</w:t>
      </w:r>
      <w:r>
        <w:rPr>
          <w:rStyle w:val="80"/>
          <w:rFonts w:hint="eastAsia" w:cs="Times New Roman" w:asciiTheme="minorEastAsia" w:hAnsiTheme="minorEastAsia" w:eastAsiaTheme="minorEastAsia"/>
          <w:snapToGrid/>
          <w:color w:val="auto"/>
          <w:kern w:val="2"/>
          <w:sz w:val="24"/>
          <w:szCs w:val="24"/>
          <w:highlight w:val="none"/>
        </w:rPr>
        <w:t>202</w:t>
      </w:r>
      <w:r>
        <w:rPr>
          <w:rStyle w:val="80"/>
          <w:rFonts w:hint="eastAsia" w:cs="Times New Roman" w:asciiTheme="minorEastAsia" w:hAnsiTheme="minorEastAsia" w:eastAsiaTheme="minorEastAsia"/>
          <w:snapToGrid/>
          <w:color w:val="auto"/>
          <w:kern w:val="2"/>
          <w:sz w:val="24"/>
          <w:szCs w:val="24"/>
          <w:highlight w:val="none"/>
          <w:lang w:val="en-US" w:eastAsia="zh-CN"/>
        </w:rPr>
        <w:t>5</w:t>
      </w:r>
      <w:r>
        <w:rPr>
          <w:rStyle w:val="80"/>
          <w:rFonts w:cs="Times New Roman" w:asciiTheme="minorEastAsia" w:hAnsiTheme="minorEastAsia" w:eastAsiaTheme="minorEastAsia"/>
          <w:snapToGrid/>
          <w:color w:val="auto"/>
          <w:kern w:val="2"/>
          <w:sz w:val="24"/>
          <w:szCs w:val="24"/>
          <w:highlight w:val="none"/>
        </w:rPr>
        <w:t>年</w:t>
      </w:r>
      <w:r>
        <w:rPr>
          <w:rStyle w:val="80"/>
          <w:rFonts w:hint="eastAsia" w:cs="Times New Roman" w:asciiTheme="minorEastAsia" w:hAnsiTheme="minorEastAsia" w:eastAsiaTheme="minorEastAsia"/>
          <w:snapToGrid/>
          <w:color w:val="auto"/>
          <w:kern w:val="2"/>
          <w:sz w:val="24"/>
          <w:szCs w:val="24"/>
          <w:highlight w:val="none"/>
          <w:lang w:val="en-US" w:eastAsia="zh-CN"/>
        </w:rPr>
        <w:t>7</w:t>
      </w:r>
      <w:r>
        <w:rPr>
          <w:rStyle w:val="80"/>
          <w:rFonts w:hint="eastAsia" w:cs="Times New Roman" w:asciiTheme="minorEastAsia" w:hAnsiTheme="minorEastAsia" w:eastAsiaTheme="minorEastAsia"/>
          <w:snapToGrid/>
          <w:color w:val="auto"/>
          <w:kern w:val="2"/>
          <w:sz w:val="24"/>
          <w:szCs w:val="24"/>
          <w:highlight w:val="none"/>
        </w:rPr>
        <w:t>月</w:t>
      </w:r>
      <w:r>
        <w:rPr>
          <w:rStyle w:val="80"/>
          <w:rFonts w:hint="eastAsia" w:cs="Times New Roman" w:asciiTheme="minorEastAsia" w:hAnsiTheme="minorEastAsia" w:eastAsiaTheme="minorEastAsia"/>
          <w:snapToGrid/>
          <w:color w:val="auto"/>
          <w:kern w:val="2"/>
          <w:sz w:val="24"/>
          <w:szCs w:val="24"/>
          <w:highlight w:val="none"/>
          <w:lang w:val="en-US" w:eastAsia="zh-CN"/>
        </w:rPr>
        <w:t>17</w:t>
      </w:r>
      <w:r>
        <w:rPr>
          <w:rStyle w:val="80"/>
          <w:rFonts w:hint="eastAsia" w:cs="Times New Roman" w:asciiTheme="minorEastAsia" w:hAnsiTheme="minorEastAsia" w:eastAsiaTheme="minorEastAsia"/>
          <w:snapToGrid/>
          <w:color w:val="auto"/>
          <w:kern w:val="2"/>
          <w:sz w:val="24"/>
          <w:szCs w:val="24"/>
          <w:highlight w:val="none"/>
        </w:rPr>
        <w:t>日</w:t>
      </w:r>
      <w:r>
        <w:rPr>
          <w:rStyle w:val="80"/>
          <w:rFonts w:hint="eastAsia" w:cs="Times New Roman" w:asciiTheme="minorEastAsia" w:hAnsiTheme="minorEastAsia" w:eastAsiaTheme="minorEastAsia"/>
          <w:snapToGrid/>
          <w:color w:val="auto"/>
          <w:kern w:val="2"/>
          <w:sz w:val="24"/>
          <w:szCs w:val="24"/>
          <w:highlight w:val="none"/>
          <w:lang w:val="en-US" w:eastAsia="zh-CN"/>
        </w:rPr>
        <w:t>9</w:t>
      </w:r>
      <w:r>
        <w:rPr>
          <w:rStyle w:val="80"/>
          <w:rFonts w:hint="eastAsia" w:cs="Times New Roman" w:asciiTheme="minorEastAsia" w:hAnsiTheme="minorEastAsia" w:eastAsiaTheme="minorEastAsia"/>
          <w:snapToGrid/>
          <w:color w:val="auto"/>
          <w:kern w:val="2"/>
          <w:sz w:val="24"/>
          <w:szCs w:val="24"/>
          <w:highlight w:val="none"/>
        </w:rPr>
        <w:t>点</w:t>
      </w:r>
      <w:r>
        <w:rPr>
          <w:rStyle w:val="80"/>
          <w:rFonts w:hint="eastAsia" w:cs="Times New Roman" w:asciiTheme="minorEastAsia" w:hAnsiTheme="minorEastAsia" w:eastAsiaTheme="minorEastAsia"/>
          <w:snapToGrid/>
          <w:color w:val="auto"/>
          <w:kern w:val="2"/>
          <w:sz w:val="24"/>
          <w:szCs w:val="24"/>
          <w:highlight w:val="none"/>
          <w:lang w:val="en-US" w:eastAsia="zh-CN"/>
        </w:rPr>
        <w:t>30</w:t>
      </w:r>
      <w:r>
        <w:rPr>
          <w:rStyle w:val="80"/>
          <w:rFonts w:hint="eastAsia" w:cs="Times New Roman" w:asciiTheme="minorEastAsia" w:hAnsiTheme="minorEastAsia" w:eastAsiaTheme="minorEastAsia"/>
          <w:snapToGrid/>
          <w:color w:val="auto"/>
          <w:kern w:val="2"/>
          <w:sz w:val="24"/>
          <w:szCs w:val="24"/>
          <w:highlight w:val="none"/>
        </w:rPr>
        <w:t>分</w:t>
      </w:r>
      <w:r>
        <w:rPr>
          <w:rStyle w:val="80"/>
          <w:rFonts w:hint="eastAsia" w:cs="Times New Roman" w:asciiTheme="minorEastAsia" w:hAnsiTheme="minorEastAsia" w:eastAsiaTheme="minorEastAsia"/>
          <w:bCs/>
          <w:snapToGrid/>
          <w:color w:val="auto"/>
          <w:kern w:val="2"/>
          <w:sz w:val="24"/>
          <w:szCs w:val="24"/>
          <w:highlight w:val="none"/>
        </w:rPr>
        <w:t>00秒</w:t>
      </w:r>
      <w:r>
        <w:rPr>
          <w:rStyle w:val="80"/>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B41BAA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09B992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 xml:space="preserve">XT-GYGK-2025617 </w:t>
      </w:r>
    </w:p>
    <w:p w14:paraId="29C0A62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故宫朱氏碑帖馆布展项目</w:t>
      </w:r>
    </w:p>
    <w:p w14:paraId="0767D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340万元</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rPr>
        <w:t xml:space="preserve"> </w:t>
      </w:r>
    </w:p>
    <w:p w14:paraId="7819A65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340万元 </w:t>
      </w:r>
      <w:r>
        <w:rPr>
          <w:rFonts w:hint="eastAsia" w:ascii="宋体" w:hAnsi="宋体" w:cs="宋体"/>
          <w:color w:val="auto"/>
          <w:sz w:val="24"/>
          <w:highlight w:val="none"/>
        </w:rPr>
        <w:t xml:space="preserve"> </w:t>
      </w:r>
    </w:p>
    <w:p w14:paraId="5856D100">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故宫朱氏碑帖馆布展项目，</w:t>
      </w:r>
      <w:r>
        <w:rPr>
          <w:rFonts w:hint="eastAsia" w:hAnsi="宋体" w:cs="宋体"/>
          <w:bCs/>
          <w:snapToGrid/>
          <w:color w:val="auto"/>
          <w:kern w:val="2"/>
          <w:sz w:val="24"/>
          <w:szCs w:val="24"/>
          <w:highlight w:val="none"/>
        </w:rPr>
        <w:t>主要内容：</w:t>
      </w:r>
      <w:r>
        <w:rPr>
          <w:rFonts w:hint="eastAsia" w:ascii="宋体" w:hAnsi="宋体" w:cs="宋体"/>
          <w:b/>
          <w:color w:val="auto"/>
          <w:sz w:val="24"/>
          <w:highlight w:val="none"/>
          <w:lang w:eastAsia="zh-CN"/>
        </w:rPr>
        <w:t>故宫朱氏碑帖馆布展项目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0C1E87F">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 详见招标文件</w:t>
      </w:r>
    </w:p>
    <w:p w14:paraId="1EA95F2F">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eastAsia="宋体" w:cs="宋体"/>
              <w:snapToGrid/>
              <w:color w:val="auto"/>
              <w:kern w:val="2"/>
              <w:sz w:val="24"/>
              <w:szCs w:val="24"/>
              <w:highlight w:val="none"/>
              <w:lang w:val="en-US" w:eastAsia="zh-CN" w:bidi="ar-SA"/>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MS Gothic" w:hAnsi="MS Gothic" w:eastAsia="宋体" w:cs="宋体"/>
              <w:snapToGrid/>
              <w:color w:val="auto"/>
              <w:kern w:val="2"/>
              <w:sz w:val="24"/>
              <w:szCs w:val="24"/>
              <w:highlight w:val="none"/>
              <w:lang w:val="en-US" w:eastAsia="zh-CN" w:bidi="ar-SA"/>
            </w:rPr>
            <w:t>☐</w:t>
          </w:r>
        </w:sdtContent>
      </w:sdt>
      <w:r>
        <w:rPr>
          <w:rFonts w:hint="eastAsia" w:hAnsi="宋体" w:cs="宋体"/>
          <w:snapToGrid/>
          <w:color w:val="auto"/>
          <w:kern w:val="2"/>
          <w:sz w:val="24"/>
          <w:szCs w:val="24"/>
          <w:highlight w:val="none"/>
        </w:rPr>
        <w:t xml:space="preserve"> 否</w:t>
      </w:r>
    </w:p>
    <w:p w14:paraId="5D7CA35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A77546C">
      <w:pPr>
        <w:spacing w:line="360" w:lineRule="auto"/>
        <w:ind w:firstLine="480"/>
        <w:rPr>
          <w:rFonts w:ascii="宋体" w:hAnsi="宋体" w:cs="宋体"/>
          <w:snapToGrid w:val="0"/>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w:t>
      </w:r>
      <w:r>
        <w:rPr>
          <w:rFonts w:hint="eastAsia" w:ascii="宋体" w:hAnsi="宋体" w:cs="宋体"/>
          <w:snapToGrid w:val="0"/>
          <w:kern w:val="28"/>
          <w:sz w:val="24"/>
          <w:szCs w:val="20"/>
          <w:highlight w:val="none"/>
        </w:rPr>
        <w:t>条规定；未被“信用中国”（www.creditchina.gov.cn)、中国政府采购网（www.ccgp.gov.cn）列入失信被执行人、重大税收违法案件当事人名单、政府采购严重违法失信行为记录名单；</w:t>
      </w:r>
    </w:p>
    <w:p w14:paraId="2C8C6166">
      <w:pPr>
        <w:spacing w:line="360" w:lineRule="auto"/>
        <w:rPr>
          <w:rFonts w:ascii="宋体" w:hAnsi="宋体" w:cs="宋体"/>
          <w:snapToGrid w:val="0"/>
          <w:color w:val="auto"/>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w:t>
      </w:r>
      <w:r>
        <w:rPr>
          <w:rFonts w:hint="eastAsia" w:ascii="宋体" w:hAnsi="宋体" w:cs="宋体"/>
          <w:snapToGrid w:val="0"/>
          <w:color w:val="auto"/>
          <w:kern w:val="28"/>
          <w:sz w:val="24"/>
          <w:szCs w:val="20"/>
          <w:highlight w:val="none"/>
        </w:rPr>
        <w:t>，则不需要提供) ；</w:t>
      </w:r>
    </w:p>
    <w:p w14:paraId="720E6F9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29BF93D">
      <w:pPr>
        <w:spacing w:line="360" w:lineRule="auto"/>
        <w:ind w:firstLine="480" w:firstLineChars="200"/>
        <w:rPr>
          <w:rFonts w:hint="eastAsia" w:ascii="宋体" w:hAnsi="宋体" w:cs="宋体"/>
          <w:snapToGrid w:val="0"/>
          <w:color w:val="auto"/>
          <w:kern w:val="28"/>
          <w:sz w:val="24"/>
          <w:szCs w:val="20"/>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380ECE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BA434A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0BE1A88">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86D5E33">
      <w:pPr>
        <w:spacing w:line="360" w:lineRule="auto"/>
        <w:ind w:firstLine="480" w:firstLineChars="200"/>
        <w:rPr>
          <w:rFonts w:ascii="宋体" w:hAnsi="宋体" w:cs="宋体"/>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w:t>
      </w:r>
      <w:r>
        <w:rPr>
          <w:rFonts w:hint="eastAsia" w:ascii="宋体" w:hAnsi="宋体" w:cs="宋体"/>
          <w:spacing w:val="8"/>
          <w:kern w:val="0"/>
          <w:sz w:val="24"/>
          <w:highlight w:val="none"/>
        </w:rPr>
        <w:t>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411F83F7">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52F414D7">
      <w:pPr>
        <w:snapToGrid w:val="0"/>
        <w:spacing w:line="360" w:lineRule="auto"/>
        <w:ind w:firstLine="480" w:firstLineChars="200"/>
        <w:rPr>
          <w:rFonts w:ascii="宋体" w:hAnsi="宋体" w:cs="宋体"/>
          <w:color w:val="0000FF"/>
          <w:sz w:val="24"/>
          <w:highlight w:val="none"/>
          <w:u w:val="single"/>
        </w:rPr>
      </w:pPr>
      <w:r>
        <w:rPr>
          <w:rFonts w:ascii="宋体" w:hAnsi="宋体" w:cs="宋体"/>
          <w:sz w:val="24"/>
          <w:highlight w:val="none"/>
        </w:rPr>
        <w:t>4</w:t>
      </w:r>
      <w:r>
        <w:rPr>
          <w:rFonts w:hint="eastAsia" w:ascii="宋体" w:hAnsi="宋体" w:cs="宋体"/>
          <w:sz w:val="24"/>
          <w:highlight w:val="none"/>
        </w:rPr>
        <w:t>.本项目的特定资格要求：</w:t>
      </w:r>
      <w:sdt>
        <w:sdtPr>
          <w:rPr>
            <w:rFonts w:hint="eastAsia" w:ascii="宋体" w:hAnsi="宋体" w:cs="宋体"/>
            <w:kern w:val="0"/>
            <w:sz w:val="24"/>
            <w:highlight w:val="none"/>
          </w:rPr>
          <w:id w:val="465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无</w:t>
      </w:r>
    </w:p>
    <w:p w14:paraId="3B9C50FE">
      <w:pPr>
        <w:snapToGrid w:val="0"/>
        <w:spacing w:line="360" w:lineRule="auto"/>
        <w:ind w:firstLine="480" w:firstLineChars="200"/>
        <w:rPr>
          <w:rFonts w:ascii="宋体" w:hAnsi="宋体" w:cs="宋体"/>
          <w:color w:val="auto"/>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w:t>
      </w:r>
      <w:r>
        <w:rPr>
          <w:rFonts w:hint="eastAsia" w:ascii="宋体" w:hAnsi="宋体" w:cs="宋体"/>
          <w:color w:val="auto"/>
          <w:sz w:val="24"/>
          <w:highlight w:val="none"/>
        </w:rPr>
        <w:t>加该采购项目的其他采购活动。</w:t>
      </w:r>
    </w:p>
    <w:p w14:paraId="01DA2F3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15059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17</w:t>
      </w:r>
      <w:r>
        <w:rPr>
          <w:rFonts w:hint="eastAsia"/>
          <w:color w:val="auto"/>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5BFE7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E442D6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7BA043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082231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4EF693">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F91F313">
      <w:pPr>
        <w:spacing w:line="360" w:lineRule="auto"/>
        <w:ind w:firstLine="482" w:firstLineChars="200"/>
        <w:rPr>
          <w:rFonts w:ascii="宋体" w:hAnsi="宋体" w:cs="宋体"/>
          <w:b/>
          <w:color w:val="auto"/>
          <w:sz w:val="24"/>
          <w:highlight w:val="none"/>
        </w:rPr>
      </w:pPr>
      <w:r>
        <w:rPr>
          <w:rFonts w:hint="eastAsia" w:ascii="宋体" w:hAnsi="宋体" w:cs="宋体"/>
          <w:b/>
          <w:sz w:val="24"/>
          <w:highlight w:val="none"/>
        </w:rPr>
        <w:t>投标地点（</w:t>
      </w:r>
      <w:r>
        <w:rPr>
          <w:rFonts w:hint="eastAsia" w:ascii="宋体" w:hAnsi="宋体" w:cs="宋体"/>
          <w:b/>
          <w:color w:val="auto"/>
          <w:sz w:val="24"/>
          <w:highlight w:val="none"/>
        </w:rPr>
        <w:t>网址）：</w:t>
      </w:r>
      <w:r>
        <w:rPr>
          <w:rFonts w:hint="eastAsia" w:ascii="宋体" w:hAnsi="宋体" w:cs="宋体"/>
          <w:color w:val="auto"/>
          <w:sz w:val="24"/>
          <w:highlight w:val="none"/>
        </w:rPr>
        <w:t xml:space="preserve">政采云平台（https://www.zcygov.cn/） </w:t>
      </w:r>
    </w:p>
    <w:p w14:paraId="3B9F279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7D53C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CE528F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2736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E7326F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D9728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FE34C87">
      <w:pPr>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w:t>
      </w:r>
      <w:r>
        <w:rPr>
          <w:rFonts w:hint="eastAsia" w:ascii="宋体" w:hAnsi="宋体" w:cs="宋体"/>
          <w:sz w:val="24"/>
          <w:highlight w:val="none"/>
        </w:rPr>
        <w:t>应商对在线质疑答复不满意的，可在线提起投诉，路径为：浙江政府服务网-政府采购投诉处理-在线办理。</w:t>
      </w:r>
    </w:p>
    <w:p w14:paraId="06F8885C">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sz w:val="24"/>
          <w:highlight w:val="none"/>
          <w:lang w:eastAsia="zh-CN"/>
        </w:rPr>
        <w:t>采购单位</w:t>
      </w:r>
      <w:r>
        <w:rPr>
          <w:rFonts w:hint="eastAsia" w:ascii="宋体" w:hAnsi="宋体" w:cs="宋体"/>
          <w:sz w:val="24"/>
          <w:highlight w:val="none"/>
        </w:rPr>
        <w:t>和采购代理机构提出质疑。质疑供应商对</w:t>
      </w:r>
      <w:r>
        <w:rPr>
          <w:rFonts w:hint="eastAsia" w:ascii="宋体" w:hAnsi="宋体" w:cs="宋体"/>
          <w:sz w:val="24"/>
          <w:highlight w:val="none"/>
          <w:lang w:eastAsia="zh-CN"/>
        </w:rPr>
        <w:t>采购单位</w:t>
      </w:r>
      <w:r>
        <w:rPr>
          <w:rFonts w:hint="eastAsia" w:ascii="宋体" w:hAnsi="宋体" w:cs="宋体"/>
          <w:sz w:val="24"/>
          <w:highlight w:val="none"/>
        </w:rPr>
        <w:t>、采购代理机构的答复不满意或者</w:t>
      </w:r>
      <w:r>
        <w:rPr>
          <w:rFonts w:hint="eastAsia" w:ascii="宋体" w:hAnsi="宋体" w:cs="宋体"/>
          <w:sz w:val="24"/>
          <w:highlight w:val="none"/>
          <w:lang w:eastAsia="zh-CN"/>
        </w:rPr>
        <w:t>采购单位</w:t>
      </w:r>
      <w:r>
        <w:rPr>
          <w:rFonts w:hint="eastAsia" w:ascii="宋体" w:hAnsi="宋体" w:cs="宋体"/>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04061D9E">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cs="宋体"/>
          <w:sz w:val="24"/>
          <w:highlight w:val="none"/>
          <w:lang w:eastAsia="zh-CN"/>
        </w:rPr>
        <w:t>采购单位</w:t>
      </w:r>
      <w:r>
        <w:rPr>
          <w:rFonts w:hint="eastAsia" w:ascii="宋体" w:hAnsi="宋体" w:cs="宋体"/>
          <w:sz w:val="24"/>
          <w:highlight w:val="none"/>
        </w:rPr>
        <w:t>、采购代理机构将依托政采云平台完成本项目的电子交易活动，平台不接受未按上述方式获取招标文件的供应商进行投标活动； ⑥对未按上述方式获取招标文件的供应商对该文件提出的质疑，</w:t>
      </w:r>
      <w:r>
        <w:rPr>
          <w:rFonts w:hint="eastAsia" w:ascii="宋体" w:hAnsi="宋体" w:cs="宋体"/>
          <w:sz w:val="24"/>
          <w:highlight w:val="none"/>
          <w:lang w:eastAsia="zh-CN"/>
        </w:rPr>
        <w:t>采购单位</w:t>
      </w:r>
      <w:r>
        <w:rPr>
          <w:rFonts w:hint="eastAsia" w:ascii="宋体" w:hAnsi="宋体" w:cs="宋体"/>
          <w:sz w:val="24"/>
          <w:highlight w:val="none"/>
        </w:rPr>
        <w:t>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877D07B">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B4F6A49">
      <w:pPr>
        <w:spacing w:line="360" w:lineRule="auto"/>
        <w:rPr>
          <w:rFonts w:ascii="宋体" w:hAnsi="宋体" w:cs="宋体"/>
          <w:color w:val="auto"/>
          <w:sz w:val="24"/>
          <w:highlight w:val="none"/>
        </w:rPr>
      </w:pPr>
      <w:r>
        <w:rPr>
          <w:rFonts w:hint="eastAsia" w:ascii="宋体" w:hAnsi="宋体" w:cs="宋体"/>
          <w:sz w:val="24"/>
          <w:highlight w:val="none"/>
        </w:rPr>
        <w:t xml:space="preserve">    1.</w:t>
      </w:r>
      <w:r>
        <w:rPr>
          <w:rFonts w:hint="eastAsia" w:ascii="宋体" w:hAnsi="宋体" w:cs="宋体"/>
          <w:sz w:val="24"/>
          <w:highlight w:val="none"/>
          <w:lang w:eastAsia="zh-CN"/>
        </w:rPr>
        <w:t>采购</w:t>
      </w:r>
      <w:r>
        <w:rPr>
          <w:rFonts w:hint="eastAsia" w:ascii="宋体" w:hAnsi="宋体" w:cs="宋体"/>
          <w:color w:val="auto"/>
          <w:sz w:val="24"/>
          <w:highlight w:val="none"/>
          <w:lang w:eastAsia="zh-CN"/>
        </w:rPr>
        <w:t>单位</w:t>
      </w:r>
      <w:r>
        <w:rPr>
          <w:rFonts w:hint="eastAsia" w:ascii="宋体" w:hAnsi="宋体" w:cs="宋体"/>
          <w:color w:val="auto"/>
          <w:sz w:val="24"/>
          <w:highlight w:val="none"/>
        </w:rPr>
        <w:t>信息</w:t>
      </w:r>
    </w:p>
    <w:p w14:paraId="7779C9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杭州市萧山区人民政府新塘街道办事处</w:t>
      </w:r>
      <w:r>
        <w:rPr>
          <w:rFonts w:hint="eastAsia" w:ascii="宋体" w:hAnsi="宋体" w:cs="宋体"/>
          <w:color w:val="auto"/>
          <w:sz w:val="24"/>
          <w:highlight w:val="none"/>
        </w:rPr>
        <w:t xml:space="preserve"> </w:t>
      </w:r>
    </w:p>
    <w:p w14:paraId="622E71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萧山区南环路2699号</w:t>
      </w:r>
      <w:r>
        <w:rPr>
          <w:rFonts w:hint="eastAsia" w:ascii="宋体" w:hAnsi="宋体" w:cs="宋体"/>
          <w:color w:val="auto"/>
          <w:sz w:val="24"/>
          <w:highlight w:val="none"/>
        </w:rPr>
        <w:t xml:space="preserve">  </w:t>
      </w:r>
    </w:p>
    <w:p w14:paraId="7E1F9AB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857CBF3">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顾佳斌</w:t>
      </w:r>
    </w:p>
    <w:p w14:paraId="24C761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0571-83713091 </w:t>
      </w:r>
      <w:r>
        <w:rPr>
          <w:rFonts w:hint="eastAsia" w:ascii="宋体" w:hAnsi="宋体" w:cs="宋体"/>
          <w:color w:val="auto"/>
          <w:sz w:val="24"/>
          <w:highlight w:val="none"/>
        </w:rPr>
        <w:t xml:space="preserve"> </w:t>
      </w:r>
    </w:p>
    <w:p w14:paraId="59C1D9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质疑联系人：郑峰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0F44A7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质疑联系方式：0571-83713082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0F89E8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2.采购代理机构信息            </w:t>
      </w:r>
    </w:p>
    <w:p w14:paraId="3DBB5E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2F1408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1CC467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6E3A9E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项目联系人（询问）：陈超</w:t>
      </w:r>
    </w:p>
    <w:p w14:paraId="7B9052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项目联系方式（询问）：0571-22816663/13738195695</w:t>
      </w:r>
    </w:p>
    <w:p w14:paraId="41B99CD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付钰航</w:t>
      </w:r>
    </w:p>
    <w:p w14:paraId="3C735F43">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color w:val="auto"/>
          <w:sz w:val="24"/>
          <w:highlight w:val="none"/>
        </w:rPr>
        <w:t>质疑联系方式：0571-22816663</w:t>
      </w:r>
    </w:p>
    <w:p w14:paraId="74D2E89A">
      <w:pPr>
        <w:spacing w:line="360" w:lineRule="auto"/>
        <w:rPr>
          <w:rFonts w:ascii="宋体" w:hAnsi="宋体" w:cs="宋体"/>
          <w:sz w:val="24"/>
          <w:highlight w:val="none"/>
        </w:rPr>
      </w:pPr>
      <w:r>
        <w:rPr>
          <w:rFonts w:hint="eastAsia" w:ascii="宋体" w:hAnsi="宋体" w:cs="宋体"/>
          <w:sz w:val="24"/>
          <w:highlight w:val="none"/>
        </w:rPr>
        <w:t xml:space="preserve">    3.</w:t>
      </w:r>
      <w:r>
        <w:rPr>
          <w:rFonts w:hint="eastAsia"/>
          <w:highlight w:val="none"/>
        </w:rPr>
        <w:t xml:space="preserve"> </w:t>
      </w:r>
      <w:r>
        <w:rPr>
          <w:rFonts w:hint="eastAsia" w:ascii="宋体" w:hAnsi="宋体" w:cs="宋体"/>
          <w:sz w:val="24"/>
          <w:highlight w:val="none"/>
        </w:rPr>
        <w:t xml:space="preserve">同级政府采购监督管理部门            </w:t>
      </w:r>
    </w:p>
    <w:p w14:paraId="46718858">
      <w:pPr>
        <w:spacing w:line="360" w:lineRule="auto"/>
        <w:rPr>
          <w:rFonts w:ascii="宋体" w:hAnsi="宋体" w:cs="宋体"/>
          <w:sz w:val="24"/>
          <w:highlight w:val="none"/>
        </w:rPr>
      </w:pPr>
      <w:r>
        <w:rPr>
          <w:rFonts w:hint="eastAsia" w:ascii="宋体" w:hAnsi="宋体" w:cs="宋体"/>
          <w:sz w:val="24"/>
          <w:highlight w:val="none"/>
        </w:rPr>
        <w:t xml:space="preserve">   名    称：萧山区财政局、浙江省政府采购行政裁决服务中心（杭州）</w:t>
      </w:r>
    </w:p>
    <w:p w14:paraId="5EAEEC60">
      <w:pPr>
        <w:spacing w:line="360" w:lineRule="auto"/>
        <w:ind w:left="237" w:leftChars="113" w:firstLine="180" w:firstLineChars="75"/>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lang w:eastAsia="zh-CN"/>
        </w:rPr>
        <w:t>杭州市上城区清泰街549号城建综合大楼11楼</w:t>
      </w:r>
      <w:r>
        <w:rPr>
          <w:rFonts w:hint="eastAsia" w:ascii="宋体" w:hAnsi="宋体" w:cs="宋体"/>
          <w:sz w:val="24"/>
          <w:highlight w:val="none"/>
        </w:rPr>
        <w:t>（快递仅限ems或顺丰）</w:t>
      </w:r>
    </w:p>
    <w:p w14:paraId="4AB8E889">
      <w:pPr>
        <w:spacing w:line="360" w:lineRule="auto"/>
        <w:ind w:left="237" w:leftChars="113" w:firstLine="180" w:firstLineChars="75"/>
        <w:rPr>
          <w:rFonts w:ascii="宋体" w:hAnsi="宋体" w:cs="宋体"/>
          <w:sz w:val="24"/>
          <w:highlight w:val="none"/>
        </w:rPr>
      </w:pPr>
      <w:r>
        <w:rPr>
          <w:rFonts w:hint="eastAsia" w:ascii="宋体" w:hAnsi="宋体" w:cs="宋体"/>
          <w:sz w:val="24"/>
          <w:highlight w:val="none"/>
        </w:rPr>
        <w:t>传    真：/</w:t>
      </w:r>
    </w:p>
    <w:p w14:paraId="1934AD14">
      <w:pPr>
        <w:spacing w:line="360" w:lineRule="auto"/>
        <w:ind w:left="237" w:leftChars="113" w:firstLine="180" w:firstLineChars="75"/>
        <w:rPr>
          <w:rFonts w:hint="eastAsia" w:ascii="宋体" w:hAnsi="宋体" w:eastAsia="宋体" w:cs="宋体"/>
          <w:sz w:val="24"/>
          <w:highlight w:val="none"/>
          <w:lang w:eastAsia="zh-CN"/>
        </w:rPr>
      </w:pPr>
      <w:r>
        <w:rPr>
          <w:rFonts w:hint="eastAsia" w:ascii="宋体" w:hAnsi="宋体" w:cs="宋体"/>
          <w:sz w:val="24"/>
          <w:highlight w:val="none"/>
        </w:rPr>
        <w:t>联系人：朱</w:t>
      </w:r>
      <w:r>
        <w:rPr>
          <w:rFonts w:hint="eastAsia" w:ascii="宋体" w:hAnsi="宋体" w:cs="宋体"/>
          <w:sz w:val="24"/>
          <w:highlight w:val="none"/>
          <w:lang w:val="en-US" w:eastAsia="zh-CN"/>
        </w:rPr>
        <w:t>老师</w:t>
      </w:r>
    </w:p>
    <w:p w14:paraId="42BA5F8C">
      <w:pPr>
        <w:spacing w:line="360" w:lineRule="auto"/>
        <w:ind w:left="237" w:leftChars="113" w:firstLine="180" w:firstLineChars="75"/>
        <w:rPr>
          <w:rFonts w:ascii="宋体" w:hAnsi="宋体" w:cs="宋体"/>
          <w:sz w:val="24"/>
          <w:highlight w:val="none"/>
        </w:rPr>
      </w:pPr>
      <w:r>
        <w:rPr>
          <w:rFonts w:hint="eastAsia" w:ascii="宋体" w:hAnsi="宋体" w:cs="宋体"/>
          <w:sz w:val="24"/>
          <w:highlight w:val="none"/>
        </w:rPr>
        <w:t>监督投诉电话：</w:t>
      </w:r>
      <w:r>
        <w:rPr>
          <w:rFonts w:hint="eastAsia" w:ascii="宋体" w:hAnsi="宋体" w:cs="宋体"/>
          <w:sz w:val="24"/>
          <w:highlight w:val="none"/>
          <w:lang w:val="en-US" w:eastAsia="zh-CN"/>
        </w:rPr>
        <w:t>0571-87800218</w:t>
      </w:r>
      <w:r>
        <w:rPr>
          <w:rFonts w:hint="eastAsia" w:ascii="宋体" w:hAnsi="宋体" w:cs="宋体"/>
          <w:sz w:val="24"/>
          <w:highlight w:val="none"/>
        </w:rPr>
        <w:t xml:space="preserve"> </w:t>
      </w:r>
    </w:p>
    <w:p w14:paraId="29C39880">
      <w:pPr>
        <w:spacing w:line="360" w:lineRule="auto"/>
        <w:ind w:firstLine="420"/>
        <w:rPr>
          <w:rFonts w:ascii="宋体" w:hAnsi="宋体" w:cs="宋体"/>
          <w:sz w:val="24"/>
          <w:highlight w:val="none"/>
        </w:rPr>
      </w:pPr>
      <w:r>
        <w:rPr>
          <w:rFonts w:hint="eastAsia" w:ascii="宋体" w:hAnsi="宋体" w:cs="宋体"/>
          <w:sz w:val="24"/>
          <w:highlight w:val="none"/>
        </w:rPr>
        <w:t>政策咨询电话：0571-82756122  （汤先生）</w:t>
      </w:r>
    </w:p>
    <w:p w14:paraId="1D37D469">
      <w:pPr>
        <w:spacing w:line="360" w:lineRule="auto"/>
        <w:jc w:val="left"/>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4405517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1F599849">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72BAF10F">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4"/>
      <w:r>
        <w:rPr>
          <w:rFonts w:hint="eastAsia" w:ascii="宋体" w:hAnsi="宋体" w:cs="宋体"/>
          <w:b/>
          <w:sz w:val="36"/>
          <w:szCs w:val="20"/>
          <w:highlight w:val="none"/>
        </w:rPr>
        <w:t xml:space="preserve"> 投标人须知</w:t>
      </w:r>
      <w:bookmarkEnd w:id="5"/>
    </w:p>
    <w:p w14:paraId="2C13C17D">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C6B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A767C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804A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84C5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3738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21BFED">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38468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C0A20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66C4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A02C8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FBF2D1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C8789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lang w:eastAsia="zh-CN"/>
              </w:rPr>
              <w:t>故宫朱氏碑帖馆布展项目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其他为列明行业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w:t>
            </w:r>
          </w:p>
          <w:p w14:paraId="522A4866">
            <w:pPr>
              <w:rPr>
                <w:color w:val="auto"/>
                <w:highlight w:val="none"/>
              </w:rPr>
            </w:pPr>
            <w:r>
              <w:rPr>
                <w:rFonts w:hint="eastAsia" w:ascii="宋体" w:hAnsi="宋体" w:cs="宋体"/>
                <w:color w:val="auto"/>
                <w:sz w:val="24"/>
                <w:highlight w:val="none"/>
              </w:rPr>
              <w:t>《关于印发中小企业划型标准规定的通知》工信部联企业〔2011〕300号</w:t>
            </w:r>
          </w:p>
        </w:tc>
      </w:tr>
      <w:tr w14:paraId="60219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B97669">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FF71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D4EAC1">
            <w:pPr>
              <w:rPr>
                <w:rFonts w:ascii="宋体" w:hAnsi="宋体" w:cs="宋体"/>
                <w:color w:val="auto"/>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tc>
      </w:tr>
      <w:tr w14:paraId="7CA4A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1DD924">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A0A34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D518B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作分包。</w:t>
            </w:r>
          </w:p>
          <w:p w14:paraId="53C9E99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088A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6EDE7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57E7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3F9E658">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1F72C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E5732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3380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F5680">
            <w:pPr>
              <w:spacing w:line="360" w:lineRule="auto"/>
              <w:rPr>
                <w:color w:val="auto"/>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ascii="Wingdings" w:hAnsi="Wingdings"/>
                    <w:color w:val="auto"/>
                    <w:sz w:val="24"/>
                    <w:highlight w:val="none"/>
                  </w:rPr>
                  <w:t></w:t>
                </w:r>
              </w:sdtContent>
            </w:sdt>
            <w:r>
              <w:rPr>
                <w:rFonts w:hint="eastAsia"/>
                <w:color w:val="auto"/>
                <w:sz w:val="24"/>
                <w:highlight w:val="none"/>
              </w:rPr>
              <w:t>A不要求提供。</w:t>
            </w:r>
          </w:p>
        </w:tc>
      </w:tr>
      <w:tr w14:paraId="2D291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01BDE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6157B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A4C2CC">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64B94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DD0F9D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1E1E4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7345AAD">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CCA138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90A6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DD923A5">
            <w:pPr>
              <w:snapToGrid w:val="0"/>
              <w:spacing w:line="360" w:lineRule="auto"/>
              <w:jc w:val="center"/>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A6FAF1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102CF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842F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0E54E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105A8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69B92F">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14:paraId="09145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42524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119A4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7EC7C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提醒：验收时检测费用由采购单位承担，不包含在投标总价中。</w:t>
            </w:r>
          </w:p>
          <w:p w14:paraId="52AF4FD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8437E6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C7B5FFA">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A6E926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7BE6617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E683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B3603E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B87FA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1B8C8C9">
            <w:pPr>
              <w:spacing w:line="360" w:lineRule="auto"/>
              <w:ind w:firstLine="480" w:firstLineChars="200"/>
              <w:rPr>
                <w:color w:val="auto"/>
                <w:sz w:val="24"/>
                <w:highlight w:val="none"/>
              </w:rPr>
            </w:pPr>
            <w:r>
              <w:rPr>
                <w:rFonts w:hint="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3C0EB81">
            <w:pPr>
              <w:snapToGrid w:val="0"/>
              <w:spacing w:line="360" w:lineRule="auto"/>
              <w:rPr>
                <w:color w:val="auto"/>
                <w:sz w:val="24"/>
                <w:highlight w:val="none"/>
              </w:rPr>
            </w:pPr>
            <w:r>
              <w:rPr>
                <w:rFonts w:hint="eastAsia"/>
                <w:color w:val="auto"/>
                <w:sz w:val="24"/>
                <w:highlight w:val="none"/>
              </w:rPr>
              <w:t>本项目</w:t>
            </w:r>
            <w:r>
              <w:rPr>
                <w:color w:val="auto"/>
                <w:sz w:val="24"/>
                <w:highlight w:val="none"/>
              </w:rPr>
              <w:t>支持</w:t>
            </w:r>
            <w:r>
              <w:rPr>
                <w:rFonts w:hint="eastAsia"/>
                <w:color w:val="auto"/>
                <w:sz w:val="24"/>
                <w:highlight w:val="none"/>
              </w:rPr>
              <w:t>《杭州市萧山区政府采购支持中小企业信用融资暂行办法》。</w:t>
            </w:r>
          </w:p>
          <w:p w14:paraId="22F30DE8">
            <w:pPr>
              <w:rPr>
                <w:rFonts w:ascii="宋体" w:hAnsi="宋体" w:cs="宋体"/>
                <w:color w:val="auto"/>
                <w:sz w:val="24"/>
                <w:highlight w:val="none"/>
              </w:rPr>
            </w:pPr>
            <w:r>
              <w:rPr>
                <w:rFonts w:hint="eastAsia"/>
                <w:color w:val="auto"/>
                <w:sz w:val="24"/>
                <w:highlight w:val="none"/>
              </w:rPr>
              <w:t>有</w:t>
            </w:r>
            <w:r>
              <w:rPr>
                <w:color w:val="auto"/>
                <w:sz w:val="24"/>
                <w:highlight w:val="none"/>
              </w:rPr>
              <w:t>融资需求的中标供应商可参照相关规定及银行方案</w:t>
            </w:r>
            <w:r>
              <w:rPr>
                <w:rFonts w:hint="eastAsia"/>
                <w:color w:val="auto"/>
                <w:sz w:val="24"/>
                <w:highlight w:val="none"/>
              </w:rPr>
              <w:t>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80"/>
                <w:rFonts w:ascii="仿宋" w:hAnsi="仿宋" w:eastAsia="仿宋" w:cstheme="majorBidi"/>
                <w:snapToGrid/>
                <w:color w:val="auto"/>
                <w:sz w:val="24"/>
                <w:szCs w:val="24"/>
                <w:highlight w:val="none"/>
              </w:rPr>
              <w:t>http://www.xiaoshan.gov.cn/art/2018/12/20/art_1229293109_1559514.html</w:t>
            </w:r>
            <w:r>
              <w:rPr>
                <w:rStyle w:val="80"/>
                <w:rFonts w:ascii="仿宋" w:hAnsi="仿宋" w:eastAsia="仿宋" w:cstheme="majorBidi"/>
                <w:snapToGrid/>
                <w:color w:val="auto"/>
                <w:sz w:val="24"/>
                <w:szCs w:val="24"/>
                <w:highlight w:val="none"/>
              </w:rPr>
              <w:fldChar w:fldCharType="end"/>
            </w:r>
          </w:p>
        </w:tc>
      </w:tr>
      <w:tr w14:paraId="018E6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0491E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DE20A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4455DE6">
            <w:pPr>
              <w:pStyle w:val="36"/>
              <w:spacing w:line="360" w:lineRule="auto"/>
              <w:rPr>
                <w:rFonts w:hAnsi="宋体" w:cs="宋体"/>
                <w:color w:val="auto"/>
                <w:sz w:val="24"/>
                <w:szCs w:val="24"/>
                <w:highlight w:val="none"/>
              </w:rPr>
            </w:pPr>
            <w:r>
              <w:rPr>
                <w:rFonts w:hint="eastAsia" w:hAnsi="宋体" w:cs="宋体"/>
                <w:color w:val="auto"/>
                <w:kern w:val="28"/>
                <w:sz w:val="24"/>
                <w:szCs w:val="24"/>
                <w:highlight w:val="none"/>
              </w:rPr>
              <w:t>本项目备份文件是否收取：不收取</w:t>
            </w:r>
          </w:p>
          <w:p w14:paraId="441AEC5B">
            <w:pPr>
              <w:pStyle w:val="36"/>
              <w:spacing w:line="360" w:lineRule="auto"/>
              <w:rPr>
                <w:rFonts w:hAnsi="宋体" w:cs="宋体"/>
                <w:color w:val="auto"/>
                <w:kern w:val="28"/>
                <w:sz w:val="24"/>
                <w:highlight w:val="none"/>
              </w:rPr>
            </w:pPr>
            <w:r>
              <w:rPr>
                <w:rFonts w:hint="eastAsia" w:hAnsi="宋体" w:cs="宋体"/>
                <w:b/>
                <w:color w:val="auto"/>
                <w:sz w:val="24"/>
                <w:szCs w:val="24"/>
                <w:highlight w:val="none"/>
                <w:lang w:eastAsia="zh-CN"/>
              </w:rPr>
              <w:t>采购单位</w:t>
            </w:r>
            <w:r>
              <w:rPr>
                <w:rFonts w:hint="eastAsia" w:hAnsi="宋体" w:cs="宋体"/>
                <w:b/>
                <w:color w:val="auto"/>
                <w:sz w:val="24"/>
                <w:szCs w:val="24"/>
                <w:highlight w:val="none"/>
              </w:rPr>
              <w:t>、采购代理机构不强制或变相强制投标人提交备份投标文件。</w:t>
            </w:r>
          </w:p>
        </w:tc>
      </w:tr>
      <w:tr w14:paraId="5AB87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280EF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574977E">
            <w:pPr>
              <w:jc w:val="center"/>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22E082C">
            <w:pPr>
              <w:rPr>
                <w:rFonts w:hAnsi="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本项目采购代理费由标项</w:t>
            </w:r>
            <w:r>
              <w:rPr>
                <w:rFonts w:hint="eastAsia" w:hAnsi="宋体" w:cs="宋体"/>
                <w:snapToGrid w:val="0"/>
                <w:color w:val="auto"/>
                <w:kern w:val="28"/>
                <w:sz w:val="24"/>
                <w:szCs w:val="24"/>
                <w:highlight w:val="none"/>
                <w:lang w:val="en-US" w:eastAsia="zh-CN" w:bidi="ar-SA"/>
              </w:rPr>
              <w:t>成交</w:t>
            </w:r>
            <w:r>
              <w:rPr>
                <w:rFonts w:hint="eastAsia" w:ascii="宋体" w:hAnsi="宋体" w:eastAsia="宋体" w:cs="宋体"/>
                <w:snapToGrid w:val="0"/>
                <w:color w:val="auto"/>
                <w:kern w:val="28"/>
                <w:sz w:val="24"/>
                <w:szCs w:val="24"/>
                <w:highlight w:val="none"/>
                <w:lang w:val="en-US" w:eastAsia="zh-CN" w:bidi="ar-SA"/>
              </w:rPr>
              <w:t>人支付，收费标准按计价格[2002]1980号文规定服务类收费标准计取。</w:t>
            </w:r>
          </w:p>
        </w:tc>
      </w:tr>
      <w:tr w14:paraId="782FA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E9CA9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4ADEF60">
            <w:pPr>
              <w:jc w:val="center"/>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B81230A">
            <w:pPr>
              <w:rPr>
                <w:color w:val="auto"/>
                <w:highlight w:val="none"/>
              </w:rPr>
            </w:pPr>
            <w:r>
              <w:rPr>
                <w:rFonts w:hint="eastAsia" w:cs="仿宋_GB2312"/>
                <w:color w:val="auto"/>
                <w:sz w:val="24"/>
                <w:highlight w:val="none"/>
              </w:rPr>
              <w:t>本项目</w:t>
            </w:r>
            <w:r>
              <w:rPr>
                <w:rFonts w:cs="仿宋_GB2312"/>
                <w:color w:val="auto"/>
                <w:sz w:val="24"/>
                <w:highlight w:val="none"/>
              </w:rPr>
              <w:t>由</w:t>
            </w:r>
            <w:r>
              <w:rPr>
                <w:rFonts w:hint="eastAsia" w:cs="仿宋_GB2312"/>
                <w:color w:val="auto"/>
                <w:sz w:val="24"/>
                <w:highlight w:val="none"/>
                <w:lang w:eastAsia="zh-CN"/>
              </w:rPr>
              <w:t>采购单位</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14:paraId="7960B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8BDEC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1FEDA74">
            <w:pPr>
              <w:jc w:val="center"/>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75A96">
            <w:pPr>
              <w:snapToGrid w:val="0"/>
              <w:spacing w:line="360" w:lineRule="auto"/>
              <w:rPr>
                <w:color w:val="auto"/>
                <w:sz w:val="24"/>
                <w:highlight w:val="none"/>
                <w:u w:val="single"/>
              </w:rPr>
            </w:pPr>
            <w:r>
              <w:rPr>
                <w:rFonts w:hint="eastAsia"/>
                <w:color w:val="auto"/>
                <w:sz w:val="24"/>
                <w:highlight w:val="none"/>
                <w:lang w:eastAsia="zh-CN"/>
              </w:rPr>
              <w:t>采购单位</w:t>
            </w:r>
            <w:r>
              <w:rPr>
                <w:color w:val="auto"/>
                <w:sz w:val="24"/>
                <w:highlight w:val="none"/>
              </w:rPr>
              <w:t>、</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14:paraId="6B5CEBBC">
            <w:pPr>
              <w:snapToGrid w:val="0"/>
              <w:spacing w:line="360" w:lineRule="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14:paraId="2125D6C2">
            <w:pPr>
              <w:snapToGrid w:val="0"/>
              <w:spacing w:line="360" w:lineRule="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rFonts w:hint="eastAsia"/>
                <w:b/>
                <w:bCs/>
                <w:color w:val="auto"/>
                <w:sz w:val="24"/>
                <w:highlight w:val="none"/>
                <w:lang w:eastAsia="zh-CN"/>
              </w:rPr>
              <w:t>采购单位</w:t>
            </w:r>
            <w:r>
              <w:rPr>
                <w:color w:val="auto"/>
                <w:sz w:val="24"/>
                <w:highlight w:val="none"/>
              </w:rPr>
              <w:t>进行答复。</w:t>
            </w:r>
          </w:p>
          <w:p w14:paraId="74B24CB3">
            <w:pPr>
              <w:rPr>
                <w:rFonts w:cs="仿宋_GB2312"/>
                <w:color w:val="auto"/>
                <w:sz w:val="22"/>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14:paraId="1BEDA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81053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ABA576B">
            <w:pPr>
              <w:jc w:val="center"/>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32EC837">
            <w:pPr>
              <w:rPr>
                <w:color w:val="auto"/>
                <w:sz w:val="22"/>
                <w:highlight w:val="none"/>
              </w:rPr>
            </w:pPr>
            <w:r>
              <w:rPr>
                <w:rFonts w:hint="eastAsia"/>
                <w:color w:val="auto"/>
                <w:sz w:val="24"/>
                <w:highlight w:val="none"/>
              </w:rPr>
              <w:t>验收采用</w:t>
            </w:r>
            <w:r>
              <w:rPr>
                <w:rFonts w:hint="eastAsia"/>
                <w:color w:val="auto"/>
                <w:sz w:val="24"/>
                <w:highlight w:val="none"/>
                <w:lang w:eastAsia="zh-CN"/>
              </w:rPr>
              <w:t>采购单位</w:t>
            </w:r>
            <w:r>
              <w:rPr>
                <w:rFonts w:hint="eastAsia"/>
                <w:color w:val="auto"/>
                <w:sz w:val="24"/>
                <w:highlight w:val="none"/>
              </w:rPr>
              <w:t>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highlight w:val="none"/>
              </w:rPr>
              <w:br w:type="textWrapping"/>
            </w:r>
            <w:r>
              <w:rPr>
                <w:rFonts w:hint="eastAsia"/>
                <w:color w:val="auto"/>
                <w:sz w:val="24"/>
                <w:highlight w:val="none"/>
              </w:rPr>
              <w:t>联系电话: 0571-83587785/0571-82816012 联系地址: 萧山区通惠北路2-1号304室</w:t>
            </w:r>
          </w:p>
        </w:tc>
      </w:tr>
      <w:tr w14:paraId="3F101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7CCC07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70B0FB9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DB2E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FEF9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784D698">
            <w:pPr>
              <w:snapToGrid w:val="0"/>
              <w:spacing w:line="360" w:lineRule="auto"/>
              <w:jc w:val="center"/>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000000" w:sz="2" w:space="0"/>
              <w:right w:val="single" w:color="000000" w:sz="8" w:space="0"/>
            </w:tcBorders>
            <w:vAlign w:val="center"/>
          </w:tcPr>
          <w:p w14:paraId="6E8EE068">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E238E2">
            <w:pPr>
              <w:spacing w:line="360" w:lineRule="auto"/>
              <w:rPr>
                <w:color w:val="auto"/>
                <w:sz w:val="24"/>
                <w:highlight w:val="none"/>
              </w:rPr>
            </w:pPr>
            <w:sdt>
              <w:sdtPr>
                <w:rPr>
                  <w:rFonts w:hint="eastAsia"/>
                  <w:color w:val="auto"/>
                  <w:sz w:val="24"/>
                  <w:highlight w:val="none"/>
                </w:rPr>
                <w:id w:val="4672"/>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联合体投标的，联合体各方均需按招标文件第四部分评标标准要求提供资信证明文件，否则视为不符合相关要求。</w:t>
            </w:r>
          </w:p>
          <w:p w14:paraId="58327E6E">
            <w:pPr>
              <w:pStyle w:val="3"/>
              <w:ind w:left="0" w:firstLine="0"/>
              <w:rPr>
                <w:rFonts w:hint="eastAsia"/>
                <w:color w:val="auto"/>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Wingdings" w:hAnsi="Wingdings" w:eastAsia="仿宋_GB2312" w:cs="Times New Roman"/>
                    <w:b/>
                    <w:bCs/>
                    <w:color w:val="auto"/>
                    <w:kern w:val="2"/>
                    <w:sz w:val="24"/>
                    <w:szCs w:val="24"/>
                    <w:highlight w:val="none"/>
                    <w:lang w:val="zh-CN" w:eastAsia="zh-CN" w:bidi="ar-SA"/>
                  </w:rPr>
                  <w:t>þ</w:t>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05C75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F13A71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A044F1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89D9808">
            <w:pPr>
              <w:spacing w:line="360" w:lineRule="auto"/>
              <w:rPr>
                <w:color w:val="auto"/>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13D3DFAB">
            <w:pPr>
              <w:spacing w:line="360" w:lineRule="auto"/>
              <w:rPr>
                <w:color w:val="auto"/>
                <w:highlight w:val="none"/>
              </w:rPr>
            </w:pPr>
            <w:r>
              <w:rPr>
                <w:rFonts w:hint="eastAsia"/>
                <w:color w:val="auto"/>
                <w:sz w:val="24"/>
                <w:highlight w:val="none"/>
              </w:rPr>
              <w:t>本项目通用总则条款与前附表等专用特别规定有冲突之处，以专用条款（特别规定）为准</w:t>
            </w:r>
          </w:p>
        </w:tc>
      </w:tr>
      <w:tr w14:paraId="6323F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62FBD8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7DE681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2B8890">
            <w:pPr>
              <w:spacing w:line="360" w:lineRule="auto"/>
              <w:rPr>
                <w:b/>
                <w:bCs/>
                <w:color w:val="auto"/>
                <w:highlight w:val="none"/>
              </w:rPr>
            </w:pPr>
            <w:r>
              <w:rPr>
                <w:rFonts w:hint="eastAsia"/>
                <w:color w:val="auto"/>
                <w:sz w:val="24"/>
                <w:highlight w:val="none"/>
              </w:rPr>
              <w:t>本项目每个标项推荐中标候选人数量：1</w:t>
            </w:r>
          </w:p>
        </w:tc>
      </w:tr>
      <w:bookmarkEnd w:id="6"/>
    </w:tbl>
    <w:p w14:paraId="4A632012">
      <w:pPr>
        <w:rPr>
          <w:rFonts w:ascii="宋体" w:hAnsi="宋体" w:cs="宋体"/>
          <w:b/>
          <w:sz w:val="32"/>
          <w:szCs w:val="20"/>
          <w:highlight w:val="none"/>
        </w:rPr>
      </w:pPr>
      <w:bookmarkStart w:id="7" w:name="_Toc164416483"/>
      <w:bookmarkStart w:id="8" w:name="第三部分"/>
      <w:r>
        <w:rPr>
          <w:rFonts w:hint="eastAsia" w:ascii="宋体" w:hAnsi="宋体" w:cs="宋体"/>
          <w:b/>
          <w:sz w:val="32"/>
          <w:szCs w:val="20"/>
          <w:highlight w:val="none"/>
        </w:rPr>
        <w:br w:type="page"/>
      </w:r>
    </w:p>
    <w:p w14:paraId="32A4925C">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7FF69DB9">
      <w:pPr>
        <w:snapToGrid w:val="0"/>
        <w:spacing w:line="360" w:lineRule="auto"/>
        <w:jc w:val="left"/>
        <w:outlineLvl w:val="1"/>
        <w:rPr>
          <w:rFonts w:ascii="宋体" w:hAnsi="宋体" w:cs="宋体"/>
          <w:b/>
          <w:sz w:val="24"/>
          <w:highlight w:val="none"/>
        </w:rPr>
      </w:pPr>
      <w:bookmarkStart w:id="9" w:name="_Toc91899903"/>
      <w:r>
        <w:rPr>
          <w:rFonts w:hint="eastAsia" w:ascii="宋体" w:hAnsi="宋体" w:cs="宋体"/>
          <w:b/>
          <w:sz w:val="24"/>
          <w:highlight w:val="none"/>
        </w:rPr>
        <w:t>1. 适用范围</w:t>
      </w:r>
    </w:p>
    <w:p w14:paraId="75C9610A">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4EAEFDA2">
      <w:pPr>
        <w:numPr>
          <w:ilvl w:val="0"/>
          <w:numId w:val="1"/>
        </w:numPr>
        <w:adjustRightInd/>
        <w:spacing w:line="360" w:lineRule="auto"/>
        <w:outlineLvl w:val="0"/>
        <w:rPr>
          <w:rFonts w:ascii="宋体" w:hAnsi="宋体" w:cs="宋体"/>
          <w:b/>
          <w:sz w:val="24"/>
          <w:highlight w:val="none"/>
        </w:rPr>
      </w:pPr>
      <w:r>
        <w:rPr>
          <w:rFonts w:hint="eastAsia" w:ascii="宋体" w:hAnsi="宋体" w:cs="宋体"/>
          <w:b/>
          <w:sz w:val="24"/>
          <w:highlight w:val="none"/>
        </w:rPr>
        <w:t>定义</w:t>
      </w:r>
    </w:p>
    <w:p w14:paraId="22AC45EA">
      <w:pPr>
        <w:spacing w:line="360" w:lineRule="auto"/>
        <w:ind w:firstLine="480" w:firstLineChars="200"/>
        <w:rPr>
          <w:rFonts w:ascii="宋体" w:hAnsi="宋体" w:cs="宋体"/>
          <w:sz w:val="24"/>
          <w:highlight w:val="none"/>
        </w:rPr>
      </w:pPr>
      <w:r>
        <w:rPr>
          <w:rFonts w:hint="eastAsia" w:ascii="宋体" w:hAnsi="宋体" w:cs="宋体"/>
          <w:sz w:val="24"/>
          <w:highlight w:val="none"/>
        </w:rPr>
        <w:t>2.1 “</w:t>
      </w:r>
      <w:r>
        <w:rPr>
          <w:rFonts w:hint="eastAsia" w:ascii="宋体" w:hAnsi="宋体" w:cs="宋体"/>
          <w:sz w:val="24"/>
          <w:highlight w:val="none"/>
          <w:lang w:eastAsia="zh-CN"/>
        </w:rPr>
        <w:t>采购单位</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采购单位</w:t>
      </w:r>
      <w:r>
        <w:rPr>
          <w:rFonts w:hint="eastAsia" w:ascii="宋体" w:hAnsi="宋体" w:cs="宋体"/>
          <w:sz w:val="24"/>
          <w:highlight w:val="none"/>
        </w:rPr>
        <w:t>。</w:t>
      </w:r>
    </w:p>
    <w:p w14:paraId="070D33F3">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6DF3AB04">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01AC0575">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28A1CEE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9D5554">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1977FC73">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1923216B">
      <w:pPr>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49C2111B">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w:t>
      </w:r>
      <w:r>
        <w:rPr>
          <w:rFonts w:hint="eastAsia" w:ascii="宋体" w:hAnsi="宋体" w:cs="宋体"/>
          <w:sz w:val="24"/>
          <w:highlight w:val="none"/>
          <w:lang w:eastAsia="zh-CN"/>
        </w:rPr>
        <w:t>采购单位</w:t>
      </w:r>
      <w:r>
        <w:rPr>
          <w:rFonts w:hint="eastAsia" w:ascii="宋体" w:hAnsi="宋体" w:cs="宋体"/>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cs="宋体"/>
          <w:sz w:val="24"/>
          <w:highlight w:val="none"/>
          <w:lang w:eastAsia="zh-CN"/>
        </w:rPr>
        <w:t>采购单位</w:t>
      </w:r>
      <w:r>
        <w:rPr>
          <w:rFonts w:hint="eastAsia" w:ascii="宋体" w:hAnsi="宋体" w:cs="宋体"/>
          <w:sz w:val="24"/>
          <w:highlight w:val="none"/>
        </w:rPr>
        <w:t>、采购代理机构不会对其加以限制，仍将按照公平竞争原则实施采购）；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5DC926F">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5D7358D3">
      <w:pPr>
        <w:spacing w:line="360" w:lineRule="auto"/>
        <w:ind w:firstLine="480" w:firstLineChars="200"/>
        <w:rPr>
          <w:rFonts w:ascii="宋体" w:hAnsi="宋体" w:cs="宋体"/>
          <w:b/>
          <w:sz w:val="24"/>
          <w:highlight w:val="none"/>
        </w:rPr>
      </w:pPr>
      <w:r>
        <w:rPr>
          <w:rFonts w:hint="eastAsia" w:ascii="宋体" w:hAnsi="宋体" w:cs="宋体"/>
          <w:sz w:val="24"/>
          <w:highlight w:val="none"/>
        </w:rPr>
        <w:t>3.2.1</w:t>
      </w:r>
      <w:r>
        <w:rPr>
          <w:rFonts w:hint="eastAsia" w:ascii="宋体" w:hAnsi="宋体" w:cs="宋体"/>
          <w:sz w:val="24"/>
          <w:highlight w:val="none"/>
          <w:lang w:eastAsia="zh-CN"/>
        </w:rPr>
        <w:t>采购单位</w:t>
      </w:r>
      <w:r>
        <w:rPr>
          <w:rFonts w:hint="eastAsia" w:ascii="宋体" w:hAnsi="宋体" w:cs="宋体"/>
          <w:sz w:val="24"/>
          <w:highlight w:val="none"/>
        </w:rPr>
        <w:t>拟采购的产品属于品目清单范围的，</w:t>
      </w:r>
      <w:r>
        <w:rPr>
          <w:rFonts w:hint="eastAsia" w:ascii="宋体" w:hAnsi="宋体" w:cs="宋体"/>
          <w:sz w:val="24"/>
          <w:highlight w:val="none"/>
          <w:lang w:eastAsia="zh-CN"/>
        </w:rPr>
        <w:t>采购单位</w:t>
      </w:r>
      <w:r>
        <w:rPr>
          <w:rFonts w:hint="eastAsia" w:ascii="宋体" w:hAnsi="宋体" w:cs="宋体"/>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w:t>
      </w:r>
      <w:r>
        <w:rPr>
          <w:rFonts w:hint="eastAsia" w:ascii="宋体" w:hAnsi="宋体" w:cs="宋体"/>
          <w:b/>
          <w:sz w:val="24"/>
          <w:highlight w:val="none"/>
          <w:lang w:eastAsia="zh-CN"/>
        </w:rPr>
        <w:t>采购单位</w:t>
      </w:r>
      <w:r>
        <w:rPr>
          <w:rFonts w:hint="eastAsia" w:ascii="宋体" w:hAnsi="宋体" w:cs="宋体"/>
          <w:b/>
          <w:sz w:val="24"/>
          <w:highlight w:val="none"/>
        </w:rPr>
        <w:t>拟采购的产品属于政府强制采购的节能产品品目清单范围的，投标人相应的投标产品未获得国家确定的认证机构出具的、处于有效期之内的节能产品认证证书的，投标无效。</w:t>
      </w:r>
    </w:p>
    <w:p w14:paraId="2D5707DA">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5B01A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63476637">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685BB60">
      <w:pPr>
        <w:spacing w:line="360" w:lineRule="auto"/>
        <w:ind w:firstLine="240" w:firstLineChars="100"/>
        <w:rPr>
          <w:rFonts w:ascii="宋体" w:hAnsi="宋体" w:cs="宋体"/>
          <w:sz w:val="24"/>
          <w:highlight w:val="none"/>
        </w:rPr>
      </w:pPr>
      <w:r>
        <w:rPr>
          <w:rFonts w:hint="eastAsia" w:ascii="宋体" w:hAnsi="宋体" w:cs="宋体"/>
          <w:sz w:val="24"/>
          <w:highlight w:val="none"/>
        </w:rPr>
        <w:t>3.3</w:t>
      </w:r>
      <w:r>
        <w:rPr>
          <w:rFonts w:hint="eastAsia" w:ascii="宋体" w:hAnsi="宋体" w:cs="宋体"/>
          <w:sz w:val="24"/>
          <w:highlight w:val="none"/>
          <w:lang w:val="en-US" w:eastAsia="zh-CN"/>
        </w:rPr>
        <w:t xml:space="preserve"> </w:t>
      </w:r>
      <w:r>
        <w:rPr>
          <w:rFonts w:hint="eastAsia" w:ascii="宋体" w:hAnsi="宋体" w:cs="宋体"/>
          <w:sz w:val="24"/>
          <w:highlight w:val="none"/>
        </w:rPr>
        <w:t>支持中小企业发展</w:t>
      </w:r>
    </w:p>
    <w:p w14:paraId="0BA3B5BB">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105402">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7D19DFC">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EF342D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8C043E5">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给予2</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sz w:val="24"/>
          <w:highlight w:val="none"/>
        </w:rPr>
        <w:t>联合协议或者分包意向协议约定小微企业的合同份额占到合同总金额30%以上的</w:t>
      </w:r>
      <w:bookmarkEnd w:id="11"/>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66ADDA08">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36634758">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B1A9BD">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80AD73">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79C15DCD">
      <w:pPr>
        <w:spacing w:line="360" w:lineRule="auto"/>
        <w:ind w:firstLine="240" w:firstLineChars="100"/>
        <w:rPr>
          <w:rFonts w:ascii="宋体" w:hAnsi="宋体" w:cs="宋体"/>
          <w:sz w:val="24"/>
          <w:highlight w:val="none"/>
        </w:rPr>
      </w:pPr>
      <w:r>
        <w:rPr>
          <w:rFonts w:hint="eastAsia" w:ascii="宋体" w:hAnsi="宋体" w:cs="宋体"/>
          <w:sz w:val="24"/>
          <w:highlight w:val="none"/>
        </w:rPr>
        <w:t xml:space="preserve">3.4 </w:t>
      </w:r>
      <w:r>
        <w:rPr>
          <w:rFonts w:hint="eastAsia" w:ascii="宋体" w:hAnsi="宋体" w:cs="宋体"/>
          <w:bCs/>
          <w:sz w:val="24"/>
          <w:highlight w:val="none"/>
        </w:rPr>
        <w:t>支持创新发展</w:t>
      </w:r>
    </w:p>
    <w:p w14:paraId="4A69652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3.4.1 </w:t>
      </w:r>
      <w:r>
        <w:rPr>
          <w:rFonts w:hint="eastAsia" w:ascii="宋体" w:hAnsi="宋体" w:cs="宋体"/>
          <w:sz w:val="24"/>
          <w:highlight w:val="none"/>
          <w:lang w:eastAsia="zh-CN"/>
        </w:rPr>
        <w:t>采购单位</w:t>
      </w:r>
      <w:r>
        <w:rPr>
          <w:rFonts w:hint="eastAsia" w:ascii="宋体" w:hAnsi="宋体" w:cs="宋体"/>
          <w:sz w:val="24"/>
          <w:highlight w:val="none"/>
        </w:rPr>
        <w:t>优先采购被认定为首台套产品和“制造精品”的自主创新产品。</w:t>
      </w:r>
    </w:p>
    <w:p w14:paraId="7FFEA2A6">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5BC098D7">
      <w:pPr>
        <w:spacing w:line="360" w:lineRule="auto"/>
        <w:ind w:firstLine="240" w:firstLineChars="100"/>
        <w:rPr>
          <w:rFonts w:ascii="宋体" w:hAnsi="宋体" w:cs="宋体"/>
          <w:sz w:val="24"/>
          <w:highlight w:val="none"/>
        </w:rPr>
      </w:pPr>
      <w:r>
        <w:rPr>
          <w:rFonts w:hint="eastAsia" w:ascii="宋体" w:hAnsi="宋体" w:cs="宋体"/>
          <w:sz w:val="24"/>
          <w:highlight w:val="none"/>
        </w:rPr>
        <w:t>3.5</w:t>
      </w:r>
      <w:r>
        <w:rPr>
          <w:rFonts w:hint="eastAsia" w:ascii="宋体" w:hAnsi="宋体" w:cs="宋体"/>
          <w:sz w:val="24"/>
          <w:highlight w:val="none"/>
          <w:lang w:val="en-US" w:eastAsia="zh-CN"/>
        </w:rPr>
        <w:t xml:space="preserve"> </w:t>
      </w:r>
      <w:r>
        <w:rPr>
          <w:rFonts w:hint="eastAsia" w:ascii="宋体" w:hAnsi="宋体" w:cs="宋体"/>
          <w:sz w:val="24"/>
          <w:highlight w:val="none"/>
        </w:rPr>
        <w:t>平等对待内外资企业和符合条件的破产重整企业</w:t>
      </w:r>
    </w:p>
    <w:p w14:paraId="07ED1B6B">
      <w:pPr>
        <w:spacing w:line="360" w:lineRule="auto"/>
        <w:ind w:firstLine="480" w:firstLineChars="200"/>
        <w:rPr>
          <w:rFonts w:ascii="宋体" w:hAnsi="宋体" w:cs="宋体"/>
          <w:sz w:val="24"/>
          <w:highlight w:val="none"/>
        </w:rPr>
      </w:pPr>
      <w:r>
        <w:rPr>
          <w:rFonts w:hint="eastAsia" w:ascii="宋体" w:hAnsi="宋体" w:cs="宋体"/>
          <w:sz w:val="24"/>
          <w:highlight w:val="none"/>
        </w:rPr>
        <w:t>平等对待内外资企业和符合条件的破产重整企业，切实保障企业公平竞争，平等维护企业的合法利益。</w:t>
      </w:r>
    </w:p>
    <w:p w14:paraId="244394C0">
      <w:pPr>
        <w:spacing w:line="360" w:lineRule="auto"/>
        <w:rPr>
          <w:b/>
          <w:highlight w:val="none"/>
        </w:rPr>
      </w:pPr>
      <w:r>
        <w:rPr>
          <w:rFonts w:hint="eastAsia" w:ascii="宋体" w:hAnsi="宋体" w:cs="宋体"/>
          <w:b/>
          <w:sz w:val="24"/>
          <w:highlight w:val="none"/>
        </w:rPr>
        <w:t>4. 询问、质疑、投诉</w:t>
      </w:r>
    </w:p>
    <w:p w14:paraId="1BB7A84D">
      <w:pPr>
        <w:spacing w:line="360" w:lineRule="auto"/>
        <w:ind w:firstLine="240" w:firstLineChars="100"/>
        <w:rPr>
          <w:rFonts w:ascii="宋体" w:hAnsi="宋体" w:cs="宋体"/>
          <w:sz w:val="24"/>
          <w:highlight w:val="none"/>
          <w:lang w:val="zh-CN"/>
        </w:rPr>
      </w:pPr>
      <w:r>
        <w:rPr>
          <w:rFonts w:hint="eastAsia" w:ascii="宋体" w:hAnsi="宋体" w:cs="宋体"/>
          <w:sz w:val="24"/>
          <w:highlight w:val="none"/>
          <w:lang w:val="zh-CN"/>
        </w:rPr>
        <w:t>4.1</w:t>
      </w:r>
      <w:r>
        <w:rPr>
          <w:rFonts w:hint="eastAsia" w:ascii="宋体" w:hAnsi="宋体" w:cs="宋体"/>
          <w:sz w:val="24"/>
          <w:highlight w:val="none"/>
        </w:rPr>
        <w:t xml:space="preserve"> </w:t>
      </w:r>
      <w:r>
        <w:rPr>
          <w:rFonts w:hint="eastAsia" w:ascii="宋体" w:hAnsi="宋体" w:cs="宋体"/>
          <w:sz w:val="24"/>
          <w:highlight w:val="none"/>
          <w:lang w:val="zh-CN"/>
        </w:rPr>
        <w:t>在线询问、质疑、投诉</w:t>
      </w:r>
    </w:p>
    <w:p w14:paraId="270C49E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EAC322">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w:t>
      </w:r>
      <w:r>
        <w:rPr>
          <w:rFonts w:hint="eastAsia" w:ascii="宋体" w:hAnsi="宋体" w:cs="宋体"/>
          <w:kern w:val="0"/>
          <w:sz w:val="24"/>
          <w:highlight w:val="none"/>
        </w:rPr>
        <w:t xml:space="preserve"> </w:t>
      </w:r>
      <w:r>
        <w:rPr>
          <w:rFonts w:hint="eastAsia" w:ascii="宋体" w:hAnsi="宋体" w:cs="宋体"/>
          <w:kern w:val="0"/>
          <w:sz w:val="24"/>
          <w:highlight w:val="none"/>
          <w:lang w:val="zh-CN"/>
        </w:rPr>
        <w:t>供应商询问</w:t>
      </w:r>
    </w:p>
    <w:p w14:paraId="10E824B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单位或者采购代理机构应当在3个工作日内对供应商依法提出的询问作出答复，但答复的内容不得涉及商业秘密。供应商提出的询问超出采购单位对采购代理机构委托授权范围的，采购代理机构应当告知供应商向采购单位提出。</w:t>
      </w:r>
    </w:p>
    <w:p w14:paraId="2C35B4A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w:t>
      </w:r>
      <w:r>
        <w:rPr>
          <w:rFonts w:hint="eastAsia" w:ascii="宋体" w:hAnsi="宋体" w:cs="宋体"/>
          <w:kern w:val="0"/>
          <w:sz w:val="24"/>
          <w:highlight w:val="none"/>
        </w:rPr>
        <w:t xml:space="preserve"> </w:t>
      </w:r>
      <w:r>
        <w:rPr>
          <w:rFonts w:hint="eastAsia" w:ascii="宋体" w:hAnsi="宋体" w:cs="宋体"/>
          <w:kern w:val="0"/>
          <w:sz w:val="24"/>
          <w:highlight w:val="none"/>
          <w:lang w:val="zh-CN"/>
        </w:rPr>
        <w:t>供应商质疑</w:t>
      </w:r>
    </w:p>
    <w:p w14:paraId="5C14B79D">
      <w:pPr>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4.3</w:t>
      </w:r>
      <w:r>
        <w:rPr>
          <w:rFonts w:hint="eastAsia" w:ascii="宋体" w:hAnsi="宋体" w:cs="宋体"/>
          <w:sz w:val="24"/>
          <w:highlight w:val="none"/>
        </w:rPr>
        <w:t>.1提出质疑的供应商应当是参与所质疑项目采购活动的供应商。潜在供应商已依法获取其可质疑的招标文件的，可以对该文件提出质疑。</w:t>
      </w:r>
    </w:p>
    <w:p w14:paraId="30EE2EAA">
      <w:pPr>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4.3</w:t>
      </w:r>
      <w:r>
        <w:rPr>
          <w:rFonts w:hint="eastAsia" w:ascii="宋体" w:hAnsi="宋体" w:cs="宋体"/>
          <w:sz w:val="24"/>
          <w:highlight w:val="none"/>
        </w:rPr>
        <w:t>.2供应商认为招标文件、采购过程和中标结果使自己的权益受到损害的，可以在知道或者应知其权益受到损害之日起七个工作日内，以书面形式向</w:t>
      </w:r>
      <w:r>
        <w:rPr>
          <w:rFonts w:hint="eastAsia" w:ascii="宋体" w:hAnsi="宋体" w:cs="宋体"/>
          <w:sz w:val="24"/>
          <w:highlight w:val="none"/>
          <w:lang w:eastAsia="zh-CN"/>
        </w:rPr>
        <w:t>采购单位</w:t>
      </w:r>
      <w:r>
        <w:rPr>
          <w:rFonts w:hint="eastAsia" w:ascii="宋体" w:hAnsi="宋体" w:cs="宋体"/>
          <w:sz w:val="24"/>
          <w:highlight w:val="none"/>
        </w:rPr>
        <w:t>或者采购代理机构提出质疑，否则，</w:t>
      </w:r>
      <w:r>
        <w:rPr>
          <w:rFonts w:hint="eastAsia" w:ascii="宋体" w:hAnsi="宋体" w:cs="宋体"/>
          <w:sz w:val="24"/>
          <w:highlight w:val="none"/>
          <w:lang w:eastAsia="zh-CN"/>
        </w:rPr>
        <w:t>采购单位</w:t>
      </w:r>
      <w:r>
        <w:rPr>
          <w:rFonts w:hint="eastAsia" w:ascii="宋体" w:hAnsi="宋体" w:cs="宋体"/>
          <w:sz w:val="24"/>
          <w:highlight w:val="none"/>
        </w:rPr>
        <w:t>或者采购代理机构不予受理：</w:t>
      </w:r>
    </w:p>
    <w:p w14:paraId="44111FAA">
      <w:pPr>
        <w:spacing w:line="360" w:lineRule="auto"/>
        <w:ind w:firstLine="480" w:firstLineChars="200"/>
        <w:rPr>
          <w:rFonts w:ascii="宋体" w:hAnsi="宋体" w:cs="宋体"/>
          <w:sz w:val="24"/>
          <w:highlight w:val="none"/>
        </w:rPr>
      </w:pPr>
      <w:r>
        <w:rPr>
          <w:rFonts w:hint="eastAsia" w:ascii="宋体" w:hAnsi="宋体" w:cs="宋体"/>
          <w:sz w:val="24"/>
          <w:highlight w:val="none"/>
        </w:rPr>
        <w:t>4.3.2.1对招标文件提出质疑的，质疑期限为供应商获得招标文件之日或者招标文件公告期限届满之日起计算。</w:t>
      </w:r>
    </w:p>
    <w:p w14:paraId="15FDF5C6">
      <w:pPr>
        <w:spacing w:line="360" w:lineRule="auto"/>
        <w:ind w:left="479" w:leftChars="228"/>
        <w:rPr>
          <w:rFonts w:ascii="宋体" w:hAnsi="宋体" w:cs="宋体"/>
          <w:sz w:val="24"/>
          <w:highlight w:val="none"/>
        </w:rPr>
      </w:pPr>
      <w:r>
        <w:rPr>
          <w:rFonts w:hint="eastAsia" w:ascii="宋体" w:hAnsi="宋体" w:cs="宋体"/>
          <w:sz w:val="24"/>
          <w:highlight w:val="none"/>
        </w:rPr>
        <w:t>4.3.2.2对采购过程提出质疑的，质疑期限为各采购程序环节结束之日起计算。4.3.2.3对采购结果提出质疑的，质疑期限自采购结果公告期限届满之日起计算。</w:t>
      </w:r>
    </w:p>
    <w:p w14:paraId="71E14E91">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4.3.3</w:t>
      </w:r>
      <w:r>
        <w:rPr>
          <w:rFonts w:hint="eastAsia" w:ascii="宋体" w:hAnsi="宋体" w:cs="宋体"/>
          <w:sz w:val="24"/>
          <w:highlight w:val="none"/>
        </w:rPr>
        <w:t>供应商提出质疑应当提交质疑函和必要的证明材料。质疑函应当包括下列内容：</w:t>
      </w:r>
    </w:p>
    <w:p w14:paraId="7A659AA0">
      <w:pPr>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4.3.3.1供应商的姓名或者名称、地址、邮编、联系人及联系电话；</w:t>
      </w:r>
    </w:p>
    <w:p w14:paraId="2F8DC25C">
      <w:pPr>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4.3.3.2质疑项目的名称、编号；</w:t>
      </w:r>
    </w:p>
    <w:p w14:paraId="270B137C">
      <w:pPr>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4.3.3.3具体、明确的质疑事项和与质疑事项相关的请求；</w:t>
      </w:r>
    </w:p>
    <w:p w14:paraId="0971AA9B">
      <w:pPr>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4.3.3.4事实依据；</w:t>
      </w:r>
    </w:p>
    <w:p w14:paraId="4326A592">
      <w:pPr>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4.3.3.5必要的法律依据；</w:t>
      </w:r>
    </w:p>
    <w:p w14:paraId="0B30EFEE">
      <w:pPr>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4.3.3.6提出质疑的日期。</w:t>
      </w:r>
    </w:p>
    <w:p w14:paraId="04698CC4">
      <w:pPr>
        <w:spacing w:line="360" w:lineRule="auto"/>
        <w:ind w:left="479" w:leftChars="228"/>
        <w:rPr>
          <w:highlight w:val="none"/>
        </w:rPr>
      </w:pPr>
      <w:r>
        <w:rPr>
          <w:rFonts w:hint="eastAsia"/>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8C04666">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4.3.4对同一采购程序环节的质疑，供应商须在法定质疑期内一次性提出。</w:t>
      </w:r>
    </w:p>
    <w:p w14:paraId="120CAF3D">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4.3.5采购单位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单位或者采购代理机构在质疑回复后5个工作日内，在浙江政府采购网的“其他公告”栏目公开质疑答复，答复内容应当完整。质疑函作为附件上传。</w:t>
      </w:r>
    </w:p>
    <w:p w14:paraId="2D1DB197">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4.3.6询问或者质疑事项可能影响采购结果的，采购单位应当暂停签订合同，已经签订合同的，应当中止履行合同。</w:t>
      </w:r>
    </w:p>
    <w:p w14:paraId="05CA540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4.4</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供应商投诉</w:t>
      </w:r>
    </w:p>
    <w:p w14:paraId="78DC8853">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4.4.1质疑供应商对采购单位、采购代理机构的答复不满意或者采购单位、采购代理机构未在规定的时间内作出答复的，可以在答复期满后十五个工作日内向同级政府采购监督管理部门提出投诉。</w:t>
      </w:r>
    </w:p>
    <w:p w14:paraId="1273AEE6">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4.4.2供应商投诉的事项不得超出已质疑事项的范围，基于质疑答复内容提出的投诉事项除外。</w:t>
      </w:r>
    </w:p>
    <w:p w14:paraId="567FD70B">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4.4.3供应商投诉应当有明确的请求和必要的证明材料。</w:t>
      </w:r>
    </w:p>
    <w:p w14:paraId="5969996C">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4.4.4 以联合体形式参加政府采购活动的，其投诉应当由组成联合体的所有供应商共同提出。</w:t>
      </w:r>
    </w:p>
    <w:p w14:paraId="5AA4059E">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投诉书范本及制作说明详见附件3。</w:t>
      </w:r>
    </w:p>
    <w:p w14:paraId="6633FE28">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293560D1">
      <w:pPr>
        <w:spacing w:line="360" w:lineRule="auto"/>
        <w:rPr>
          <w:rFonts w:ascii="宋体" w:hAnsi="宋体" w:cs="宋体"/>
          <w:b/>
          <w:sz w:val="24"/>
          <w:highlight w:val="none"/>
        </w:rPr>
      </w:pPr>
      <w:r>
        <w:rPr>
          <w:rFonts w:hint="eastAsia" w:ascii="宋体" w:hAnsi="宋体" w:cs="宋体"/>
          <w:b/>
          <w:sz w:val="24"/>
          <w:highlight w:val="none"/>
        </w:rPr>
        <w:t>5</w:t>
      </w:r>
      <w:r>
        <w:rPr>
          <w:rFonts w:hint="eastAsia" w:ascii="宋体" w:hAnsi="宋体" w:cs="宋体"/>
          <w:b/>
          <w:sz w:val="24"/>
          <w:highlight w:val="none"/>
          <w:lang w:val="en-US" w:eastAsia="zh-CN"/>
        </w:rPr>
        <w:t xml:space="preserve">. </w:t>
      </w:r>
      <w:r>
        <w:rPr>
          <w:rFonts w:hint="eastAsia" w:ascii="宋体" w:hAnsi="宋体" w:cs="宋体"/>
          <w:b/>
          <w:sz w:val="24"/>
          <w:highlight w:val="none"/>
        </w:rPr>
        <w:t>招标文件的构成</w:t>
      </w:r>
    </w:p>
    <w:p w14:paraId="32FCF87D">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5.1 招标文件包括下列文件及附件：</w:t>
      </w:r>
    </w:p>
    <w:p w14:paraId="662EAE19">
      <w:pPr>
        <w:pStyle w:val="36"/>
        <w:tabs>
          <w:tab w:val="left" w:pos="840"/>
        </w:tabs>
        <w:spacing w:line="360" w:lineRule="auto"/>
        <w:ind w:firstLine="960" w:firstLineChars="400"/>
        <w:rPr>
          <w:rFonts w:hAnsi="宋体" w:cs="宋体"/>
          <w:snapToGrid/>
          <w:sz w:val="24"/>
          <w:szCs w:val="24"/>
          <w:highlight w:val="none"/>
          <w:lang w:val="zh-CN"/>
        </w:rPr>
      </w:pPr>
      <w:r>
        <w:rPr>
          <w:rFonts w:hint="eastAsia" w:hAnsi="宋体" w:cs="宋体"/>
          <w:snapToGrid/>
          <w:sz w:val="24"/>
          <w:szCs w:val="24"/>
          <w:highlight w:val="none"/>
          <w:lang w:val="zh-CN"/>
        </w:rPr>
        <w:t>5.1.1招标公告；</w:t>
      </w:r>
    </w:p>
    <w:p w14:paraId="0EC6F93C">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w:t>
      </w:r>
      <w:r>
        <w:rPr>
          <w:rFonts w:hint="eastAsia" w:hAnsi="宋体" w:cs="宋体"/>
          <w:snapToGrid/>
          <w:sz w:val="24"/>
          <w:szCs w:val="24"/>
          <w:highlight w:val="none"/>
          <w:lang w:val="zh-CN"/>
        </w:rPr>
        <w:t>.1.2投标人须知</w:t>
      </w:r>
      <w:r>
        <w:rPr>
          <w:rFonts w:hint="eastAsia" w:hAnsi="宋体" w:cs="宋体"/>
          <w:sz w:val="24"/>
          <w:szCs w:val="24"/>
          <w:highlight w:val="none"/>
        </w:rPr>
        <w:t>；</w:t>
      </w:r>
    </w:p>
    <w:p w14:paraId="71890A53">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54ED6A1">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3CEF18ED">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DC2F513">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8BA6D4D">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699D15B">
      <w:pPr>
        <w:pStyle w:val="36"/>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7F68E9E0">
      <w:pPr>
        <w:pStyle w:val="132"/>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2127AB84">
      <w:pPr>
        <w:pStyle w:val="132"/>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E61EA5">
      <w:pPr>
        <w:adjustRightInd/>
        <w:spacing w:line="360" w:lineRule="auto"/>
        <w:jc w:val="center"/>
        <w:outlineLvl w:val="0"/>
        <w:rPr>
          <w:rFonts w:ascii="宋体" w:hAnsi="宋体" w:cs="宋体"/>
          <w:b/>
          <w:sz w:val="32"/>
          <w:szCs w:val="21"/>
          <w:highlight w:val="none"/>
        </w:rPr>
      </w:pPr>
      <w:r>
        <w:rPr>
          <w:rFonts w:hint="eastAsia" w:ascii="宋体" w:hAnsi="宋体" w:cs="宋体"/>
          <w:b/>
          <w:sz w:val="32"/>
          <w:szCs w:val="21"/>
          <w:highlight w:val="none"/>
        </w:rPr>
        <w:t>三、投标</w:t>
      </w:r>
    </w:p>
    <w:p w14:paraId="1480F05C">
      <w:pPr>
        <w:pStyle w:val="36"/>
        <w:spacing w:line="360" w:lineRule="auto"/>
        <w:rPr>
          <w:rFonts w:hAnsi="宋体" w:cs="宋体"/>
          <w:b/>
          <w:sz w:val="24"/>
          <w:szCs w:val="24"/>
          <w:highlight w:val="none"/>
        </w:rPr>
      </w:pPr>
      <w:r>
        <w:rPr>
          <w:rFonts w:hint="eastAsia" w:hAnsi="宋体" w:cs="宋体"/>
          <w:b/>
          <w:sz w:val="24"/>
          <w:szCs w:val="24"/>
          <w:highlight w:val="none"/>
        </w:rPr>
        <w:t>7. 招标文件的获取</w:t>
      </w:r>
    </w:p>
    <w:p w14:paraId="447A2B31">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136F87CA">
      <w:pPr>
        <w:pStyle w:val="36"/>
        <w:numPr>
          <w:ilvl w:val="0"/>
          <w:numId w:val="2"/>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622A760E">
      <w:pPr>
        <w:pStyle w:val="36"/>
        <w:spacing w:line="360" w:lineRule="auto"/>
        <w:ind w:firstLine="480" w:firstLineChars="200"/>
        <w:rPr>
          <w:rFonts w:hAnsi="宋体" w:cs="宋体"/>
          <w:sz w:val="24"/>
          <w:szCs w:val="24"/>
          <w:highlight w:val="none"/>
        </w:rPr>
      </w:pPr>
      <w:r>
        <w:rPr>
          <w:rFonts w:hint="eastAsia" w:hAnsi="宋体" w:cs="宋体"/>
          <w:sz w:val="24"/>
          <w:szCs w:val="24"/>
          <w:highlight w:val="none"/>
          <w:lang w:eastAsia="zh-CN"/>
        </w:rPr>
        <w:t>采购单位</w:t>
      </w:r>
      <w:r>
        <w:rPr>
          <w:rFonts w:hint="eastAsia" w:hAnsi="宋体" w:cs="宋体"/>
          <w:sz w:val="24"/>
          <w:szCs w:val="24"/>
          <w:highlight w:val="none"/>
        </w:rPr>
        <w:t>组织潜在投标人现场考察或者召开开标前答疑会的，潜在投标人按第二部分投标人须知前附表的规定参加现场考察或者开标前答疑会。</w:t>
      </w:r>
    </w:p>
    <w:p w14:paraId="5C375516">
      <w:pPr>
        <w:pStyle w:val="36"/>
        <w:numPr>
          <w:ilvl w:val="0"/>
          <w:numId w:val="2"/>
        </w:numPr>
        <w:spacing w:line="360" w:lineRule="auto"/>
        <w:ind w:left="0" w:leftChars="0" w:firstLine="0" w:firstLineChars="0"/>
        <w:rPr>
          <w:rFonts w:hAnsi="宋体" w:cs="宋体"/>
          <w:b/>
          <w:sz w:val="24"/>
          <w:szCs w:val="24"/>
          <w:highlight w:val="none"/>
        </w:rPr>
      </w:pPr>
      <w:r>
        <w:rPr>
          <w:rFonts w:hint="eastAsia" w:hAnsi="宋体" w:cs="宋体"/>
          <w:b/>
          <w:sz w:val="24"/>
          <w:szCs w:val="24"/>
          <w:highlight w:val="none"/>
        </w:rPr>
        <w:t>投标保证金</w:t>
      </w:r>
    </w:p>
    <w:p w14:paraId="532F8AA2">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DA4A126">
      <w:pPr>
        <w:pStyle w:val="36"/>
        <w:spacing w:line="360" w:lineRule="auto"/>
        <w:rPr>
          <w:rFonts w:hAnsi="宋体" w:cs="宋体"/>
          <w:b/>
          <w:sz w:val="24"/>
          <w:szCs w:val="24"/>
          <w:highlight w:val="none"/>
        </w:rPr>
      </w:pPr>
      <w:r>
        <w:rPr>
          <w:rFonts w:hint="eastAsia" w:hAnsi="宋体" w:cs="宋体"/>
          <w:b/>
          <w:sz w:val="24"/>
          <w:szCs w:val="24"/>
          <w:highlight w:val="none"/>
        </w:rPr>
        <w:t>10. 投标文件的语言</w:t>
      </w:r>
    </w:p>
    <w:p w14:paraId="3F203250">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67A1CEF">
      <w:pPr>
        <w:pStyle w:val="36"/>
        <w:spacing w:line="360" w:lineRule="auto"/>
        <w:rPr>
          <w:rFonts w:hAnsi="宋体" w:cs="宋体"/>
          <w:b/>
          <w:sz w:val="24"/>
          <w:szCs w:val="24"/>
          <w:highlight w:val="none"/>
        </w:rPr>
      </w:pPr>
      <w:r>
        <w:rPr>
          <w:rFonts w:hint="eastAsia" w:hAnsi="宋体" w:cs="宋体"/>
          <w:b/>
          <w:sz w:val="24"/>
          <w:szCs w:val="24"/>
          <w:highlight w:val="none"/>
        </w:rPr>
        <w:t>11. 投标文件的组成</w:t>
      </w:r>
    </w:p>
    <w:p w14:paraId="292710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60E83AB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59468A7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2" w:name="_Hlk101259339"/>
      <w:r>
        <w:rPr>
          <w:rFonts w:hint="eastAsia" w:ascii="宋体" w:hAnsi="宋体" w:cs="宋体"/>
          <w:snapToGrid w:val="0"/>
          <w:kern w:val="28"/>
          <w:sz w:val="24"/>
          <w:szCs w:val="20"/>
          <w:highlight w:val="none"/>
        </w:rPr>
        <w:t>联合协议</w:t>
      </w:r>
      <w:bookmarkEnd w:id="12"/>
      <w:r>
        <w:rPr>
          <w:rFonts w:hint="eastAsia" w:ascii="宋体" w:hAnsi="宋体" w:cs="宋体"/>
          <w:snapToGrid w:val="0"/>
          <w:kern w:val="28"/>
          <w:sz w:val="24"/>
          <w:szCs w:val="20"/>
          <w:highlight w:val="none"/>
        </w:rPr>
        <w:t>（如果有)；</w:t>
      </w:r>
    </w:p>
    <w:p w14:paraId="5C615AF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491C75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C829801">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14:paraId="6CC34D6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2FDEDE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03FC20D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D3F9BB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5D15959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72F6E7F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4B8709F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30C9607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6495964">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22E1FCF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19FBC58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14:paraId="5B31D046">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w:t>
      </w:r>
      <w:r>
        <w:rPr>
          <w:rFonts w:hint="eastAsia" w:ascii="宋体" w:hAnsi="宋体" w:cs="宋体"/>
          <w:b/>
          <w:sz w:val="24"/>
          <w:highlight w:val="none"/>
          <w:lang w:eastAsia="zh-CN"/>
        </w:rPr>
        <w:t>采购单位</w:t>
      </w:r>
      <w:r>
        <w:rPr>
          <w:rFonts w:hint="eastAsia" w:ascii="宋体" w:hAnsi="宋体" w:cs="宋体"/>
          <w:b/>
          <w:sz w:val="24"/>
          <w:highlight w:val="none"/>
        </w:rPr>
        <w:t>不能接受的附加条件的，投标无效；</w:t>
      </w:r>
    </w:p>
    <w:p w14:paraId="7E28323E">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29E75718">
      <w:pPr>
        <w:pStyle w:val="132"/>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277E4BE8">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D020E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A85E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32DEFE7D">
      <w:pPr>
        <w:numPr>
          <w:ilvl w:val="0"/>
          <w:numId w:val="3"/>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12E9DE7F">
      <w:pPr>
        <w:pStyle w:val="132"/>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6E767ABD">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7EE7379">
      <w:pPr>
        <w:pStyle w:val="132"/>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7C82C3F7">
      <w:pPr>
        <w:pStyle w:val="132"/>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245BB4A">
      <w:pPr>
        <w:pStyle w:val="132"/>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w:t>
      </w:r>
      <w:r>
        <w:rPr>
          <w:rFonts w:hint="eastAsia" w:ascii="宋体" w:hAnsi="宋体" w:cs="宋体"/>
          <w:szCs w:val="24"/>
          <w:highlight w:val="none"/>
          <w:lang w:eastAsia="zh-CN"/>
        </w:rPr>
        <w:t>采购单位</w:t>
      </w:r>
      <w:r>
        <w:rPr>
          <w:rFonts w:hint="eastAsia" w:ascii="宋体" w:hAnsi="宋体" w:cs="宋体"/>
          <w:szCs w:val="24"/>
          <w:highlight w:val="none"/>
        </w:rPr>
        <w:t>利益、代理机构利益、其他供应商利益，否则，供应商撤销（撤回）投标无效。投标截止时间前未完成传输的，视为撤回投标文件。投标截止时间后递交的投标文件，电子交易平台将拒收。</w:t>
      </w:r>
    </w:p>
    <w:p w14:paraId="1DA28750">
      <w:pPr>
        <w:pStyle w:val="132"/>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51FD149">
      <w:pPr>
        <w:pStyle w:val="132"/>
        <w:spacing w:before="0"/>
        <w:ind w:firstLine="480"/>
        <w:rPr>
          <w:rFonts w:ascii="宋体" w:hAnsi="宋体" w:cs="宋体"/>
          <w:szCs w:val="24"/>
          <w:highlight w:val="none"/>
        </w:rPr>
      </w:pPr>
      <w:r>
        <w:rPr>
          <w:rFonts w:hint="eastAsia" w:ascii="宋体" w:hAnsi="宋体" w:cs="宋体"/>
          <w:szCs w:val="24"/>
          <w:highlight w:val="none"/>
        </w:rPr>
        <w:t>14.3</w:t>
      </w:r>
      <w:r>
        <w:rPr>
          <w:rFonts w:hint="eastAsia" w:ascii="宋体" w:hAnsi="宋体" w:cs="宋体"/>
          <w:szCs w:val="24"/>
          <w:highlight w:val="none"/>
          <w:lang w:eastAsia="zh-CN"/>
        </w:rPr>
        <w:t>采购单位</w:t>
      </w:r>
      <w:r>
        <w:rPr>
          <w:rFonts w:hint="eastAsia" w:ascii="宋体" w:hAnsi="宋体" w:cs="宋体"/>
          <w:szCs w:val="24"/>
          <w:highlight w:val="none"/>
        </w:rPr>
        <w:t>、采购代理机构可以视情况延长投标文件提交的截止时间。在上述情况下，采购代理机构与投标人以前在投标截止期方面的全部权利、责任和义务，将适用于延长至新的投标截止期。</w:t>
      </w:r>
    </w:p>
    <w:p w14:paraId="557DD000">
      <w:pPr>
        <w:pStyle w:val="36"/>
        <w:numPr>
          <w:ilvl w:val="0"/>
          <w:numId w:val="4"/>
        </w:numPr>
        <w:spacing w:line="360" w:lineRule="auto"/>
        <w:rPr>
          <w:rFonts w:hAnsi="宋体" w:cs="宋体"/>
          <w:b/>
          <w:sz w:val="24"/>
          <w:szCs w:val="24"/>
          <w:highlight w:val="none"/>
        </w:rPr>
      </w:pPr>
      <w:r>
        <w:rPr>
          <w:rFonts w:hint="eastAsia" w:hAnsi="宋体" w:cs="宋体"/>
          <w:b/>
          <w:sz w:val="24"/>
          <w:szCs w:val="24"/>
          <w:highlight w:val="none"/>
        </w:rPr>
        <w:t>备份投标文件</w:t>
      </w:r>
    </w:p>
    <w:p w14:paraId="4126F04E">
      <w:pPr>
        <w:pStyle w:val="36"/>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w:t>
      </w:r>
      <w:r>
        <w:rPr>
          <w:rFonts w:hint="eastAsia" w:hAnsi="宋体" w:cs="宋体"/>
          <w:b/>
          <w:sz w:val="24"/>
          <w:szCs w:val="24"/>
          <w:highlight w:val="none"/>
          <w:lang w:eastAsia="zh-CN"/>
        </w:rPr>
        <w:t>采购单位</w:t>
      </w:r>
      <w:r>
        <w:rPr>
          <w:rFonts w:hint="eastAsia" w:hAnsi="宋体" w:cs="宋体"/>
          <w:b/>
          <w:sz w:val="24"/>
          <w:szCs w:val="24"/>
          <w:highlight w:val="none"/>
        </w:rPr>
        <w:t>、采购代理机构不强制或变相强制投标人提交备份投标文件。</w:t>
      </w:r>
    </w:p>
    <w:p w14:paraId="2AC41E1D">
      <w:pPr>
        <w:pStyle w:val="36"/>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B90C062">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4ACBE6D">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EE3997C">
      <w:pPr>
        <w:pStyle w:val="36"/>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7147596">
      <w:pPr>
        <w:pStyle w:val="132"/>
        <w:numPr>
          <w:ilvl w:val="0"/>
          <w:numId w:val="5"/>
        </w:numPr>
        <w:spacing w:before="0"/>
        <w:ind w:firstLine="0" w:firstLineChars="0"/>
        <w:rPr>
          <w:rFonts w:ascii="宋体" w:hAnsi="宋体" w:cs="宋体"/>
          <w:b/>
          <w:szCs w:val="24"/>
          <w:highlight w:val="none"/>
        </w:rPr>
      </w:pPr>
      <w:r>
        <w:rPr>
          <w:rFonts w:hint="eastAsia" w:ascii="宋体" w:hAnsi="宋体" w:cs="宋体"/>
          <w:b/>
          <w:szCs w:val="24"/>
          <w:highlight w:val="none"/>
        </w:rPr>
        <w:t>投标文件的无效处理</w:t>
      </w:r>
    </w:p>
    <w:p w14:paraId="064602FB">
      <w:pPr>
        <w:pStyle w:val="27"/>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27EC8E06">
      <w:pPr>
        <w:pStyle w:val="132"/>
        <w:numPr>
          <w:ilvl w:val="0"/>
          <w:numId w:val="5"/>
        </w:numPr>
        <w:spacing w:before="0"/>
        <w:ind w:firstLine="0" w:firstLineChars="0"/>
        <w:rPr>
          <w:rFonts w:ascii="宋体" w:hAnsi="宋体" w:cs="宋体"/>
          <w:b/>
          <w:szCs w:val="24"/>
          <w:highlight w:val="none"/>
        </w:rPr>
      </w:pPr>
      <w:r>
        <w:rPr>
          <w:rFonts w:hint="eastAsia" w:ascii="宋体" w:hAnsi="宋体" w:cs="宋体"/>
          <w:b/>
          <w:szCs w:val="24"/>
          <w:highlight w:val="none"/>
        </w:rPr>
        <w:t>投标有效期</w:t>
      </w:r>
    </w:p>
    <w:p w14:paraId="3248AA92">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184772FC">
      <w:pPr>
        <w:pStyle w:val="132"/>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636AA4C6">
      <w:pPr>
        <w:pStyle w:val="132"/>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76FA68F">
      <w:pPr>
        <w:pStyle w:val="132"/>
        <w:spacing w:before="0"/>
        <w:ind w:firstLine="480"/>
        <w:rPr>
          <w:rFonts w:ascii="宋体" w:hAnsi="宋体" w:cs="宋体"/>
          <w:highlight w:val="none"/>
        </w:rPr>
      </w:pPr>
      <w:r>
        <w:rPr>
          <w:rFonts w:hint="eastAsia" w:ascii="宋体" w:hAnsi="宋体" w:cs="宋体"/>
          <w:highlight w:val="none"/>
        </w:rPr>
        <w:t>17.4在投标截止时间起至投标有效期届满，供应商投标文件不可撤销。</w:t>
      </w:r>
    </w:p>
    <w:p w14:paraId="4AE1EEC3">
      <w:pPr>
        <w:pStyle w:val="132"/>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5AB409C1">
      <w:pPr>
        <w:pStyle w:val="558"/>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 开标</w:t>
      </w:r>
      <w:r>
        <w:rPr>
          <w:rFonts w:hint="eastAsia" w:ascii="宋体" w:hAnsi="宋体" w:cs="宋体"/>
          <w:sz w:val="24"/>
          <w:highlight w:val="none"/>
        </w:rPr>
        <w:t xml:space="preserve"> </w:t>
      </w:r>
    </w:p>
    <w:p w14:paraId="1B47CF3D">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2896E93D">
      <w:pPr>
        <w:pStyle w:val="558"/>
        <w:spacing w:before="0" w:line="360" w:lineRule="auto"/>
        <w:ind w:left="0" w:leftChars="0" w:firstLine="422" w:firstLineChars="0"/>
        <w:contextualSpacing/>
        <w:rPr>
          <w:rFonts w:ascii="宋体" w:hAnsi="宋体" w:cs="宋体"/>
          <w:sz w:val="24"/>
          <w:highlight w:val="none"/>
        </w:rPr>
      </w:pPr>
      <w:r>
        <w:rPr>
          <w:rFonts w:hint="eastAsia" w:ascii="宋体" w:hAnsi="宋体" w:cs="宋体"/>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0DDDBCD7">
      <w:pPr>
        <w:pStyle w:val="558"/>
        <w:spacing w:before="0" w:line="360" w:lineRule="auto"/>
        <w:ind w:left="0" w:leftChars="0" w:firstLine="422" w:firstLineChars="0"/>
        <w:contextualSpacing/>
        <w:rPr>
          <w:rFonts w:ascii="宋体" w:hAnsi="宋体" w:cs="宋体"/>
          <w:b/>
          <w:sz w:val="24"/>
          <w:highlight w:val="none"/>
        </w:rPr>
      </w:pPr>
      <w:r>
        <w:rPr>
          <w:rFonts w:hint="eastAsia" w:ascii="宋体" w:hAnsi="宋体" w:cs="宋体"/>
          <w:sz w:val="24"/>
          <w:highlight w:val="none"/>
        </w:rPr>
        <w:t>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2A98096">
      <w:pPr>
        <w:widowControl/>
        <w:numPr>
          <w:ilvl w:val="0"/>
          <w:numId w:val="6"/>
        </w:numPr>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资格审查</w:t>
      </w:r>
    </w:p>
    <w:p w14:paraId="18B15A86">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lang w:eastAsia="zh-CN"/>
        </w:rPr>
        <w:t>采购单位</w:t>
      </w:r>
      <w:r>
        <w:rPr>
          <w:rFonts w:hint="eastAsia" w:ascii="宋体" w:hAnsi="宋体" w:cs="宋体"/>
          <w:sz w:val="24"/>
          <w:highlight w:val="none"/>
        </w:rPr>
        <w:t>或采购代理机构依据法律法规和招标文件的规定，对投标人的资格进行审查。</w:t>
      </w:r>
    </w:p>
    <w:p w14:paraId="7F01CA1C">
      <w:pPr>
        <w:pStyle w:val="132"/>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673BE7A">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w:t>
      </w:r>
      <w:r>
        <w:rPr>
          <w:rFonts w:hint="eastAsia" w:ascii="宋体" w:hAnsi="宋体" w:cs="宋体"/>
          <w:highlight w:val="none"/>
          <w:lang w:eastAsia="zh-CN"/>
        </w:rPr>
        <w:t>采购单位</w:t>
      </w:r>
      <w:r>
        <w:rPr>
          <w:rFonts w:hint="eastAsia" w:ascii="宋体" w:hAnsi="宋体" w:cs="宋体"/>
          <w:highlight w:val="none"/>
        </w:rPr>
        <w:t>或采购代理机构告知其未通过的原因。</w:t>
      </w:r>
    </w:p>
    <w:p w14:paraId="02973EC2">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2B14AB97">
      <w:pPr>
        <w:pStyle w:val="132"/>
        <w:numPr>
          <w:ilvl w:val="0"/>
          <w:numId w:val="6"/>
        </w:numPr>
        <w:spacing w:before="0"/>
        <w:ind w:firstLine="0" w:firstLineChars="0"/>
        <w:rPr>
          <w:rFonts w:ascii="宋体" w:hAnsi="宋体" w:cs="宋体"/>
          <w:b/>
          <w:szCs w:val="24"/>
          <w:highlight w:val="none"/>
        </w:rPr>
      </w:pPr>
      <w:r>
        <w:rPr>
          <w:rFonts w:hint="eastAsia" w:ascii="宋体" w:hAnsi="宋体" w:cs="宋体"/>
          <w:b/>
          <w:szCs w:val="24"/>
          <w:highlight w:val="none"/>
        </w:rPr>
        <w:t>信用信息查询</w:t>
      </w:r>
    </w:p>
    <w:p w14:paraId="419AEE8C">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采购单位</w:t>
      </w:r>
      <w:r>
        <w:rPr>
          <w:rFonts w:hint="eastAsia" w:ascii="宋体" w:hAnsi="宋体" w:cs="宋体"/>
          <w:kern w:val="0"/>
          <w:szCs w:val="24"/>
          <w:highlight w:val="none"/>
        </w:rPr>
        <w:t>或采购代理机构将在资格审查时通过“信用中国”网站(www.creditchina.gov.cn)、中国政府采购网(www.ccgp.gov.cn)渠道查询投标人接受资格审查时的信用记录。</w:t>
      </w:r>
    </w:p>
    <w:p w14:paraId="76E05B18">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F25384C">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C9A0C1">
      <w:pPr>
        <w:pStyle w:val="132"/>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0B51D99">
      <w:pPr>
        <w:snapToGrid w:val="0"/>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五、评标</w:t>
      </w:r>
    </w:p>
    <w:p w14:paraId="350EB51D">
      <w:pPr>
        <w:spacing w:line="360" w:lineRule="auto"/>
        <w:rPr>
          <w:rFonts w:ascii="宋体" w:hAnsi="宋体" w:cs="宋体"/>
          <w:b/>
          <w:sz w:val="24"/>
          <w:highlight w:val="none"/>
        </w:rPr>
      </w:pPr>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35921220">
      <w:pPr>
        <w:snapToGrid w:val="0"/>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六、定标</w:t>
      </w:r>
    </w:p>
    <w:p w14:paraId="7EA6B41D">
      <w:pPr>
        <w:pStyle w:val="27"/>
        <w:spacing w:line="360" w:lineRule="auto"/>
        <w:ind w:left="479" w:hanging="479" w:hangingChars="199"/>
        <w:rPr>
          <w:rFonts w:cs="宋体"/>
          <w:b/>
          <w:highlight w:val="none"/>
        </w:rPr>
      </w:pPr>
      <w:r>
        <w:rPr>
          <w:rFonts w:hint="eastAsia" w:cs="宋体"/>
          <w:b/>
          <w:highlight w:val="none"/>
        </w:rPr>
        <w:t>22. 确定中标供应商</w:t>
      </w:r>
    </w:p>
    <w:p w14:paraId="182D1004">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lang w:eastAsia="zh-CN"/>
        </w:rPr>
        <w:t>采购单位</w:t>
      </w:r>
      <w:r>
        <w:rPr>
          <w:rFonts w:hint="eastAsia" w:ascii="宋体" w:hAnsi="宋体" w:cs="宋体"/>
          <w:szCs w:val="24"/>
          <w:highlight w:val="none"/>
        </w:rPr>
        <w:t>。采购单位应当自收到评审报告之日起2个工作日内在线确定中标或者成交供应商。中标、成交通知书和中标、成交结果公告应当在规定时间内同时发出。</w:t>
      </w:r>
    </w:p>
    <w:p w14:paraId="0C230ED2">
      <w:pPr>
        <w:pStyle w:val="132"/>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13D88E8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w:t>
      </w:r>
      <w:r>
        <w:rPr>
          <w:rFonts w:hint="eastAsia" w:ascii="宋体" w:hAnsi="宋体" w:cs="宋体"/>
          <w:sz w:val="24"/>
          <w:highlight w:val="none"/>
          <w:lang w:eastAsia="zh-CN"/>
        </w:rPr>
        <w:t>中标单位</w:t>
      </w:r>
      <w:r>
        <w:rPr>
          <w:rFonts w:hint="eastAsia" w:ascii="宋体" w:hAnsi="宋体" w:cs="宋体"/>
          <w:sz w:val="24"/>
          <w:highlight w:val="none"/>
        </w:rPr>
        <w:t>确定之日起2个工作日内，采购代理机构通过电子交易平台向</w:t>
      </w:r>
      <w:r>
        <w:rPr>
          <w:rFonts w:hint="eastAsia" w:ascii="宋体" w:hAnsi="宋体" w:cs="宋体"/>
          <w:sz w:val="24"/>
          <w:highlight w:val="none"/>
          <w:lang w:eastAsia="zh-CN"/>
        </w:rPr>
        <w:t>中标单位</w:t>
      </w:r>
      <w:r>
        <w:rPr>
          <w:rFonts w:hint="eastAsia" w:ascii="宋体" w:hAnsi="宋体" w:cs="宋体"/>
          <w:sz w:val="24"/>
          <w:highlight w:val="none"/>
        </w:rPr>
        <w:t>发出中标通知书，同时编制发布采购结果公告。采购代理机构也可以以纸质形式进行中标通知。</w:t>
      </w:r>
    </w:p>
    <w:p w14:paraId="051CA41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w:t>
      </w:r>
      <w:r>
        <w:rPr>
          <w:rFonts w:hint="eastAsia" w:ascii="宋体" w:hAnsi="宋体" w:cs="宋体"/>
          <w:sz w:val="24"/>
          <w:highlight w:val="none"/>
          <w:lang w:eastAsia="zh-CN"/>
        </w:rPr>
        <w:t>采购单位</w:t>
      </w:r>
      <w:r>
        <w:rPr>
          <w:rFonts w:hint="eastAsia" w:ascii="宋体" w:hAnsi="宋体" w:cs="宋体"/>
          <w:sz w:val="24"/>
          <w:highlight w:val="none"/>
        </w:rPr>
        <w:t>及其委托的采购代理机构的名称、地址、联系方式，项目名称和项目编号，</w:t>
      </w:r>
      <w:r>
        <w:rPr>
          <w:rFonts w:hint="eastAsia" w:ascii="宋体" w:hAnsi="宋体" w:cs="宋体"/>
          <w:sz w:val="24"/>
          <w:highlight w:val="none"/>
          <w:lang w:eastAsia="zh-CN"/>
        </w:rPr>
        <w:t>中标单位</w:t>
      </w:r>
      <w:r>
        <w:rPr>
          <w:rFonts w:hint="eastAsia" w:ascii="宋体" w:hAnsi="宋体" w:cs="宋体"/>
          <w:sz w:val="24"/>
          <w:highlight w:val="none"/>
        </w:rPr>
        <w:t>名称、地址和中标金额，主要中标标的的名称、规格型号、数量、单价、服务要求，开标记录、资格审查情况、评审专家抽取规则、符合性审查情况、未中标情况说明、中标公告期限以及评审专家名单、评分汇总及明细。</w:t>
      </w:r>
    </w:p>
    <w:p w14:paraId="3ED045ED">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1F532A91">
      <w:pPr>
        <w:snapToGrid w:val="0"/>
        <w:spacing w:line="360" w:lineRule="auto"/>
        <w:jc w:val="center"/>
        <w:rPr>
          <w:rFonts w:ascii="宋体" w:hAnsi="宋体" w:cs="宋体"/>
          <w:b/>
          <w:sz w:val="32"/>
          <w:highlight w:val="none"/>
        </w:rPr>
      </w:pPr>
      <w:r>
        <w:rPr>
          <w:rFonts w:hint="eastAsia" w:ascii="宋体" w:hAnsi="宋体" w:cs="宋体"/>
          <w:b/>
          <w:sz w:val="32"/>
          <w:highlight w:val="none"/>
        </w:rPr>
        <w:t>七、合同授予</w:t>
      </w:r>
    </w:p>
    <w:p w14:paraId="5C21A473">
      <w:pPr>
        <w:pStyle w:val="27"/>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28D08808">
      <w:pPr>
        <w:pStyle w:val="27"/>
        <w:spacing w:line="360" w:lineRule="auto"/>
        <w:ind w:left="479" w:hanging="479" w:hangingChars="199"/>
        <w:rPr>
          <w:rFonts w:cs="宋体"/>
          <w:b/>
          <w:highlight w:val="none"/>
        </w:rPr>
      </w:pPr>
      <w:r>
        <w:rPr>
          <w:rFonts w:hint="eastAsia" w:cs="宋体"/>
          <w:b/>
          <w:highlight w:val="none"/>
        </w:rPr>
        <w:t>25. 合同的签订</w:t>
      </w:r>
    </w:p>
    <w:p w14:paraId="1F3ADDED">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w:t>
      </w:r>
      <w:r>
        <w:rPr>
          <w:rFonts w:hint="eastAsia" w:ascii="宋体" w:hAnsi="宋体" w:cs="宋体"/>
          <w:kern w:val="0"/>
          <w:sz w:val="24"/>
          <w:highlight w:val="none"/>
          <w:lang w:eastAsia="zh-CN"/>
        </w:rPr>
        <w:t>采购单位</w:t>
      </w:r>
      <w:r>
        <w:rPr>
          <w:rFonts w:hint="eastAsia" w:ascii="宋体" w:hAnsi="宋体" w:cs="宋体"/>
          <w:kern w:val="0"/>
          <w:sz w:val="24"/>
          <w:highlight w:val="none"/>
        </w:rPr>
        <w:t>与</w:t>
      </w:r>
      <w:r>
        <w:rPr>
          <w:rFonts w:hint="eastAsia" w:ascii="宋体" w:hAnsi="宋体" w:cs="宋体"/>
          <w:kern w:val="0"/>
          <w:sz w:val="24"/>
          <w:highlight w:val="none"/>
          <w:lang w:eastAsia="zh-CN"/>
        </w:rPr>
        <w:t>中标单位</w:t>
      </w:r>
      <w:r>
        <w:rPr>
          <w:rFonts w:hint="eastAsia" w:ascii="宋体" w:hAnsi="宋体" w:cs="宋体"/>
          <w:kern w:val="0"/>
          <w:sz w:val="24"/>
          <w:highlight w:val="none"/>
        </w:rPr>
        <w:t>应当通过电子交易平台在中标通知书发出之日起三十日内，按照招标文件确定的事项签订政府采购合同，并在签订之日起2个工作日内将政府采购合同在浙江政府采购网上公告。鼓励有条件的</w:t>
      </w:r>
      <w:r>
        <w:rPr>
          <w:rFonts w:hint="eastAsia" w:ascii="宋体" w:hAnsi="宋体" w:cs="宋体"/>
          <w:kern w:val="0"/>
          <w:sz w:val="24"/>
          <w:highlight w:val="none"/>
          <w:lang w:eastAsia="zh-CN"/>
        </w:rPr>
        <w:t>采购单位</w:t>
      </w:r>
      <w:r>
        <w:rPr>
          <w:rFonts w:hint="eastAsia" w:ascii="宋体" w:hAnsi="宋体" w:cs="宋体"/>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B1E6D36">
      <w:pPr>
        <w:pStyle w:val="132"/>
        <w:snapToGrid w:val="0"/>
        <w:spacing w:before="0"/>
        <w:ind w:firstLine="480"/>
        <w:rPr>
          <w:rFonts w:ascii="宋体" w:hAnsi="宋体" w:cs="宋体"/>
          <w:kern w:val="0"/>
          <w:highlight w:val="none"/>
        </w:rPr>
      </w:pPr>
      <w:r>
        <w:rPr>
          <w:rFonts w:hint="eastAsia" w:ascii="宋体" w:hAnsi="宋体" w:cs="宋体"/>
          <w:kern w:val="0"/>
          <w:highlight w:val="none"/>
          <w:lang w:val="zh-CN"/>
        </w:rPr>
        <w:t>25.2中标单位按规定的日期、时间、地点，由法定代表人或其授权代表与采购单位代表签订合同。如中标单位为联合体的，由联合体成员各方法定代表人或其授权代表与采购单位代表签订合同。</w:t>
      </w:r>
    </w:p>
    <w:p w14:paraId="494B5511">
      <w:pPr>
        <w:pStyle w:val="132"/>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69FC0952">
      <w:pPr>
        <w:pStyle w:val="132"/>
        <w:snapToGrid w:val="0"/>
        <w:spacing w:before="0"/>
        <w:ind w:firstLine="480"/>
        <w:rPr>
          <w:rFonts w:ascii="宋体" w:hAnsi="宋体" w:cs="宋体"/>
          <w:highlight w:val="none"/>
        </w:rPr>
      </w:pPr>
      <w:r>
        <w:rPr>
          <w:rFonts w:hint="eastAsia" w:ascii="宋体" w:hAnsi="宋体" w:cs="宋体"/>
          <w:highlight w:val="none"/>
        </w:rPr>
        <w:t>25.4中标供应商拒绝与</w:t>
      </w:r>
      <w:r>
        <w:rPr>
          <w:rFonts w:hint="eastAsia" w:ascii="宋体" w:hAnsi="宋体" w:cs="宋体"/>
          <w:highlight w:val="none"/>
          <w:lang w:eastAsia="zh-CN"/>
        </w:rPr>
        <w:t>采购单位</w:t>
      </w:r>
      <w:r>
        <w:rPr>
          <w:rFonts w:hint="eastAsia" w:ascii="宋体" w:hAnsi="宋体" w:cs="宋体"/>
          <w:highlight w:val="none"/>
        </w:rPr>
        <w:t>签订合同的，</w:t>
      </w:r>
      <w:r>
        <w:rPr>
          <w:rFonts w:hint="eastAsia" w:ascii="宋体" w:hAnsi="宋体" w:cs="宋体"/>
          <w:highlight w:val="none"/>
          <w:lang w:eastAsia="zh-CN"/>
        </w:rPr>
        <w:t>采购单位</w:t>
      </w:r>
      <w:r>
        <w:rPr>
          <w:rFonts w:hint="eastAsia" w:ascii="宋体" w:hAnsi="宋体" w:cs="宋体"/>
          <w:highlight w:val="none"/>
        </w:rPr>
        <w:t>可以按照评审报告推荐的中标或者成交候选人名单排序，确定下一候选人为中标供应商，也可以重新开展政府采购活动。</w:t>
      </w:r>
    </w:p>
    <w:p w14:paraId="12B29114">
      <w:pPr>
        <w:pStyle w:val="132"/>
        <w:snapToGrid w:val="0"/>
        <w:spacing w:before="0" w:after="120"/>
        <w:ind w:firstLine="480"/>
        <w:rPr>
          <w:rFonts w:ascii="宋体" w:hAnsi="宋体" w:cs="宋体"/>
          <w:highlight w:val="none"/>
        </w:rPr>
      </w:pPr>
      <w:r>
        <w:rPr>
          <w:rFonts w:hint="eastAsia" w:ascii="宋体" w:hAnsi="宋体" w:cs="宋体"/>
          <w:highlight w:val="none"/>
        </w:rPr>
        <w:t>25.5采购合同由</w:t>
      </w:r>
      <w:r>
        <w:rPr>
          <w:rFonts w:hint="eastAsia" w:ascii="宋体" w:hAnsi="宋体" w:cs="宋体"/>
          <w:highlight w:val="none"/>
          <w:lang w:eastAsia="zh-CN"/>
        </w:rPr>
        <w:t>采购单位</w:t>
      </w:r>
      <w:r>
        <w:rPr>
          <w:rFonts w:hint="eastAsia" w:ascii="宋体" w:hAnsi="宋体" w:cs="宋体"/>
          <w:highlight w:val="none"/>
        </w:rPr>
        <w:t>与中标供应商根据招标文件、投标文件等内容通过政府采购电子交易平台在线签订，自动备案。</w:t>
      </w:r>
    </w:p>
    <w:p w14:paraId="0BA32312">
      <w:pPr>
        <w:pStyle w:val="27"/>
        <w:spacing w:line="360" w:lineRule="auto"/>
        <w:ind w:left="479" w:hanging="479" w:hangingChars="199"/>
        <w:rPr>
          <w:rFonts w:cs="宋体"/>
          <w:b/>
          <w:highlight w:val="none"/>
        </w:rPr>
      </w:pPr>
      <w:r>
        <w:rPr>
          <w:rFonts w:hint="eastAsia" w:cs="宋体"/>
          <w:b/>
          <w:highlight w:val="none"/>
        </w:rPr>
        <w:t>26. 履约保证金</w:t>
      </w:r>
    </w:p>
    <w:p w14:paraId="492BC9F7">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w:t>
      </w:r>
      <w:r>
        <w:rPr>
          <w:rFonts w:hint="eastAsia" w:ascii="宋体" w:hAnsi="宋体" w:cs="宋体"/>
          <w:sz w:val="24"/>
          <w:highlight w:val="none"/>
          <w:lang w:eastAsia="zh-CN"/>
        </w:rPr>
        <w:t>采购单位</w:t>
      </w:r>
      <w:r>
        <w:rPr>
          <w:rFonts w:hint="eastAsia" w:ascii="宋体" w:hAnsi="宋体" w:cs="宋体"/>
          <w:sz w:val="24"/>
          <w:highlight w:val="none"/>
        </w:rPr>
        <w:t>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20BE376E">
      <w:pPr>
        <w:tabs>
          <w:tab w:val="left" w:pos="0"/>
        </w:tabs>
        <w:spacing w:line="360" w:lineRule="auto"/>
        <w:ind w:firstLine="482"/>
        <w:rPr>
          <w:rFonts w:hint="eastAsia" w:ascii="宋体" w:hAnsi="宋体" w:cs="宋体"/>
          <w:snapToGrid w:val="0"/>
          <w:kern w:val="28"/>
          <w:sz w:val="24"/>
          <w:highlight w:val="none"/>
        </w:rPr>
      </w:pPr>
      <w:r>
        <w:rPr>
          <w:rFonts w:hint="eastAsia" w:ascii="宋体" w:hAnsi="宋体" w:cs="宋体"/>
          <w:snapToGrid w:val="0"/>
          <w:kern w:val="28"/>
          <w:sz w:val="24"/>
          <w:highlight w:val="none"/>
        </w:rPr>
        <w:t>供应商可登录政采云平台-【金融服务】—【我的项目】—【已备案合同】以保函形式提供：</w:t>
      </w:r>
    </w:p>
    <w:p w14:paraId="1783875A">
      <w:pPr>
        <w:numPr>
          <w:ilvl w:val="0"/>
          <w:numId w:val="7"/>
        </w:numPr>
        <w:tabs>
          <w:tab w:val="left" w:pos="0"/>
        </w:tabs>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供应商在合同列表选择需要投保的合同，点击[保函推荐]。</w:t>
      </w:r>
    </w:p>
    <w:p w14:paraId="1ED52475">
      <w:pPr>
        <w:numPr>
          <w:ilvl w:val="0"/>
          <w:numId w:val="7"/>
        </w:numPr>
        <w:tabs>
          <w:tab w:val="left" w:pos="0"/>
        </w:tabs>
        <w:spacing w:line="360" w:lineRule="auto"/>
        <w:ind w:left="0" w:leftChars="0" w:firstLine="0" w:firstLineChars="0"/>
        <w:rPr>
          <w:rFonts w:hint="eastAsia" w:ascii="宋体" w:hAnsi="宋体" w:cs="宋体"/>
          <w:snapToGrid w:val="0"/>
          <w:kern w:val="28"/>
          <w:sz w:val="24"/>
          <w:highlight w:val="none"/>
        </w:rPr>
      </w:pPr>
      <w:r>
        <w:rPr>
          <w:rFonts w:hint="eastAsia" w:ascii="宋体" w:hAnsi="宋体" w:cs="宋体"/>
          <w:snapToGrid w:val="0"/>
          <w:kern w:val="28"/>
          <w:sz w:val="24"/>
          <w:highlight w:val="none"/>
        </w:rPr>
        <w:t>在弹框里查看推荐的保函产品，供应商自行选择保函产品，点击[立即申请]</w:t>
      </w:r>
      <w:r>
        <w:rPr>
          <w:rFonts w:hint="eastAsia" w:ascii="宋体" w:hAnsi="宋体" w:cs="宋体"/>
          <w:snapToGrid w:val="0"/>
          <w:kern w:val="28"/>
          <w:sz w:val="24"/>
          <w:highlight w:val="none"/>
          <w:lang w:eastAsia="zh-CN"/>
        </w:rPr>
        <w:t>。</w:t>
      </w:r>
    </w:p>
    <w:p w14:paraId="1F55B010">
      <w:pPr>
        <w:numPr>
          <w:ilvl w:val="0"/>
          <w:numId w:val="0"/>
        </w:numPr>
        <w:tabs>
          <w:tab w:val="left" w:pos="0"/>
        </w:tabs>
        <w:spacing w:line="360" w:lineRule="auto"/>
        <w:ind w:leftChars="0"/>
        <w:rPr>
          <w:rFonts w:ascii="宋体" w:hAnsi="宋体" w:cs="宋体"/>
          <w:snapToGrid w:val="0"/>
          <w:kern w:val="28"/>
          <w:sz w:val="24"/>
          <w:highlight w:val="none"/>
        </w:rPr>
      </w:pPr>
      <w:r>
        <w:rPr>
          <w:rFonts w:hint="eastAsia" w:ascii="宋体" w:hAnsi="宋体" w:cs="宋体"/>
          <w:snapToGrid w:val="0"/>
          <w:kern w:val="28"/>
          <w:sz w:val="24"/>
          <w:highlight w:val="none"/>
        </w:rPr>
        <w:t>3、在弹框里填写保函申请信息。具体步骤：选择产品—填写供应商信息—选择中标项目—确认信息—等待保险/保函受理—确认保单—支付保费—成功出单。政采云金融专线400-903-9583。</w:t>
      </w:r>
    </w:p>
    <w:p w14:paraId="7ACB4EBA">
      <w:pPr>
        <w:pStyle w:val="2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lang w:val="en-US" w:eastAsia="zh-CN"/>
        </w:rPr>
        <w:t xml:space="preserve">27. </w:t>
      </w:r>
      <w:r>
        <w:rPr>
          <w:rFonts w:hint="eastAsia" w:ascii="宋体" w:hAnsi="宋体" w:eastAsia="宋体" w:cs="宋体"/>
          <w:b/>
          <w:highlight w:val="none"/>
          <w:lang w:val="en-US"/>
        </w:rPr>
        <w:t>预付款</w:t>
      </w:r>
    </w:p>
    <w:p w14:paraId="1FD21C15">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60CEAB9E">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14:paraId="176635B8">
      <w:pPr>
        <w:pStyle w:val="132"/>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1293CBF7">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3D1A06C">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738BB168">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764B9B8D">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436FFFA7">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61DAD993">
      <w:pPr>
        <w:pStyle w:val="132"/>
        <w:snapToGrid w:val="0"/>
        <w:spacing w:before="0"/>
        <w:ind w:firstLine="0" w:firstLineChars="0"/>
        <w:rPr>
          <w:rFonts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D4335D2">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52270EF4">
      <w:pPr>
        <w:pStyle w:val="27"/>
        <w:spacing w:line="360" w:lineRule="auto"/>
        <w:ind w:firstLine="0" w:firstLineChars="0"/>
        <w:rPr>
          <w:rFonts w:cs="宋体"/>
          <w:b/>
          <w:highlight w:val="none"/>
        </w:rPr>
      </w:pPr>
      <w:r>
        <w:rPr>
          <w:rFonts w:hint="eastAsia" w:cs="宋体"/>
          <w:b/>
          <w:highlight w:val="none"/>
        </w:rPr>
        <w:t>30. 验收</w:t>
      </w:r>
    </w:p>
    <w:p w14:paraId="5473868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w:t>
      </w:r>
      <w:r>
        <w:rPr>
          <w:rFonts w:hint="eastAsia" w:ascii="宋体" w:hAnsi="宋体" w:cs="宋体"/>
          <w:kern w:val="0"/>
          <w:sz w:val="24"/>
          <w:highlight w:val="none"/>
          <w:lang w:eastAsia="zh-CN"/>
        </w:rPr>
        <w:t>采购单位</w:t>
      </w:r>
      <w:r>
        <w:rPr>
          <w:rFonts w:hint="eastAsia" w:ascii="宋体" w:hAnsi="宋体" w:cs="宋体"/>
          <w:kern w:val="0"/>
          <w:sz w:val="24"/>
          <w:highlight w:val="none"/>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739C87">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w:t>
      </w:r>
      <w:r>
        <w:rPr>
          <w:rFonts w:hint="eastAsia" w:ascii="宋体" w:hAnsi="宋体" w:cs="宋体"/>
          <w:kern w:val="0"/>
          <w:sz w:val="24"/>
          <w:highlight w:val="none"/>
          <w:lang w:eastAsia="zh-CN"/>
        </w:rPr>
        <w:t>采购单位</w:t>
      </w:r>
      <w:r>
        <w:rPr>
          <w:rFonts w:hint="eastAsia" w:ascii="宋体" w:hAnsi="宋体" w:cs="宋体"/>
          <w:kern w:val="0"/>
          <w:sz w:val="24"/>
          <w:highlight w:val="none"/>
        </w:rPr>
        <w:t>可以邀请参加本项目的其他投标人或者第三方机构参与验收。参与验收的投标人或者第三方机构的意见作为验收书的参考资料一并存档。</w:t>
      </w:r>
    </w:p>
    <w:p w14:paraId="39F557E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w:t>
      </w:r>
      <w:r>
        <w:rPr>
          <w:rFonts w:hint="eastAsia" w:ascii="宋体" w:hAnsi="宋体" w:cs="宋体"/>
          <w:kern w:val="0"/>
          <w:sz w:val="24"/>
          <w:highlight w:val="none"/>
          <w:lang w:eastAsia="zh-CN"/>
        </w:rPr>
        <w:t>采购单位</w:t>
      </w:r>
      <w:r>
        <w:rPr>
          <w:rFonts w:hint="eastAsia" w:ascii="宋体" w:hAnsi="宋体" w:cs="宋体"/>
          <w:kern w:val="0"/>
          <w:sz w:val="24"/>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2A81C2">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w:t>
      </w:r>
      <w:r>
        <w:rPr>
          <w:rFonts w:hint="eastAsia" w:ascii="宋体" w:hAnsi="宋体" w:cs="宋体"/>
          <w:kern w:val="0"/>
          <w:sz w:val="24"/>
          <w:highlight w:val="none"/>
          <w:lang w:eastAsia="zh-CN"/>
        </w:rPr>
        <w:t>采购单位</w:t>
      </w:r>
      <w:r>
        <w:rPr>
          <w:rFonts w:hint="eastAsia" w:ascii="宋体" w:hAnsi="宋体" w:cs="宋体"/>
          <w:kern w:val="0"/>
          <w:sz w:val="24"/>
          <w:highlight w:val="none"/>
        </w:rPr>
        <w:t>将根据采购合同的约定及时向供应商支付采购资金、退还履约保证金。验收不合格的项目，</w:t>
      </w:r>
      <w:r>
        <w:rPr>
          <w:rFonts w:hint="eastAsia" w:ascii="宋体" w:hAnsi="宋体" w:cs="宋体"/>
          <w:kern w:val="0"/>
          <w:sz w:val="24"/>
          <w:highlight w:val="none"/>
          <w:lang w:eastAsia="zh-CN"/>
        </w:rPr>
        <w:t>采购单位</w:t>
      </w:r>
      <w:r>
        <w:rPr>
          <w:rFonts w:hint="eastAsia" w:ascii="宋体" w:hAnsi="宋体" w:cs="宋体"/>
          <w:kern w:val="0"/>
          <w:sz w:val="24"/>
          <w:highlight w:val="none"/>
        </w:rPr>
        <w:t>将依法及时处理。采购合同的履行、违约责任和解决争议的方式等适用《中华人民共和国民法典》。供应商在履约过程中有政府采购法律法规规定的违法违规情形的，</w:t>
      </w:r>
      <w:r>
        <w:rPr>
          <w:rFonts w:hint="eastAsia" w:ascii="宋体" w:hAnsi="宋体" w:cs="宋体"/>
          <w:kern w:val="0"/>
          <w:sz w:val="24"/>
          <w:highlight w:val="none"/>
          <w:lang w:eastAsia="zh-CN"/>
        </w:rPr>
        <w:t>采购单位</w:t>
      </w:r>
      <w:r>
        <w:rPr>
          <w:rFonts w:hint="eastAsia" w:ascii="宋体" w:hAnsi="宋体" w:cs="宋体"/>
          <w:kern w:val="0"/>
          <w:sz w:val="24"/>
          <w:highlight w:val="none"/>
        </w:rPr>
        <w:t>应当及时报告本级财政部门。</w:t>
      </w:r>
    </w:p>
    <w:bookmarkEnd w:id="7"/>
    <w:bookmarkEnd w:id="8"/>
    <w:bookmarkEnd w:id="9"/>
    <w:p w14:paraId="7BB3DA7D">
      <w:pPr>
        <w:widowControl/>
        <w:adjustRightInd/>
        <w:jc w:val="left"/>
        <w:rPr>
          <w:rFonts w:ascii="宋体" w:hAnsi="宋体" w:cs="宋体"/>
          <w:kern w:val="0"/>
          <w:sz w:val="24"/>
          <w:highlight w:val="none"/>
        </w:rPr>
      </w:pPr>
      <w:bookmarkStart w:id="13" w:name="_Hlt74707468"/>
      <w:bookmarkEnd w:id="13"/>
      <w:bookmarkStart w:id="14" w:name="_Hlt74729768"/>
      <w:bookmarkEnd w:id="14"/>
      <w:bookmarkStart w:id="15" w:name="_Hlt68072998"/>
      <w:bookmarkEnd w:id="15"/>
      <w:bookmarkStart w:id="16" w:name="_Hlt68403820"/>
      <w:bookmarkEnd w:id="16"/>
      <w:bookmarkStart w:id="17" w:name="_Hlt75236290"/>
      <w:bookmarkEnd w:id="17"/>
      <w:bookmarkStart w:id="18" w:name="_Hlt75236011"/>
      <w:bookmarkEnd w:id="18"/>
      <w:bookmarkStart w:id="19" w:name="_Hlt74714665"/>
      <w:bookmarkEnd w:id="19"/>
      <w:bookmarkStart w:id="20" w:name="_Hlt74730295"/>
      <w:bookmarkEnd w:id="20"/>
      <w:bookmarkStart w:id="21" w:name="_Hlt68073093"/>
      <w:bookmarkEnd w:id="21"/>
      <w:bookmarkStart w:id="22" w:name="_Hlt68072990"/>
      <w:bookmarkEnd w:id="22"/>
      <w:bookmarkStart w:id="23" w:name="_Hlt68057669"/>
      <w:bookmarkEnd w:id="23"/>
      <w:bookmarkStart w:id="24" w:name="_Hlt75236101"/>
      <w:bookmarkEnd w:id="24"/>
      <w:bookmarkStart w:id="25" w:name="第四部分"/>
      <w:r>
        <w:rPr>
          <w:rFonts w:ascii="宋体" w:hAnsi="宋体" w:cs="宋体"/>
          <w:kern w:val="0"/>
          <w:sz w:val="24"/>
          <w:highlight w:val="none"/>
        </w:rPr>
        <w:br w:type="page"/>
      </w:r>
    </w:p>
    <w:p w14:paraId="05058BC4">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14:paraId="43475003">
      <w:pPr>
        <w:snapToGrid w:val="0"/>
        <w:rPr>
          <w:rStyle w:val="963"/>
          <w:i w:val="0"/>
          <w:iCs w:val="0"/>
          <w:highlight w:val="none"/>
        </w:rPr>
      </w:pPr>
      <w:r>
        <w:rPr>
          <w:rStyle w:val="963"/>
          <w:rFonts w:hint="eastAsia"/>
          <w:i w:val="0"/>
          <w:iCs w:val="0"/>
          <w:highlight w:val="none"/>
        </w:rPr>
        <w:t>属于实质性要求条款的，请用符号“▲”标明，否则属于非实质性要求。“★”系产品采购项目中单一产品或核心产品。</w:t>
      </w:r>
    </w:p>
    <w:p w14:paraId="173EA7C7">
      <w:pPr>
        <w:pStyle w:val="3"/>
        <w:numPr>
          <w:ilvl w:val="0"/>
          <w:numId w:val="8"/>
        </w:num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招标一览表</w:t>
      </w:r>
    </w:p>
    <w:p w14:paraId="524304A2">
      <w:pPr>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标项一：</w:t>
      </w:r>
      <w:r>
        <w:rPr>
          <w:rFonts w:hint="eastAsia" w:ascii="宋体" w:hAnsi="宋体" w:cs="宋体"/>
          <w:b/>
          <w:bCs/>
          <w:color w:val="auto"/>
          <w:sz w:val="28"/>
          <w:szCs w:val="28"/>
          <w:highlight w:val="none"/>
          <w:lang w:eastAsia="zh-CN"/>
        </w:rPr>
        <w:t>故宫朱氏碑帖馆布展项目</w:t>
      </w:r>
      <w:r>
        <w:rPr>
          <w:rFonts w:hint="eastAsia" w:ascii="宋体" w:hAnsi="宋体" w:eastAsia="宋体" w:cs="宋体"/>
          <w:b/>
          <w:bCs/>
          <w:color w:val="auto"/>
          <w:sz w:val="28"/>
          <w:szCs w:val="28"/>
          <w:highlight w:val="none"/>
        </w:rPr>
        <w:t xml:space="preserve"> </w:t>
      </w:r>
    </w:p>
    <w:p w14:paraId="4D186EB7">
      <w:pPr>
        <w:spacing w:line="500" w:lineRule="exact"/>
        <w:jc w:val="left"/>
        <w:rPr>
          <w:rFonts w:hint="eastAsia" w:ascii="宋体" w:hAnsi="宋体" w:eastAsia="宋体" w:cs="宋体"/>
          <w:b/>
          <w:bCs/>
          <w:color w:val="auto"/>
          <w:sz w:val="28"/>
          <w:szCs w:val="28"/>
          <w:highlight w:val="none"/>
        </w:rPr>
      </w:pPr>
    </w:p>
    <w:tbl>
      <w:tblPr>
        <w:tblStyle w:val="66"/>
        <w:tblpPr w:leftFromText="180" w:rightFromText="180" w:vertAnchor="text" w:horzAnchor="margin" w:tblpXSpec="center" w:tblpY="63"/>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1"/>
        <w:gridCol w:w="1499"/>
        <w:gridCol w:w="689"/>
        <w:gridCol w:w="767"/>
        <w:gridCol w:w="1348"/>
        <w:gridCol w:w="4072"/>
      </w:tblGrid>
      <w:tr w14:paraId="0908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391" w:type="pct"/>
            <w:tcMar>
              <w:top w:w="15" w:type="dxa"/>
              <w:left w:w="15" w:type="dxa"/>
              <w:bottom w:w="0" w:type="dxa"/>
              <w:right w:w="15" w:type="dxa"/>
            </w:tcMar>
            <w:vAlign w:val="center"/>
          </w:tcPr>
          <w:p w14:paraId="150C0617">
            <w:pPr>
              <w:tabs>
                <w:tab w:val="left" w:pos="0"/>
              </w:tabs>
              <w:snapToGrid w:val="0"/>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824" w:type="pct"/>
            <w:tcMar>
              <w:top w:w="15" w:type="dxa"/>
              <w:left w:w="15" w:type="dxa"/>
              <w:bottom w:w="0" w:type="dxa"/>
              <w:right w:w="15" w:type="dxa"/>
            </w:tcMar>
            <w:vAlign w:val="center"/>
          </w:tcPr>
          <w:p w14:paraId="0A2A61F4">
            <w:pPr>
              <w:tabs>
                <w:tab w:val="left" w:pos="0"/>
              </w:tabs>
              <w:snapToGrid w:val="0"/>
              <w:jc w:val="center"/>
              <w:rPr>
                <w:rFonts w:ascii="仿宋" w:hAnsi="仿宋" w:eastAsia="仿宋" w:cs="仿宋"/>
                <w:color w:val="auto"/>
                <w:highlight w:val="none"/>
              </w:rPr>
            </w:pPr>
            <w:r>
              <w:rPr>
                <w:rFonts w:hint="eastAsia" w:ascii="仿宋" w:hAnsi="仿宋" w:eastAsia="仿宋" w:cs="仿宋"/>
                <w:color w:val="auto"/>
                <w:highlight w:val="none"/>
              </w:rPr>
              <w:t>名称</w:t>
            </w:r>
          </w:p>
        </w:tc>
        <w:tc>
          <w:tcPr>
            <w:tcW w:w="379" w:type="pct"/>
            <w:tcMar>
              <w:top w:w="15" w:type="dxa"/>
              <w:left w:w="15" w:type="dxa"/>
              <w:bottom w:w="0" w:type="dxa"/>
              <w:right w:w="15" w:type="dxa"/>
            </w:tcMar>
            <w:vAlign w:val="center"/>
          </w:tcPr>
          <w:p w14:paraId="3B2C84D6">
            <w:pPr>
              <w:tabs>
                <w:tab w:val="left" w:pos="0"/>
              </w:tabs>
              <w:snapToGrid w:val="0"/>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422" w:type="pct"/>
            <w:tcMar>
              <w:top w:w="15" w:type="dxa"/>
              <w:left w:w="15" w:type="dxa"/>
              <w:bottom w:w="0" w:type="dxa"/>
              <w:right w:w="15" w:type="dxa"/>
            </w:tcMar>
            <w:vAlign w:val="center"/>
          </w:tcPr>
          <w:p w14:paraId="744D75D7">
            <w:pPr>
              <w:tabs>
                <w:tab w:val="left" w:pos="0"/>
              </w:tabs>
              <w:snapToGrid w:val="0"/>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741" w:type="pct"/>
            <w:vAlign w:val="center"/>
          </w:tcPr>
          <w:p w14:paraId="3C95BE9B">
            <w:pPr>
              <w:tabs>
                <w:tab w:val="left" w:pos="0"/>
              </w:tabs>
              <w:snapToGrid w:val="0"/>
              <w:jc w:val="center"/>
              <w:rPr>
                <w:rFonts w:ascii="仿宋" w:hAnsi="仿宋" w:eastAsia="仿宋" w:cs="仿宋"/>
                <w:color w:val="auto"/>
                <w:highlight w:val="none"/>
              </w:rPr>
            </w:pPr>
            <w:r>
              <w:rPr>
                <w:rFonts w:hint="eastAsia" w:ascii="仿宋" w:hAnsi="仿宋" w:eastAsia="仿宋" w:cs="仿宋"/>
                <w:color w:val="auto"/>
                <w:highlight w:val="none"/>
              </w:rPr>
              <w:t>预算（元）</w:t>
            </w:r>
          </w:p>
        </w:tc>
        <w:tc>
          <w:tcPr>
            <w:tcW w:w="2239" w:type="pct"/>
            <w:vAlign w:val="center"/>
          </w:tcPr>
          <w:p w14:paraId="6BBF11C7">
            <w:pPr>
              <w:tabs>
                <w:tab w:val="left" w:pos="0"/>
              </w:tabs>
              <w:snapToGrid w:val="0"/>
              <w:jc w:val="center"/>
              <w:rPr>
                <w:rFonts w:ascii="仿宋" w:hAnsi="仿宋" w:eastAsia="仿宋" w:cs="仿宋"/>
                <w:color w:val="auto"/>
                <w:highlight w:val="none"/>
              </w:rPr>
            </w:pPr>
            <w:r>
              <w:rPr>
                <w:rFonts w:hint="eastAsia" w:ascii="仿宋" w:hAnsi="仿宋" w:eastAsia="仿宋" w:cs="仿宋"/>
                <w:color w:val="auto"/>
                <w:highlight w:val="none"/>
              </w:rPr>
              <w:t>简要规格描述或基本情况介绍</w:t>
            </w:r>
          </w:p>
        </w:tc>
      </w:tr>
      <w:tr w14:paraId="617D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391" w:type="pct"/>
            <w:tcMar>
              <w:top w:w="15" w:type="dxa"/>
              <w:left w:w="15" w:type="dxa"/>
              <w:bottom w:w="0" w:type="dxa"/>
              <w:right w:w="15" w:type="dxa"/>
            </w:tcMar>
            <w:vAlign w:val="center"/>
          </w:tcPr>
          <w:p w14:paraId="4B504621">
            <w:pPr>
              <w:tabs>
                <w:tab w:val="left" w:pos="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824" w:type="pct"/>
            <w:tcMar>
              <w:top w:w="15" w:type="dxa"/>
              <w:left w:w="15" w:type="dxa"/>
              <w:bottom w:w="0" w:type="dxa"/>
              <w:right w:w="15" w:type="dxa"/>
            </w:tcMar>
            <w:vAlign w:val="center"/>
          </w:tcPr>
          <w:p w14:paraId="266CF2F5">
            <w:pPr>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故宫朱氏碑帖馆布展项目</w:t>
            </w:r>
          </w:p>
        </w:tc>
        <w:tc>
          <w:tcPr>
            <w:tcW w:w="379" w:type="pct"/>
            <w:tcMar>
              <w:top w:w="15" w:type="dxa"/>
              <w:left w:w="15" w:type="dxa"/>
              <w:bottom w:w="0" w:type="dxa"/>
              <w:right w:w="15" w:type="dxa"/>
            </w:tcMar>
            <w:vAlign w:val="center"/>
          </w:tcPr>
          <w:p w14:paraId="643373EF">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422" w:type="pct"/>
            <w:tcMar>
              <w:top w:w="15" w:type="dxa"/>
              <w:left w:w="15" w:type="dxa"/>
              <w:bottom w:w="0" w:type="dxa"/>
              <w:right w:w="15" w:type="dxa"/>
            </w:tcMar>
            <w:vAlign w:val="center"/>
          </w:tcPr>
          <w:p w14:paraId="199527DC">
            <w:pPr>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741" w:type="pct"/>
            <w:vAlign w:val="center"/>
          </w:tcPr>
          <w:p w14:paraId="0896F105">
            <w:pPr>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 </w:t>
            </w:r>
          </w:p>
        </w:tc>
        <w:tc>
          <w:tcPr>
            <w:tcW w:w="2239" w:type="pct"/>
            <w:vAlign w:val="center"/>
          </w:tcPr>
          <w:p w14:paraId="2E9CBCDC">
            <w:pPr>
              <w:tabs>
                <w:tab w:val="left" w:pos="0"/>
              </w:tabs>
              <w:jc w:val="center"/>
              <w:rPr>
                <w:rFonts w:ascii="仿宋" w:hAnsi="仿宋" w:eastAsia="仿宋" w:cs="仿宋"/>
                <w:color w:val="auto"/>
                <w:highlight w:val="none"/>
              </w:rPr>
            </w:pPr>
            <w:r>
              <w:rPr>
                <w:rFonts w:hint="eastAsia" w:ascii="仿宋" w:hAnsi="仿宋" w:eastAsia="仿宋" w:cs="仿宋"/>
                <w:color w:val="auto"/>
                <w:highlight w:val="none"/>
              </w:rPr>
              <w:t>详见二、招标需求</w:t>
            </w:r>
          </w:p>
        </w:tc>
      </w:tr>
    </w:tbl>
    <w:p w14:paraId="1753A84A">
      <w:pPr>
        <w:rPr>
          <w:rFonts w:hint="eastAsia" w:asciiTheme="minorEastAsia" w:hAnsiTheme="minorEastAsia" w:eastAsiaTheme="minorEastAsia" w:cstheme="minorEastAsia"/>
          <w:b/>
          <w:color w:val="auto"/>
          <w:sz w:val="22"/>
          <w:szCs w:val="22"/>
          <w:highlight w:val="none"/>
        </w:rPr>
      </w:pPr>
    </w:p>
    <w:p w14:paraId="5C4103C3">
      <w:pP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注：▲投标人需在投标（开标）一览表中明确投标报价（总价）</w:t>
      </w:r>
      <w:r>
        <w:rPr>
          <w:rFonts w:hint="eastAsia" w:asciiTheme="minorEastAsia" w:hAnsiTheme="minorEastAsia" w:eastAsiaTheme="minorEastAsia" w:cstheme="minorEastAsia"/>
          <w:b/>
          <w:color w:val="auto"/>
          <w:sz w:val="22"/>
          <w:szCs w:val="22"/>
          <w:highlight w:val="none"/>
          <w:lang w:eastAsia="zh-CN"/>
        </w:rPr>
        <w:t>，</w:t>
      </w:r>
      <w:r>
        <w:rPr>
          <w:rFonts w:hint="eastAsia" w:asciiTheme="minorEastAsia" w:hAnsiTheme="minorEastAsia" w:eastAsiaTheme="minorEastAsia" w:cstheme="minorEastAsia"/>
          <w:b/>
          <w:color w:val="auto"/>
          <w:sz w:val="22"/>
          <w:szCs w:val="22"/>
          <w:highlight w:val="none"/>
        </w:rPr>
        <w:t>报价不得超过最高限价。</w:t>
      </w:r>
    </w:p>
    <w:p w14:paraId="64670762">
      <w:pPr>
        <w:rPr>
          <w:rFonts w:hint="eastAsia" w:asciiTheme="minorEastAsia" w:hAnsiTheme="minorEastAsia" w:eastAsiaTheme="minorEastAsia" w:cstheme="minorEastAsia"/>
          <w:b/>
          <w:sz w:val="22"/>
          <w:szCs w:val="22"/>
          <w:highlight w:val="none"/>
        </w:rPr>
      </w:pPr>
    </w:p>
    <w:p w14:paraId="0C46AED1">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0432DCEA">
      <w:pPr>
        <w:pStyle w:val="3"/>
        <w:numPr>
          <w:ilvl w:val="0"/>
          <w:numId w:val="8"/>
        </w:num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采购需求</w:t>
      </w:r>
    </w:p>
    <w:p w14:paraId="3D713D83">
      <w:pPr>
        <w:keepNext w:val="0"/>
        <w:keepLines w:val="0"/>
        <w:pageBreakBefore w:val="0"/>
        <w:widowControl/>
        <w:tabs>
          <w:tab w:val="left" w:pos="0"/>
        </w:tabs>
        <w:kinsoku/>
        <w:wordWrap/>
        <w:overflowPunct/>
        <w:topLinePunct w:val="0"/>
        <w:bidi w:val="0"/>
        <w:adjustRightInd/>
        <w:snapToGrid/>
        <w:spacing w:line="360" w:lineRule="auto"/>
        <w:ind w:firstLine="480"/>
        <w:jc w:val="left"/>
        <w:textAlignment w:val="auto"/>
        <w:outlineLvl w:val="9"/>
        <w:rPr>
          <w:rFonts w:hint="eastAsia" w:ascii="宋体" w:hAnsi="宋体" w:eastAsia="宋体" w:cs="宋体"/>
          <w:b w:val="0"/>
          <w:bCs w:val="0"/>
          <w:color w:val="auto"/>
          <w:sz w:val="24"/>
          <w:szCs w:val="24"/>
          <w:highlight w:val="none"/>
          <w:lang w:eastAsia="zh-CN"/>
        </w:rPr>
      </w:pPr>
      <w:bookmarkStart w:id="26" w:name="_Toc31799"/>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背景</w:t>
      </w:r>
      <w:bookmarkEnd w:id="26"/>
      <w:r>
        <w:rPr>
          <w:rFonts w:hint="eastAsia" w:ascii="宋体" w:hAnsi="宋体" w:eastAsia="宋体" w:cs="宋体"/>
          <w:b/>
          <w:bCs/>
          <w:color w:val="auto"/>
          <w:sz w:val="24"/>
          <w:szCs w:val="24"/>
          <w:highlight w:val="none"/>
          <w:lang w:eastAsia="zh-CN"/>
        </w:rPr>
        <w:t>：</w:t>
      </w:r>
    </w:p>
    <w:p w14:paraId="4A82E972">
      <w:pPr>
        <w:keepNext w:val="0"/>
        <w:keepLines w:val="0"/>
        <w:pageBreakBefore w:val="0"/>
        <w:widowControl/>
        <w:tabs>
          <w:tab w:val="left" w:pos="0"/>
        </w:tabs>
        <w:kinsoku/>
        <w:wordWrap/>
        <w:overflowPunct/>
        <w:topLinePunct w:val="0"/>
        <w:bidi w:val="0"/>
        <w:adjustRightInd/>
        <w:snapToGrid/>
        <w:spacing w:line="360" w:lineRule="auto"/>
        <w:ind w:firstLine="480"/>
        <w:jc w:val="left"/>
        <w:textAlignment w:val="auto"/>
        <w:outlineLvl w:val="9"/>
        <w:rPr>
          <w:rFonts w:hint="eastAsia" w:ascii="宋体" w:hAnsi="宋体" w:eastAsia="宋体" w:cs="宋体"/>
          <w:color w:val="auto"/>
          <w:kern w:val="2"/>
          <w:sz w:val="24"/>
          <w:szCs w:val="24"/>
          <w:highlight w:val="none"/>
          <w:lang w:val="en-US" w:eastAsia="zh-CN"/>
        </w:rPr>
      </w:pPr>
      <w:bookmarkStart w:id="27" w:name="_Toc17807"/>
      <w:r>
        <w:rPr>
          <w:rFonts w:hint="eastAsia" w:ascii="宋体" w:hAnsi="宋体" w:eastAsia="宋体" w:cs="宋体"/>
          <w:color w:val="auto"/>
          <w:kern w:val="2"/>
          <w:sz w:val="24"/>
          <w:szCs w:val="24"/>
          <w:highlight w:val="none"/>
          <w:lang w:val="en-US" w:eastAsia="zh-CN"/>
        </w:rPr>
        <w:t xml:space="preserve">项目位于萧山区新塘街道朱家坛村，东墙门又称“二墙门”，宽 32.4 米，深 49.5 米，占地约 1610 平方米（围墙 </w:t>
      </w:r>
      <w:r>
        <w:rPr>
          <w:rFonts w:hint="default" w:ascii="宋体" w:hAnsi="宋体" w:eastAsia="宋体" w:cs="宋体"/>
          <w:color w:val="auto"/>
          <w:kern w:val="2"/>
          <w:sz w:val="24"/>
          <w:szCs w:val="24"/>
          <w:highlight w:val="none"/>
          <w:lang w:val="en-US" w:eastAsia="zh-CN"/>
        </w:rPr>
        <w:t>以内）。平面三纵三横，呈九宫。三进院落，一进为厅与住房，二进为厅堂，三进为正房。两侧均有厢房，基本按中轴对称布置。除厅堂为高敞的单层外，其余均为二层。</w:t>
      </w:r>
    </w:p>
    <w:p w14:paraId="14938E9D">
      <w:pPr>
        <w:keepNext w:val="0"/>
        <w:keepLines w:val="0"/>
        <w:pageBreakBefore w:val="0"/>
        <w:widowControl/>
        <w:tabs>
          <w:tab w:val="left" w:pos="0"/>
        </w:tabs>
        <w:kinsoku/>
        <w:wordWrap/>
        <w:overflowPunct/>
        <w:topLinePunct w:val="0"/>
        <w:bidi w:val="0"/>
        <w:adjustRightInd/>
        <w:snapToGrid/>
        <w:spacing w:line="360" w:lineRule="auto"/>
        <w:ind w:firstLine="48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故宫朱氏碑帖馆布展秉持传承、严谨、简约而不简单的设计理念，在故宫博物院成立100周年之际 ，该项目依托故宫博物院和中国美术学院等机构的学术资源 ，通过家族史激活文物史，以地方史重构文明史，以朱氏家族捐赠代表性碑帖及其他文物为核心</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串联浙江及萧山地域文脉，打造一个集文化展示、学术研究和公共教育于一体的综合性文化平台。</w:t>
      </w:r>
    </w:p>
    <w:p w14:paraId="53371DB5">
      <w:pPr>
        <w:keepNext w:val="0"/>
        <w:keepLines w:val="0"/>
        <w:pageBreakBefore w:val="0"/>
        <w:widowControl/>
        <w:tabs>
          <w:tab w:val="left" w:pos="0"/>
        </w:tabs>
        <w:kinsoku/>
        <w:wordWrap/>
        <w:overflowPunct/>
        <w:topLinePunct w:val="0"/>
        <w:bidi w:val="0"/>
        <w:adjustRightInd/>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为“布展”项目，内容包括设备的采购、运输、安装、调试、培训和相关维护等。投标报价包括材料费、布展费、安装调试费、培训、税收、售后服务、验收费用、布展需求中未提到但在实际采购和安装过程中需要配置的各种设备、材料及其他费用等须由投标人支付的所有费用。中标单位应派有经验的布展人员对布展现场进行实地勘察，对各种设备采购、制造、运输、安装、工期、安全、文明施工进行总承包，一切费用均由中标单位负责。</w:t>
      </w:r>
    </w:p>
    <w:p w14:paraId="6FB80C31">
      <w:pPr>
        <w:keepNext w:val="0"/>
        <w:keepLines w:val="0"/>
        <w:pageBreakBefore w:val="0"/>
        <w:widowControl/>
        <w:tabs>
          <w:tab w:val="left" w:pos="0"/>
        </w:tabs>
        <w:kinsoku/>
        <w:wordWrap/>
        <w:overflowPunct/>
        <w:topLinePunct w:val="0"/>
        <w:bidi w:val="0"/>
        <w:adjustRightInd/>
        <w:snapToGrid/>
        <w:spacing w:line="360" w:lineRule="auto"/>
        <w:ind w:firstLine="48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故宫朱氏碑帖馆项目以朱氏家族捐赠代表性碑帖及其他文物为核心</w:t>
      </w:r>
      <w:r>
        <w:rPr>
          <w:rFonts w:hint="eastAsia" w:ascii="宋体" w:hAnsi="宋体" w:cs="宋体"/>
          <w:color w:val="auto"/>
          <w:kern w:val="2"/>
          <w:sz w:val="24"/>
          <w:szCs w:val="24"/>
          <w:highlight w:val="none"/>
          <w:lang w:val="en-US" w:eastAsia="zh-CN"/>
        </w:rPr>
        <w:t>，体现</w:t>
      </w:r>
      <w:r>
        <w:rPr>
          <w:rFonts w:hint="eastAsia" w:ascii="宋体" w:hAnsi="宋体" w:eastAsia="宋体" w:cs="宋体"/>
          <w:color w:val="auto"/>
          <w:kern w:val="2"/>
          <w:sz w:val="24"/>
          <w:szCs w:val="24"/>
          <w:highlight w:val="none"/>
          <w:lang w:val="en-US" w:eastAsia="zh-CN"/>
        </w:rPr>
        <w:t>朱氏家族文脉与故宫碑帖捐赠的深度关联</w:t>
      </w:r>
      <w:r>
        <w:rPr>
          <w:rFonts w:hint="eastAsia" w:ascii="宋体" w:hAnsi="宋体" w:cs="宋体"/>
          <w:color w:val="auto"/>
          <w:kern w:val="2"/>
          <w:sz w:val="24"/>
          <w:szCs w:val="24"/>
          <w:highlight w:val="none"/>
          <w:lang w:val="en-US" w:eastAsia="zh-CN"/>
        </w:rPr>
        <w:t>。</w:t>
      </w:r>
    </w:p>
    <w:p w14:paraId="6E9EFFB1">
      <w:pPr>
        <w:keepNext w:val="0"/>
        <w:keepLines w:val="0"/>
        <w:pageBreakBefore w:val="0"/>
        <w:widowControl/>
        <w:tabs>
          <w:tab w:val="left" w:pos="0"/>
        </w:tabs>
        <w:kinsoku/>
        <w:wordWrap/>
        <w:overflowPunct/>
        <w:topLinePunct w:val="0"/>
        <w:bidi w:val="0"/>
        <w:adjustRightInd/>
        <w:snapToGrid/>
        <w:spacing w:line="360" w:lineRule="auto"/>
        <w:ind w:firstLine="48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在软条件允许的情况下寻找朱文钧及其朱氏家族故宫捐赠的历史文献资料、文物，挖掘萧山朱氏对故宫所作的贡献。串联浙江及萧山地域文脉，打造一个集文化展示、学术研究和公共教育于一体的综合性文化平台。</w:t>
      </w:r>
      <w:bookmarkEnd w:id="27"/>
    </w:p>
    <w:p w14:paraId="23360BF7">
      <w:pPr>
        <w:keepNext w:val="0"/>
        <w:keepLines w:val="0"/>
        <w:pageBreakBefore w:val="0"/>
        <w:widowControl/>
        <w:numPr>
          <w:ilvl w:val="0"/>
          <w:numId w:val="0"/>
        </w:numPr>
        <w:suppressLineNumbers w:val="0"/>
        <w:tabs>
          <w:tab w:val="left" w:pos="0"/>
        </w:tabs>
        <w:kinsoku/>
        <w:wordWrap/>
        <w:overflowPunct/>
        <w:topLinePunct w:val="0"/>
        <w:bidi w:val="0"/>
        <w:adjustRightInd/>
        <w:spacing w:line="360" w:lineRule="auto"/>
        <w:ind w:firstLine="48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指导思想：</w:t>
      </w:r>
    </w:p>
    <w:p w14:paraId="6A87D0B4">
      <w:pPr>
        <w:widowControl/>
        <w:tabs>
          <w:tab w:val="left" w:pos="0"/>
        </w:tabs>
        <w:adjustRightInd/>
        <w:spacing w:after="0" w:line="360" w:lineRule="auto"/>
        <w:ind w:firstLine="48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尊重原建筑本体和环境，岁月是最好的设计师。旧址有旧址的气韵。实行轻干预。在原有基础上不改变老建筑结构，布展以外加形式拼装模组，实现节约环保。展示朱凤标个人历史贡献，也是新塘历史生活文化的研究，新塘人自强不惜勇于拼搏的文化精髓。他是新塘历史成功人物的缩影。设计更注重精神层面的关联。参观故居，体味精髓。成为专家、学者的交流地。</w:t>
      </w:r>
    </w:p>
    <w:p w14:paraId="0E7D9264">
      <w:pPr>
        <w:keepNext w:val="0"/>
        <w:keepLines w:val="0"/>
        <w:pageBreakBefore w:val="0"/>
        <w:widowControl/>
        <w:tabs>
          <w:tab w:val="left" w:pos="0"/>
        </w:tabs>
        <w:kinsoku/>
        <w:wordWrap/>
        <w:overflowPunct/>
        <w:topLinePunct w:val="0"/>
        <w:bidi w:val="0"/>
        <w:adjustRightInd/>
        <w:snapToGrid/>
        <w:spacing w:line="360" w:lineRule="auto"/>
        <w:ind w:firstLine="48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服务原则：</w:t>
      </w:r>
    </w:p>
    <w:p w14:paraId="0CF650A3">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坚持总体概括与重点展示相结合、宣传教育与参与互动相结合、精致美观与经久耐用相结合、高科技与人性化设计相结合的原则。</w:t>
      </w:r>
    </w:p>
    <w:p w14:paraId="07DA9B75">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布展要坚持高质量、高水平、精致大气的原则。</w:t>
      </w:r>
    </w:p>
    <w:p w14:paraId="0D745CA7">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布展要充分体现原创性和</w:t>
      </w:r>
      <w:r>
        <w:rPr>
          <w:rFonts w:hint="eastAsia" w:ascii="宋体" w:hAnsi="宋体" w:eastAsia="宋体" w:cs="宋体"/>
          <w:color w:val="auto"/>
          <w:sz w:val="24"/>
          <w:szCs w:val="24"/>
          <w:highlight w:val="none"/>
          <w:lang w:val="en-US" w:eastAsia="zh-CN"/>
        </w:rPr>
        <w:t>朱凤标故居的文化</w:t>
      </w:r>
      <w:r>
        <w:rPr>
          <w:rFonts w:hint="eastAsia" w:ascii="宋体" w:hAnsi="宋体" w:eastAsia="宋体" w:cs="宋体"/>
          <w:color w:val="auto"/>
          <w:sz w:val="24"/>
          <w:szCs w:val="24"/>
          <w:highlight w:val="none"/>
        </w:rPr>
        <w:t>特色。</w:t>
      </w:r>
    </w:p>
    <w:p w14:paraId="79F5552C">
      <w:pPr>
        <w:widowControl/>
        <w:tabs>
          <w:tab w:val="left" w:pos="0"/>
        </w:tabs>
        <w:adjustRightInd/>
        <w:spacing w:after="0" w:line="360" w:lineRule="auto"/>
        <w:ind w:firstLine="48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布展内容要</w:t>
      </w:r>
      <w:r>
        <w:rPr>
          <w:rFonts w:hint="eastAsia" w:ascii="宋体" w:hAnsi="宋体" w:eastAsia="宋体" w:cs="宋体"/>
          <w:color w:val="auto"/>
          <w:sz w:val="24"/>
          <w:szCs w:val="24"/>
          <w:highlight w:val="none"/>
          <w:lang w:val="en-US" w:eastAsia="zh-CN"/>
        </w:rPr>
        <w:t>翔实、丰富</w:t>
      </w:r>
      <w:r>
        <w:rPr>
          <w:rFonts w:hint="eastAsia" w:ascii="宋体" w:hAnsi="宋体" w:eastAsia="宋体" w:cs="宋体"/>
          <w:color w:val="auto"/>
          <w:sz w:val="24"/>
          <w:szCs w:val="24"/>
          <w:highlight w:val="none"/>
        </w:rPr>
        <w:t>，展示手段要新颖，充分利用图文、模型、多媒体综合演示等为重要展示手段，努力打造特点突出、独具魅力的</w:t>
      </w:r>
      <w:r>
        <w:rPr>
          <w:rFonts w:hint="eastAsia" w:ascii="宋体" w:hAnsi="宋体" w:cs="宋体"/>
          <w:color w:val="auto"/>
          <w:sz w:val="24"/>
          <w:szCs w:val="24"/>
          <w:highlight w:val="none"/>
          <w:lang w:val="en-US" w:eastAsia="zh-CN"/>
        </w:rPr>
        <w:t>故居</w:t>
      </w:r>
      <w:r>
        <w:rPr>
          <w:rFonts w:hint="eastAsia" w:ascii="宋体" w:hAnsi="宋体" w:eastAsia="宋体" w:cs="宋体"/>
          <w:color w:val="auto"/>
          <w:sz w:val="24"/>
          <w:szCs w:val="24"/>
          <w:highlight w:val="none"/>
        </w:rPr>
        <w:t>馆</w:t>
      </w:r>
      <w:r>
        <w:rPr>
          <w:rFonts w:hint="eastAsia" w:ascii="宋体" w:hAnsi="宋体" w:cs="宋体"/>
          <w:color w:val="auto"/>
          <w:sz w:val="24"/>
          <w:szCs w:val="24"/>
          <w:highlight w:val="none"/>
          <w:lang w:val="en-US" w:eastAsia="zh-CN"/>
        </w:rPr>
        <w:t>纪念馆</w:t>
      </w:r>
      <w:r>
        <w:rPr>
          <w:rFonts w:hint="eastAsia" w:ascii="宋体" w:hAnsi="宋体" w:eastAsia="宋体" w:cs="宋体"/>
          <w:color w:val="auto"/>
          <w:sz w:val="24"/>
          <w:szCs w:val="24"/>
          <w:highlight w:val="none"/>
        </w:rPr>
        <w:t>。</w:t>
      </w:r>
    </w:p>
    <w:p w14:paraId="3A92C909">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4.采购人有权要求局部修改中标方案中的设计方案，并根据采购人的意愿对方案进行修改。</w:t>
      </w:r>
    </w:p>
    <w:p w14:paraId="4E279213">
      <w:pPr>
        <w:widowControl/>
        <w:tabs>
          <w:tab w:val="left" w:pos="0"/>
        </w:tabs>
        <w:adjustRightInd/>
        <w:spacing w:line="360" w:lineRule="auto"/>
        <w:ind w:firstLine="480" w:firstLineChars="0"/>
        <w:jc w:val="left"/>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5.考虑实施过程中方案可能存在修改，将由业主单位对本次布展进行跟踪审计，以便最终结算。</w:t>
      </w:r>
    </w:p>
    <w:p w14:paraId="54496103">
      <w:pPr>
        <w:widowControl/>
        <w:tabs>
          <w:tab w:val="left" w:pos="0"/>
        </w:tabs>
        <w:adjustRightInd/>
        <w:spacing w:line="360" w:lineRule="auto"/>
        <w:ind w:firstLine="480" w:firstLineChars="0"/>
        <w:jc w:val="left"/>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.设计方案必须向上级文旅或文物保护所涉及的相关部门审核通过方可实施。   </w:t>
      </w:r>
    </w:p>
    <w:p w14:paraId="27FCCB21">
      <w:pPr>
        <w:widowControl/>
        <w:tabs>
          <w:tab w:val="left" w:pos="0"/>
        </w:tabs>
        <w:adjustRightInd/>
        <w:spacing w:line="360" w:lineRule="auto"/>
        <w:ind w:firstLine="480" w:firstLineChars="0"/>
        <w:jc w:val="left"/>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目标及范围</w:t>
      </w:r>
      <w:r>
        <w:rPr>
          <w:rFonts w:hint="eastAsia" w:ascii="宋体" w:hAnsi="宋体" w:eastAsia="宋体" w:cs="宋体"/>
          <w:b/>
          <w:bCs/>
          <w:color w:val="auto"/>
          <w:sz w:val="24"/>
          <w:szCs w:val="24"/>
          <w:highlight w:val="none"/>
          <w:lang w:eastAsia="zh-CN"/>
        </w:rPr>
        <w:t>：</w:t>
      </w:r>
    </w:p>
    <w:p w14:paraId="04FD13FA">
      <w:pPr>
        <w:keepNext w:val="0"/>
        <w:keepLines w:val="0"/>
        <w:widowControl/>
        <w:suppressLineNumbers w:val="0"/>
        <w:tabs>
          <w:tab w:val="left" w:pos="0"/>
        </w:tabs>
        <w:adjustRightInd/>
        <w:spacing w:line="360" w:lineRule="auto"/>
        <w:ind w:firstLine="48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充分吸取</w:t>
      </w:r>
      <w:r>
        <w:rPr>
          <w:rFonts w:hint="eastAsia" w:ascii="宋体" w:hAnsi="宋体" w:eastAsia="宋体" w:cs="宋体"/>
          <w:color w:val="auto"/>
          <w:sz w:val="24"/>
          <w:szCs w:val="24"/>
          <w:highlight w:val="none"/>
          <w:lang w:val="en-US" w:eastAsia="zh-CN"/>
        </w:rPr>
        <w:t>国内外</w:t>
      </w:r>
      <w:r>
        <w:rPr>
          <w:rFonts w:hint="eastAsia" w:ascii="宋体" w:hAnsi="宋体" w:eastAsia="宋体" w:cs="宋体"/>
          <w:color w:val="auto"/>
          <w:sz w:val="24"/>
          <w:szCs w:val="24"/>
          <w:highlight w:val="none"/>
        </w:rPr>
        <w:t>先进、成熟展示展览经验，将</w:t>
      </w:r>
      <w:r>
        <w:rPr>
          <w:rFonts w:hint="eastAsia" w:ascii="宋体" w:hAnsi="宋体" w:eastAsia="宋体" w:cs="宋体"/>
          <w:color w:val="auto"/>
          <w:sz w:val="24"/>
          <w:szCs w:val="24"/>
          <w:highlight w:val="none"/>
          <w:lang w:val="en-US" w:eastAsia="zh-CN"/>
        </w:rPr>
        <w:t>以朱凤标生平及萧山朱氏起源、传承为依托，还原萧山朱氏勤政报国、厚德载物的优秀家风。</w:t>
      </w:r>
      <w:r>
        <w:rPr>
          <w:rFonts w:hint="eastAsia" w:ascii="宋体" w:hAnsi="宋体" w:eastAsia="宋体" w:cs="宋体"/>
          <w:color w:val="auto"/>
          <w:sz w:val="24"/>
          <w:szCs w:val="24"/>
          <w:highlight w:val="none"/>
        </w:rPr>
        <w:t>包含创意设计方案、效果设计和涉及本项目的专项设计；</w:t>
      </w:r>
    </w:p>
    <w:p w14:paraId="35D3FC12">
      <w:pPr>
        <w:widowControl/>
        <w:tabs>
          <w:tab w:val="left" w:pos="0"/>
        </w:tabs>
        <w:adjustRightInd/>
        <w:spacing w:line="360" w:lineRule="auto"/>
        <w:ind w:firstLine="480"/>
        <w:jc w:val="left"/>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布展</w:t>
      </w:r>
      <w:r>
        <w:rPr>
          <w:rFonts w:hint="eastAsia" w:ascii="宋体" w:hAnsi="宋体" w:eastAsia="宋体" w:cs="宋体"/>
          <w:color w:val="auto"/>
          <w:sz w:val="24"/>
          <w:szCs w:val="24"/>
          <w:highlight w:val="none"/>
        </w:rPr>
        <w:t>范围：包括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范围内的</w:t>
      </w:r>
      <w:r>
        <w:rPr>
          <w:rFonts w:hint="eastAsia" w:ascii="宋体" w:hAnsi="宋体" w:eastAsia="宋体" w:cs="宋体"/>
          <w:color w:val="auto"/>
          <w:sz w:val="24"/>
          <w:szCs w:val="24"/>
          <w:highlight w:val="none"/>
          <w:lang w:val="en-US" w:eastAsia="zh-CN"/>
        </w:rPr>
        <w:t>深化设计、设备采购、多媒体制作、图文布展、氛围营造等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质保</w:t>
      </w:r>
      <w:r>
        <w:rPr>
          <w:rFonts w:hint="eastAsia" w:ascii="宋体" w:hAnsi="宋体" w:eastAsia="宋体" w:cs="宋体"/>
          <w:color w:val="auto"/>
          <w:sz w:val="24"/>
          <w:szCs w:val="24"/>
          <w:highlight w:val="none"/>
        </w:rPr>
        <w:t>期内的服务及设备更换维修等。</w:t>
      </w:r>
      <w:r>
        <w:rPr>
          <w:rFonts w:hint="eastAsia" w:ascii="宋体" w:hAnsi="宋体" w:eastAsia="宋体" w:cs="宋体"/>
          <w:color w:val="auto"/>
          <w:sz w:val="24"/>
          <w:szCs w:val="24"/>
          <w:highlight w:val="none"/>
          <w:lang w:val="en-US" w:eastAsia="zh-CN"/>
        </w:rPr>
        <w:t>质保</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为贰年。</w:t>
      </w:r>
      <w:bookmarkStart w:id="28" w:name="_Toc21177"/>
    </w:p>
    <w:p w14:paraId="63643196">
      <w:pPr>
        <w:widowControl/>
        <w:tabs>
          <w:tab w:val="left" w:pos="0"/>
        </w:tabs>
        <w:adjustRightInd/>
        <w:spacing w:line="360" w:lineRule="auto"/>
        <w:ind w:firstLine="480"/>
        <w:jc w:val="left"/>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布展内容：</w:t>
      </w:r>
    </w:p>
    <w:p w14:paraId="63BF1353">
      <w:pPr>
        <w:widowControl/>
        <w:tabs>
          <w:tab w:val="left" w:pos="0"/>
        </w:tabs>
        <w:adjustRightInd/>
        <w:spacing w:line="360" w:lineRule="auto"/>
        <w:ind w:firstLine="480"/>
        <w:jc w:val="left"/>
        <w:outlineLvl w:val="9"/>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依托故宫博物院和中国美术学院等机构的学术资源 ，通过家族史激活文物史 ，以地方史重构文明史。本次布展分为序厅、第一、第二、第三及第四展厅，五个单元介绍朱氏家族捐赠故宫代表性碑帖杭州的展示中心。</w:t>
      </w:r>
    </w:p>
    <w:p w14:paraId="70DB4619">
      <w:pPr>
        <w:widowControl/>
        <w:tabs>
          <w:tab w:val="left" w:pos="0"/>
        </w:tabs>
        <w:adjustRightInd/>
        <w:spacing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设计与实施的</w:t>
      </w:r>
      <w:r>
        <w:rPr>
          <w:rFonts w:hint="eastAsia" w:ascii="宋体" w:hAnsi="宋体" w:eastAsia="宋体" w:cs="宋体"/>
          <w:b/>
          <w:bCs/>
          <w:color w:val="auto"/>
          <w:sz w:val="24"/>
          <w:szCs w:val="24"/>
          <w:highlight w:val="none"/>
          <w:lang w:val="en-US" w:eastAsia="zh-CN"/>
        </w:rPr>
        <w:t>方向</w:t>
      </w:r>
      <w:r>
        <w:rPr>
          <w:rFonts w:hint="eastAsia" w:ascii="宋体" w:hAnsi="宋体" w:eastAsia="宋体" w:cs="宋体"/>
          <w:b/>
          <w:bCs/>
          <w:color w:val="auto"/>
          <w:sz w:val="24"/>
          <w:szCs w:val="24"/>
          <w:highlight w:val="none"/>
        </w:rPr>
        <w:t>及说明</w:t>
      </w:r>
      <w:r>
        <w:rPr>
          <w:rFonts w:hint="eastAsia" w:ascii="宋体" w:hAnsi="宋体" w:eastAsia="宋体" w:cs="宋体"/>
          <w:b/>
          <w:bCs/>
          <w:color w:val="auto"/>
          <w:sz w:val="24"/>
          <w:szCs w:val="24"/>
          <w:highlight w:val="none"/>
          <w:lang w:eastAsia="zh-CN"/>
        </w:rPr>
        <w:t>：</w:t>
      </w:r>
    </w:p>
    <w:p w14:paraId="689B4A54">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主题要求</w:t>
      </w:r>
    </w:p>
    <w:p w14:paraId="6AA4874E">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根据布展纲要和各自设计思路，投标单位自主</w:t>
      </w:r>
      <w:r>
        <w:rPr>
          <w:rFonts w:hint="eastAsia" w:ascii="宋体" w:hAnsi="宋体" w:eastAsia="宋体" w:cs="宋体"/>
          <w:color w:val="auto"/>
          <w:sz w:val="24"/>
          <w:szCs w:val="24"/>
          <w:highlight w:val="none"/>
          <w:lang w:val="en-US" w:eastAsia="zh-CN"/>
        </w:rPr>
        <w:t>深化</w:t>
      </w:r>
      <w:r>
        <w:rPr>
          <w:rFonts w:hint="eastAsia" w:ascii="宋体" w:hAnsi="宋体" w:eastAsia="宋体" w:cs="宋体"/>
          <w:color w:val="auto"/>
          <w:sz w:val="24"/>
          <w:szCs w:val="24"/>
          <w:highlight w:val="none"/>
        </w:rPr>
        <w:t>设计布展流线、布展分区、展示方式等内容；展示内容要以</w:t>
      </w:r>
      <w:r>
        <w:rPr>
          <w:rFonts w:hint="eastAsia" w:ascii="宋体" w:hAnsi="宋体" w:eastAsia="宋体" w:cs="宋体"/>
          <w:color w:val="auto"/>
          <w:sz w:val="24"/>
          <w:szCs w:val="24"/>
          <w:highlight w:val="none"/>
          <w:lang w:val="en-US" w:eastAsia="zh-CN"/>
        </w:rPr>
        <w:t>朱凤标为主线</w:t>
      </w:r>
      <w:r>
        <w:rPr>
          <w:rFonts w:hint="eastAsia" w:ascii="宋体" w:hAnsi="宋体" w:eastAsia="宋体" w:cs="宋体"/>
          <w:color w:val="auto"/>
          <w:sz w:val="24"/>
          <w:szCs w:val="24"/>
          <w:highlight w:val="none"/>
        </w:rPr>
        <w:t>，要采用图文、多媒体等多种展示手段进行设计，内容要引人入胜，通过展览要激发观众的热情和信心。</w:t>
      </w:r>
    </w:p>
    <w:p w14:paraId="7ACABA61">
      <w:pPr>
        <w:widowControl/>
        <w:numPr>
          <w:ilvl w:val="0"/>
          <w:numId w:val="9"/>
        </w:numPr>
        <w:tabs>
          <w:tab w:val="left" w:pos="0"/>
          <w:tab w:val="clear" w:pos="312"/>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布展</w:t>
      </w:r>
      <w:r>
        <w:rPr>
          <w:rFonts w:hint="eastAsia" w:ascii="宋体" w:hAnsi="宋体" w:eastAsia="宋体" w:cs="宋体"/>
          <w:color w:val="auto"/>
          <w:sz w:val="24"/>
          <w:szCs w:val="24"/>
          <w:highlight w:val="none"/>
        </w:rPr>
        <w:t>空间设计要求</w:t>
      </w:r>
    </w:p>
    <w:p w14:paraId="7448945F">
      <w:pPr>
        <w:widowControl/>
        <w:numPr>
          <w:ilvl w:val="0"/>
          <w:numId w:val="0"/>
        </w:numPr>
        <w:tabs>
          <w:tab w:val="left" w:pos="0"/>
        </w:tabs>
        <w:adjustRightInd/>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要求构思新颖，具有动感；展示重点突出，创造亮点空间；具有高科技含量；风格简洁；材料环保；做到声、光、电一体化</w:t>
      </w:r>
      <w:r>
        <w:rPr>
          <w:rFonts w:hint="eastAsia" w:ascii="宋体" w:hAnsi="宋体" w:eastAsia="宋体" w:cs="宋体"/>
          <w:color w:val="auto"/>
          <w:sz w:val="24"/>
          <w:szCs w:val="24"/>
          <w:highlight w:val="none"/>
          <w:lang w:eastAsia="zh-CN"/>
        </w:rPr>
        <w:t>。</w:t>
      </w:r>
    </w:p>
    <w:p w14:paraId="3DFD5427">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布展流线要求</w:t>
      </w:r>
    </w:p>
    <w:p w14:paraId="4677B3CB">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布展流线顺畅，避免出现人流交叉现象，布展要考虑不同参观对象的不同需求，考虑人性化设计，无障碍设计。</w:t>
      </w:r>
    </w:p>
    <w:p w14:paraId="68794C76">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设计原则要求</w:t>
      </w:r>
    </w:p>
    <w:p w14:paraId="1CB80483">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w:t>
      </w:r>
      <w:r>
        <w:rPr>
          <w:rFonts w:hint="eastAsia" w:ascii="宋体" w:hAnsi="宋体" w:eastAsia="宋体" w:cs="宋体"/>
          <w:color w:val="auto"/>
          <w:sz w:val="24"/>
          <w:szCs w:val="24"/>
          <w:highlight w:val="none"/>
        </w:rPr>
        <w:t>内容与形式的完美统一</w:t>
      </w:r>
    </w:p>
    <w:p w14:paraId="6E039B5A">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设计是展示内容设计的“物化”，必须忠实于展示的主题和内容，必须是对展示内容准确和完整的表达。因此，要求艺术表现元素与主题和内容高度吻合，做到主题突出，形式多样，内容与形式完美统一。展示手段的选择和应用，要视展示内容表现的实际需要而定，适当结合多媒体展示，要以最有利于表现展览的主题和内容为原则，不能为表现而表现，更不能哗众取宠。</w:t>
      </w:r>
    </w:p>
    <w:p w14:paraId="1FF9C1F0">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rPr>
        <w:t>展示重点和亮点突出</w:t>
      </w:r>
    </w:p>
    <w:p w14:paraId="507E9E62">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通过对展示传播目的、展示的主题和内容分析的基础上，准确理解和把握展示各部分和单元的重点和亮点，做到重点和亮点突出，形式表现创意有新意，且视觉新颖，造型独特，有很强的吸引力。考虑到</w:t>
      </w:r>
      <w:r>
        <w:rPr>
          <w:rFonts w:hint="eastAsia" w:ascii="宋体" w:hAnsi="宋体" w:cs="宋体"/>
          <w:color w:val="auto"/>
          <w:sz w:val="24"/>
          <w:szCs w:val="24"/>
          <w:highlight w:val="none"/>
          <w:lang w:val="en-US" w:eastAsia="zh-CN"/>
        </w:rPr>
        <w:t>朱凤标故居纪念馆</w:t>
      </w:r>
      <w:r>
        <w:rPr>
          <w:rFonts w:hint="eastAsia" w:ascii="宋体" w:hAnsi="宋体" w:eastAsia="宋体" w:cs="宋体"/>
          <w:color w:val="auto"/>
          <w:sz w:val="24"/>
          <w:szCs w:val="24"/>
          <w:highlight w:val="none"/>
        </w:rPr>
        <w:t>展示内容的丰富性。本次布展包含了</w:t>
      </w:r>
      <w:r>
        <w:rPr>
          <w:rFonts w:hint="eastAsia" w:ascii="宋体" w:hAnsi="宋体" w:cs="宋体"/>
          <w:color w:val="auto"/>
          <w:sz w:val="24"/>
          <w:szCs w:val="24"/>
          <w:highlight w:val="none"/>
          <w:lang w:val="en-US" w:eastAsia="zh-CN"/>
        </w:rPr>
        <w:t>朱凤标</w:t>
      </w:r>
      <w:r>
        <w:rPr>
          <w:rFonts w:hint="eastAsia" w:ascii="宋体" w:hAnsi="宋体" w:eastAsia="宋体" w:cs="宋体"/>
          <w:color w:val="auto"/>
          <w:sz w:val="24"/>
          <w:szCs w:val="24"/>
          <w:highlight w:val="none"/>
        </w:rPr>
        <w:t>及其</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人的采访，记录</w:t>
      </w:r>
      <w:r>
        <w:rPr>
          <w:rFonts w:hint="eastAsia" w:ascii="宋体" w:hAnsi="宋体" w:cs="宋体"/>
          <w:color w:val="auto"/>
          <w:sz w:val="24"/>
          <w:szCs w:val="24"/>
          <w:highlight w:val="none"/>
          <w:lang w:val="en-US" w:eastAsia="zh-CN"/>
        </w:rPr>
        <w:t>萧山朱氏后人及故宫相关工作人员拍摄</w:t>
      </w:r>
      <w:r>
        <w:rPr>
          <w:rFonts w:hint="eastAsia" w:ascii="宋体" w:hAnsi="宋体" w:eastAsia="宋体" w:cs="宋体"/>
          <w:color w:val="auto"/>
          <w:sz w:val="24"/>
          <w:szCs w:val="24"/>
          <w:highlight w:val="none"/>
        </w:rPr>
        <w:t>访谈，后续剪辑处理等一系列的服务内容也是本次展览亮点。</w:t>
      </w:r>
    </w:p>
    <w:p w14:paraId="5CE54711">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3展项展品的组合要合理巧妙。</w:t>
      </w:r>
    </w:p>
    <w:p w14:paraId="211EB86E">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图片和声像资料和造型艺术的集合组团要合理、巧妙，要起到传播展示思想、信息和内容的目的；为了达到使观众轻松容易地接受展示要传递的信息，必须清晰、分层地安排展示的信息流，满足不同观众对信息的不同需求。</w:t>
      </w:r>
    </w:p>
    <w:p w14:paraId="54C0B77F">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4空间规划和整体布局的合理性</w:t>
      </w:r>
    </w:p>
    <w:p w14:paraId="5A1240E3">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朱凤标故居纪念馆</w:t>
      </w:r>
      <w:r>
        <w:rPr>
          <w:rFonts w:hint="eastAsia" w:ascii="宋体" w:hAnsi="宋体" w:eastAsia="宋体" w:cs="宋体"/>
          <w:color w:val="auto"/>
          <w:sz w:val="24"/>
          <w:szCs w:val="24"/>
          <w:highlight w:val="none"/>
        </w:rPr>
        <w:t>空间结构、展示内容和参展展品分析研究的基础上，科学合理的划分各单元内容的平面布局和面积分配，做到布局得当，分割有致；科学地安排展示的走向和观众参观动线，做到展线流畅，通透绵延，富有韵律和节奏感。</w:t>
      </w:r>
    </w:p>
    <w:p w14:paraId="2E848303">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5展厅环境和氛围的营造和表现</w:t>
      </w:r>
    </w:p>
    <w:p w14:paraId="73135CF2">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展厅环境和氛围的设计和营造，与展示艺术的轻灵、活泼、流畅和典雅有机结合，营造一种引人入胜、充满艺术感染力的氛围。同时，与建筑空间、展示内容完美结合，相互呼应，相得益彰。既能起到烘托展示内容的作用，又能为观众创造一个舒适、和谐和温馨的参观环境。</w:t>
      </w:r>
    </w:p>
    <w:p w14:paraId="4C8B978B">
      <w:pPr>
        <w:numPr>
          <w:ilvl w:val="0"/>
          <w:numId w:val="0"/>
        </w:num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rPr>
        <w:t>中标单位应保证其</w:t>
      </w:r>
      <w:r>
        <w:rPr>
          <w:rFonts w:hint="eastAsia" w:ascii="宋体" w:hAnsi="宋体" w:eastAsia="宋体" w:cs="宋体"/>
          <w:color w:val="auto"/>
          <w:sz w:val="24"/>
          <w:szCs w:val="24"/>
          <w:highlight w:val="none"/>
          <w:lang w:val="en-US" w:eastAsia="zh-CN"/>
        </w:rPr>
        <w:t>布展</w:t>
      </w:r>
      <w:r>
        <w:rPr>
          <w:rFonts w:hint="eastAsia" w:ascii="宋体" w:hAnsi="宋体" w:eastAsia="宋体" w:cs="宋体"/>
          <w:color w:val="auto"/>
          <w:sz w:val="24"/>
          <w:szCs w:val="24"/>
          <w:highlight w:val="none"/>
        </w:rPr>
        <w:t>设计深化施工图纸，满足国家的规范和标准。</w:t>
      </w:r>
    </w:p>
    <w:p w14:paraId="3B8B263C">
      <w:pPr>
        <w:numPr>
          <w:ilvl w:val="0"/>
          <w:numId w:val="0"/>
        </w:numPr>
        <w:adjustRightInd w:val="0"/>
        <w:snapToGrid w:val="0"/>
        <w:spacing w:line="360" w:lineRule="auto"/>
        <w:ind w:leftChars="200" w:firstLine="240" w:firstLineChars="100"/>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4.7</w:t>
      </w:r>
      <w:r>
        <w:rPr>
          <w:rFonts w:hint="eastAsia" w:ascii="宋体" w:hAnsi="宋体" w:eastAsia="宋体" w:cs="宋体"/>
          <w:b w:val="0"/>
          <w:bCs w:val="0"/>
          <w:color w:val="auto"/>
          <w:kern w:val="0"/>
          <w:sz w:val="24"/>
          <w:szCs w:val="24"/>
          <w:highlight w:val="none"/>
          <w:lang w:val="en-US" w:eastAsia="zh-CN"/>
        </w:rPr>
        <w:t>勘察现场</w:t>
      </w:r>
    </w:p>
    <w:p w14:paraId="6C0CF683">
      <w:pPr>
        <w:numPr>
          <w:ilvl w:val="0"/>
          <w:numId w:val="0"/>
        </w:numPr>
        <w:adjustRightInd w:val="0"/>
        <w:snapToGrid w:val="0"/>
        <w:spacing w:line="360" w:lineRule="auto"/>
        <w:ind w:leftChars="2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不组织，</w:t>
      </w:r>
      <w:r>
        <w:rPr>
          <w:rFonts w:hint="eastAsia" w:ascii="宋体" w:hAnsi="宋体" w:eastAsia="宋体" w:cs="宋体"/>
          <w:color w:val="auto"/>
          <w:sz w:val="24"/>
          <w:szCs w:val="24"/>
          <w:highlight w:val="none"/>
        </w:rPr>
        <w:t>投标人如有需要，经采购人同意后可自行前往。</w:t>
      </w:r>
    </w:p>
    <w:p w14:paraId="48A28A73">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投标人踏勘现场发生的费用自理。</w:t>
      </w:r>
    </w:p>
    <w:p w14:paraId="395E72E5">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除采购人的原因外，投标人自行负责在踏勘现场中所发生的人员伤亡和财产损失。</w:t>
      </w:r>
    </w:p>
    <w:p w14:paraId="7DFD4C1B">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采购人在踏勘现场中介绍的场地和相关的周边环境情况，供投标人在编制投标文件时参考，采购人不对投标人据此作出的判断和决策负责。</w:t>
      </w:r>
    </w:p>
    <w:p w14:paraId="3847A144">
      <w:pPr>
        <w:keepNext w:val="0"/>
        <w:keepLines w:val="0"/>
        <w:pageBreakBefore w:val="0"/>
        <w:widowControl/>
        <w:tabs>
          <w:tab w:val="left" w:pos="0"/>
        </w:tabs>
        <w:kinsoku/>
        <w:wordWrap/>
        <w:overflowPunct/>
        <w:topLinePunct w:val="0"/>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深化</w:t>
      </w:r>
      <w:r>
        <w:rPr>
          <w:rFonts w:hint="eastAsia" w:ascii="宋体" w:hAnsi="宋体" w:eastAsia="宋体" w:cs="宋体"/>
          <w:b/>
          <w:bCs/>
          <w:color w:val="auto"/>
          <w:sz w:val="24"/>
          <w:szCs w:val="24"/>
          <w:highlight w:val="none"/>
        </w:rPr>
        <w:t>设计方案（包括但不限于以下内容）</w:t>
      </w:r>
      <w:r>
        <w:rPr>
          <w:rFonts w:hint="eastAsia" w:ascii="宋体" w:hAnsi="宋体" w:eastAsia="宋体" w:cs="宋体"/>
          <w:b/>
          <w:bCs/>
          <w:color w:val="auto"/>
          <w:sz w:val="24"/>
          <w:szCs w:val="24"/>
          <w:highlight w:val="none"/>
          <w:lang w:eastAsia="zh-CN"/>
        </w:rPr>
        <w:t>：</w:t>
      </w:r>
      <w:bookmarkEnd w:id="28"/>
    </w:p>
    <w:p w14:paraId="3EA08A0C">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布展文字说明：</w:t>
      </w:r>
    </w:p>
    <w:p w14:paraId="4D3B2113">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展览大纲</w:t>
      </w:r>
      <w:r>
        <w:rPr>
          <w:rFonts w:hint="eastAsia" w:ascii="宋体" w:hAnsi="宋体" w:eastAsia="宋体" w:cs="宋体"/>
          <w:color w:val="auto"/>
          <w:sz w:val="24"/>
          <w:szCs w:val="24"/>
          <w:highlight w:val="none"/>
          <w:lang w:val="en-US" w:eastAsia="zh-CN"/>
        </w:rPr>
        <w:t>及展示内容</w:t>
      </w:r>
      <w:r>
        <w:rPr>
          <w:rFonts w:hint="eastAsia" w:ascii="宋体" w:hAnsi="宋体" w:eastAsia="宋体" w:cs="宋体"/>
          <w:color w:val="auto"/>
          <w:sz w:val="24"/>
          <w:szCs w:val="24"/>
          <w:highlight w:val="none"/>
        </w:rPr>
        <w:t>的编写；</w:t>
      </w:r>
    </w:p>
    <w:p w14:paraId="1D833EC9">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总体布展设计构思、布局结构、风格特点；</w:t>
      </w:r>
    </w:p>
    <w:p w14:paraId="34CFCAF6">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布展综合说明书：包括平面布置、流线说明，重要节点的处理和说明；</w:t>
      </w:r>
    </w:p>
    <w:p w14:paraId="2C63057F">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布展设计成果：</w:t>
      </w:r>
    </w:p>
    <w:p w14:paraId="076DB04B">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方案设计说明—设计构想（项目构成及总体构想）；</w:t>
      </w:r>
    </w:p>
    <w:p w14:paraId="325D0694">
      <w:pPr>
        <w:widowControl/>
        <w:tabs>
          <w:tab w:val="left" w:pos="0"/>
        </w:tabs>
        <w:adjustRightInd/>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各功能区平面图、效果图（整体效果图、局部效果图），以及其他能清晰反映思路和形式的相关图纸；</w:t>
      </w:r>
    </w:p>
    <w:p w14:paraId="5007CAA8">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分析图、布展流线图、功能流线分析图、室内外交通、出入口分析图、室内环境分析图及布展效果图；</w:t>
      </w:r>
    </w:p>
    <w:p w14:paraId="698689A5">
      <w:pPr>
        <w:keepNext w:val="0"/>
        <w:keepLines w:val="0"/>
        <w:pageBreakBefore w:val="0"/>
        <w:widowControl/>
        <w:tabs>
          <w:tab w:val="left" w:pos="0"/>
        </w:tabs>
        <w:kinsoku/>
        <w:wordWrap/>
        <w:overflowPunct/>
        <w:topLinePunct w:val="0"/>
        <w:bidi w:val="0"/>
        <w:adjustRightInd/>
        <w:spacing w:line="360" w:lineRule="auto"/>
        <w:ind w:firstLine="48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投标单位可根据自身设计特点，增加图纸或其他表现手段，更为有效的表达布展思路和意图。</w:t>
      </w:r>
    </w:p>
    <w:p w14:paraId="6844D303">
      <w:pPr>
        <w:pStyle w:val="64"/>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平面布局：占地约 1610 平方米左右（围墙</w:t>
      </w:r>
      <w:r>
        <w:rPr>
          <w:rFonts w:hint="default" w:ascii="宋体" w:hAnsi="宋体" w:eastAsia="宋体" w:cs="宋体"/>
          <w:color w:val="auto"/>
          <w:kern w:val="2"/>
          <w:sz w:val="24"/>
          <w:szCs w:val="24"/>
          <w:highlight w:val="none"/>
          <w:lang w:val="en-US" w:eastAsia="zh-CN"/>
        </w:rPr>
        <w:t>以内）</w:t>
      </w:r>
    </w:p>
    <w:p w14:paraId="73F69409">
      <w:pPr>
        <w:pStyle w:val="64"/>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附图：朱凤标故居东墙门内部设计及展陈项目平面图</w:t>
      </w:r>
    </w:p>
    <w:p w14:paraId="3BE362EF">
      <w:pPr>
        <w:rPr>
          <w:rFonts w:hint="default"/>
          <w:color w:val="auto"/>
          <w:highlight w:val="none"/>
          <w:lang w:val="en-US" w:eastAsia="zh-CN"/>
        </w:rPr>
      </w:pPr>
    </w:p>
    <w:p w14:paraId="74B089F8">
      <w:pPr>
        <w:pStyle w:val="64"/>
        <w:ind w:left="0" w:leftChars="0" w:firstLine="0" w:firstLineChars="0"/>
        <w:jc w:val="both"/>
        <w:rPr>
          <w:rFonts w:hint="eastAsia"/>
          <w:color w:val="auto"/>
          <w:highlight w:val="none"/>
          <w:lang w:val="en-US" w:eastAsia="zh-CN"/>
        </w:rPr>
      </w:pPr>
      <w:r>
        <w:rPr>
          <w:rFonts w:hint="eastAsia"/>
          <w:color w:val="auto"/>
          <w:highlight w:val="none"/>
          <w:lang w:val="en-US" w:eastAsia="zh-CN"/>
        </w:rPr>
        <w:drawing>
          <wp:inline distT="0" distB="0" distL="114300" distR="114300">
            <wp:extent cx="5753100" cy="4068445"/>
            <wp:effectExtent l="0" t="0" r="0" b="8255"/>
            <wp:docPr id="1" name="图片 1" descr="萧山朱凤标故居-原始框架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萧山朱凤标故居-原始框架图_00"/>
                    <pic:cNvPicPr>
                      <a:picLocks noChangeAspect="1"/>
                    </pic:cNvPicPr>
                  </pic:nvPicPr>
                  <pic:blipFill>
                    <a:blip r:embed="rId9"/>
                    <a:stretch>
                      <a:fillRect/>
                    </a:stretch>
                  </pic:blipFill>
                  <pic:spPr>
                    <a:xfrm>
                      <a:off x="0" y="0"/>
                      <a:ext cx="5753100" cy="4068445"/>
                    </a:xfrm>
                    <a:prstGeom prst="rect">
                      <a:avLst/>
                    </a:prstGeom>
                  </pic:spPr>
                </pic:pic>
              </a:graphicData>
            </a:graphic>
          </wp:inline>
        </w:drawing>
      </w:r>
    </w:p>
    <w:p w14:paraId="395E9D14">
      <w:pPr>
        <w:pStyle w:val="65"/>
        <w:ind w:firstLine="2249" w:firstLineChars="800"/>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故宫朱氏碑帖馆布展采购需求清单</w:t>
      </w:r>
    </w:p>
    <w:tbl>
      <w:tblPr>
        <w:tblStyle w:val="67"/>
        <w:tblW w:w="53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30"/>
        <w:gridCol w:w="1231"/>
        <w:gridCol w:w="3704"/>
        <w:gridCol w:w="686"/>
        <w:gridCol w:w="752"/>
        <w:gridCol w:w="752"/>
        <w:gridCol w:w="697"/>
        <w:gridCol w:w="697"/>
      </w:tblGrid>
      <w:tr w14:paraId="11C8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64" w:type="pct"/>
            <w:noWrap w:val="0"/>
            <w:vAlign w:val="center"/>
          </w:tcPr>
          <w:p w14:paraId="01E3846D">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大类</w:t>
            </w:r>
          </w:p>
        </w:tc>
        <w:tc>
          <w:tcPr>
            <w:tcW w:w="365" w:type="pct"/>
            <w:noWrap w:val="0"/>
            <w:vAlign w:val="center"/>
          </w:tcPr>
          <w:p w14:paraId="424D4240">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616" w:type="pct"/>
            <w:noWrap w:val="0"/>
            <w:vAlign w:val="center"/>
          </w:tcPr>
          <w:p w14:paraId="4C7DC5AA">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功能名称</w:t>
            </w:r>
          </w:p>
        </w:tc>
        <w:tc>
          <w:tcPr>
            <w:tcW w:w="1856" w:type="pct"/>
            <w:noWrap w:val="0"/>
            <w:vAlign w:val="center"/>
          </w:tcPr>
          <w:p w14:paraId="18745748">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功能参数</w:t>
            </w:r>
          </w:p>
        </w:tc>
        <w:tc>
          <w:tcPr>
            <w:tcW w:w="343" w:type="pct"/>
            <w:noWrap w:val="0"/>
            <w:vAlign w:val="center"/>
          </w:tcPr>
          <w:p w14:paraId="23D792BE">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类型</w:t>
            </w:r>
          </w:p>
        </w:tc>
        <w:tc>
          <w:tcPr>
            <w:tcW w:w="376" w:type="pct"/>
            <w:noWrap w:val="0"/>
            <w:vAlign w:val="center"/>
          </w:tcPr>
          <w:p w14:paraId="12D99522">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376" w:type="pct"/>
            <w:noWrap w:val="0"/>
            <w:vAlign w:val="center"/>
          </w:tcPr>
          <w:p w14:paraId="49FBF2B2">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349" w:type="pct"/>
            <w:noWrap w:val="0"/>
            <w:vAlign w:val="center"/>
          </w:tcPr>
          <w:p w14:paraId="7AF6BC69">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c>
          <w:tcPr>
            <w:tcW w:w="349" w:type="pct"/>
            <w:noWrap w:val="0"/>
            <w:vAlign w:val="center"/>
          </w:tcPr>
          <w:p w14:paraId="15C8D507">
            <w:pPr>
              <w:jc w:val="center"/>
              <w:rPr>
                <w:rFonts w:hint="eastAsia" w:ascii="宋体" w:hAnsi="宋体" w:eastAsia="宋体" w:cs="宋体"/>
                <w:b/>
                <w:bCs/>
                <w:color w:val="auto"/>
                <w:sz w:val="21"/>
                <w:szCs w:val="21"/>
                <w:highlight w:val="none"/>
                <w:lang w:val="en-US" w:eastAsia="zh-CN"/>
              </w:rPr>
            </w:pPr>
          </w:p>
        </w:tc>
      </w:tr>
      <w:tr w14:paraId="20C5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64" w:type="pct"/>
            <w:vMerge w:val="restart"/>
            <w:noWrap w:val="0"/>
            <w:vAlign w:val="center"/>
          </w:tcPr>
          <w:p w14:paraId="0C02CAF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内容策划</w:t>
            </w:r>
            <w:r>
              <w:rPr>
                <w:rFonts w:hint="eastAsia" w:ascii="宋体" w:hAnsi="宋体" w:cs="宋体"/>
                <w:color w:val="auto"/>
                <w:sz w:val="21"/>
                <w:szCs w:val="21"/>
                <w:highlight w:val="none"/>
                <w:lang w:val="en-US" w:eastAsia="zh-CN"/>
              </w:rPr>
              <w:t>与装修设计</w:t>
            </w:r>
          </w:p>
        </w:tc>
        <w:tc>
          <w:tcPr>
            <w:tcW w:w="365" w:type="pct"/>
            <w:noWrap w:val="0"/>
            <w:vAlign w:val="center"/>
          </w:tcPr>
          <w:p w14:paraId="09578E3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16" w:type="pct"/>
            <w:noWrap w:val="0"/>
            <w:vAlign w:val="center"/>
          </w:tcPr>
          <w:p w14:paraId="0AFFBEA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故宫朱氏碑帖馆展陈策划</w:t>
            </w:r>
          </w:p>
        </w:tc>
        <w:tc>
          <w:tcPr>
            <w:tcW w:w="1856" w:type="pct"/>
            <w:noWrap w:val="0"/>
            <w:vAlign w:val="center"/>
          </w:tcPr>
          <w:p w14:paraId="17DC0CF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故宫朱氏碑帖馆展陈大纲进行策划，体现朱氏家族捐赠代表性碑帖及其他文物为核心、朱氏家族文脉与故宫碑帖捐赠的深度关联。梳理展陈内容和展陈路线，做好展示内容的</w:t>
            </w:r>
            <w:r>
              <w:rPr>
                <w:rFonts w:hint="eastAsia" w:ascii="宋体" w:hAnsi="宋体" w:eastAsia="宋体" w:cs="宋体"/>
                <w:color w:val="auto"/>
                <w:sz w:val="21"/>
                <w:szCs w:val="21"/>
                <w:highlight w:val="none"/>
                <w:lang w:val="en-US" w:eastAsia="zh-CN"/>
              </w:rPr>
              <w:t>呈现。</w:t>
            </w:r>
          </w:p>
        </w:tc>
        <w:tc>
          <w:tcPr>
            <w:tcW w:w="343" w:type="pct"/>
            <w:noWrap w:val="0"/>
            <w:vAlign w:val="center"/>
          </w:tcPr>
          <w:p w14:paraId="30469E0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595DAA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75C52F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59AD4C19">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1AB6E4A7">
            <w:pPr>
              <w:jc w:val="left"/>
              <w:rPr>
                <w:rFonts w:hint="eastAsia" w:ascii="宋体" w:hAnsi="宋体" w:eastAsia="宋体" w:cs="宋体"/>
                <w:color w:val="auto"/>
                <w:sz w:val="21"/>
                <w:szCs w:val="21"/>
                <w:highlight w:val="none"/>
                <w:lang w:val="en-US" w:eastAsia="zh-CN"/>
              </w:rPr>
            </w:pPr>
          </w:p>
        </w:tc>
      </w:tr>
      <w:tr w14:paraId="0525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64" w:type="pct"/>
            <w:vMerge w:val="continue"/>
            <w:noWrap w:val="0"/>
            <w:vAlign w:val="center"/>
          </w:tcPr>
          <w:p w14:paraId="5253176F">
            <w:pPr>
              <w:jc w:val="center"/>
              <w:rPr>
                <w:rFonts w:hint="eastAsia" w:ascii="宋体" w:hAnsi="宋体" w:eastAsia="宋体" w:cs="宋体"/>
                <w:color w:val="auto"/>
                <w:sz w:val="21"/>
                <w:szCs w:val="21"/>
                <w:highlight w:val="none"/>
              </w:rPr>
            </w:pPr>
          </w:p>
        </w:tc>
        <w:tc>
          <w:tcPr>
            <w:tcW w:w="365" w:type="pct"/>
            <w:noWrap w:val="0"/>
            <w:vAlign w:val="center"/>
          </w:tcPr>
          <w:p w14:paraId="09A54D9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16" w:type="pct"/>
            <w:noWrap w:val="0"/>
            <w:vAlign w:val="center"/>
          </w:tcPr>
          <w:p w14:paraId="33FBF57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故宫朱氏碑帖馆序厅区块策划</w:t>
            </w:r>
          </w:p>
        </w:tc>
        <w:tc>
          <w:tcPr>
            <w:tcW w:w="1856" w:type="pct"/>
            <w:noWrap w:val="0"/>
            <w:vAlign w:val="center"/>
          </w:tcPr>
          <w:p w14:paraId="6845AE1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故宫朱氏碑帖馆</w:t>
            </w:r>
            <w:r>
              <w:rPr>
                <w:rFonts w:hint="eastAsia" w:ascii="宋体" w:hAnsi="宋体" w:eastAsia="宋体" w:cs="宋体"/>
                <w:color w:val="auto"/>
                <w:sz w:val="21"/>
                <w:szCs w:val="21"/>
                <w:highlight w:val="none"/>
                <w:lang w:val="en-US" w:eastAsia="zh-CN"/>
              </w:rPr>
              <w:t>序厅区块展陈内容进行策划。对纪念馆的序厅进行综合性策划，从展陈内容、展陈方式、展陈物件、展陈形态出发，进行综合性的全馆开篇内容策划</w:t>
            </w:r>
            <w:r>
              <w:rPr>
                <w:rFonts w:hint="eastAsia" w:ascii="宋体" w:hAnsi="宋体" w:cs="宋体"/>
                <w:color w:val="auto"/>
                <w:sz w:val="21"/>
                <w:szCs w:val="21"/>
                <w:highlight w:val="none"/>
                <w:lang w:val="en-US" w:eastAsia="zh-CN"/>
              </w:rPr>
              <w:t>。</w:t>
            </w:r>
          </w:p>
        </w:tc>
        <w:tc>
          <w:tcPr>
            <w:tcW w:w="343" w:type="pct"/>
            <w:noWrap w:val="0"/>
            <w:vAlign w:val="center"/>
          </w:tcPr>
          <w:p w14:paraId="558519C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63EA36C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344CB73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33CED5BB">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7AF15637">
            <w:pPr>
              <w:jc w:val="left"/>
              <w:rPr>
                <w:rFonts w:hint="eastAsia" w:ascii="宋体" w:hAnsi="宋体" w:eastAsia="宋体" w:cs="宋体"/>
                <w:color w:val="auto"/>
                <w:sz w:val="21"/>
                <w:szCs w:val="21"/>
                <w:highlight w:val="none"/>
                <w:lang w:val="en-US" w:eastAsia="zh-CN"/>
              </w:rPr>
            </w:pPr>
          </w:p>
        </w:tc>
      </w:tr>
      <w:tr w14:paraId="0D2F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364" w:type="pct"/>
            <w:vMerge w:val="continue"/>
            <w:noWrap w:val="0"/>
            <w:vAlign w:val="center"/>
          </w:tcPr>
          <w:p w14:paraId="3A183ECC">
            <w:pPr>
              <w:jc w:val="center"/>
              <w:rPr>
                <w:rFonts w:hint="eastAsia" w:ascii="宋体" w:hAnsi="宋体" w:eastAsia="宋体" w:cs="宋体"/>
                <w:color w:val="auto"/>
                <w:sz w:val="21"/>
                <w:szCs w:val="21"/>
                <w:highlight w:val="none"/>
              </w:rPr>
            </w:pPr>
          </w:p>
        </w:tc>
        <w:tc>
          <w:tcPr>
            <w:tcW w:w="365" w:type="pct"/>
            <w:noWrap w:val="0"/>
            <w:vAlign w:val="center"/>
          </w:tcPr>
          <w:p w14:paraId="2B47CDE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16" w:type="pct"/>
            <w:shd w:val="clear" w:color="auto" w:fill="auto"/>
            <w:noWrap w:val="0"/>
            <w:vAlign w:val="center"/>
          </w:tcPr>
          <w:p w14:paraId="5713CC8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故宫朱氏碑帖馆主体区块策划</w:t>
            </w:r>
          </w:p>
        </w:tc>
        <w:tc>
          <w:tcPr>
            <w:tcW w:w="1856" w:type="pct"/>
            <w:shd w:val="clear" w:color="auto" w:fill="auto"/>
            <w:noWrap w:val="0"/>
            <w:vAlign w:val="center"/>
          </w:tcPr>
          <w:p w14:paraId="58A5F84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故宫朱氏碑帖馆</w:t>
            </w:r>
            <w:r>
              <w:rPr>
                <w:rFonts w:hint="eastAsia" w:ascii="宋体" w:hAnsi="宋体" w:eastAsia="宋体" w:cs="宋体"/>
                <w:color w:val="auto"/>
                <w:sz w:val="21"/>
                <w:szCs w:val="21"/>
                <w:highlight w:val="none"/>
                <w:lang w:val="en-US" w:eastAsia="zh-CN"/>
              </w:rPr>
              <w:t>主体区块进行策划。从</w:t>
            </w:r>
            <w:r>
              <w:rPr>
                <w:rFonts w:hint="eastAsia" w:ascii="宋体" w:hAnsi="宋体" w:cs="宋体"/>
                <w:color w:val="auto"/>
                <w:sz w:val="21"/>
                <w:szCs w:val="21"/>
                <w:highlight w:val="none"/>
                <w:lang w:val="en-US" w:eastAsia="zh-CN"/>
              </w:rPr>
              <w:t>朱氏家族捐赠代表性碑帖为核心</w:t>
            </w:r>
            <w:r>
              <w:rPr>
                <w:rFonts w:hint="eastAsia" w:ascii="宋体" w:hAnsi="宋体" w:eastAsia="宋体" w:cs="宋体"/>
                <w:color w:val="auto"/>
                <w:sz w:val="21"/>
                <w:szCs w:val="21"/>
                <w:highlight w:val="none"/>
                <w:lang w:val="en-US" w:eastAsia="zh-CN"/>
              </w:rPr>
              <w:t>进行整体的展陈策划，要求、亮点突出、分区合理。</w:t>
            </w:r>
          </w:p>
        </w:tc>
        <w:tc>
          <w:tcPr>
            <w:tcW w:w="343" w:type="pct"/>
            <w:noWrap w:val="0"/>
            <w:vAlign w:val="center"/>
          </w:tcPr>
          <w:p w14:paraId="5B70AA5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3D5D2D7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02E3B16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5896A43C">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5FB7B7A8">
            <w:pPr>
              <w:jc w:val="left"/>
              <w:rPr>
                <w:rFonts w:hint="eastAsia" w:ascii="宋体" w:hAnsi="宋体" w:eastAsia="宋体" w:cs="宋体"/>
                <w:color w:val="auto"/>
                <w:sz w:val="21"/>
                <w:szCs w:val="21"/>
                <w:highlight w:val="none"/>
                <w:lang w:val="en-US" w:eastAsia="zh-CN"/>
              </w:rPr>
            </w:pPr>
          </w:p>
        </w:tc>
      </w:tr>
      <w:tr w14:paraId="6D5F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364" w:type="pct"/>
            <w:vMerge w:val="continue"/>
            <w:noWrap w:val="0"/>
            <w:vAlign w:val="center"/>
          </w:tcPr>
          <w:p w14:paraId="449B8F0E">
            <w:pPr>
              <w:jc w:val="center"/>
              <w:rPr>
                <w:rFonts w:hint="eastAsia" w:ascii="宋体" w:hAnsi="宋体" w:eastAsia="宋体" w:cs="宋体"/>
                <w:color w:val="auto"/>
                <w:sz w:val="21"/>
                <w:szCs w:val="21"/>
                <w:highlight w:val="none"/>
              </w:rPr>
            </w:pPr>
          </w:p>
        </w:tc>
        <w:tc>
          <w:tcPr>
            <w:tcW w:w="365" w:type="pct"/>
            <w:noWrap w:val="0"/>
            <w:vAlign w:val="center"/>
          </w:tcPr>
          <w:p w14:paraId="5AF243A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16" w:type="pct"/>
            <w:shd w:val="clear" w:color="auto" w:fill="auto"/>
            <w:noWrap w:val="0"/>
            <w:vAlign w:val="center"/>
          </w:tcPr>
          <w:p w14:paraId="225E679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故宫朱氏碑帖馆场景复原区块策划</w:t>
            </w:r>
          </w:p>
        </w:tc>
        <w:tc>
          <w:tcPr>
            <w:tcW w:w="1856" w:type="pct"/>
            <w:shd w:val="clear" w:color="auto" w:fill="auto"/>
            <w:noWrap w:val="0"/>
            <w:vAlign w:val="center"/>
          </w:tcPr>
          <w:p w14:paraId="717EC73B">
            <w:pPr>
              <w:pStyle w:val="4"/>
              <w:keepNext w:val="0"/>
              <w:keepLines w:val="0"/>
              <w:widowControl/>
              <w:suppressLineNumbers w:val="0"/>
              <w:shd w:val="clear" w:fill="FFFFFF"/>
              <w:spacing w:before="274" w:beforeAutospacing="0" w:after="206" w:afterAutospacing="0" w:line="23" w:lineRule="atLeast"/>
              <w:ind w:left="0" w:right="0" w:firstLine="0"/>
              <w:rPr>
                <w:rFonts w:ascii="Segoe UI" w:hAnsi="Segoe UI" w:eastAsia="Segoe UI" w:cs="Segoe UI"/>
                <w:b/>
                <w:bCs/>
                <w:i w:val="0"/>
                <w:iCs w:val="0"/>
                <w:caps w:val="0"/>
                <w:color w:val="404040"/>
                <w:spacing w:val="0"/>
                <w:sz w:val="27"/>
                <w:szCs w:val="27"/>
                <w:highlight w:val="none"/>
              </w:rPr>
            </w:pPr>
            <w:r>
              <w:rPr>
                <w:rFonts w:hint="eastAsia" w:ascii="宋体" w:hAnsi="宋体" w:eastAsia="宋体" w:cs="宋体"/>
                <w:b w:val="0"/>
                <w:bCs w:val="0"/>
                <w:color w:val="auto"/>
                <w:kern w:val="2"/>
                <w:sz w:val="21"/>
                <w:szCs w:val="21"/>
                <w:highlight w:val="none"/>
                <w:lang w:val="en-US" w:eastAsia="zh-CN" w:bidi="ar-SA"/>
              </w:rPr>
              <w:t>对故宫朱氏碑帖馆场景复原区块进行策划。通过对朱文钧生平的梳理，选取有代表性的场景、节点进行场景还原，场景要能很好的反映</w:t>
            </w:r>
            <w:r>
              <w:rPr>
                <w:rFonts w:hint="default" w:ascii="宋体" w:hAnsi="宋体" w:eastAsia="宋体" w:cs="宋体"/>
                <w:b w:val="0"/>
                <w:bCs w:val="0"/>
                <w:color w:val="auto"/>
                <w:kern w:val="2"/>
                <w:sz w:val="21"/>
                <w:szCs w:val="21"/>
                <w:highlight w:val="none"/>
                <w:lang w:val="en-US" w:eastAsia="zh-CN" w:bidi="ar-SA"/>
              </w:rPr>
              <w:t>家国情怀与“化私为公”的奉献精神</w:t>
            </w:r>
            <w:r>
              <w:rPr>
                <w:rFonts w:hint="eastAsia" w:ascii="宋体" w:hAnsi="宋体" w:eastAsia="宋体" w:cs="宋体"/>
                <w:b w:val="0"/>
                <w:bCs w:val="0"/>
                <w:color w:val="auto"/>
                <w:kern w:val="2"/>
                <w:sz w:val="21"/>
                <w:szCs w:val="21"/>
                <w:highlight w:val="none"/>
                <w:lang w:val="en-US" w:eastAsia="zh-CN" w:bidi="ar-SA"/>
              </w:rPr>
              <w:t>，</w:t>
            </w:r>
            <w:r>
              <w:rPr>
                <w:rFonts w:hint="default" w:ascii="宋体" w:hAnsi="宋体" w:eastAsia="宋体" w:cs="宋体"/>
                <w:b w:val="0"/>
                <w:bCs w:val="0"/>
                <w:color w:val="auto"/>
                <w:kern w:val="2"/>
                <w:sz w:val="21"/>
                <w:szCs w:val="21"/>
                <w:highlight w:val="none"/>
                <w:lang w:val="en-US" w:eastAsia="zh-CN" w:bidi="ar-SA"/>
              </w:rPr>
              <w:t>文化传承的使命感</w:t>
            </w:r>
            <w:r>
              <w:rPr>
                <w:rFonts w:hint="eastAsia" w:ascii="宋体" w:hAnsi="宋体" w:cs="宋体"/>
                <w:b w:val="0"/>
                <w:bCs w:val="0"/>
                <w:color w:val="auto"/>
                <w:kern w:val="2"/>
                <w:sz w:val="21"/>
                <w:szCs w:val="21"/>
                <w:highlight w:val="none"/>
                <w:lang w:val="en-US" w:eastAsia="zh-CN" w:bidi="ar-SA"/>
              </w:rPr>
              <w:t>。</w:t>
            </w:r>
          </w:p>
          <w:p w14:paraId="18013D13">
            <w:pPr>
              <w:jc w:val="left"/>
              <w:rPr>
                <w:rFonts w:hint="eastAsia" w:ascii="宋体" w:hAnsi="宋体" w:eastAsia="宋体" w:cs="宋体"/>
                <w:color w:val="auto"/>
                <w:kern w:val="2"/>
                <w:sz w:val="21"/>
                <w:szCs w:val="21"/>
                <w:highlight w:val="none"/>
                <w:lang w:val="en-US" w:eastAsia="zh-CN" w:bidi="ar-SA"/>
              </w:rPr>
            </w:pPr>
          </w:p>
        </w:tc>
        <w:tc>
          <w:tcPr>
            <w:tcW w:w="343" w:type="pct"/>
            <w:noWrap w:val="0"/>
            <w:vAlign w:val="center"/>
          </w:tcPr>
          <w:p w14:paraId="66D31C3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40904A2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4E7120D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043A04C5">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318CCC61">
            <w:pPr>
              <w:jc w:val="left"/>
              <w:rPr>
                <w:rFonts w:hint="eastAsia" w:ascii="宋体" w:hAnsi="宋体" w:eastAsia="宋体" w:cs="宋体"/>
                <w:color w:val="auto"/>
                <w:sz w:val="21"/>
                <w:szCs w:val="21"/>
                <w:highlight w:val="none"/>
                <w:lang w:val="en-US" w:eastAsia="zh-CN"/>
              </w:rPr>
            </w:pPr>
          </w:p>
        </w:tc>
      </w:tr>
      <w:tr w14:paraId="1BB0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364" w:type="pct"/>
            <w:vMerge w:val="continue"/>
            <w:noWrap w:val="0"/>
            <w:vAlign w:val="center"/>
          </w:tcPr>
          <w:p w14:paraId="101E6312">
            <w:pPr>
              <w:jc w:val="center"/>
              <w:rPr>
                <w:rFonts w:hint="eastAsia" w:ascii="宋体" w:hAnsi="宋体" w:eastAsia="宋体" w:cs="宋体"/>
                <w:color w:val="auto"/>
                <w:sz w:val="21"/>
                <w:szCs w:val="21"/>
                <w:highlight w:val="none"/>
              </w:rPr>
            </w:pPr>
          </w:p>
        </w:tc>
        <w:tc>
          <w:tcPr>
            <w:tcW w:w="365" w:type="pct"/>
            <w:noWrap w:val="0"/>
            <w:vAlign w:val="center"/>
          </w:tcPr>
          <w:p w14:paraId="277B075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16" w:type="pct"/>
            <w:shd w:val="clear" w:color="auto" w:fill="auto"/>
            <w:noWrap w:val="0"/>
            <w:vAlign w:val="center"/>
          </w:tcPr>
          <w:p w14:paraId="7D6B2E52">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故宫朱氏碑帖馆</w:t>
            </w:r>
            <w:r>
              <w:rPr>
                <w:rFonts w:hint="eastAsia" w:ascii="宋体" w:hAnsi="宋体" w:eastAsia="宋体" w:cs="宋体"/>
                <w:color w:val="auto"/>
                <w:sz w:val="21"/>
                <w:szCs w:val="21"/>
                <w:highlight w:val="none"/>
                <w:lang w:val="en-US" w:eastAsia="zh-CN"/>
              </w:rPr>
              <w:t>公共空间区块布局策划</w:t>
            </w:r>
          </w:p>
        </w:tc>
        <w:tc>
          <w:tcPr>
            <w:tcW w:w="1856" w:type="pct"/>
            <w:shd w:val="clear" w:color="auto" w:fill="auto"/>
            <w:noWrap w:val="0"/>
            <w:vAlign w:val="center"/>
          </w:tcPr>
          <w:p w14:paraId="0D53EFBC">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故宫朱氏碑帖馆</w:t>
            </w:r>
            <w:r>
              <w:rPr>
                <w:rFonts w:hint="eastAsia" w:ascii="宋体" w:hAnsi="宋体" w:eastAsia="宋体" w:cs="宋体"/>
                <w:color w:val="auto"/>
                <w:sz w:val="21"/>
                <w:szCs w:val="21"/>
                <w:highlight w:val="none"/>
                <w:lang w:val="en-US" w:eastAsia="zh-CN"/>
              </w:rPr>
              <w:t>公共空间区块布局进行策划。要能兼顾后期展馆运营时的参观、互动、休憩、研讨等实际需求，布局合理。</w:t>
            </w:r>
          </w:p>
        </w:tc>
        <w:tc>
          <w:tcPr>
            <w:tcW w:w="343" w:type="pct"/>
            <w:noWrap w:val="0"/>
            <w:vAlign w:val="center"/>
          </w:tcPr>
          <w:p w14:paraId="346F718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1BF88D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364A156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548EBD8C">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6718EA31">
            <w:pPr>
              <w:jc w:val="left"/>
              <w:rPr>
                <w:rFonts w:hint="eastAsia" w:ascii="宋体" w:hAnsi="宋体" w:eastAsia="宋体" w:cs="宋体"/>
                <w:color w:val="auto"/>
                <w:sz w:val="21"/>
                <w:szCs w:val="21"/>
                <w:highlight w:val="none"/>
                <w:lang w:val="en-US" w:eastAsia="zh-CN"/>
              </w:rPr>
            </w:pPr>
          </w:p>
        </w:tc>
      </w:tr>
      <w:tr w14:paraId="2CD3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noWrap w:val="0"/>
            <w:vAlign w:val="center"/>
          </w:tcPr>
          <w:p w14:paraId="6572FAA2">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展陈展示内容</w:t>
            </w:r>
          </w:p>
        </w:tc>
        <w:tc>
          <w:tcPr>
            <w:tcW w:w="365" w:type="pct"/>
            <w:noWrap w:val="0"/>
            <w:vAlign w:val="center"/>
          </w:tcPr>
          <w:p w14:paraId="30D8113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16" w:type="pct"/>
            <w:shd w:val="clear" w:color="auto" w:fill="auto"/>
            <w:noWrap w:val="0"/>
            <w:vAlign w:val="center"/>
          </w:tcPr>
          <w:p w14:paraId="75F3B48C">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故宫朱氏碑帖馆装修设计方案及施工图</w:t>
            </w:r>
          </w:p>
        </w:tc>
        <w:tc>
          <w:tcPr>
            <w:tcW w:w="1856" w:type="pct"/>
            <w:shd w:val="clear" w:color="auto" w:fill="auto"/>
            <w:noWrap w:val="0"/>
            <w:vAlign w:val="center"/>
          </w:tcPr>
          <w:p w14:paraId="512C4DA8">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对故宫朱氏碑帖馆进行整体装修设计，按照策划方案进行合理布局，整体方案通过后出具装修施工图纸。整体布展方案及施工均需通过文物部门审批通过。</w:t>
            </w:r>
          </w:p>
        </w:tc>
        <w:tc>
          <w:tcPr>
            <w:tcW w:w="343" w:type="pct"/>
            <w:noWrap w:val="0"/>
            <w:vAlign w:val="center"/>
          </w:tcPr>
          <w:p w14:paraId="49EDE54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14D507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0B7BC7B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33A9F38D">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30B6E628">
            <w:pPr>
              <w:jc w:val="left"/>
              <w:rPr>
                <w:rFonts w:hint="eastAsia" w:ascii="宋体" w:hAnsi="宋体" w:eastAsia="宋体" w:cs="宋体"/>
                <w:color w:val="auto"/>
                <w:sz w:val="21"/>
                <w:szCs w:val="21"/>
                <w:highlight w:val="none"/>
                <w:lang w:val="en-US" w:eastAsia="zh-CN"/>
              </w:rPr>
            </w:pPr>
          </w:p>
        </w:tc>
      </w:tr>
      <w:tr w14:paraId="1A70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4" w:type="pct"/>
            <w:vMerge w:val="continue"/>
            <w:noWrap w:val="0"/>
            <w:vAlign w:val="center"/>
          </w:tcPr>
          <w:p w14:paraId="71F486E0">
            <w:pPr>
              <w:jc w:val="center"/>
              <w:rPr>
                <w:rFonts w:hint="eastAsia" w:ascii="宋体" w:hAnsi="宋体" w:eastAsia="宋体" w:cs="宋体"/>
                <w:color w:val="auto"/>
                <w:sz w:val="21"/>
                <w:szCs w:val="21"/>
                <w:highlight w:val="none"/>
              </w:rPr>
            </w:pPr>
          </w:p>
        </w:tc>
        <w:tc>
          <w:tcPr>
            <w:tcW w:w="365" w:type="pct"/>
            <w:noWrap w:val="0"/>
            <w:vAlign w:val="center"/>
          </w:tcPr>
          <w:p w14:paraId="15C0AC7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16" w:type="pct"/>
            <w:shd w:val="clear" w:color="auto" w:fill="auto"/>
            <w:noWrap w:val="0"/>
            <w:vAlign w:val="center"/>
          </w:tcPr>
          <w:p w14:paraId="28F84C5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拆除与施工保护措施</w:t>
            </w:r>
          </w:p>
        </w:tc>
        <w:tc>
          <w:tcPr>
            <w:tcW w:w="1856" w:type="pct"/>
            <w:shd w:val="clear" w:color="auto" w:fill="auto"/>
            <w:noWrap w:val="0"/>
            <w:vAlign w:val="center"/>
          </w:tcPr>
          <w:p w14:paraId="181E3AAE">
            <w:pPr>
              <w:tabs>
                <w:tab w:val="left" w:pos="2262"/>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1.拆除原建筑内物品及部分木墙体饰面拆除；</w:t>
            </w:r>
          </w:p>
          <w:p w14:paraId="01505881">
            <w:pPr>
              <w:tabs>
                <w:tab w:val="left" w:pos="2262"/>
              </w:tabs>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2.其他：垃圾打包集中堆放，垃圾清运；</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3.文物保护建筑单位施工保护措施与材料</w:t>
            </w:r>
            <w:r>
              <w:rPr>
                <w:rFonts w:hint="eastAsia" w:ascii="宋体" w:hAnsi="宋体" w:cs="宋体"/>
                <w:color w:val="auto"/>
                <w:sz w:val="21"/>
                <w:szCs w:val="21"/>
                <w:highlight w:val="none"/>
                <w:lang w:val="en-US" w:eastAsia="zh-CN"/>
              </w:rPr>
              <w:t>。</w:t>
            </w:r>
          </w:p>
        </w:tc>
        <w:tc>
          <w:tcPr>
            <w:tcW w:w="343" w:type="pct"/>
            <w:noWrap w:val="0"/>
            <w:vAlign w:val="center"/>
          </w:tcPr>
          <w:p w14:paraId="3589E69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106825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572D1EF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153F83D7">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36521C8F">
            <w:pPr>
              <w:jc w:val="left"/>
              <w:rPr>
                <w:rFonts w:hint="eastAsia" w:ascii="宋体" w:hAnsi="宋体" w:eastAsia="宋体" w:cs="宋体"/>
                <w:color w:val="auto"/>
                <w:sz w:val="21"/>
                <w:szCs w:val="21"/>
                <w:highlight w:val="none"/>
                <w:lang w:val="en-US" w:eastAsia="zh-CN"/>
              </w:rPr>
            </w:pPr>
          </w:p>
        </w:tc>
      </w:tr>
      <w:tr w14:paraId="3A39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4" w:type="pct"/>
            <w:vMerge w:val="continue"/>
            <w:noWrap w:val="0"/>
            <w:vAlign w:val="center"/>
          </w:tcPr>
          <w:p w14:paraId="18CC546C">
            <w:pPr>
              <w:jc w:val="center"/>
              <w:rPr>
                <w:rFonts w:hint="eastAsia" w:ascii="宋体" w:hAnsi="宋体" w:eastAsia="宋体" w:cs="宋体"/>
                <w:color w:val="auto"/>
                <w:sz w:val="21"/>
                <w:szCs w:val="21"/>
                <w:highlight w:val="none"/>
              </w:rPr>
            </w:pPr>
          </w:p>
        </w:tc>
        <w:tc>
          <w:tcPr>
            <w:tcW w:w="365" w:type="pct"/>
            <w:noWrap w:val="0"/>
            <w:vAlign w:val="center"/>
          </w:tcPr>
          <w:p w14:paraId="56C7597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16" w:type="pct"/>
            <w:noWrap w:val="0"/>
            <w:vAlign w:val="center"/>
          </w:tcPr>
          <w:p w14:paraId="766FC66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展馆主体</w:t>
            </w:r>
          </w:p>
        </w:tc>
        <w:tc>
          <w:tcPr>
            <w:tcW w:w="1856" w:type="pct"/>
            <w:noWrap w:val="0"/>
            <w:vAlign w:val="center"/>
          </w:tcPr>
          <w:p w14:paraId="512238F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龙骨材料种类、规格、中距：镀锌方管结构支架，轻钢龙骨基础。底部加固，橡胶垫片保护。基层材料：石膏板，面层材料：一底两面乳胶漆，其他材料镀锌铁管电路刷黑。部分木质基层；轻钢龙骨、石膏板、面层及其他装饰。</w:t>
            </w:r>
          </w:p>
        </w:tc>
        <w:tc>
          <w:tcPr>
            <w:tcW w:w="343" w:type="pct"/>
            <w:noWrap w:val="0"/>
            <w:vAlign w:val="center"/>
          </w:tcPr>
          <w:p w14:paraId="0781D15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3046A12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21A98F5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31E4F2B2">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62310294">
            <w:pPr>
              <w:jc w:val="left"/>
              <w:rPr>
                <w:rFonts w:hint="eastAsia" w:ascii="宋体" w:hAnsi="宋体" w:eastAsia="宋体" w:cs="宋体"/>
                <w:color w:val="auto"/>
                <w:sz w:val="21"/>
                <w:szCs w:val="21"/>
                <w:highlight w:val="none"/>
                <w:lang w:val="en-US" w:eastAsia="zh-CN"/>
              </w:rPr>
            </w:pPr>
          </w:p>
        </w:tc>
      </w:tr>
      <w:tr w14:paraId="2CA4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4" w:type="pct"/>
            <w:vMerge w:val="continue"/>
            <w:noWrap w:val="0"/>
            <w:vAlign w:val="center"/>
          </w:tcPr>
          <w:p w14:paraId="1CF96660">
            <w:pPr>
              <w:jc w:val="center"/>
              <w:rPr>
                <w:rFonts w:hint="eastAsia" w:ascii="宋体" w:hAnsi="宋体" w:eastAsia="宋体" w:cs="宋体"/>
                <w:color w:val="auto"/>
                <w:sz w:val="21"/>
                <w:szCs w:val="21"/>
                <w:highlight w:val="none"/>
              </w:rPr>
            </w:pPr>
          </w:p>
        </w:tc>
        <w:tc>
          <w:tcPr>
            <w:tcW w:w="365" w:type="pct"/>
            <w:noWrap w:val="0"/>
            <w:vAlign w:val="center"/>
          </w:tcPr>
          <w:p w14:paraId="6C9D0CF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16" w:type="pct"/>
            <w:noWrap w:val="0"/>
            <w:vAlign w:val="center"/>
          </w:tcPr>
          <w:p w14:paraId="277CA86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展柜</w:t>
            </w:r>
          </w:p>
        </w:tc>
        <w:tc>
          <w:tcPr>
            <w:tcW w:w="1856" w:type="pct"/>
            <w:noWrap w:val="0"/>
            <w:vAlign w:val="center"/>
          </w:tcPr>
          <w:p w14:paraId="76B8DB5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名称：定制玻璃展柜（安装调试）包含：通高柜、独立展柜（短）、独立展柜（长）、悬挂式展柜、组合展台；其他：LED发光灯带</w:t>
            </w:r>
          </w:p>
        </w:tc>
        <w:tc>
          <w:tcPr>
            <w:tcW w:w="343" w:type="pct"/>
            <w:noWrap w:val="0"/>
            <w:vAlign w:val="center"/>
          </w:tcPr>
          <w:p w14:paraId="44B7B8A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068A3D7B">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59AC537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222F2D0A">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5961F36C">
            <w:pPr>
              <w:jc w:val="left"/>
              <w:rPr>
                <w:rFonts w:hint="eastAsia" w:ascii="宋体" w:hAnsi="宋体" w:eastAsia="宋体" w:cs="宋体"/>
                <w:color w:val="auto"/>
                <w:sz w:val="21"/>
                <w:szCs w:val="21"/>
                <w:highlight w:val="none"/>
                <w:lang w:val="en-US" w:eastAsia="zh-CN"/>
              </w:rPr>
            </w:pPr>
          </w:p>
        </w:tc>
      </w:tr>
      <w:tr w14:paraId="555F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4" w:type="pct"/>
            <w:vMerge w:val="continue"/>
            <w:noWrap w:val="0"/>
            <w:vAlign w:val="center"/>
          </w:tcPr>
          <w:p w14:paraId="431ABE89">
            <w:pPr>
              <w:jc w:val="center"/>
              <w:rPr>
                <w:rFonts w:hint="eastAsia" w:ascii="宋体" w:hAnsi="宋体" w:eastAsia="宋体" w:cs="宋体"/>
                <w:color w:val="auto"/>
                <w:sz w:val="21"/>
                <w:szCs w:val="21"/>
                <w:highlight w:val="none"/>
              </w:rPr>
            </w:pPr>
          </w:p>
        </w:tc>
        <w:tc>
          <w:tcPr>
            <w:tcW w:w="365" w:type="pct"/>
            <w:noWrap w:val="0"/>
            <w:vAlign w:val="center"/>
          </w:tcPr>
          <w:p w14:paraId="56300DE4">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16" w:type="pct"/>
            <w:noWrap w:val="0"/>
            <w:vAlign w:val="center"/>
          </w:tcPr>
          <w:p w14:paraId="417C3CE9">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结构展墙</w:t>
            </w:r>
          </w:p>
        </w:tc>
        <w:tc>
          <w:tcPr>
            <w:tcW w:w="1856" w:type="pct"/>
            <w:noWrap w:val="0"/>
            <w:vAlign w:val="center"/>
          </w:tcPr>
          <w:p w14:paraId="534E5FF0">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金属造型展示墙面展板，艺术创作展示构件。</w:t>
            </w:r>
          </w:p>
        </w:tc>
        <w:tc>
          <w:tcPr>
            <w:tcW w:w="343" w:type="pct"/>
            <w:shd w:val="clear" w:color="auto" w:fill="auto"/>
            <w:noWrap w:val="0"/>
            <w:vAlign w:val="center"/>
          </w:tcPr>
          <w:p w14:paraId="382FAE3C">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定制</w:t>
            </w:r>
          </w:p>
        </w:tc>
        <w:tc>
          <w:tcPr>
            <w:tcW w:w="376" w:type="pct"/>
            <w:shd w:val="clear" w:color="auto" w:fill="auto"/>
            <w:noWrap w:val="0"/>
            <w:vAlign w:val="center"/>
          </w:tcPr>
          <w:p w14:paraId="078B877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shd w:val="clear" w:color="auto" w:fill="auto"/>
            <w:noWrap w:val="0"/>
            <w:vAlign w:val="center"/>
          </w:tcPr>
          <w:p w14:paraId="03977BD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30DCCFD8">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550F0DB7">
            <w:pPr>
              <w:jc w:val="left"/>
              <w:rPr>
                <w:rFonts w:hint="eastAsia" w:ascii="宋体" w:hAnsi="宋体" w:eastAsia="宋体" w:cs="宋体"/>
                <w:color w:val="auto"/>
                <w:sz w:val="21"/>
                <w:szCs w:val="21"/>
                <w:highlight w:val="none"/>
                <w:lang w:val="en-US" w:eastAsia="zh-CN"/>
              </w:rPr>
            </w:pPr>
          </w:p>
        </w:tc>
      </w:tr>
      <w:tr w14:paraId="2F97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364" w:type="pct"/>
            <w:vMerge w:val="continue"/>
            <w:noWrap w:val="0"/>
            <w:vAlign w:val="center"/>
          </w:tcPr>
          <w:p w14:paraId="5BDDB694">
            <w:pPr>
              <w:jc w:val="center"/>
              <w:rPr>
                <w:rFonts w:hint="eastAsia" w:ascii="宋体" w:hAnsi="宋体" w:eastAsia="宋体" w:cs="宋体"/>
                <w:color w:val="auto"/>
                <w:sz w:val="21"/>
                <w:szCs w:val="21"/>
                <w:highlight w:val="none"/>
              </w:rPr>
            </w:pPr>
          </w:p>
        </w:tc>
        <w:tc>
          <w:tcPr>
            <w:tcW w:w="365" w:type="pct"/>
            <w:noWrap w:val="0"/>
            <w:vAlign w:val="center"/>
          </w:tcPr>
          <w:p w14:paraId="48ECA90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616" w:type="pct"/>
            <w:noWrap w:val="0"/>
            <w:vAlign w:val="center"/>
          </w:tcPr>
          <w:p w14:paraId="4CA3909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微缩模型</w:t>
            </w:r>
            <w:r>
              <w:rPr>
                <w:rFonts w:hint="eastAsia" w:ascii="宋体" w:hAnsi="宋体" w:cs="宋体"/>
                <w:color w:val="auto"/>
                <w:sz w:val="21"/>
                <w:szCs w:val="21"/>
                <w:highlight w:val="none"/>
                <w:lang w:val="en-US" w:eastAsia="zh-CN"/>
              </w:rPr>
              <w:t>或雕塑</w:t>
            </w:r>
          </w:p>
        </w:tc>
        <w:tc>
          <w:tcPr>
            <w:tcW w:w="1856" w:type="pct"/>
            <w:noWrap w:val="0"/>
            <w:vAlign w:val="center"/>
          </w:tcPr>
          <w:p w14:paraId="16A66C3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艺术创造，艺术化造型，满足故事叙事要求。工艺：写实微缩模型创作</w:t>
            </w:r>
            <w:r>
              <w:rPr>
                <w:rFonts w:hint="eastAsia" w:ascii="宋体" w:hAnsi="宋体" w:cs="宋体"/>
                <w:color w:val="auto"/>
                <w:sz w:val="21"/>
                <w:szCs w:val="21"/>
                <w:highlight w:val="none"/>
                <w:lang w:val="en-US" w:eastAsia="zh-CN"/>
              </w:rPr>
              <w:t>或人物雕塑创作</w:t>
            </w:r>
            <w:r>
              <w:rPr>
                <w:rFonts w:hint="eastAsia" w:ascii="宋体" w:hAnsi="宋体" w:eastAsia="宋体" w:cs="宋体"/>
                <w:color w:val="auto"/>
                <w:sz w:val="21"/>
                <w:szCs w:val="21"/>
                <w:highlight w:val="none"/>
                <w:lang w:val="en-US" w:eastAsia="zh-CN"/>
              </w:rPr>
              <w:t>，内容及形式为原创，采用3D建模，3D打印等技术，包含人物建筑，模型基座制作环境场景手工定制。</w:t>
            </w:r>
          </w:p>
        </w:tc>
        <w:tc>
          <w:tcPr>
            <w:tcW w:w="343" w:type="pct"/>
            <w:noWrap w:val="0"/>
            <w:vAlign w:val="center"/>
          </w:tcPr>
          <w:p w14:paraId="118B423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10EAD16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4C43E65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656E3F6F">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0040F0DD">
            <w:pPr>
              <w:jc w:val="left"/>
              <w:rPr>
                <w:rFonts w:hint="eastAsia" w:ascii="宋体" w:hAnsi="宋体" w:eastAsia="宋体" w:cs="宋体"/>
                <w:color w:val="auto"/>
                <w:sz w:val="21"/>
                <w:szCs w:val="21"/>
                <w:highlight w:val="none"/>
                <w:lang w:val="en-US" w:eastAsia="zh-CN"/>
              </w:rPr>
            </w:pPr>
          </w:p>
        </w:tc>
      </w:tr>
      <w:tr w14:paraId="161C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64" w:type="pct"/>
            <w:vMerge w:val="continue"/>
            <w:noWrap w:val="0"/>
            <w:vAlign w:val="center"/>
          </w:tcPr>
          <w:p w14:paraId="6E3107CC">
            <w:pPr>
              <w:jc w:val="center"/>
              <w:rPr>
                <w:rFonts w:hint="eastAsia" w:ascii="宋体" w:hAnsi="宋体" w:eastAsia="宋体" w:cs="宋体"/>
                <w:color w:val="auto"/>
                <w:sz w:val="21"/>
                <w:szCs w:val="21"/>
                <w:highlight w:val="none"/>
              </w:rPr>
            </w:pPr>
          </w:p>
        </w:tc>
        <w:tc>
          <w:tcPr>
            <w:tcW w:w="365" w:type="pct"/>
            <w:noWrap w:val="0"/>
            <w:vAlign w:val="center"/>
          </w:tcPr>
          <w:p w14:paraId="41A4321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616" w:type="pct"/>
            <w:noWrap w:val="0"/>
            <w:vAlign w:val="center"/>
          </w:tcPr>
          <w:p w14:paraId="2612E98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场景复原</w:t>
            </w:r>
          </w:p>
        </w:tc>
        <w:tc>
          <w:tcPr>
            <w:tcW w:w="1856" w:type="pct"/>
            <w:noWrap w:val="0"/>
            <w:vAlign w:val="center"/>
          </w:tcPr>
          <w:p w14:paraId="3325DB99">
            <w:pPr>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按照历史资料复原场景，场景复原需具备历史准确性，艺术审美性，空间叙事性，场景需要对年代样式进行整体评估认定，仿制或做旧复原，需要包含一定历史痕迹叙事信息。</w:t>
            </w:r>
          </w:p>
        </w:tc>
        <w:tc>
          <w:tcPr>
            <w:tcW w:w="343" w:type="pct"/>
            <w:noWrap w:val="0"/>
            <w:vAlign w:val="center"/>
          </w:tcPr>
          <w:p w14:paraId="576D508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0679C3D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6A87061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68CD37EC">
            <w:pPr>
              <w:jc w:val="left"/>
              <w:rPr>
                <w:rFonts w:hint="eastAsia" w:ascii="宋体" w:hAnsi="宋体" w:eastAsia="宋体" w:cs="宋体"/>
                <w:color w:val="auto"/>
                <w:sz w:val="21"/>
                <w:szCs w:val="21"/>
                <w:highlight w:val="none"/>
                <w:lang w:val="en-US" w:eastAsia="zh-CN"/>
              </w:rPr>
            </w:pPr>
          </w:p>
        </w:tc>
        <w:tc>
          <w:tcPr>
            <w:tcW w:w="349" w:type="pct"/>
            <w:noWrap w:val="0"/>
            <w:vAlign w:val="center"/>
          </w:tcPr>
          <w:p w14:paraId="70D9ACB5">
            <w:pPr>
              <w:jc w:val="left"/>
              <w:rPr>
                <w:rFonts w:hint="eastAsia" w:ascii="宋体" w:hAnsi="宋体" w:eastAsia="宋体" w:cs="宋体"/>
                <w:color w:val="auto"/>
                <w:sz w:val="21"/>
                <w:szCs w:val="21"/>
                <w:highlight w:val="none"/>
                <w:lang w:val="en-US" w:eastAsia="zh-CN"/>
              </w:rPr>
            </w:pPr>
          </w:p>
        </w:tc>
      </w:tr>
      <w:tr w14:paraId="5669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64" w:type="pct"/>
            <w:vMerge w:val="continue"/>
            <w:noWrap w:val="0"/>
            <w:vAlign w:val="center"/>
          </w:tcPr>
          <w:p w14:paraId="516D17F6">
            <w:pPr>
              <w:jc w:val="center"/>
              <w:rPr>
                <w:rFonts w:hint="eastAsia" w:ascii="宋体" w:hAnsi="宋体" w:eastAsia="宋体" w:cs="宋体"/>
                <w:color w:val="auto"/>
                <w:sz w:val="21"/>
                <w:szCs w:val="21"/>
                <w:highlight w:val="none"/>
              </w:rPr>
            </w:pPr>
          </w:p>
        </w:tc>
        <w:tc>
          <w:tcPr>
            <w:tcW w:w="365" w:type="pct"/>
            <w:noWrap w:val="0"/>
            <w:vAlign w:val="center"/>
          </w:tcPr>
          <w:p w14:paraId="163CE23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616" w:type="pct"/>
            <w:noWrap w:val="0"/>
            <w:vAlign w:val="center"/>
          </w:tcPr>
          <w:p w14:paraId="64B4D6E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艺术画创作</w:t>
            </w:r>
          </w:p>
        </w:tc>
        <w:tc>
          <w:tcPr>
            <w:tcW w:w="1856" w:type="pct"/>
            <w:noWrap w:val="0"/>
            <w:vAlign w:val="center"/>
          </w:tcPr>
          <w:p w14:paraId="09956F2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艺术画按</w:t>
            </w:r>
            <w:r>
              <w:rPr>
                <w:rFonts w:hint="eastAsia" w:ascii="宋体" w:hAnsi="宋体" w:cs="宋体"/>
                <w:color w:val="auto"/>
                <w:sz w:val="21"/>
                <w:szCs w:val="21"/>
                <w:highlight w:val="none"/>
                <w:lang w:val="en-US" w:eastAsia="zh-CN"/>
              </w:rPr>
              <w:t>策划</w:t>
            </w:r>
            <w:r>
              <w:rPr>
                <w:rFonts w:hint="eastAsia" w:ascii="宋体" w:hAnsi="宋体" w:eastAsia="宋体" w:cs="宋体"/>
                <w:color w:val="auto"/>
                <w:sz w:val="21"/>
                <w:szCs w:val="21"/>
                <w:highlight w:val="none"/>
                <w:lang w:val="en-US" w:eastAsia="zh-CN"/>
              </w:rPr>
              <w:t>要求创作概念插画、油画、连环画、背景画</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图形</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装置</w:t>
            </w:r>
            <w:r>
              <w:rPr>
                <w:rFonts w:hint="eastAsia" w:ascii="宋体" w:hAnsi="宋体" w:cs="宋体"/>
                <w:color w:val="auto"/>
                <w:sz w:val="21"/>
                <w:szCs w:val="21"/>
                <w:highlight w:val="none"/>
                <w:lang w:val="en-US" w:eastAsia="zh-CN"/>
              </w:rPr>
              <w:t>等任一形式</w:t>
            </w:r>
            <w:r>
              <w:rPr>
                <w:rFonts w:hint="eastAsia" w:ascii="宋体" w:hAnsi="宋体" w:eastAsia="宋体" w:cs="宋体"/>
                <w:color w:val="auto"/>
                <w:sz w:val="21"/>
                <w:szCs w:val="21"/>
                <w:highlight w:val="none"/>
                <w:lang w:val="en-US" w:eastAsia="zh-CN"/>
              </w:rPr>
              <w:t>，满足故事叙事诉求；高清分辨率尺寸。</w:t>
            </w:r>
          </w:p>
        </w:tc>
        <w:tc>
          <w:tcPr>
            <w:tcW w:w="343" w:type="pct"/>
            <w:noWrap w:val="0"/>
            <w:vAlign w:val="center"/>
          </w:tcPr>
          <w:p w14:paraId="478B845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091CDAB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097A1F5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52C51DFA">
            <w:pPr>
              <w:jc w:val="center"/>
              <w:rPr>
                <w:rFonts w:hint="eastAsia" w:ascii="宋体" w:hAnsi="宋体" w:eastAsia="宋体" w:cs="宋体"/>
                <w:color w:val="auto"/>
                <w:sz w:val="21"/>
                <w:szCs w:val="21"/>
                <w:highlight w:val="none"/>
              </w:rPr>
            </w:pPr>
          </w:p>
        </w:tc>
        <w:tc>
          <w:tcPr>
            <w:tcW w:w="349" w:type="pct"/>
            <w:noWrap w:val="0"/>
            <w:vAlign w:val="center"/>
          </w:tcPr>
          <w:p w14:paraId="1254A500">
            <w:pPr>
              <w:jc w:val="center"/>
              <w:rPr>
                <w:rFonts w:hint="eastAsia" w:ascii="宋体" w:hAnsi="宋体" w:eastAsia="宋体" w:cs="宋体"/>
                <w:color w:val="auto"/>
                <w:sz w:val="21"/>
                <w:szCs w:val="21"/>
                <w:highlight w:val="none"/>
              </w:rPr>
            </w:pPr>
          </w:p>
        </w:tc>
      </w:tr>
      <w:tr w14:paraId="7ED6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64" w:type="pct"/>
            <w:vMerge w:val="restart"/>
            <w:noWrap w:val="0"/>
            <w:vAlign w:val="center"/>
          </w:tcPr>
          <w:p w14:paraId="35BD0580">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安装及软件制作</w:t>
            </w:r>
          </w:p>
        </w:tc>
        <w:tc>
          <w:tcPr>
            <w:tcW w:w="365" w:type="pct"/>
            <w:noWrap w:val="0"/>
            <w:vAlign w:val="center"/>
          </w:tcPr>
          <w:p w14:paraId="41813EC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p>
        </w:tc>
        <w:tc>
          <w:tcPr>
            <w:tcW w:w="616" w:type="pct"/>
            <w:noWrap w:val="0"/>
            <w:vAlign w:val="center"/>
          </w:tcPr>
          <w:p w14:paraId="2555A3F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公共空间</w:t>
            </w:r>
          </w:p>
        </w:tc>
        <w:tc>
          <w:tcPr>
            <w:tcW w:w="1856" w:type="pct"/>
            <w:noWrap w:val="0"/>
            <w:vAlign w:val="center"/>
          </w:tcPr>
          <w:p w14:paraId="33A1730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1：根据现场进行相应的布局设计；</w:t>
            </w:r>
          </w:p>
          <w:p w14:paraId="24605DD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2：根据设计选择尺寸，定制合适的家具</w:t>
            </w:r>
            <w:r>
              <w:rPr>
                <w:rFonts w:hint="eastAsia" w:ascii="宋体" w:hAnsi="宋体" w:cs="宋体"/>
                <w:color w:val="auto"/>
                <w:sz w:val="21"/>
                <w:szCs w:val="21"/>
                <w:highlight w:val="none"/>
                <w:lang w:val="en-US" w:eastAsia="zh-CN"/>
              </w:rPr>
              <w:t>、物件或其它展示展板</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如</w:t>
            </w:r>
            <w:r>
              <w:rPr>
                <w:rFonts w:hint="eastAsia" w:ascii="宋体" w:hAnsi="宋体" w:eastAsia="宋体" w:cs="宋体"/>
                <w:color w:val="auto"/>
                <w:sz w:val="21"/>
                <w:szCs w:val="21"/>
                <w:highlight w:val="none"/>
                <w:lang w:val="en-US" w:eastAsia="zh-CN"/>
              </w:rPr>
              <w:t>：桌椅、置物柜</w:t>
            </w:r>
            <w:r>
              <w:rPr>
                <w:rFonts w:hint="eastAsia" w:ascii="宋体" w:hAnsi="宋体" w:cs="宋体"/>
                <w:color w:val="auto"/>
                <w:sz w:val="21"/>
                <w:szCs w:val="21"/>
                <w:highlight w:val="none"/>
                <w:lang w:val="en-US" w:eastAsia="zh-CN"/>
              </w:rPr>
              <w:t>、陈设物品</w:t>
            </w:r>
            <w:r>
              <w:rPr>
                <w:rFonts w:hint="eastAsia" w:ascii="宋体" w:hAnsi="宋体" w:eastAsia="宋体" w:cs="宋体"/>
                <w:color w:val="auto"/>
                <w:sz w:val="21"/>
                <w:szCs w:val="21"/>
                <w:highlight w:val="none"/>
                <w:lang w:val="en-US" w:eastAsia="zh-CN"/>
              </w:rPr>
              <w:t>。</w:t>
            </w:r>
          </w:p>
        </w:tc>
        <w:tc>
          <w:tcPr>
            <w:tcW w:w="343" w:type="pct"/>
            <w:noWrap w:val="0"/>
            <w:vAlign w:val="center"/>
          </w:tcPr>
          <w:p w14:paraId="78A857A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08CE1E7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4623038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17360064">
            <w:pPr>
              <w:jc w:val="left"/>
              <w:rPr>
                <w:rFonts w:hint="eastAsia" w:ascii="宋体" w:hAnsi="宋体" w:eastAsia="宋体" w:cs="宋体"/>
                <w:color w:val="auto"/>
                <w:sz w:val="21"/>
                <w:szCs w:val="21"/>
                <w:highlight w:val="none"/>
              </w:rPr>
            </w:pPr>
          </w:p>
        </w:tc>
        <w:tc>
          <w:tcPr>
            <w:tcW w:w="349" w:type="pct"/>
            <w:noWrap w:val="0"/>
            <w:vAlign w:val="center"/>
          </w:tcPr>
          <w:p w14:paraId="228F77F6">
            <w:pPr>
              <w:jc w:val="left"/>
              <w:rPr>
                <w:rFonts w:hint="eastAsia" w:ascii="宋体" w:hAnsi="宋体" w:eastAsia="宋体" w:cs="宋体"/>
                <w:color w:val="auto"/>
                <w:sz w:val="21"/>
                <w:szCs w:val="21"/>
                <w:highlight w:val="none"/>
              </w:rPr>
            </w:pPr>
          </w:p>
        </w:tc>
      </w:tr>
      <w:tr w14:paraId="438B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364" w:type="pct"/>
            <w:vMerge w:val="continue"/>
            <w:noWrap w:val="0"/>
            <w:vAlign w:val="center"/>
          </w:tcPr>
          <w:p w14:paraId="555AE892">
            <w:pPr>
              <w:jc w:val="center"/>
              <w:rPr>
                <w:rFonts w:hint="eastAsia" w:ascii="宋体" w:hAnsi="宋体" w:eastAsia="宋体" w:cs="宋体"/>
                <w:color w:val="auto"/>
                <w:sz w:val="21"/>
                <w:szCs w:val="21"/>
                <w:highlight w:val="none"/>
                <w:lang w:val="en-US" w:eastAsia="zh-CN"/>
              </w:rPr>
            </w:pPr>
          </w:p>
        </w:tc>
        <w:tc>
          <w:tcPr>
            <w:tcW w:w="365" w:type="pct"/>
            <w:noWrap w:val="0"/>
            <w:vAlign w:val="center"/>
          </w:tcPr>
          <w:p w14:paraId="24959AD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616" w:type="pct"/>
            <w:noWrap w:val="0"/>
            <w:vAlign w:val="center"/>
          </w:tcPr>
          <w:p w14:paraId="34DD589D">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广告</w:t>
            </w:r>
            <w:r>
              <w:rPr>
                <w:rFonts w:hint="eastAsia" w:ascii="宋体" w:hAnsi="宋体" w:eastAsia="宋体" w:cs="宋体"/>
                <w:color w:val="auto"/>
                <w:sz w:val="21"/>
                <w:szCs w:val="21"/>
                <w:highlight w:val="none"/>
                <w:lang w:val="en-US" w:eastAsia="zh-CN"/>
              </w:rPr>
              <w:t>物料现场安装服务</w:t>
            </w:r>
          </w:p>
        </w:tc>
        <w:tc>
          <w:tcPr>
            <w:tcW w:w="1856" w:type="pct"/>
            <w:noWrap w:val="0"/>
            <w:vAlign w:val="center"/>
          </w:tcPr>
          <w:p w14:paraId="1953AFD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平面</w:t>
            </w:r>
            <w:r>
              <w:rPr>
                <w:rFonts w:hint="eastAsia" w:ascii="宋体" w:hAnsi="宋体" w:cs="宋体"/>
                <w:color w:val="auto"/>
                <w:sz w:val="21"/>
                <w:szCs w:val="21"/>
                <w:highlight w:val="none"/>
                <w:lang w:val="en-US" w:eastAsia="zh-CN"/>
              </w:rPr>
              <w:t>排版</w:t>
            </w:r>
            <w:r>
              <w:rPr>
                <w:rFonts w:hint="eastAsia" w:ascii="宋体" w:hAnsi="宋体" w:eastAsia="宋体" w:cs="宋体"/>
                <w:color w:val="auto"/>
                <w:sz w:val="21"/>
                <w:szCs w:val="21"/>
                <w:highlight w:val="none"/>
                <w:lang w:val="en-US" w:eastAsia="zh-CN"/>
              </w:rPr>
              <w:t>、图文打样，版面制作。包含UV印刷；高密度PVC定制；透明有机玻璃UV立体图文；宣绒布打印、定制超透贴打印、丝网印；定制发光字、定制不锈钢立体字、定制雪弗板雕刻字、亚克力激光雕刻字、铝合金材质，文字架，定制铁板烤漆雕刻字；裱糊安装。设计、制作，并完善准确的按安装施工图纸及方案，组织实施安装服务，</w:t>
            </w:r>
          </w:p>
        </w:tc>
        <w:tc>
          <w:tcPr>
            <w:tcW w:w="343" w:type="pct"/>
            <w:noWrap w:val="0"/>
            <w:vAlign w:val="center"/>
          </w:tcPr>
          <w:p w14:paraId="6FCDCA2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3D7937D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0905E4C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2256C1DD">
            <w:pPr>
              <w:jc w:val="left"/>
              <w:rPr>
                <w:rFonts w:hint="eastAsia" w:ascii="宋体" w:hAnsi="宋体" w:eastAsia="宋体" w:cs="宋体"/>
                <w:color w:val="auto"/>
                <w:sz w:val="21"/>
                <w:szCs w:val="21"/>
                <w:highlight w:val="none"/>
              </w:rPr>
            </w:pPr>
          </w:p>
        </w:tc>
        <w:tc>
          <w:tcPr>
            <w:tcW w:w="349" w:type="pct"/>
            <w:noWrap w:val="0"/>
            <w:vAlign w:val="center"/>
          </w:tcPr>
          <w:p w14:paraId="1CD2A281">
            <w:pPr>
              <w:jc w:val="left"/>
              <w:rPr>
                <w:rFonts w:hint="eastAsia" w:ascii="宋体" w:hAnsi="宋体" w:eastAsia="宋体" w:cs="宋体"/>
                <w:color w:val="auto"/>
                <w:sz w:val="21"/>
                <w:szCs w:val="21"/>
                <w:highlight w:val="none"/>
              </w:rPr>
            </w:pPr>
          </w:p>
        </w:tc>
      </w:tr>
      <w:tr w14:paraId="0DF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64" w:type="pct"/>
            <w:vMerge w:val="continue"/>
            <w:noWrap w:val="0"/>
            <w:vAlign w:val="center"/>
          </w:tcPr>
          <w:p w14:paraId="3BE51A8D">
            <w:pPr>
              <w:jc w:val="center"/>
              <w:rPr>
                <w:rFonts w:hint="eastAsia" w:ascii="宋体" w:hAnsi="宋体" w:eastAsia="宋体" w:cs="宋体"/>
                <w:color w:val="auto"/>
                <w:sz w:val="21"/>
                <w:szCs w:val="21"/>
                <w:highlight w:val="none"/>
                <w:lang w:val="en-US" w:eastAsia="zh-CN"/>
              </w:rPr>
            </w:pPr>
          </w:p>
        </w:tc>
        <w:tc>
          <w:tcPr>
            <w:tcW w:w="365" w:type="pct"/>
            <w:noWrap w:val="0"/>
            <w:vAlign w:val="center"/>
          </w:tcPr>
          <w:p w14:paraId="0D815AA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616" w:type="pct"/>
            <w:noWrap w:val="0"/>
            <w:vAlign w:val="center"/>
          </w:tcPr>
          <w:p w14:paraId="33C02C49">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展品</w:t>
            </w:r>
          </w:p>
        </w:tc>
        <w:tc>
          <w:tcPr>
            <w:tcW w:w="1856" w:type="pct"/>
            <w:noWrap w:val="0"/>
            <w:vAlign w:val="center"/>
          </w:tcPr>
          <w:p w14:paraId="4EE4659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文物仿制品或古物、旧物的采购、征集</w:t>
            </w:r>
            <w:r>
              <w:rPr>
                <w:rFonts w:hint="eastAsia" w:ascii="宋体" w:hAnsi="宋体" w:cs="宋体"/>
                <w:color w:val="auto"/>
                <w:sz w:val="21"/>
                <w:szCs w:val="21"/>
                <w:highlight w:val="none"/>
                <w:lang w:val="en-US" w:eastAsia="zh-CN"/>
              </w:rPr>
              <w:t>等</w:t>
            </w:r>
          </w:p>
        </w:tc>
        <w:tc>
          <w:tcPr>
            <w:tcW w:w="343" w:type="pct"/>
            <w:noWrap w:val="0"/>
            <w:vAlign w:val="center"/>
          </w:tcPr>
          <w:p w14:paraId="30146144">
            <w:pPr>
              <w:snapToGrid w:val="0"/>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008DD7C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349BC1B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1FB2EEAF">
            <w:pPr>
              <w:jc w:val="left"/>
              <w:rPr>
                <w:rFonts w:hint="eastAsia" w:ascii="宋体" w:hAnsi="宋体" w:eastAsia="宋体" w:cs="宋体"/>
                <w:color w:val="auto"/>
                <w:sz w:val="21"/>
                <w:szCs w:val="21"/>
                <w:highlight w:val="none"/>
              </w:rPr>
            </w:pPr>
          </w:p>
        </w:tc>
        <w:tc>
          <w:tcPr>
            <w:tcW w:w="349" w:type="pct"/>
            <w:noWrap w:val="0"/>
            <w:vAlign w:val="center"/>
          </w:tcPr>
          <w:p w14:paraId="7255DA7F">
            <w:pPr>
              <w:jc w:val="left"/>
              <w:rPr>
                <w:rFonts w:hint="eastAsia" w:ascii="宋体" w:hAnsi="宋体" w:eastAsia="宋体" w:cs="宋体"/>
                <w:color w:val="auto"/>
                <w:sz w:val="21"/>
                <w:szCs w:val="21"/>
                <w:highlight w:val="none"/>
              </w:rPr>
            </w:pPr>
          </w:p>
        </w:tc>
      </w:tr>
      <w:tr w14:paraId="3D7A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4" w:type="pct"/>
            <w:vMerge w:val="continue"/>
            <w:noWrap w:val="0"/>
            <w:vAlign w:val="center"/>
          </w:tcPr>
          <w:p w14:paraId="52E4A0E1">
            <w:pPr>
              <w:jc w:val="center"/>
              <w:rPr>
                <w:rFonts w:hint="eastAsia" w:ascii="宋体" w:hAnsi="宋体" w:eastAsia="宋体" w:cs="宋体"/>
                <w:color w:val="auto"/>
                <w:sz w:val="21"/>
                <w:szCs w:val="21"/>
                <w:highlight w:val="none"/>
                <w:lang w:val="en-US" w:eastAsia="zh-CN"/>
              </w:rPr>
            </w:pPr>
          </w:p>
        </w:tc>
        <w:tc>
          <w:tcPr>
            <w:tcW w:w="365" w:type="pct"/>
            <w:noWrap w:val="0"/>
            <w:vAlign w:val="center"/>
          </w:tcPr>
          <w:p w14:paraId="62B2F2A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p>
        </w:tc>
        <w:tc>
          <w:tcPr>
            <w:tcW w:w="616" w:type="pct"/>
            <w:noWrap w:val="0"/>
            <w:vAlign w:val="center"/>
          </w:tcPr>
          <w:p w14:paraId="065B58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电子展件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设计制作服务</w:t>
            </w:r>
          </w:p>
        </w:tc>
        <w:tc>
          <w:tcPr>
            <w:tcW w:w="1856" w:type="pct"/>
            <w:noWrap w:val="0"/>
            <w:vAlign w:val="center"/>
          </w:tcPr>
          <w:p w14:paraId="0A3C23E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1：选定</w:t>
            </w:r>
            <w:r>
              <w:rPr>
                <w:rFonts w:hint="eastAsia" w:ascii="宋体" w:hAnsi="宋体" w:eastAsia="宋体" w:cs="宋体"/>
                <w:color w:val="auto"/>
                <w:sz w:val="21"/>
                <w:szCs w:val="21"/>
                <w:highlight w:val="none"/>
              </w:rPr>
              <w:t>相关数字展陈版块内容</w:t>
            </w:r>
            <w:r>
              <w:rPr>
                <w:rFonts w:hint="eastAsia" w:ascii="宋体" w:hAnsi="宋体" w:eastAsia="宋体" w:cs="宋体"/>
                <w:color w:val="auto"/>
                <w:sz w:val="21"/>
                <w:szCs w:val="21"/>
                <w:highlight w:val="none"/>
                <w:lang w:eastAsia="zh-CN"/>
              </w:rPr>
              <w:t>；</w:t>
            </w:r>
          </w:p>
          <w:p w14:paraId="22F2DD9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2：展示设备的选取安装（投影仪、LED屏）；3：进行电子展陈</w:t>
            </w:r>
            <w:r>
              <w:rPr>
                <w:rFonts w:hint="eastAsia" w:ascii="宋体" w:hAnsi="宋体" w:eastAsia="宋体" w:cs="宋体"/>
                <w:color w:val="auto"/>
                <w:sz w:val="21"/>
                <w:szCs w:val="21"/>
                <w:highlight w:val="none"/>
              </w:rPr>
              <w:t>配套设计</w:t>
            </w:r>
            <w:r>
              <w:rPr>
                <w:rFonts w:hint="eastAsia" w:ascii="宋体" w:hAnsi="宋体" w:eastAsia="宋体" w:cs="宋体"/>
                <w:color w:val="auto"/>
                <w:sz w:val="21"/>
                <w:szCs w:val="21"/>
                <w:highlight w:val="none"/>
                <w:lang w:eastAsia="zh-CN"/>
              </w:rPr>
              <w:t>；</w:t>
            </w:r>
          </w:p>
          <w:p w14:paraId="70182C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4：进行电子展件制作、复制；包含程序设计制作，满足各级菜单的使用需求</w:t>
            </w:r>
          </w:p>
        </w:tc>
        <w:tc>
          <w:tcPr>
            <w:tcW w:w="343" w:type="pct"/>
            <w:noWrap w:val="0"/>
            <w:vAlign w:val="center"/>
          </w:tcPr>
          <w:p w14:paraId="1C903C0C">
            <w:pPr>
              <w:snapToGri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511A74D5">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2A1C074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1A54D152">
            <w:pPr>
              <w:jc w:val="left"/>
              <w:rPr>
                <w:rFonts w:hint="eastAsia" w:ascii="宋体" w:hAnsi="宋体" w:eastAsia="宋体" w:cs="宋体"/>
                <w:color w:val="auto"/>
                <w:sz w:val="21"/>
                <w:szCs w:val="21"/>
                <w:highlight w:val="none"/>
              </w:rPr>
            </w:pPr>
          </w:p>
        </w:tc>
        <w:tc>
          <w:tcPr>
            <w:tcW w:w="349" w:type="pct"/>
            <w:noWrap w:val="0"/>
            <w:vAlign w:val="center"/>
          </w:tcPr>
          <w:p w14:paraId="60B5E843">
            <w:pPr>
              <w:jc w:val="left"/>
              <w:rPr>
                <w:rFonts w:hint="eastAsia" w:ascii="宋体" w:hAnsi="宋体" w:eastAsia="宋体" w:cs="宋体"/>
                <w:color w:val="auto"/>
                <w:sz w:val="21"/>
                <w:szCs w:val="21"/>
                <w:highlight w:val="none"/>
              </w:rPr>
            </w:pPr>
          </w:p>
        </w:tc>
      </w:tr>
      <w:tr w14:paraId="697A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4" w:type="pct"/>
            <w:vMerge w:val="continue"/>
            <w:noWrap w:val="0"/>
            <w:vAlign w:val="center"/>
          </w:tcPr>
          <w:p w14:paraId="57147864">
            <w:pPr>
              <w:jc w:val="center"/>
              <w:rPr>
                <w:rFonts w:hint="eastAsia" w:ascii="宋体" w:hAnsi="宋体" w:eastAsia="宋体" w:cs="宋体"/>
                <w:color w:val="auto"/>
                <w:sz w:val="21"/>
                <w:szCs w:val="21"/>
                <w:highlight w:val="none"/>
                <w:lang w:val="en-US" w:eastAsia="zh-CN"/>
              </w:rPr>
            </w:pPr>
          </w:p>
        </w:tc>
        <w:tc>
          <w:tcPr>
            <w:tcW w:w="365" w:type="pct"/>
            <w:noWrap w:val="0"/>
            <w:vAlign w:val="center"/>
          </w:tcPr>
          <w:p w14:paraId="1E4F39A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p>
        </w:tc>
        <w:tc>
          <w:tcPr>
            <w:tcW w:w="616" w:type="pct"/>
            <w:noWrap w:val="0"/>
            <w:vAlign w:val="center"/>
          </w:tcPr>
          <w:p w14:paraId="03C367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视频制作</w:t>
            </w:r>
          </w:p>
        </w:tc>
        <w:tc>
          <w:tcPr>
            <w:tcW w:w="1856" w:type="pct"/>
            <w:noWrap w:val="0"/>
            <w:vAlign w:val="center"/>
          </w:tcPr>
          <w:p w14:paraId="0A5E7DF4">
            <w:pPr>
              <w:snapToGrid w:val="0"/>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1：能够按照要求确定主题；</w:t>
            </w:r>
          </w:p>
          <w:p w14:paraId="49C82201">
            <w:pPr>
              <w:snapToGrid w:val="0"/>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2：编写脚本；</w:t>
            </w:r>
          </w:p>
          <w:p w14:paraId="2BA74B29">
            <w:pPr>
              <w:snapToGrid w:val="0"/>
              <w:spacing w:line="24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3.后期制作包装合成</w:t>
            </w:r>
          </w:p>
          <w:p w14:paraId="6C580873">
            <w:pPr>
              <w:snapToGrid w:val="0"/>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4：根据素材进行剪辑、创作；</w:t>
            </w:r>
          </w:p>
          <w:p w14:paraId="5C8421C4">
            <w:pPr>
              <w:snapToGrid w:val="0"/>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5：视频格式可以为：</w:t>
            </w:r>
            <w:r>
              <w:rPr>
                <w:rStyle w:val="78"/>
                <w:rFonts w:hint="eastAsia" w:ascii="宋体" w:hAnsi="宋体" w:eastAsia="宋体" w:cs="宋体"/>
                <w:i w:val="0"/>
                <w:iCs w:val="0"/>
                <w:caps w:val="0"/>
                <w:color w:val="auto"/>
                <w:spacing w:val="0"/>
                <w:sz w:val="21"/>
                <w:szCs w:val="21"/>
                <w:highlight w:val="none"/>
                <w:shd w:val="clear" w:color="auto" w:fill="FFFFFF"/>
              </w:rPr>
              <w:t>MP4、MOV</w:t>
            </w:r>
          </w:p>
          <w:p w14:paraId="3F0785D7">
            <w:pPr>
              <w:snapToGri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影视级画质，分辨率不低于2K</w:t>
            </w:r>
          </w:p>
        </w:tc>
        <w:tc>
          <w:tcPr>
            <w:tcW w:w="343" w:type="pct"/>
            <w:noWrap w:val="0"/>
            <w:vAlign w:val="center"/>
          </w:tcPr>
          <w:p w14:paraId="2689206D">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定制</w:t>
            </w:r>
          </w:p>
        </w:tc>
        <w:tc>
          <w:tcPr>
            <w:tcW w:w="376" w:type="pct"/>
            <w:noWrap w:val="0"/>
            <w:vAlign w:val="center"/>
          </w:tcPr>
          <w:p w14:paraId="1BFF2C8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noWrap w:val="0"/>
            <w:vAlign w:val="center"/>
          </w:tcPr>
          <w:p w14:paraId="14C66D2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10A61C4D">
            <w:pPr>
              <w:jc w:val="left"/>
              <w:rPr>
                <w:rFonts w:hint="eastAsia" w:ascii="宋体" w:hAnsi="宋体" w:eastAsia="宋体" w:cs="宋体"/>
                <w:color w:val="auto"/>
                <w:sz w:val="21"/>
                <w:szCs w:val="21"/>
                <w:highlight w:val="none"/>
              </w:rPr>
            </w:pPr>
          </w:p>
        </w:tc>
        <w:tc>
          <w:tcPr>
            <w:tcW w:w="349" w:type="pct"/>
            <w:noWrap w:val="0"/>
            <w:vAlign w:val="center"/>
          </w:tcPr>
          <w:p w14:paraId="4673717E">
            <w:pPr>
              <w:jc w:val="left"/>
              <w:rPr>
                <w:rFonts w:hint="eastAsia" w:ascii="宋体" w:hAnsi="宋体" w:eastAsia="宋体" w:cs="宋体"/>
                <w:color w:val="auto"/>
                <w:sz w:val="21"/>
                <w:szCs w:val="21"/>
                <w:highlight w:val="none"/>
              </w:rPr>
            </w:pPr>
          </w:p>
        </w:tc>
      </w:tr>
      <w:tr w14:paraId="1C42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4" w:type="pct"/>
            <w:noWrap w:val="0"/>
            <w:vAlign w:val="center"/>
          </w:tcPr>
          <w:p w14:paraId="362E7B3A">
            <w:pPr>
              <w:jc w:val="center"/>
              <w:rPr>
                <w:rFonts w:hint="eastAsia" w:ascii="宋体" w:hAnsi="宋体" w:eastAsia="宋体" w:cs="宋体"/>
                <w:color w:val="auto"/>
                <w:sz w:val="21"/>
                <w:szCs w:val="21"/>
                <w:highlight w:val="none"/>
                <w:lang w:val="en-US" w:eastAsia="zh-CN"/>
              </w:rPr>
            </w:pPr>
          </w:p>
        </w:tc>
        <w:tc>
          <w:tcPr>
            <w:tcW w:w="365" w:type="pct"/>
            <w:shd w:val="clear" w:color="auto" w:fill="auto"/>
            <w:noWrap w:val="0"/>
            <w:vAlign w:val="center"/>
          </w:tcPr>
          <w:p w14:paraId="231E47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19</w:t>
            </w:r>
          </w:p>
        </w:tc>
        <w:tc>
          <w:tcPr>
            <w:tcW w:w="616" w:type="pct"/>
            <w:shd w:val="clear" w:color="auto" w:fill="auto"/>
            <w:noWrap w:val="0"/>
            <w:vAlign w:val="center"/>
          </w:tcPr>
          <w:p w14:paraId="213D5D74">
            <w:pPr>
              <w:tabs>
                <w:tab w:val="left" w:pos="288"/>
              </w:tabs>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程序开发</w:t>
            </w:r>
          </w:p>
        </w:tc>
        <w:tc>
          <w:tcPr>
            <w:tcW w:w="1856" w:type="pct"/>
            <w:shd w:val="clear" w:color="auto" w:fill="auto"/>
            <w:noWrap w:val="0"/>
            <w:vAlign w:val="center"/>
          </w:tcPr>
          <w:p w14:paraId="734826FF">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交互设计，需具有历史文化特色，开发互动性强、技术稳定的多媒体展示程序，用于展厅内数字展项（如触摸屏互动等）</w:t>
            </w:r>
          </w:p>
        </w:tc>
        <w:tc>
          <w:tcPr>
            <w:tcW w:w="343" w:type="pct"/>
            <w:shd w:val="clear" w:color="auto" w:fill="auto"/>
            <w:noWrap w:val="0"/>
            <w:vAlign w:val="center"/>
          </w:tcPr>
          <w:p w14:paraId="278B0FE2">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定制</w:t>
            </w:r>
          </w:p>
        </w:tc>
        <w:tc>
          <w:tcPr>
            <w:tcW w:w="376" w:type="pct"/>
            <w:shd w:val="clear" w:color="auto" w:fill="auto"/>
            <w:noWrap w:val="0"/>
            <w:vAlign w:val="center"/>
          </w:tcPr>
          <w:p w14:paraId="480A9D7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shd w:val="clear" w:color="auto" w:fill="auto"/>
            <w:noWrap w:val="0"/>
            <w:vAlign w:val="center"/>
          </w:tcPr>
          <w:p w14:paraId="477B5C5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2D268E7A">
            <w:pPr>
              <w:jc w:val="left"/>
              <w:rPr>
                <w:rFonts w:hint="eastAsia" w:ascii="宋体" w:hAnsi="宋体" w:eastAsia="宋体" w:cs="宋体"/>
                <w:color w:val="auto"/>
                <w:sz w:val="21"/>
                <w:szCs w:val="21"/>
                <w:highlight w:val="none"/>
              </w:rPr>
            </w:pPr>
          </w:p>
        </w:tc>
        <w:tc>
          <w:tcPr>
            <w:tcW w:w="349" w:type="pct"/>
            <w:noWrap w:val="0"/>
            <w:vAlign w:val="center"/>
          </w:tcPr>
          <w:p w14:paraId="5EA360B7">
            <w:pPr>
              <w:jc w:val="left"/>
              <w:rPr>
                <w:rFonts w:hint="eastAsia" w:ascii="宋体" w:hAnsi="宋体" w:eastAsia="宋体" w:cs="宋体"/>
                <w:color w:val="auto"/>
                <w:sz w:val="21"/>
                <w:szCs w:val="21"/>
                <w:highlight w:val="none"/>
              </w:rPr>
            </w:pPr>
          </w:p>
        </w:tc>
      </w:tr>
      <w:tr w14:paraId="7243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4" w:type="pct"/>
            <w:noWrap w:val="0"/>
            <w:vAlign w:val="center"/>
          </w:tcPr>
          <w:p w14:paraId="2BDA5F18">
            <w:pPr>
              <w:jc w:val="center"/>
              <w:rPr>
                <w:rFonts w:hint="eastAsia" w:ascii="宋体" w:hAnsi="宋体" w:eastAsia="宋体" w:cs="宋体"/>
                <w:color w:val="auto"/>
                <w:sz w:val="21"/>
                <w:szCs w:val="21"/>
                <w:highlight w:val="none"/>
                <w:lang w:val="en-US" w:eastAsia="zh-CN"/>
              </w:rPr>
            </w:pPr>
          </w:p>
        </w:tc>
        <w:tc>
          <w:tcPr>
            <w:tcW w:w="365" w:type="pct"/>
            <w:shd w:val="clear" w:color="auto" w:fill="auto"/>
            <w:noWrap w:val="0"/>
            <w:vAlign w:val="center"/>
          </w:tcPr>
          <w:p w14:paraId="7BD095EC">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p>
        </w:tc>
        <w:tc>
          <w:tcPr>
            <w:tcW w:w="616" w:type="pct"/>
            <w:shd w:val="clear" w:color="auto" w:fill="auto"/>
            <w:noWrap w:val="0"/>
            <w:vAlign w:val="center"/>
          </w:tcPr>
          <w:p w14:paraId="23B4D5E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软硬件安装调试服务</w:t>
            </w:r>
          </w:p>
        </w:tc>
        <w:tc>
          <w:tcPr>
            <w:tcW w:w="1856" w:type="pct"/>
            <w:shd w:val="clear" w:color="auto" w:fill="auto"/>
            <w:noWrap w:val="0"/>
            <w:vAlign w:val="center"/>
          </w:tcPr>
          <w:p w14:paraId="5A9BAABF">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设备及配套组件安装、系统测试、设备参数设置、电子布展效果调试等</w:t>
            </w:r>
          </w:p>
        </w:tc>
        <w:tc>
          <w:tcPr>
            <w:tcW w:w="343" w:type="pct"/>
            <w:shd w:val="clear" w:color="auto" w:fill="auto"/>
            <w:noWrap w:val="0"/>
            <w:vAlign w:val="center"/>
          </w:tcPr>
          <w:p w14:paraId="4E728432">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定制</w:t>
            </w:r>
          </w:p>
        </w:tc>
        <w:tc>
          <w:tcPr>
            <w:tcW w:w="376" w:type="pct"/>
            <w:shd w:val="clear" w:color="auto" w:fill="auto"/>
            <w:noWrap w:val="0"/>
            <w:vAlign w:val="center"/>
          </w:tcPr>
          <w:p w14:paraId="2EBFB07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shd w:val="clear" w:color="auto" w:fill="auto"/>
            <w:noWrap w:val="0"/>
            <w:vAlign w:val="center"/>
          </w:tcPr>
          <w:p w14:paraId="5382130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3DA21B01">
            <w:pPr>
              <w:jc w:val="left"/>
              <w:rPr>
                <w:rFonts w:hint="eastAsia" w:ascii="宋体" w:hAnsi="宋体" w:eastAsia="宋体" w:cs="宋体"/>
                <w:color w:val="auto"/>
                <w:sz w:val="21"/>
                <w:szCs w:val="21"/>
                <w:highlight w:val="none"/>
              </w:rPr>
            </w:pPr>
          </w:p>
        </w:tc>
        <w:tc>
          <w:tcPr>
            <w:tcW w:w="349" w:type="pct"/>
            <w:noWrap w:val="0"/>
            <w:vAlign w:val="center"/>
          </w:tcPr>
          <w:p w14:paraId="5D2524D7">
            <w:pPr>
              <w:jc w:val="left"/>
              <w:rPr>
                <w:rFonts w:hint="eastAsia" w:ascii="宋体" w:hAnsi="宋体" w:eastAsia="宋体" w:cs="宋体"/>
                <w:color w:val="auto"/>
                <w:sz w:val="21"/>
                <w:szCs w:val="21"/>
                <w:highlight w:val="none"/>
              </w:rPr>
            </w:pPr>
          </w:p>
        </w:tc>
      </w:tr>
      <w:tr w14:paraId="3FD9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4" w:type="pct"/>
            <w:noWrap w:val="0"/>
            <w:vAlign w:val="center"/>
          </w:tcPr>
          <w:p w14:paraId="6C73F7CD">
            <w:pPr>
              <w:jc w:val="center"/>
              <w:rPr>
                <w:rFonts w:hint="eastAsia" w:ascii="宋体" w:hAnsi="宋体" w:eastAsia="宋体" w:cs="宋体"/>
                <w:color w:val="auto"/>
                <w:sz w:val="21"/>
                <w:szCs w:val="21"/>
                <w:highlight w:val="none"/>
                <w:lang w:val="en-US" w:eastAsia="zh-CN"/>
              </w:rPr>
            </w:pPr>
          </w:p>
        </w:tc>
        <w:tc>
          <w:tcPr>
            <w:tcW w:w="365" w:type="pct"/>
            <w:shd w:val="clear" w:color="auto" w:fill="auto"/>
            <w:noWrap w:val="0"/>
            <w:vAlign w:val="center"/>
          </w:tcPr>
          <w:p w14:paraId="76180818">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21</w:t>
            </w:r>
          </w:p>
        </w:tc>
        <w:tc>
          <w:tcPr>
            <w:tcW w:w="616" w:type="pct"/>
            <w:shd w:val="clear" w:color="auto" w:fill="auto"/>
            <w:noWrap w:val="0"/>
            <w:vAlign w:val="center"/>
          </w:tcPr>
          <w:p w14:paraId="32652DA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专业灯光</w:t>
            </w:r>
          </w:p>
        </w:tc>
        <w:tc>
          <w:tcPr>
            <w:tcW w:w="1856" w:type="pct"/>
            <w:shd w:val="clear" w:color="auto" w:fill="auto"/>
            <w:noWrap w:val="0"/>
            <w:vAlign w:val="center"/>
          </w:tcPr>
          <w:p w14:paraId="7FC5BD23">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射灯，轨道，灯笼，普通照明灯，LED氛围灯带</w:t>
            </w:r>
            <w:r>
              <w:rPr>
                <w:rFonts w:hint="eastAsia" w:ascii="宋体" w:hAnsi="宋体" w:eastAsia="宋体" w:cs="宋体"/>
                <w:color w:val="auto"/>
                <w:sz w:val="21"/>
                <w:szCs w:val="21"/>
                <w:highlight w:val="none"/>
                <w:lang w:eastAsia="zh-CN"/>
              </w:rPr>
              <w:t>、应急灯、紧急出口信号灯</w:t>
            </w:r>
          </w:p>
        </w:tc>
        <w:tc>
          <w:tcPr>
            <w:tcW w:w="343" w:type="pct"/>
            <w:shd w:val="clear" w:color="auto" w:fill="auto"/>
            <w:noWrap w:val="0"/>
            <w:vAlign w:val="center"/>
          </w:tcPr>
          <w:p w14:paraId="146E1229">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定制</w:t>
            </w:r>
          </w:p>
        </w:tc>
        <w:tc>
          <w:tcPr>
            <w:tcW w:w="376" w:type="pct"/>
            <w:shd w:val="clear" w:color="auto" w:fill="auto"/>
            <w:noWrap w:val="0"/>
            <w:vAlign w:val="center"/>
          </w:tcPr>
          <w:p w14:paraId="4A64591B">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shd w:val="clear" w:color="auto" w:fill="auto"/>
            <w:noWrap w:val="0"/>
            <w:vAlign w:val="center"/>
          </w:tcPr>
          <w:p w14:paraId="3B1A2AD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6A08314B">
            <w:pPr>
              <w:jc w:val="left"/>
              <w:rPr>
                <w:rFonts w:hint="eastAsia" w:ascii="宋体" w:hAnsi="宋体" w:eastAsia="宋体" w:cs="宋体"/>
                <w:color w:val="auto"/>
                <w:sz w:val="21"/>
                <w:szCs w:val="21"/>
                <w:highlight w:val="none"/>
              </w:rPr>
            </w:pPr>
          </w:p>
        </w:tc>
        <w:tc>
          <w:tcPr>
            <w:tcW w:w="349" w:type="pct"/>
            <w:noWrap w:val="0"/>
            <w:vAlign w:val="center"/>
          </w:tcPr>
          <w:p w14:paraId="5D986FE5">
            <w:pPr>
              <w:jc w:val="left"/>
              <w:rPr>
                <w:rFonts w:hint="eastAsia" w:ascii="宋体" w:hAnsi="宋体" w:eastAsia="宋体" w:cs="宋体"/>
                <w:color w:val="auto"/>
                <w:sz w:val="21"/>
                <w:szCs w:val="21"/>
                <w:highlight w:val="none"/>
              </w:rPr>
            </w:pPr>
          </w:p>
        </w:tc>
      </w:tr>
      <w:tr w14:paraId="74E0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4" w:type="pct"/>
            <w:shd w:val="clear" w:color="auto" w:fill="auto"/>
            <w:noWrap w:val="0"/>
            <w:vAlign w:val="center"/>
          </w:tcPr>
          <w:p w14:paraId="696C817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综合布线</w:t>
            </w:r>
          </w:p>
        </w:tc>
        <w:tc>
          <w:tcPr>
            <w:tcW w:w="365" w:type="pct"/>
            <w:shd w:val="clear" w:color="auto" w:fill="auto"/>
            <w:noWrap w:val="0"/>
            <w:vAlign w:val="center"/>
          </w:tcPr>
          <w:p w14:paraId="1B628E5F">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22</w:t>
            </w:r>
          </w:p>
        </w:tc>
        <w:tc>
          <w:tcPr>
            <w:tcW w:w="616" w:type="pct"/>
            <w:shd w:val="clear" w:color="auto" w:fill="auto"/>
            <w:noWrap w:val="0"/>
            <w:vAlign w:val="center"/>
          </w:tcPr>
          <w:p w14:paraId="08B3C0E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电气工程</w:t>
            </w:r>
          </w:p>
        </w:tc>
        <w:tc>
          <w:tcPr>
            <w:tcW w:w="1856" w:type="pct"/>
            <w:shd w:val="clear" w:color="auto" w:fill="auto"/>
            <w:noWrap w:val="0"/>
            <w:vAlign w:val="center"/>
          </w:tcPr>
          <w:p w14:paraId="0F138473">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为配合展陈需要调整电气管线、强弱电线路铺设、时序、中控等小电器安装，需包含:配电箱、桥架、配管配线、开关插座、接线盒</w:t>
            </w:r>
          </w:p>
        </w:tc>
        <w:tc>
          <w:tcPr>
            <w:tcW w:w="343" w:type="pct"/>
            <w:shd w:val="clear" w:color="auto" w:fill="auto"/>
            <w:noWrap w:val="0"/>
            <w:vAlign w:val="center"/>
          </w:tcPr>
          <w:p w14:paraId="74FF29FE">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国标</w:t>
            </w:r>
          </w:p>
        </w:tc>
        <w:tc>
          <w:tcPr>
            <w:tcW w:w="376" w:type="pct"/>
            <w:shd w:val="clear" w:color="auto" w:fill="auto"/>
            <w:noWrap w:val="0"/>
            <w:vAlign w:val="center"/>
          </w:tcPr>
          <w:p w14:paraId="27E181F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shd w:val="clear" w:color="auto" w:fill="auto"/>
            <w:noWrap w:val="0"/>
            <w:vAlign w:val="center"/>
          </w:tcPr>
          <w:p w14:paraId="64B5984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013F4158">
            <w:pPr>
              <w:jc w:val="left"/>
              <w:rPr>
                <w:rFonts w:hint="eastAsia" w:ascii="宋体" w:hAnsi="宋体" w:eastAsia="宋体" w:cs="宋体"/>
                <w:color w:val="auto"/>
                <w:sz w:val="21"/>
                <w:szCs w:val="21"/>
                <w:highlight w:val="none"/>
              </w:rPr>
            </w:pPr>
          </w:p>
        </w:tc>
        <w:tc>
          <w:tcPr>
            <w:tcW w:w="349" w:type="pct"/>
            <w:noWrap w:val="0"/>
            <w:vAlign w:val="center"/>
          </w:tcPr>
          <w:p w14:paraId="2DF56574">
            <w:pPr>
              <w:jc w:val="left"/>
              <w:rPr>
                <w:rFonts w:hint="eastAsia" w:ascii="宋体" w:hAnsi="宋体" w:eastAsia="宋体" w:cs="宋体"/>
                <w:color w:val="auto"/>
                <w:sz w:val="21"/>
                <w:szCs w:val="21"/>
                <w:highlight w:val="none"/>
              </w:rPr>
            </w:pPr>
          </w:p>
        </w:tc>
      </w:tr>
      <w:tr w14:paraId="7864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4" w:type="pct"/>
            <w:vMerge w:val="restart"/>
            <w:shd w:val="clear" w:color="auto" w:fill="auto"/>
            <w:noWrap w:val="0"/>
            <w:vAlign w:val="center"/>
          </w:tcPr>
          <w:p w14:paraId="6CABC960">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运营服务</w:t>
            </w:r>
          </w:p>
        </w:tc>
        <w:tc>
          <w:tcPr>
            <w:tcW w:w="365" w:type="pct"/>
            <w:shd w:val="clear" w:color="auto" w:fill="auto"/>
            <w:noWrap w:val="0"/>
            <w:vAlign w:val="center"/>
          </w:tcPr>
          <w:p w14:paraId="309F81A3">
            <w:pPr>
              <w:jc w:val="center"/>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cs="宋体"/>
                <w:strike w:val="0"/>
                <w:dstrike w:val="0"/>
                <w:color w:val="auto"/>
                <w:sz w:val="21"/>
                <w:szCs w:val="21"/>
                <w:highlight w:val="none"/>
                <w:lang w:val="en-US" w:eastAsia="zh-CN"/>
              </w:rPr>
              <w:t>23</w:t>
            </w:r>
          </w:p>
        </w:tc>
        <w:tc>
          <w:tcPr>
            <w:tcW w:w="616" w:type="pct"/>
            <w:shd w:val="clear" w:color="auto" w:fill="auto"/>
            <w:noWrap w:val="0"/>
            <w:vAlign w:val="center"/>
          </w:tcPr>
          <w:p w14:paraId="13B1054D">
            <w:pPr>
              <w:jc w:val="center"/>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cs="宋体"/>
                <w:strike w:val="0"/>
                <w:dstrike w:val="0"/>
                <w:color w:val="auto"/>
                <w:sz w:val="21"/>
                <w:szCs w:val="21"/>
                <w:highlight w:val="none"/>
                <w:lang w:val="en-US" w:eastAsia="zh-CN"/>
              </w:rPr>
              <w:t>开馆布展</w:t>
            </w:r>
          </w:p>
        </w:tc>
        <w:tc>
          <w:tcPr>
            <w:tcW w:w="1856" w:type="pct"/>
            <w:shd w:val="clear" w:color="auto" w:fill="auto"/>
            <w:noWrap w:val="0"/>
            <w:vAlign w:val="center"/>
          </w:tcPr>
          <w:p w14:paraId="54CF151A">
            <w:pPr>
              <w:snapToGrid w:val="0"/>
              <w:spacing w:line="240" w:lineRule="exact"/>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cs="宋体"/>
                <w:strike w:val="0"/>
                <w:dstrike w:val="0"/>
                <w:color w:val="auto"/>
                <w:sz w:val="21"/>
                <w:szCs w:val="21"/>
                <w:highlight w:val="none"/>
                <w:lang w:val="en-US" w:eastAsia="zh-CN"/>
              </w:rPr>
              <w:t>开馆布展设计全流程方案、配套工作人员、后勤保障；临时搭建配套硬件等。（不超过30万元，按实结算。）</w:t>
            </w:r>
          </w:p>
        </w:tc>
        <w:tc>
          <w:tcPr>
            <w:tcW w:w="343" w:type="pct"/>
            <w:shd w:val="clear" w:color="auto" w:fill="auto"/>
            <w:noWrap w:val="0"/>
            <w:vAlign w:val="center"/>
          </w:tcPr>
          <w:p w14:paraId="4677E604">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定制</w:t>
            </w:r>
          </w:p>
        </w:tc>
        <w:tc>
          <w:tcPr>
            <w:tcW w:w="376" w:type="pct"/>
            <w:shd w:val="clear" w:color="auto" w:fill="auto"/>
            <w:noWrap w:val="0"/>
            <w:vAlign w:val="center"/>
          </w:tcPr>
          <w:p w14:paraId="2D1939A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shd w:val="clear" w:color="auto" w:fill="auto"/>
            <w:noWrap w:val="0"/>
            <w:vAlign w:val="center"/>
          </w:tcPr>
          <w:p w14:paraId="6696FEE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5E4A1AA3">
            <w:pPr>
              <w:jc w:val="left"/>
              <w:rPr>
                <w:rFonts w:hint="eastAsia" w:ascii="宋体" w:hAnsi="宋体" w:eastAsia="宋体" w:cs="宋体"/>
                <w:color w:val="auto"/>
                <w:sz w:val="21"/>
                <w:szCs w:val="21"/>
                <w:highlight w:val="none"/>
              </w:rPr>
            </w:pPr>
          </w:p>
        </w:tc>
        <w:tc>
          <w:tcPr>
            <w:tcW w:w="349" w:type="pct"/>
            <w:noWrap w:val="0"/>
            <w:vAlign w:val="center"/>
          </w:tcPr>
          <w:p w14:paraId="0FB19C88">
            <w:pPr>
              <w:jc w:val="left"/>
              <w:rPr>
                <w:rFonts w:hint="eastAsia" w:ascii="宋体" w:hAnsi="宋体" w:eastAsia="宋体" w:cs="宋体"/>
                <w:color w:val="auto"/>
                <w:sz w:val="21"/>
                <w:szCs w:val="21"/>
                <w:highlight w:val="none"/>
              </w:rPr>
            </w:pPr>
          </w:p>
        </w:tc>
      </w:tr>
      <w:tr w14:paraId="0180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64" w:type="pct"/>
            <w:vMerge w:val="continue"/>
            <w:noWrap w:val="0"/>
            <w:vAlign w:val="center"/>
          </w:tcPr>
          <w:p w14:paraId="78FD0824">
            <w:pPr>
              <w:jc w:val="center"/>
              <w:rPr>
                <w:rFonts w:hint="eastAsia" w:ascii="宋体" w:hAnsi="宋体" w:eastAsia="宋体" w:cs="宋体"/>
                <w:color w:val="auto"/>
                <w:sz w:val="21"/>
                <w:szCs w:val="21"/>
                <w:highlight w:val="none"/>
                <w:lang w:val="en-US" w:eastAsia="zh-CN"/>
              </w:rPr>
            </w:pPr>
          </w:p>
        </w:tc>
        <w:tc>
          <w:tcPr>
            <w:tcW w:w="365" w:type="pct"/>
            <w:shd w:val="clear" w:color="auto" w:fill="auto"/>
            <w:noWrap w:val="0"/>
            <w:vAlign w:val="center"/>
          </w:tcPr>
          <w:p w14:paraId="22701C5F">
            <w:pPr>
              <w:jc w:val="center"/>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cs="宋体"/>
                <w:strike w:val="0"/>
                <w:dstrike w:val="0"/>
                <w:color w:val="auto"/>
                <w:sz w:val="21"/>
                <w:szCs w:val="21"/>
                <w:highlight w:val="none"/>
                <w:lang w:val="en-US" w:eastAsia="zh-CN"/>
              </w:rPr>
              <w:t>24</w:t>
            </w:r>
          </w:p>
        </w:tc>
        <w:tc>
          <w:tcPr>
            <w:tcW w:w="616" w:type="pct"/>
            <w:shd w:val="clear" w:color="auto" w:fill="auto"/>
            <w:noWrap w:val="0"/>
            <w:vAlign w:val="center"/>
          </w:tcPr>
          <w:p w14:paraId="3A86A4CA">
            <w:pPr>
              <w:jc w:val="center"/>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cs="宋体"/>
                <w:strike w:val="0"/>
                <w:dstrike w:val="0"/>
                <w:color w:val="auto"/>
                <w:sz w:val="21"/>
                <w:szCs w:val="21"/>
                <w:highlight w:val="none"/>
                <w:lang w:val="en-US" w:eastAsia="zh-CN"/>
              </w:rPr>
              <w:t>场馆运维</w:t>
            </w:r>
          </w:p>
        </w:tc>
        <w:tc>
          <w:tcPr>
            <w:tcW w:w="1856" w:type="pct"/>
            <w:shd w:val="clear" w:color="auto" w:fill="auto"/>
            <w:noWrap w:val="0"/>
            <w:vAlign w:val="center"/>
          </w:tcPr>
          <w:p w14:paraId="32715F4D">
            <w:pPr>
              <w:snapToGrid w:val="0"/>
              <w:spacing w:line="240" w:lineRule="exact"/>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cs="宋体"/>
                <w:strike w:val="0"/>
                <w:dstrike w:val="0"/>
                <w:color w:val="auto"/>
                <w:sz w:val="21"/>
                <w:szCs w:val="21"/>
                <w:highlight w:val="none"/>
                <w:lang w:val="en-US" w:eastAsia="zh-CN"/>
              </w:rPr>
              <w:t>须提供场馆验收后一年内的场馆运营保障（含保洁、讲解等）</w:t>
            </w:r>
          </w:p>
        </w:tc>
        <w:tc>
          <w:tcPr>
            <w:tcW w:w="343" w:type="pct"/>
            <w:shd w:val="clear" w:color="auto" w:fill="auto"/>
            <w:noWrap w:val="0"/>
            <w:vAlign w:val="center"/>
          </w:tcPr>
          <w:p w14:paraId="71C4DF82">
            <w:pPr>
              <w:snapToGrid w:val="0"/>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定制</w:t>
            </w:r>
          </w:p>
        </w:tc>
        <w:tc>
          <w:tcPr>
            <w:tcW w:w="376" w:type="pct"/>
            <w:shd w:val="clear" w:color="auto" w:fill="auto"/>
            <w:noWrap w:val="0"/>
            <w:vAlign w:val="center"/>
          </w:tcPr>
          <w:p w14:paraId="18792C7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376" w:type="pct"/>
            <w:shd w:val="clear" w:color="auto" w:fill="auto"/>
            <w:noWrap w:val="0"/>
            <w:vAlign w:val="center"/>
          </w:tcPr>
          <w:p w14:paraId="722469F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49" w:type="pct"/>
            <w:noWrap w:val="0"/>
            <w:vAlign w:val="center"/>
          </w:tcPr>
          <w:p w14:paraId="630DB4ED">
            <w:pPr>
              <w:jc w:val="left"/>
              <w:rPr>
                <w:rFonts w:hint="eastAsia" w:ascii="宋体" w:hAnsi="宋体" w:eastAsia="宋体" w:cs="宋体"/>
                <w:color w:val="auto"/>
                <w:sz w:val="21"/>
                <w:szCs w:val="21"/>
                <w:highlight w:val="none"/>
              </w:rPr>
            </w:pPr>
          </w:p>
        </w:tc>
        <w:tc>
          <w:tcPr>
            <w:tcW w:w="349" w:type="pct"/>
            <w:noWrap w:val="0"/>
            <w:vAlign w:val="center"/>
          </w:tcPr>
          <w:p w14:paraId="0DE8FAC0">
            <w:pPr>
              <w:jc w:val="left"/>
              <w:rPr>
                <w:rFonts w:hint="eastAsia" w:ascii="宋体" w:hAnsi="宋体" w:eastAsia="宋体" w:cs="宋体"/>
                <w:color w:val="auto"/>
                <w:sz w:val="21"/>
                <w:szCs w:val="21"/>
                <w:highlight w:val="none"/>
              </w:rPr>
            </w:pPr>
          </w:p>
        </w:tc>
      </w:tr>
    </w:tbl>
    <w:p w14:paraId="1DEEE2E2">
      <w:pPr>
        <w:pStyle w:val="65"/>
        <w:ind w:firstLine="2249" w:firstLineChars="800"/>
        <w:jc w:val="both"/>
        <w:rPr>
          <w:rFonts w:hint="eastAsia" w:ascii="宋体" w:hAnsi="宋体" w:eastAsia="宋体" w:cs="宋体"/>
          <w:b/>
          <w:bCs/>
          <w:color w:val="auto"/>
          <w:sz w:val="28"/>
          <w:szCs w:val="28"/>
          <w:highlight w:val="none"/>
          <w:lang w:val="en-US" w:eastAsia="zh-CN"/>
        </w:rPr>
      </w:pPr>
    </w:p>
    <w:p w14:paraId="4306E2CB">
      <w:pPr>
        <w:rPr>
          <w:rFonts w:hint="eastAsia"/>
          <w:color w:val="auto"/>
          <w:highlight w:val="none"/>
          <w:lang w:val="en-US" w:eastAsia="zh-CN"/>
        </w:rPr>
      </w:pPr>
    </w:p>
    <w:p w14:paraId="5A4E277D">
      <w:pPr>
        <w:keepNext w:val="0"/>
        <w:keepLines w:val="0"/>
        <w:pageBreakBefore w:val="0"/>
        <w:widowControl/>
        <w:numPr>
          <w:ilvl w:val="0"/>
          <w:numId w:val="8"/>
        </w:numPr>
        <w:kinsoku/>
        <w:wordWrap/>
        <w:overflowPunct/>
        <w:topLinePunct w:val="0"/>
        <w:autoSpaceDE/>
        <w:autoSpaceDN/>
        <w:bidi w:val="0"/>
        <w:adjustRightInd/>
        <w:snapToGrid/>
        <w:spacing w:line="360" w:lineRule="auto"/>
        <w:ind w:left="630" w:leftChars="0" w:hanging="63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商务需求</w:t>
      </w:r>
    </w:p>
    <w:p w14:paraId="2281DBF7">
      <w:pPr>
        <w:pStyle w:val="64"/>
        <w:numPr>
          <w:ilvl w:val="0"/>
          <w:numId w:val="0"/>
        </w:numPr>
        <w:ind w:leftChars="0"/>
        <w:rPr>
          <w:rFonts w:hint="eastAsia" w:ascii="宋体" w:hAnsi="宋体" w:eastAsia="宋体" w:cs="宋体"/>
          <w:color w:val="auto"/>
          <w:sz w:val="24"/>
          <w:szCs w:val="24"/>
          <w:highlight w:val="none"/>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交货时间及地点</w:t>
      </w:r>
    </w:p>
    <w:p w14:paraId="765B39FA">
      <w:pPr>
        <w:keepNext w:val="0"/>
        <w:keepLines w:val="0"/>
        <w:pageBreakBefore w:val="0"/>
        <w:widowControl/>
        <w:kinsoku/>
        <w:wordWrap/>
        <w:overflowPunct/>
        <w:topLinePunct w:val="0"/>
        <w:autoSpaceDE/>
        <w:autoSpaceDN/>
        <w:bidi w:val="0"/>
        <w:adjustRightInd/>
        <w:snapToGrid/>
        <w:spacing w:line="360" w:lineRule="auto"/>
        <w:ind w:firstLine="403" w:firstLineChars="168"/>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服务期：</w:t>
      </w:r>
      <w:r>
        <w:rPr>
          <w:rFonts w:hint="eastAsia" w:ascii="宋体" w:hAnsi="宋体" w:cs="宋体"/>
          <w:b w:val="0"/>
          <w:bCs w:val="0"/>
          <w:color w:val="auto"/>
          <w:kern w:val="0"/>
          <w:sz w:val="24"/>
          <w:szCs w:val="24"/>
          <w:highlight w:val="none"/>
          <w:lang w:val="en-US" w:eastAsia="zh-CN"/>
        </w:rPr>
        <w:t>70</w:t>
      </w:r>
      <w:r>
        <w:rPr>
          <w:rFonts w:hint="eastAsia" w:ascii="宋体" w:hAnsi="宋体" w:eastAsia="宋体" w:cs="宋体"/>
          <w:b w:val="0"/>
          <w:bCs w:val="0"/>
          <w:color w:val="auto"/>
          <w:kern w:val="0"/>
          <w:sz w:val="24"/>
          <w:szCs w:val="24"/>
          <w:highlight w:val="none"/>
        </w:rPr>
        <w:t>日历天</w:t>
      </w:r>
      <w:r>
        <w:rPr>
          <w:rFonts w:hint="eastAsia" w:ascii="宋体" w:hAnsi="宋体" w:cs="宋体"/>
          <w:b w:val="0"/>
          <w:bCs w:val="0"/>
          <w:color w:val="auto"/>
          <w:kern w:val="0"/>
          <w:sz w:val="24"/>
          <w:szCs w:val="24"/>
          <w:highlight w:val="none"/>
          <w:lang w:val="en-US" w:eastAsia="zh-CN"/>
        </w:rPr>
        <w:t>内交货完成</w:t>
      </w:r>
      <w:r>
        <w:rPr>
          <w:rFonts w:hint="eastAsia" w:ascii="宋体" w:hAnsi="宋体" w:eastAsia="宋体" w:cs="宋体"/>
          <w:b w:val="0"/>
          <w:bCs w:val="0"/>
          <w:color w:val="auto"/>
          <w:kern w:val="0"/>
          <w:sz w:val="24"/>
          <w:szCs w:val="24"/>
          <w:highlight w:val="none"/>
        </w:rPr>
        <w:t>。</w:t>
      </w:r>
    </w:p>
    <w:p w14:paraId="771BF80B">
      <w:pPr>
        <w:keepNext w:val="0"/>
        <w:keepLines w:val="0"/>
        <w:pageBreakBefore w:val="0"/>
        <w:widowControl/>
        <w:numPr>
          <w:ilvl w:val="0"/>
          <w:numId w:val="10"/>
        </w:numPr>
        <w:kinsoku/>
        <w:wordWrap/>
        <w:overflowPunct/>
        <w:topLinePunct w:val="0"/>
        <w:autoSpaceDE/>
        <w:autoSpaceDN/>
        <w:bidi w:val="0"/>
        <w:adjustRightInd/>
        <w:snapToGrid/>
        <w:spacing w:line="360" w:lineRule="auto"/>
        <w:ind w:firstLine="640" w:firstLineChars="267"/>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pacing w:val="0"/>
          <w:kern w:val="0"/>
          <w:sz w:val="24"/>
          <w:szCs w:val="24"/>
          <w:highlight w:val="none"/>
          <w:lang w:val="en-US" w:eastAsia="zh-CN" w:bidi="ar-SA"/>
        </w:rPr>
        <w:t>服务地</w:t>
      </w:r>
      <w:r>
        <w:rPr>
          <w:rFonts w:hint="eastAsia" w:ascii="宋体" w:hAnsi="宋体" w:eastAsia="宋体" w:cs="宋体"/>
          <w:b w:val="0"/>
          <w:bCs w:val="0"/>
          <w:color w:val="auto"/>
          <w:spacing w:val="0"/>
          <w:sz w:val="24"/>
          <w:szCs w:val="24"/>
          <w:highlight w:val="none"/>
        </w:rPr>
        <w:t>点：</w:t>
      </w:r>
      <w:r>
        <w:rPr>
          <w:rFonts w:hint="eastAsia" w:ascii="宋体" w:hAnsi="宋体" w:eastAsia="宋体" w:cs="宋体"/>
          <w:b w:val="0"/>
          <w:bCs w:val="0"/>
          <w:color w:val="auto"/>
          <w:spacing w:val="0"/>
          <w:kern w:val="0"/>
          <w:sz w:val="24"/>
          <w:szCs w:val="24"/>
          <w:highlight w:val="none"/>
          <w:lang w:val="en-US" w:eastAsia="zh-CN"/>
        </w:rPr>
        <w:t>采购</w:t>
      </w:r>
      <w:r>
        <w:rPr>
          <w:rFonts w:hint="eastAsia" w:ascii="宋体" w:hAnsi="宋体" w:eastAsia="宋体" w:cs="宋体"/>
          <w:b w:val="0"/>
          <w:bCs w:val="0"/>
          <w:color w:val="auto"/>
          <w:kern w:val="0"/>
          <w:sz w:val="24"/>
          <w:szCs w:val="24"/>
          <w:highlight w:val="none"/>
        </w:rPr>
        <w:t>人指定地点。</w:t>
      </w:r>
    </w:p>
    <w:p w14:paraId="39F941AD">
      <w:pPr>
        <w:keepNext w:val="0"/>
        <w:keepLines w:val="0"/>
        <w:pageBreakBefore w:val="0"/>
        <w:widowControl/>
        <w:kinsoku/>
        <w:wordWrap/>
        <w:overflowPunct/>
        <w:topLinePunct w:val="0"/>
        <w:autoSpaceDE/>
        <w:autoSpaceDN/>
        <w:bidi w:val="0"/>
        <w:adjustRightInd/>
        <w:snapToGrid/>
        <w:spacing w:line="360" w:lineRule="auto"/>
        <w:ind w:firstLine="403" w:firstLineChars="16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付款方式</w:t>
      </w:r>
    </w:p>
    <w:p w14:paraId="3AC937F9">
      <w:pPr>
        <w:widowControl/>
        <w:tabs>
          <w:tab w:val="left" w:pos="0"/>
        </w:tabs>
        <w:adjustRightInd/>
        <w:snapToGrid/>
        <w:spacing w:after="0" w:line="360" w:lineRule="auto"/>
        <w:ind w:firstLine="480" w:firstLine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自合同签订之日起</w:t>
      </w:r>
      <w:r>
        <w:rPr>
          <w:rFonts w:hint="eastAsia" w:ascii="宋体" w:hAnsi="宋体" w:cs="宋体"/>
          <w:color w:val="auto"/>
          <w:sz w:val="24"/>
          <w:szCs w:val="24"/>
          <w:highlight w:val="none"/>
          <w:lang w:val="en-US" w:eastAsia="zh-CN"/>
        </w:rPr>
        <w:t>十五</w:t>
      </w:r>
      <w:r>
        <w:rPr>
          <w:rFonts w:hint="eastAsia" w:ascii="宋体" w:hAnsi="宋体" w:cs="宋体"/>
          <w:color w:val="auto"/>
          <w:sz w:val="24"/>
          <w:szCs w:val="24"/>
          <w:highlight w:val="none"/>
          <w:lang w:eastAsia="zh-CN"/>
        </w:rPr>
        <w:t>日</w:t>
      </w:r>
      <w:r>
        <w:rPr>
          <w:rFonts w:hint="eastAsia" w:ascii="宋体" w:hAnsi="宋体" w:eastAsia="宋体" w:cs="宋体"/>
          <w:color w:val="auto"/>
          <w:sz w:val="24"/>
          <w:szCs w:val="24"/>
          <w:highlight w:val="none"/>
        </w:rPr>
        <w:t>内，采购人向中标人支付合同金额的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设计方案通过评审后，采购人内向中标人支付合同金额的20%；</w:t>
      </w:r>
      <w:r>
        <w:rPr>
          <w:rFonts w:hint="eastAsia" w:ascii="宋体" w:hAnsi="宋体" w:eastAsia="宋体" w:cs="宋体"/>
          <w:color w:val="auto"/>
          <w:sz w:val="24"/>
          <w:szCs w:val="24"/>
          <w:highlight w:val="none"/>
          <w:lang w:eastAsia="zh-CN"/>
        </w:rPr>
        <w:t>展品材料设备</w:t>
      </w:r>
      <w:r>
        <w:rPr>
          <w:rFonts w:hint="eastAsia" w:ascii="宋体" w:hAnsi="宋体" w:eastAsia="宋体" w:cs="宋体"/>
          <w:color w:val="auto"/>
          <w:sz w:val="24"/>
          <w:szCs w:val="24"/>
          <w:highlight w:val="none"/>
        </w:rPr>
        <w:t>进场，</w:t>
      </w:r>
      <w:r>
        <w:rPr>
          <w:rFonts w:hint="eastAsia" w:ascii="宋体" w:hAnsi="宋体" w:eastAsia="宋体" w:cs="宋体"/>
          <w:color w:val="auto"/>
          <w:sz w:val="24"/>
          <w:szCs w:val="24"/>
          <w:highlight w:val="none"/>
          <w:lang w:val="en-US" w:eastAsia="zh-CN"/>
        </w:rPr>
        <w:t>经采购人确认后，</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rPr>
        <w:t>向中标人支付</w:t>
      </w:r>
      <w:r>
        <w:rPr>
          <w:rFonts w:hint="eastAsia" w:ascii="宋体" w:hAnsi="宋体" w:eastAsia="宋体" w:cs="宋体"/>
          <w:color w:val="auto"/>
          <w:sz w:val="24"/>
          <w:szCs w:val="24"/>
          <w:highlight w:val="none"/>
        </w:rPr>
        <w:t>合同金额的40%</w:t>
      </w:r>
      <w:r>
        <w:rPr>
          <w:rFonts w:hint="eastAsia" w:ascii="宋体" w:hAnsi="宋体" w:eastAsia="宋体" w:cs="宋体"/>
          <w:color w:val="auto"/>
          <w:sz w:val="24"/>
          <w:szCs w:val="24"/>
          <w:highlight w:val="none"/>
        </w:rPr>
        <w:t>；在布展交付</w:t>
      </w:r>
      <w:r>
        <w:rPr>
          <w:rFonts w:hint="eastAsia" w:ascii="宋体" w:hAnsi="宋体" w:eastAsia="宋体" w:cs="宋体"/>
          <w:color w:val="auto"/>
          <w:sz w:val="24"/>
          <w:szCs w:val="24"/>
          <w:highlight w:val="none"/>
          <w:lang w:val="en-US" w:eastAsia="zh-CN"/>
        </w:rPr>
        <w:t>后经采购人</w:t>
      </w:r>
      <w:r>
        <w:rPr>
          <w:rFonts w:hint="eastAsia" w:ascii="宋体" w:hAnsi="宋体" w:eastAsia="宋体" w:cs="宋体"/>
          <w:color w:val="auto"/>
          <w:sz w:val="24"/>
          <w:szCs w:val="24"/>
          <w:highlight w:val="none"/>
        </w:rPr>
        <w:t>验收合格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采购人向中标人支付</w:t>
      </w:r>
      <w:r>
        <w:rPr>
          <w:rFonts w:hint="eastAsia" w:ascii="宋体" w:hAnsi="宋体" w:eastAsia="宋体" w:cs="宋体"/>
          <w:color w:val="auto"/>
          <w:sz w:val="24"/>
          <w:szCs w:val="24"/>
          <w:highlight w:val="none"/>
          <w:lang w:val="en-US" w:eastAsia="zh-CN"/>
        </w:rPr>
        <w:t>剩余金额</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 xml:space="preserve"> </w:t>
      </w:r>
    </w:p>
    <w:p w14:paraId="1713CA8E">
      <w:pPr>
        <w:widowControl w:val="0"/>
        <w:adjustRightInd w:val="0"/>
        <w:snapToGrid w:val="0"/>
        <w:spacing w:after="0" w:line="360" w:lineRule="auto"/>
        <w:ind w:firstLine="480" w:firstLineChars="200"/>
        <w:jc w:val="both"/>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2.2合同履行完毕，需方根据合同进行验收，验收合格后供应商按财政结算要求办理结算手续。</w:t>
      </w:r>
    </w:p>
    <w:p w14:paraId="4E224341">
      <w:pPr>
        <w:widowControl/>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3、质保期及售后技术服务要求</w:t>
      </w:r>
    </w:p>
    <w:p w14:paraId="05188BD5">
      <w:pPr>
        <w:widowControl/>
        <w:tabs>
          <w:tab w:val="left" w:pos="0"/>
        </w:tabs>
        <w:adjustRightInd/>
        <w:spacing w:line="360" w:lineRule="auto"/>
        <w:ind w:firstLine="480" w:firstLineChars="0"/>
        <w:jc w:val="left"/>
        <w:outlineLvl w:val="9"/>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(1)质保期：</w:t>
      </w: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年。</w:t>
      </w:r>
    </w:p>
    <w:p w14:paraId="18C41560">
      <w:pPr>
        <w:widowControl/>
        <w:tabs>
          <w:tab w:val="left" w:pos="0"/>
        </w:tabs>
        <w:adjustRightInd/>
        <w:spacing w:line="360" w:lineRule="auto"/>
        <w:ind w:firstLine="241" w:firstLineChars="100"/>
        <w:jc w:val="left"/>
        <w:outlineLvl w:val="9"/>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 xml:space="preserve"> (</w:t>
      </w:r>
      <w:r>
        <w:rPr>
          <w:rFonts w:hint="eastAsia" w:ascii="宋体" w:hAnsi="宋体" w:eastAsia="宋体" w:cs="宋体"/>
          <w:color w:val="auto"/>
          <w:sz w:val="24"/>
          <w:szCs w:val="24"/>
          <w:highlight w:val="none"/>
          <w:u w:val="none"/>
        </w:rPr>
        <w:t>2)质量保证期内提供免费上门维护、升级服务，如设备出现故障，供货单位在接到电话后，</w:t>
      </w:r>
      <w:r>
        <w:rPr>
          <w:rFonts w:hint="eastAsia" w:ascii="宋体" w:hAnsi="宋体" w:eastAsia="宋体" w:cs="宋体"/>
          <w:color w:val="auto"/>
          <w:sz w:val="24"/>
          <w:szCs w:val="24"/>
          <w:highlight w:val="none"/>
          <w:u w:val="none"/>
          <w:lang w:val="en-US" w:eastAsia="zh-CN"/>
        </w:rPr>
        <w:t>24</w:t>
      </w:r>
      <w:r>
        <w:rPr>
          <w:rFonts w:hint="eastAsia" w:ascii="宋体" w:hAnsi="宋体" w:eastAsia="宋体" w:cs="宋体"/>
          <w:color w:val="auto"/>
          <w:sz w:val="24"/>
          <w:szCs w:val="24"/>
          <w:highlight w:val="none"/>
          <w:u w:val="none"/>
        </w:rPr>
        <w:t>小时内响应，</w:t>
      </w:r>
      <w:r>
        <w:rPr>
          <w:rFonts w:hint="eastAsia" w:ascii="宋体" w:hAnsi="宋体" w:eastAsia="宋体" w:cs="宋体"/>
          <w:color w:val="auto"/>
          <w:sz w:val="24"/>
          <w:szCs w:val="24"/>
          <w:highlight w:val="none"/>
          <w:u w:val="none"/>
          <w:lang w:val="en-US" w:eastAsia="zh-CN"/>
        </w:rPr>
        <w:t>24</w:t>
      </w:r>
      <w:r>
        <w:rPr>
          <w:rFonts w:hint="eastAsia" w:ascii="宋体" w:hAnsi="宋体" w:eastAsia="宋体" w:cs="宋体"/>
          <w:color w:val="auto"/>
          <w:sz w:val="24"/>
          <w:szCs w:val="24"/>
          <w:highlight w:val="none"/>
          <w:u w:val="none"/>
        </w:rPr>
        <w:t>小时内到现场处理</w:t>
      </w:r>
      <w:r>
        <w:rPr>
          <w:rFonts w:hint="eastAsia" w:ascii="宋体" w:hAnsi="宋体" w:eastAsia="宋体" w:cs="宋体"/>
          <w:color w:val="auto"/>
          <w:sz w:val="24"/>
          <w:szCs w:val="24"/>
          <w:highlight w:val="none"/>
          <w:u w:val="none"/>
          <w:lang w:val="en-US" w:eastAsia="zh-CN"/>
        </w:rPr>
        <w:t>并</w:t>
      </w:r>
      <w:r>
        <w:rPr>
          <w:rFonts w:hint="eastAsia" w:ascii="宋体" w:hAnsi="宋体" w:eastAsia="宋体" w:cs="宋体"/>
          <w:color w:val="auto"/>
          <w:sz w:val="24"/>
          <w:szCs w:val="24"/>
          <w:highlight w:val="none"/>
          <w:u w:val="none"/>
        </w:rPr>
        <w:t>修复，现场不能修复的，必须采取无偿提供采购物品的备用件或整机等措施，保证用户单位的正常使用。</w:t>
      </w:r>
    </w:p>
    <w:p w14:paraId="293EF245">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投标人</w:t>
      </w:r>
      <w:r>
        <w:rPr>
          <w:rFonts w:hint="eastAsia" w:ascii="宋体" w:hAnsi="宋体" w:eastAsia="宋体" w:cs="宋体"/>
          <w:color w:val="auto"/>
          <w:sz w:val="24"/>
          <w:szCs w:val="24"/>
          <w:highlight w:val="none"/>
          <w:u w:val="none"/>
        </w:rPr>
        <w:t>应提供技术支持方案，内容由响应人根据实际选择以下要点：服务机构（维保点）的地址、人员状况、维修能力、联系方式、营业执照、公司资质材料、相关案例等。</w:t>
      </w:r>
    </w:p>
    <w:p w14:paraId="2D831B00">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(4)完整准确地表述原厂家的标准售后服务承诺（范围、标准及期限等）、</w:t>
      </w:r>
      <w:r>
        <w:rPr>
          <w:rFonts w:hint="eastAsia" w:ascii="宋体" w:hAnsi="宋体" w:eastAsia="宋体" w:cs="宋体"/>
          <w:color w:val="auto"/>
          <w:sz w:val="24"/>
          <w:szCs w:val="24"/>
          <w:highlight w:val="none"/>
          <w:u w:val="none"/>
          <w:lang w:val="en-US" w:eastAsia="zh-CN"/>
        </w:rPr>
        <w:t>投标人</w:t>
      </w:r>
      <w:r>
        <w:rPr>
          <w:rFonts w:hint="eastAsia" w:ascii="宋体" w:hAnsi="宋体" w:eastAsia="宋体" w:cs="宋体"/>
          <w:color w:val="auto"/>
          <w:sz w:val="24"/>
          <w:szCs w:val="24"/>
          <w:highlight w:val="none"/>
          <w:u w:val="none"/>
        </w:rPr>
        <w:t>可能增加的服务承诺等。</w:t>
      </w:r>
    </w:p>
    <w:p w14:paraId="3D2370CC">
      <w:pPr>
        <w:widowControl/>
        <w:tabs>
          <w:tab w:val="left" w:pos="0"/>
        </w:tabs>
        <w:adjustRightInd/>
        <w:spacing w:line="360" w:lineRule="auto"/>
        <w:ind w:firstLine="480" w:firstLineChars="0"/>
        <w:jc w:val="left"/>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(5)明示服务承诺可能涉及的前提设定和费用，否则将被认为是无条件和免费的。</w:t>
      </w:r>
    </w:p>
    <w:p w14:paraId="494CB6C0">
      <w:pPr>
        <w:widowControl/>
        <w:spacing w:line="360" w:lineRule="auto"/>
        <w:ind w:firstLine="403" w:firstLineChars="16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4、中标方案的知识产权归采购人所有。</w:t>
      </w:r>
    </w:p>
    <w:p w14:paraId="3092A79D">
      <w:pPr>
        <w:widowControl/>
        <w:spacing w:line="360" w:lineRule="auto"/>
        <w:ind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1791079">
      <w:pPr>
        <w:widowControl/>
        <w:tabs>
          <w:tab w:val="left" w:pos="0"/>
        </w:tabs>
        <w:adjustRightInd/>
        <w:snapToGrid/>
        <w:spacing w:after="0" w:line="360" w:lineRule="auto"/>
        <w:ind w:firstLine="480" w:firstLineChars="0"/>
        <w:jc w:val="left"/>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如有附图，仅作参考</w:t>
      </w:r>
      <w:r>
        <w:rPr>
          <w:rFonts w:hint="eastAsia" w:ascii="宋体" w:hAnsi="宋体" w:eastAsia="宋体" w:cs="宋体"/>
          <w:color w:val="auto"/>
          <w:sz w:val="24"/>
          <w:szCs w:val="24"/>
          <w:highlight w:val="none"/>
          <w:lang w:eastAsia="zh-CN"/>
        </w:rPr>
        <w:t>。</w:t>
      </w:r>
    </w:p>
    <w:p w14:paraId="06A33477">
      <w:pPr>
        <w:widowControl/>
        <w:tabs>
          <w:tab w:val="left" w:pos="0"/>
        </w:tabs>
        <w:adjustRightInd/>
        <w:snapToGrid/>
        <w:spacing w:after="0" w:line="360" w:lineRule="auto"/>
        <w:ind w:firstLine="48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打▲内容为实质性要求，不允许有负偏离，否则将以涉及无效投标条款作无效投标。</w:t>
      </w:r>
    </w:p>
    <w:p w14:paraId="2D2CEA2D">
      <w:pPr>
        <w:rPr>
          <w:rFonts w:hint="eastAsia" w:asciiTheme="minorEastAsia" w:hAnsiTheme="minorEastAsia" w:eastAsiaTheme="minorEastAsia" w:cstheme="minorEastAsia"/>
          <w:b/>
          <w:sz w:val="36"/>
          <w:szCs w:val="36"/>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r>
        <w:rPr>
          <w:rFonts w:hint="eastAsia" w:asciiTheme="minorEastAsia" w:hAnsiTheme="minorEastAsia" w:eastAsiaTheme="minorEastAsia" w:cstheme="minorEastAsia"/>
          <w:b/>
          <w:sz w:val="36"/>
          <w:szCs w:val="36"/>
          <w:highlight w:val="none"/>
        </w:rPr>
        <w:br w:type="page"/>
      </w:r>
    </w:p>
    <w:p w14:paraId="7CEDFD86">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9" w:name="_Toc184313297"/>
      <w:bookmarkEnd w:id="29"/>
      <w:bookmarkStart w:id="30" w:name="_Toc184313293"/>
      <w:bookmarkEnd w:id="30"/>
      <w:bookmarkStart w:id="31" w:name="_Toc184312121"/>
      <w:bookmarkEnd w:id="31"/>
      <w:bookmarkStart w:id="32" w:name="_Toc184308055"/>
      <w:bookmarkEnd w:id="32"/>
      <w:bookmarkStart w:id="33" w:name="_Toc184312132"/>
      <w:bookmarkEnd w:id="33"/>
      <w:bookmarkStart w:id="34" w:name="_Toc184310313"/>
      <w:bookmarkEnd w:id="34"/>
      <w:bookmarkStart w:id="35" w:name="_Toc184308081"/>
      <w:bookmarkEnd w:id="35"/>
      <w:bookmarkStart w:id="36" w:name="_Toc184310333"/>
      <w:bookmarkEnd w:id="36"/>
      <w:bookmarkStart w:id="37" w:name="_Toc184308052"/>
      <w:bookmarkEnd w:id="37"/>
      <w:bookmarkStart w:id="38" w:name="_Toc184314461"/>
      <w:bookmarkEnd w:id="38"/>
      <w:bookmarkStart w:id="39" w:name="_Toc184310296"/>
      <w:bookmarkEnd w:id="39"/>
      <w:bookmarkStart w:id="40" w:name="_Toc184313303"/>
      <w:bookmarkEnd w:id="40"/>
      <w:bookmarkStart w:id="41" w:name="_Toc184313272"/>
      <w:bookmarkEnd w:id="41"/>
      <w:bookmarkStart w:id="42" w:name="_Toc184314447"/>
      <w:bookmarkEnd w:id="42"/>
      <w:bookmarkStart w:id="43" w:name="_Toc184314426"/>
      <w:bookmarkEnd w:id="43"/>
      <w:bookmarkStart w:id="44" w:name="_Toc184308071"/>
      <w:bookmarkEnd w:id="44"/>
      <w:bookmarkStart w:id="45" w:name="_Toc184314457"/>
      <w:bookmarkEnd w:id="45"/>
      <w:bookmarkStart w:id="46" w:name="_Toc184312086"/>
      <w:bookmarkEnd w:id="46"/>
      <w:bookmarkStart w:id="47" w:name="_Toc184312104"/>
      <w:bookmarkEnd w:id="47"/>
      <w:bookmarkStart w:id="48" w:name="_Toc184313280"/>
      <w:bookmarkEnd w:id="48"/>
      <w:bookmarkStart w:id="49" w:name="_Toc184313271"/>
      <w:bookmarkEnd w:id="49"/>
      <w:bookmarkStart w:id="50" w:name="_Toc184308103"/>
      <w:bookmarkEnd w:id="50"/>
      <w:bookmarkStart w:id="51" w:name="_Toc184314455"/>
      <w:bookmarkEnd w:id="51"/>
      <w:bookmarkStart w:id="52" w:name="_Toc184314459"/>
      <w:bookmarkEnd w:id="52"/>
      <w:bookmarkStart w:id="53" w:name="_Toc184314436"/>
      <w:bookmarkEnd w:id="53"/>
      <w:bookmarkStart w:id="54" w:name="_Toc184313246"/>
      <w:bookmarkEnd w:id="54"/>
      <w:bookmarkStart w:id="55" w:name="_Toc184308077"/>
      <w:bookmarkEnd w:id="55"/>
      <w:bookmarkStart w:id="56" w:name="_Toc184312123"/>
      <w:bookmarkEnd w:id="56"/>
      <w:bookmarkStart w:id="57" w:name="_Toc184313244"/>
      <w:bookmarkEnd w:id="57"/>
      <w:bookmarkStart w:id="58" w:name="_Toc184310302"/>
      <w:bookmarkEnd w:id="58"/>
      <w:bookmarkStart w:id="59" w:name="_Toc184310304"/>
      <w:bookmarkEnd w:id="59"/>
      <w:bookmarkStart w:id="60" w:name="_Toc184308057"/>
      <w:bookmarkEnd w:id="60"/>
      <w:bookmarkStart w:id="61" w:name="_Toc184308047"/>
      <w:bookmarkEnd w:id="61"/>
      <w:bookmarkStart w:id="62" w:name="_Toc184313253"/>
      <w:bookmarkEnd w:id="62"/>
      <w:bookmarkStart w:id="63" w:name="_Toc184312135"/>
      <w:bookmarkEnd w:id="63"/>
      <w:bookmarkStart w:id="64" w:name="_Toc184314433"/>
      <w:bookmarkEnd w:id="64"/>
      <w:bookmarkStart w:id="65" w:name="_Toc184308079"/>
      <w:bookmarkEnd w:id="65"/>
      <w:bookmarkStart w:id="66" w:name="_Toc184308054"/>
      <w:bookmarkEnd w:id="66"/>
      <w:bookmarkStart w:id="67" w:name="_Toc184314468"/>
      <w:bookmarkEnd w:id="67"/>
      <w:bookmarkStart w:id="68" w:name="_Toc184313296"/>
      <w:bookmarkEnd w:id="68"/>
      <w:bookmarkStart w:id="69" w:name="_Toc184310292"/>
      <w:bookmarkEnd w:id="69"/>
      <w:bookmarkStart w:id="70" w:name="_Toc184308097"/>
      <w:bookmarkEnd w:id="70"/>
      <w:bookmarkStart w:id="71" w:name="_Toc184313268"/>
      <w:bookmarkEnd w:id="71"/>
      <w:bookmarkStart w:id="72" w:name="_Toc184313285"/>
      <w:bookmarkEnd w:id="72"/>
      <w:bookmarkStart w:id="73" w:name="_Toc184312085"/>
      <w:bookmarkEnd w:id="73"/>
      <w:bookmarkStart w:id="74" w:name="_Toc184313294"/>
      <w:bookmarkEnd w:id="74"/>
      <w:bookmarkStart w:id="75" w:name="_Toc184314410"/>
      <w:bookmarkEnd w:id="75"/>
      <w:bookmarkStart w:id="76" w:name="_Toc184312102"/>
      <w:bookmarkEnd w:id="76"/>
      <w:bookmarkStart w:id="77" w:name="_Toc184310279"/>
      <w:bookmarkEnd w:id="77"/>
      <w:bookmarkStart w:id="78" w:name="_Toc184312096"/>
      <w:bookmarkEnd w:id="78"/>
      <w:bookmarkStart w:id="79" w:name="_Toc184308078"/>
      <w:bookmarkEnd w:id="79"/>
      <w:bookmarkStart w:id="80" w:name="_Toc184308076"/>
      <w:bookmarkEnd w:id="80"/>
      <w:bookmarkStart w:id="81" w:name="_Toc184308100"/>
      <w:bookmarkEnd w:id="81"/>
      <w:bookmarkStart w:id="82" w:name="_Toc184314452"/>
      <w:bookmarkEnd w:id="82"/>
      <w:bookmarkStart w:id="83" w:name="_Toc184310332"/>
      <w:bookmarkEnd w:id="83"/>
      <w:bookmarkStart w:id="84" w:name="_Toc184312120"/>
      <w:bookmarkEnd w:id="84"/>
      <w:bookmarkStart w:id="85" w:name="_Toc184312134"/>
      <w:bookmarkEnd w:id="85"/>
      <w:bookmarkStart w:id="86" w:name="_Toc184312073"/>
      <w:bookmarkEnd w:id="86"/>
      <w:bookmarkStart w:id="87" w:name="_Toc184308104"/>
      <w:bookmarkEnd w:id="87"/>
      <w:bookmarkStart w:id="88" w:name="_Toc184314438"/>
      <w:bookmarkEnd w:id="88"/>
      <w:bookmarkStart w:id="89" w:name="_Toc184314475"/>
      <w:bookmarkEnd w:id="89"/>
      <w:bookmarkStart w:id="90" w:name="_Toc184312125"/>
      <w:bookmarkEnd w:id="90"/>
      <w:bookmarkStart w:id="91" w:name="_Toc184313305"/>
      <w:bookmarkEnd w:id="91"/>
      <w:bookmarkStart w:id="92" w:name="_Toc184313255"/>
      <w:bookmarkEnd w:id="92"/>
      <w:bookmarkStart w:id="93" w:name="_Toc184312076"/>
      <w:bookmarkEnd w:id="93"/>
      <w:bookmarkStart w:id="94" w:name="_Toc184314431"/>
      <w:bookmarkEnd w:id="94"/>
      <w:bookmarkStart w:id="95" w:name="_Toc184314411"/>
      <w:bookmarkEnd w:id="95"/>
      <w:bookmarkStart w:id="96" w:name="_Toc184308063"/>
      <w:bookmarkEnd w:id="96"/>
      <w:bookmarkStart w:id="97" w:name="_Toc184310305"/>
      <w:bookmarkEnd w:id="97"/>
      <w:bookmarkStart w:id="98" w:name="_Toc184313273"/>
      <w:bookmarkEnd w:id="98"/>
      <w:bookmarkStart w:id="99" w:name="_Toc184308091"/>
      <w:bookmarkEnd w:id="99"/>
      <w:bookmarkStart w:id="100" w:name="_Toc184314471"/>
      <w:bookmarkEnd w:id="100"/>
      <w:bookmarkStart w:id="101" w:name="_Toc184314470"/>
      <w:bookmarkEnd w:id="101"/>
      <w:bookmarkStart w:id="102" w:name="_Toc184313270"/>
      <w:bookmarkEnd w:id="102"/>
      <w:bookmarkStart w:id="103" w:name="_Toc184313289"/>
      <w:bookmarkEnd w:id="103"/>
      <w:bookmarkStart w:id="104" w:name="_Toc184310298"/>
      <w:bookmarkEnd w:id="104"/>
      <w:bookmarkStart w:id="105" w:name="_Toc184313240"/>
      <w:bookmarkEnd w:id="105"/>
      <w:bookmarkStart w:id="106" w:name="_Toc184313308"/>
      <w:bookmarkEnd w:id="106"/>
      <w:bookmarkStart w:id="107" w:name="_Toc184310287"/>
      <w:bookmarkEnd w:id="107"/>
      <w:bookmarkStart w:id="108" w:name="_Toc184310312"/>
      <w:bookmarkEnd w:id="108"/>
      <w:bookmarkStart w:id="109" w:name="_Toc184314469"/>
      <w:bookmarkEnd w:id="109"/>
      <w:bookmarkStart w:id="110" w:name="_Toc184312130"/>
      <w:bookmarkEnd w:id="110"/>
      <w:bookmarkStart w:id="111" w:name="_Toc184314451"/>
      <w:bookmarkEnd w:id="111"/>
      <w:bookmarkStart w:id="112" w:name="_Toc184314462"/>
      <w:bookmarkEnd w:id="112"/>
      <w:bookmarkStart w:id="113" w:name="_Toc184308067"/>
      <w:bookmarkEnd w:id="113"/>
      <w:bookmarkStart w:id="114" w:name="_Toc184310323"/>
      <w:bookmarkEnd w:id="114"/>
      <w:bookmarkStart w:id="115" w:name="_Toc184313310"/>
      <w:bookmarkEnd w:id="115"/>
      <w:bookmarkStart w:id="116" w:name="_Toc184313287"/>
      <w:bookmarkEnd w:id="116"/>
      <w:bookmarkStart w:id="117" w:name="_Toc184310316"/>
      <w:bookmarkEnd w:id="117"/>
      <w:bookmarkStart w:id="118" w:name="_Toc184314432"/>
      <w:bookmarkEnd w:id="118"/>
      <w:bookmarkStart w:id="119" w:name="_Toc184308102"/>
      <w:bookmarkEnd w:id="119"/>
      <w:bookmarkStart w:id="120" w:name="_Toc184308088"/>
      <w:bookmarkEnd w:id="120"/>
      <w:bookmarkStart w:id="121" w:name="_Toc184312082"/>
      <w:bookmarkEnd w:id="121"/>
      <w:bookmarkStart w:id="122" w:name="_Toc184313258"/>
      <w:bookmarkEnd w:id="122"/>
      <w:bookmarkStart w:id="123" w:name="_Toc184312138"/>
      <w:bookmarkEnd w:id="123"/>
      <w:bookmarkStart w:id="124" w:name="_Toc184314465"/>
      <w:bookmarkEnd w:id="124"/>
      <w:bookmarkStart w:id="125" w:name="_Toc184310338"/>
      <w:bookmarkEnd w:id="125"/>
      <w:bookmarkStart w:id="126" w:name="_Toc184312113"/>
      <w:bookmarkEnd w:id="126"/>
      <w:bookmarkStart w:id="127" w:name="_Toc184308090"/>
      <w:bookmarkEnd w:id="127"/>
      <w:bookmarkStart w:id="128" w:name="_Toc184313238"/>
      <w:bookmarkEnd w:id="128"/>
      <w:bookmarkStart w:id="129" w:name="_Toc184314423"/>
      <w:bookmarkEnd w:id="129"/>
      <w:bookmarkStart w:id="130" w:name="_Toc184314456"/>
      <w:bookmarkEnd w:id="130"/>
      <w:bookmarkStart w:id="131" w:name="_Toc184314446"/>
      <w:bookmarkEnd w:id="131"/>
      <w:bookmarkStart w:id="132" w:name="_Toc184308053"/>
      <w:bookmarkEnd w:id="132"/>
      <w:bookmarkStart w:id="133" w:name="_Toc184308069"/>
      <w:bookmarkEnd w:id="133"/>
      <w:bookmarkStart w:id="134" w:name="_Toc184308074"/>
      <w:bookmarkEnd w:id="134"/>
      <w:bookmarkStart w:id="135" w:name="_Toc184313302"/>
      <w:bookmarkEnd w:id="135"/>
      <w:bookmarkStart w:id="136" w:name="_Toc184308036"/>
      <w:bookmarkEnd w:id="136"/>
      <w:bookmarkStart w:id="137" w:name="_Toc184310315"/>
      <w:bookmarkEnd w:id="137"/>
      <w:bookmarkStart w:id="138" w:name="_Toc184314479"/>
      <w:bookmarkEnd w:id="138"/>
      <w:bookmarkStart w:id="139" w:name="_Toc184308108"/>
      <w:bookmarkEnd w:id="139"/>
      <w:bookmarkStart w:id="140" w:name="_Toc184314414"/>
      <w:bookmarkEnd w:id="140"/>
      <w:bookmarkStart w:id="141" w:name="_Toc184308049"/>
      <w:bookmarkEnd w:id="141"/>
      <w:bookmarkStart w:id="142" w:name="_Toc184312098"/>
      <w:bookmarkEnd w:id="142"/>
      <w:bookmarkStart w:id="143" w:name="_Toc184308101"/>
      <w:bookmarkEnd w:id="143"/>
      <w:bookmarkStart w:id="144" w:name="_Toc184308098"/>
      <w:bookmarkEnd w:id="144"/>
      <w:bookmarkStart w:id="145" w:name="_Toc184310303"/>
      <w:bookmarkEnd w:id="145"/>
      <w:bookmarkStart w:id="146" w:name="_Toc184310335"/>
      <w:bookmarkEnd w:id="146"/>
      <w:bookmarkStart w:id="147" w:name="_Toc184312111"/>
      <w:bookmarkEnd w:id="147"/>
      <w:bookmarkStart w:id="148" w:name="_Toc184310326"/>
      <w:bookmarkEnd w:id="148"/>
      <w:bookmarkStart w:id="149" w:name="_Toc184308041"/>
      <w:bookmarkEnd w:id="149"/>
      <w:bookmarkStart w:id="150" w:name="_Toc184312127"/>
      <w:bookmarkEnd w:id="150"/>
      <w:bookmarkStart w:id="151" w:name="_Toc184310291"/>
      <w:bookmarkEnd w:id="151"/>
      <w:bookmarkStart w:id="152" w:name="_Toc184313251"/>
      <w:bookmarkEnd w:id="152"/>
      <w:bookmarkStart w:id="153" w:name="_Toc184310277"/>
      <w:bookmarkEnd w:id="153"/>
      <w:bookmarkStart w:id="154" w:name="_Toc184312126"/>
      <w:bookmarkEnd w:id="154"/>
      <w:bookmarkStart w:id="155" w:name="_Toc184308051"/>
      <w:bookmarkEnd w:id="155"/>
      <w:bookmarkStart w:id="156" w:name="_Toc184314450"/>
      <w:bookmarkEnd w:id="156"/>
      <w:bookmarkStart w:id="157" w:name="_Toc184313254"/>
      <w:bookmarkEnd w:id="157"/>
      <w:bookmarkStart w:id="158" w:name="_Toc184308096"/>
      <w:bookmarkEnd w:id="158"/>
      <w:bookmarkStart w:id="159" w:name="_Toc184314424"/>
      <w:bookmarkEnd w:id="159"/>
      <w:bookmarkStart w:id="160" w:name="_Toc184310310"/>
      <w:bookmarkEnd w:id="160"/>
      <w:bookmarkStart w:id="161" w:name="_Toc184313262"/>
      <w:bookmarkEnd w:id="161"/>
      <w:bookmarkStart w:id="162" w:name="_Toc184314445"/>
      <w:bookmarkEnd w:id="162"/>
      <w:bookmarkStart w:id="163" w:name="_Toc184310308"/>
      <w:bookmarkEnd w:id="163"/>
      <w:bookmarkStart w:id="164" w:name="_Toc184310278"/>
      <w:bookmarkEnd w:id="164"/>
      <w:bookmarkStart w:id="165" w:name="_Toc184312131"/>
      <w:bookmarkEnd w:id="165"/>
      <w:bookmarkStart w:id="166" w:name="_Toc184314466"/>
      <w:bookmarkEnd w:id="166"/>
      <w:bookmarkStart w:id="167" w:name="_Toc184314476"/>
      <w:bookmarkEnd w:id="167"/>
      <w:bookmarkStart w:id="168" w:name="_Toc184310314"/>
      <w:bookmarkEnd w:id="168"/>
      <w:bookmarkStart w:id="169" w:name="_Toc184312099"/>
      <w:bookmarkEnd w:id="169"/>
      <w:bookmarkStart w:id="170" w:name="_Toc184308068"/>
      <w:bookmarkEnd w:id="170"/>
      <w:bookmarkStart w:id="171" w:name="_Toc184310294"/>
      <w:bookmarkEnd w:id="171"/>
      <w:bookmarkStart w:id="172" w:name="_Toc184313259"/>
      <w:bookmarkEnd w:id="172"/>
      <w:bookmarkStart w:id="173" w:name="_Toc184313306"/>
      <w:bookmarkEnd w:id="173"/>
      <w:bookmarkStart w:id="174" w:name="_Toc184308082"/>
      <w:bookmarkEnd w:id="174"/>
      <w:bookmarkStart w:id="175" w:name="_Toc184314474"/>
      <w:bookmarkEnd w:id="175"/>
      <w:bookmarkStart w:id="176" w:name="_Toc184314429"/>
      <w:bookmarkEnd w:id="176"/>
      <w:bookmarkStart w:id="177" w:name="_Toc184310288"/>
      <w:bookmarkEnd w:id="177"/>
      <w:bookmarkStart w:id="178" w:name="_Toc184308061"/>
      <w:bookmarkEnd w:id="178"/>
      <w:bookmarkStart w:id="179" w:name="_Toc184310307"/>
      <w:bookmarkEnd w:id="179"/>
      <w:bookmarkStart w:id="180" w:name="_Toc184310301"/>
      <w:bookmarkEnd w:id="180"/>
      <w:bookmarkStart w:id="181" w:name="_Toc184310342"/>
      <w:bookmarkEnd w:id="181"/>
      <w:bookmarkStart w:id="182" w:name="_Toc184313304"/>
      <w:bookmarkEnd w:id="182"/>
      <w:bookmarkStart w:id="183" w:name="_Toc184312095"/>
      <w:bookmarkEnd w:id="183"/>
      <w:bookmarkStart w:id="184" w:name="_Toc184314473"/>
      <w:bookmarkEnd w:id="184"/>
      <w:bookmarkStart w:id="185" w:name="_Toc184313261"/>
      <w:bookmarkEnd w:id="185"/>
      <w:bookmarkStart w:id="186" w:name="_Toc184310272"/>
      <w:bookmarkEnd w:id="186"/>
      <w:bookmarkStart w:id="187" w:name="_Toc184312118"/>
      <w:bookmarkEnd w:id="187"/>
      <w:bookmarkStart w:id="188" w:name="_Toc184313241"/>
      <w:bookmarkEnd w:id="188"/>
      <w:bookmarkStart w:id="189" w:name="_Toc184312083"/>
      <w:bookmarkEnd w:id="189"/>
      <w:bookmarkStart w:id="190" w:name="_Toc184314477"/>
      <w:bookmarkEnd w:id="190"/>
      <w:bookmarkStart w:id="191" w:name="_Toc184310284"/>
      <w:bookmarkEnd w:id="191"/>
      <w:bookmarkStart w:id="192" w:name="_Toc184312091"/>
      <w:bookmarkEnd w:id="192"/>
      <w:bookmarkStart w:id="193" w:name="_Toc184310341"/>
      <w:bookmarkEnd w:id="193"/>
      <w:bookmarkStart w:id="194" w:name="_Toc184312089"/>
      <w:bookmarkEnd w:id="194"/>
      <w:bookmarkStart w:id="195" w:name="_Toc184312110"/>
      <w:bookmarkEnd w:id="195"/>
      <w:bookmarkStart w:id="196" w:name="_Toc184313284"/>
      <w:bookmarkEnd w:id="196"/>
      <w:bookmarkStart w:id="197" w:name="_Toc184308107"/>
      <w:bookmarkEnd w:id="197"/>
      <w:bookmarkStart w:id="198" w:name="_Toc184310327"/>
      <w:bookmarkEnd w:id="198"/>
      <w:bookmarkStart w:id="199" w:name="_Toc184310276"/>
      <w:bookmarkEnd w:id="199"/>
      <w:bookmarkStart w:id="200" w:name="_Toc184312129"/>
      <w:bookmarkEnd w:id="200"/>
      <w:bookmarkStart w:id="201" w:name="_Toc184314416"/>
      <w:bookmarkEnd w:id="201"/>
      <w:bookmarkStart w:id="202" w:name="_Toc184312071"/>
      <w:bookmarkEnd w:id="202"/>
      <w:bookmarkStart w:id="203" w:name="_Toc184308048"/>
      <w:bookmarkEnd w:id="203"/>
      <w:bookmarkStart w:id="204" w:name="_Toc184310306"/>
      <w:bookmarkEnd w:id="204"/>
      <w:bookmarkStart w:id="205" w:name="_Toc184313257"/>
      <w:bookmarkEnd w:id="205"/>
      <w:bookmarkStart w:id="206" w:name="_Toc184313276"/>
      <w:bookmarkEnd w:id="206"/>
      <w:bookmarkStart w:id="207" w:name="_Toc184313264"/>
      <w:bookmarkEnd w:id="207"/>
      <w:bookmarkStart w:id="208" w:name="_Toc184313281"/>
      <w:bookmarkEnd w:id="208"/>
      <w:bookmarkStart w:id="209" w:name="_Toc184313252"/>
      <w:bookmarkEnd w:id="209"/>
      <w:bookmarkStart w:id="210" w:name="_Toc184314417"/>
      <w:bookmarkEnd w:id="210"/>
      <w:bookmarkStart w:id="211" w:name="_Toc184313267"/>
      <w:bookmarkEnd w:id="211"/>
      <w:bookmarkStart w:id="212" w:name="_Toc184312069"/>
      <w:bookmarkEnd w:id="212"/>
      <w:bookmarkStart w:id="213" w:name="_Toc184313286"/>
      <w:bookmarkEnd w:id="213"/>
      <w:bookmarkStart w:id="214" w:name="_Toc184308037"/>
      <w:bookmarkEnd w:id="214"/>
      <w:bookmarkStart w:id="215" w:name="_Toc184308064"/>
      <w:bookmarkEnd w:id="215"/>
      <w:bookmarkStart w:id="216" w:name="_Toc184312078"/>
      <w:bookmarkEnd w:id="216"/>
      <w:bookmarkStart w:id="217" w:name="_Toc184308075"/>
      <w:bookmarkEnd w:id="217"/>
      <w:bookmarkStart w:id="218" w:name="_Toc184310290"/>
      <w:bookmarkEnd w:id="218"/>
      <w:bookmarkStart w:id="219" w:name="_Toc184314460"/>
      <w:bookmarkEnd w:id="219"/>
      <w:bookmarkStart w:id="220" w:name="_Toc184314437"/>
      <w:bookmarkEnd w:id="220"/>
      <w:bookmarkStart w:id="221" w:name="_Toc184312090"/>
      <w:bookmarkEnd w:id="221"/>
      <w:bookmarkStart w:id="222" w:name="_Toc184308084"/>
      <w:bookmarkEnd w:id="222"/>
      <w:bookmarkStart w:id="223" w:name="_Toc184308059"/>
      <w:bookmarkEnd w:id="223"/>
      <w:bookmarkStart w:id="224" w:name="_Toc184313248"/>
      <w:bookmarkEnd w:id="224"/>
      <w:bookmarkStart w:id="225" w:name="_Toc184308060"/>
      <w:bookmarkEnd w:id="225"/>
      <w:bookmarkStart w:id="226" w:name="_Toc184313291"/>
      <w:bookmarkEnd w:id="226"/>
      <w:bookmarkStart w:id="227" w:name="_Toc184312080"/>
      <w:bookmarkEnd w:id="227"/>
      <w:bookmarkStart w:id="228" w:name="_Toc184313298"/>
      <w:bookmarkEnd w:id="228"/>
      <w:bookmarkStart w:id="229" w:name="_Toc184312070"/>
      <w:bookmarkEnd w:id="229"/>
      <w:bookmarkStart w:id="230" w:name="_Toc184308073"/>
      <w:bookmarkEnd w:id="230"/>
      <w:bookmarkStart w:id="231" w:name="_Toc184308092"/>
      <w:bookmarkEnd w:id="231"/>
      <w:bookmarkStart w:id="232" w:name="_Toc184314440"/>
      <w:bookmarkEnd w:id="232"/>
      <w:bookmarkStart w:id="233" w:name="_Toc184314472"/>
      <w:bookmarkEnd w:id="233"/>
      <w:bookmarkStart w:id="234" w:name="_Toc184308043"/>
      <w:bookmarkEnd w:id="234"/>
      <w:bookmarkStart w:id="235" w:name="_Toc184308065"/>
      <w:bookmarkEnd w:id="235"/>
      <w:bookmarkStart w:id="236" w:name="_Toc184314439"/>
      <w:bookmarkEnd w:id="236"/>
      <w:bookmarkStart w:id="237" w:name="_Toc184312116"/>
      <w:bookmarkEnd w:id="237"/>
      <w:bookmarkStart w:id="238" w:name="_Toc184313256"/>
      <w:bookmarkEnd w:id="238"/>
      <w:bookmarkStart w:id="239" w:name="_Toc184308083"/>
      <w:bookmarkEnd w:id="239"/>
      <w:bookmarkStart w:id="240" w:name="_Toc184313247"/>
      <w:bookmarkEnd w:id="240"/>
      <w:bookmarkStart w:id="241" w:name="_Toc184314464"/>
      <w:bookmarkEnd w:id="241"/>
      <w:bookmarkStart w:id="242" w:name="_Toc184312067"/>
      <w:bookmarkEnd w:id="242"/>
      <w:bookmarkStart w:id="243" w:name="_Toc184312115"/>
      <w:bookmarkEnd w:id="243"/>
      <w:bookmarkStart w:id="244" w:name="_Toc184310340"/>
      <w:bookmarkEnd w:id="244"/>
      <w:bookmarkStart w:id="245" w:name="_Toc184312122"/>
      <w:bookmarkEnd w:id="245"/>
      <w:bookmarkStart w:id="246" w:name="_Toc184312087"/>
      <w:bookmarkEnd w:id="246"/>
      <w:bookmarkStart w:id="247" w:name="_Toc184312097"/>
      <w:bookmarkEnd w:id="247"/>
      <w:bookmarkStart w:id="248" w:name="_Toc184313275"/>
      <w:bookmarkEnd w:id="248"/>
      <w:bookmarkStart w:id="249" w:name="_Toc184312093"/>
      <w:bookmarkEnd w:id="249"/>
      <w:bookmarkStart w:id="250" w:name="_Toc184308094"/>
      <w:bookmarkEnd w:id="250"/>
      <w:bookmarkStart w:id="251" w:name="_Toc184310275"/>
      <w:bookmarkEnd w:id="251"/>
      <w:bookmarkStart w:id="252" w:name="_Toc184313277"/>
      <w:bookmarkEnd w:id="252"/>
      <w:bookmarkStart w:id="253" w:name="_Toc184313301"/>
      <w:bookmarkEnd w:id="253"/>
      <w:bookmarkStart w:id="254" w:name="_Toc184314448"/>
      <w:bookmarkEnd w:id="254"/>
      <w:bookmarkStart w:id="255" w:name="_Toc184314467"/>
      <w:bookmarkEnd w:id="255"/>
      <w:bookmarkStart w:id="256" w:name="_Toc184310318"/>
      <w:bookmarkEnd w:id="256"/>
      <w:bookmarkStart w:id="257" w:name="_Toc184314413"/>
      <w:bookmarkEnd w:id="257"/>
      <w:bookmarkStart w:id="258" w:name="_Toc184313307"/>
      <w:bookmarkEnd w:id="258"/>
      <w:bookmarkStart w:id="259" w:name="_Toc184308038"/>
      <w:bookmarkEnd w:id="259"/>
      <w:bookmarkStart w:id="260" w:name="_Toc184308072"/>
      <w:bookmarkEnd w:id="260"/>
      <w:bookmarkStart w:id="261" w:name="_Toc184313282"/>
      <w:bookmarkEnd w:id="261"/>
      <w:bookmarkStart w:id="262" w:name="_Toc184310337"/>
      <w:bookmarkEnd w:id="262"/>
      <w:bookmarkStart w:id="263" w:name="_Toc184308085"/>
      <w:bookmarkEnd w:id="263"/>
      <w:bookmarkStart w:id="264" w:name="_Toc184310273"/>
      <w:bookmarkEnd w:id="264"/>
      <w:bookmarkStart w:id="265" w:name="_Toc184310320"/>
      <w:bookmarkEnd w:id="265"/>
      <w:bookmarkStart w:id="266" w:name="_Toc184313288"/>
      <w:bookmarkEnd w:id="266"/>
      <w:bookmarkStart w:id="267" w:name="_Toc184314463"/>
      <w:bookmarkEnd w:id="267"/>
      <w:bookmarkStart w:id="268" w:name="_Toc184313292"/>
      <w:bookmarkEnd w:id="268"/>
      <w:bookmarkStart w:id="269" w:name="_Toc184314430"/>
      <w:bookmarkEnd w:id="269"/>
      <w:bookmarkStart w:id="270" w:name="_Toc184314421"/>
      <w:bookmarkEnd w:id="270"/>
      <w:bookmarkStart w:id="271" w:name="_Toc184312105"/>
      <w:bookmarkEnd w:id="271"/>
      <w:bookmarkStart w:id="272" w:name="_Toc184313279"/>
      <w:bookmarkEnd w:id="272"/>
      <w:bookmarkStart w:id="273" w:name="_Toc184308093"/>
      <w:bookmarkEnd w:id="273"/>
      <w:bookmarkStart w:id="274" w:name="_Toc184308039"/>
      <w:bookmarkEnd w:id="274"/>
      <w:bookmarkStart w:id="275" w:name="_Toc184313266"/>
      <w:bookmarkEnd w:id="275"/>
      <w:bookmarkStart w:id="276" w:name="_Toc184308040"/>
      <w:bookmarkEnd w:id="276"/>
      <w:bookmarkStart w:id="277" w:name="_Toc184310317"/>
      <w:bookmarkEnd w:id="277"/>
      <w:bookmarkStart w:id="278" w:name="_Toc184313245"/>
      <w:bookmarkEnd w:id="278"/>
      <w:bookmarkStart w:id="279" w:name="_Toc184313299"/>
      <w:bookmarkEnd w:id="279"/>
      <w:bookmarkStart w:id="280" w:name="_Toc184310282"/>
      <w:bookmarkEnd w:id="280"/>
      <w:bookmarkStart w:id="281" w:name="_Toc184314428"/>
      <w:bookmarkEnd w:id="281"/>
      <w:bookmarkStart w:id="282" w:name="_Toc184308080"/>
      <w:bookmarkEnd w:id="282"/>
      <w:bookmarkStart w:id="283" w:name="_Toc184310286"/>
      <w:bookmarkEnd w:id="283"/>
      <w:bookmarkStart w:id="284" w:name="_Toc184308050"/>
      <w:bookmarkEnd w:id="284"/>
      <w:bookmarkStart w:id="285" w:name="_Toc184308066"/>
      <w:bookmarkEnd w:id="285"/>
      <w:bookmarkStart w:id="286" w:name="_Toc184310311"/>
      <w:bookmarkEnd w:id="286"/>
      <w:bookmarkStart w:id="287" w:name="_Toc184314454"/>
      <w:bookmarkEnd w:id="287"/>
      <w:bookmarkStart w:id="288" w:name="_Toc184313274"/>
      <w:bookmarkEnd w:id="288"/>
      <w:bookmarkStart w:id="289" w:name="_Toc184308062"/>
      <w:bookmarkEnd w:id="289"/>
      <w:bookmarkStart w:id="290" w:name="_Toc184310329"/>
      <w:bookmarkEnd w:id="290"/>
      <w:bookmarkStart w:id="291" w:name="_Toc184308086"/>
      <w:bookmarkEnd w:id="291"/>
      <w:bookmarkStart w:id="292" w:name="_Toc184313242"/>
      <w:bookmarkEnd w:id="292"/>
      <w:bookmarkStart w:id="293" w:name="_Toc184310339"/>
      <w:bookmarkEnd w:id="293"/>
      <w:bookmarkStart w:id="294" w:name="_Toc184314434"/>
      <w:bookmarkEnd w:id="294"/>
      <w:bookmarkStart w:id="295" w:name="_Toc184314480"/>
      <w:bookmarkEnd w:id="295"/>
      <w:bookmarkStart w:id="296" w:name="_Toc184310325"/>
      <w:bookmarkEnd w:id="296"/>
      <w:bookmarkStart w:id="297" w:name="_Toc184312094"/>
      <w:bookmarkEnd w:id="297"/>
      <w:bookmarkStart w:id="298" w:name="_Toc184314453"/>
      <w:bookmarkEnd w:id="298"/>
      <w:bookmarkStart w:id="299" w:name="_Toc184310336"/>
      <w:bookmarkEnd w:id="299"/>
      <w:bookmarkStart w:id="300" w:name="_Toc184313290"/>
      <w:bookmarkEnd w:id="300"/>
      <w:bookmarkStart w:id="301" w:name="_Toc184312072"/>
      <w:bookmarkEnd w:id="301"/>
      <w:bookmarkStart w:id="302" w:name="_Toc184310319"/>
      <w:bookmarkEnd w:id="302"/>
      <w:bookmarkStart w:id="303" w:name="_Toc184308045"/>
      <w:bookmarkEnd w:id="303"/>
      <w:bookmarkStart w:id="304" w:name="_Toc184312103"/>
      <w:bookmarkEnd w:id="304"/>
      <w:bookmarkStart w:id="305" w:name="_Toc184314443"/>
      <w:bookmarkEnd w:id="305"/>
      <w:bookmarkStart w:id="306" w:name="_Toc184310321"/>
      <w:bookmarkEnd w:id="306"/>
      <w:bookmarkStart w:id="307" w:name="_Toc184310309"/>
      <w:bookmarkEnd w:id="307"/>
      <w:bookmarkStart w:id="308" w:name="_Toc184313239"/>
      <w:bookmarkEnd w:id="308"/>
      <w:bookmarkStart w:id="309" w:name="_Toc184314442"/>
      <w:bookmarkEnd w:id="309"/>
      <w:bookmarkStart w:id="310" w:name="_Toc184312109"/>
      <w:bookmarkEnd w:id="310"/>
      <w:bookmarkStart w:id="311" w:name="_Toc184310274"/>
      <w:bookmarkEnd w:id="311"/>
      <w:bookmarkStart w:id="312" w:name="_Toc184312108"/>
      <w:bookmarkEnd w:id="312"/>
      <w:bookmarkStart w:id="313" w:name="_Toc184313300"/>
      <w:bookmarkEnd w:id="313"/>
      <w:bookmarkStart w:id="314" w:name="_Toc184312136"/>
      <w:bookmarkEnd w:id="314"/>
      <w:bookmarkStart w:id="315" w:name="_Toc184312133"/>
      <w:bookmarkEnd w:id="315"/>
      <w:bookmarkStart w:id="316" w:name="_Toc184312084"/>
      <w:bookmarkEnd w:id="316"/>
      <w:bookmarkStart w:id="317" w:name="_Toc184310343"/>
      <w:bookmarkEnd w:id="317"/>
      <w:bookmarkStart w:id="318" w:name="_Toc184314458"/>
      <w:bookmarkEnd w:id="318"/>
      <w:bookmarkStart w:id="319" w:name="_Toc184308056"/>
      <w:bookmarkEnd w:id="319"/>
      <w:bookmarkStart w:id="320" w:name="_Toc184312112"/>
      <w:bookmarkEnd w:id="320"/>
      <w:bookmarkStart w:id="321" w:name="_Toc184312114"/>
      <w:bookmarkEnd w:id="321"/>
      <w:bookmarkStart w:id="322" w:name="_Toc184314425"/>
      <w:bookmarkEnd w:id="322"/>
      <w:bookmarkStart w:id="323" w:name="_Toc184314478"/>
      <w:bookmarkEnd w:id="323"/>
      <w:bookmarkStart w:id="324" w:name="_Toc184310331"/>
      <w:bookmarkEnd w:id="324"/>
      <w:bookmarkStart w:id="325" w:name="_Toc184310293"/>
      <w:bookmarkEnd w:id="325"/>
      <w:bookmarkStart w:id="326" w:name="_Toc184312106"/>
      <w:bookmarkEnd w:id="326"/>
      <w:bookmarkStart w:id="327" w:name="_Toc184312079"/>
      <w:bookmarkEnd w:id="327"/>
      <w:bookmarkStart w:id="328" w:name="_Toc184312139"/>
      <w:bookmarkEnd w:id="328"/>
      <w:bookmarkStart w:id="329" w:name="_Toc184308042"/>
      <w:bookmarkEnd w:id="329"/>
      <w:bookmarkStart w:id="330" w:name="_Toc184313269"/>
      <w:bookmarkEnd w:id="330"/>
      <w:bookmarkStart w:id="331" w:name="_Toc184312088"/>
      <w:bookmarkEnd w:id="331"/>
      <w:bookmarkStart w:id="332" w:name="_Toc184312117"/>
      <w:bookmarkEnd w:id="332"/>
      <w:bookmarkStart w:id="333" w:name="_Toc184312074"/>
      <w:bookmarkEnd w:id="333"/>
      <w:bookmarkStart w:id="334" w:name="_Toc184312128"/>
      <w:bookmarkEnd w:id="334"/>
      <w:bookmarkStart w:id="335" w:name="_Toc184308087"/>
      <w:bookmarkEnd w:id="335"/>
      <w:bookmarkStart w:id="336" w:name="_Toc184314422"/>
      <w:bookmarkEnd w:id="336"/>
      <w:bookmarkStart w:id="337" w:name="_Toc184313283"/>
      <w:bookmarkEnd w:id="337"/>
      <w:bookmarkStart w:id="338" w:name="_Toc184310344"/>
      <w:bookmarkEnd w:id="338"/>
      <w:bookmarkStart w:id="339" w:name="_Toc184314415"/>
      <w:bookmarkEnd w:id="339"/>
      <w:bookmarkStart w:id="340" w:name="_Toc184314419"/>
      <w:bookmarkEnd w:id="340"/>
      <w:bookmarkStart w:id="341" w:name="_Toc184314427"/>
      <w:bookmarkEnd w:id="341"/>
      <w:bookmarkStart w:id="342" w:name="_Toc184312068"/>
      <w:bookmarkEnd w:id="342"/>
      <w:bookmarkStart w:id="343" w:name="_Toc184314482"/>
      <w:bookmarkEnd w:id="343"/>
      <w:bookmarkStart w:id="344" w:name="_Toc184314412"/>
      <w:bookmarkEnd w:id="344"/>
      <w:bookmarkStart w:id="345" w:name="_Toc184313295"/>
      <w:bookmarkEnd w:id="345"/>
      <w:bookmarkStart w:id="346" w:name="_Toc184310295"/>
      <w:bookmarkEnd w:id="346"/>
      <w:bookmarkStart w:id="347" w:name="_Toc184310324"/>
      <w:bookmarkEnd w:id="347"/>
      <w:bookmarkStart w:id="348" w:name="_Toc184308058"/>
      <w:bookmarkEnd w:id="348"/>
      <w:bookmarkStart w:id="349" w:name="_Toc184308070"/>
      <w:bookmarkEnd w:id="349"/>
      <w:bookmarkStart w:id="350" w:name="_Toc184308099"/>
      <w:bookmarkEnd w:id="350"/>
      <w:bookmarkStart w:id="351" w:name="_Toc184314481"/>
      <w:bookmarkEnd w:id="351"/>
      <w:bookmarkStart w:id="352" w:name="_Toc184314441"/>
      <w:bookmarkEnd w:id="352"/>
      <w:bookmarkStart w:id="353" w:name="_Toc184310285"/>
      <w:bookmarkEnd w:id="353"/>
      <w:bookmarkStart w:id="354" w:name="_Toc184310330"/>
      <w:bookmarkEnd w:id="354"/>
      <w:bookmarkStart w:id="355" w:name="_Toc184314435"/>
      <w:bookmarkEnd w:id="355"/>
      <w:bookmarkStart w:id="356" w:name="_Toc184312101"/>
      <w:bookmarkEnd w:id="356"/>
      <w:bookmarkStart w:id="357" w:name="_Toc184312124"/>
      <w:bookmarkEnd w:id="357"/>
      <w:bookmarkStart w:id="358" w:name="_Toc184313309"/>
      <w:bookmarkEnd w:id="358"/>
      <w:bookmarkStart w:id="359" w:name="_Toc184312092"/>
      <w:bookmarkEnd w:id="359"/>
      <w:bookmarkStart w:id="360" w:name="_Toc184314444"/>
      <w:bookmarkEnd w:id="360"/>
      <w:bookmarkStart w:id="361" w:name="_Toc184313260"/>
      <w:bookmarkEnd w:id="361"/>
      <w:bookmarkStart w:id="362" w:name="_Toc184312081"/>
      <w:bookmarkEnd w:id="362"/>
      <w:bookmarkStart w:id="363" w:name="_Toc184308095"/>
      <w:bookmarkEnd w:id="363"/>
      <w:bookmarkStart w:id="364" w:name="_Toc184312100"/>
      <w:bookmarkEnd w:id="364"/>
      <w:bookmarkStart w:id="365" w:name="_Toc184314418"/>
      <w:bookmarkEnd w:id="365"/>
      <w:bookmarkStart w:id="366" w:name="_Toc184313243"/>
      <w:bookmarkEnd w:id="366"/>
      <w:bookmarkStart w:id="367" w:name="_Toc184312075"/>
      <w:bookmarkEnd w:id="367"/>
      <w:bookmarkStart w:id="368" w:name="_Toc184310289"/>
      <w:bookmarkEnd w:id="368"/>
      <w:bookmarkStart w:id="369" w:name="_Toc184314420"/>
      <w:bookmarkEnd w:id="369"/>
      <w:bookmarkStart w:id="370" w:name="_Toc184312119"/>
      <w:bookmarkEnd w:id="370"/>
      <w:bookmarkStart w:id="371" w:name="_Toc184310297"/>
      <w:bookmarkEnd w:id="371"/>
      <w:bookmarkStart w:id="372" w:name="_Toc184310281"/>
      <w:bookmarkEnd w:id="372"/>
      <w:bookmarkStart w:id="373" w:name="_Toc184310280"/>
      <w:bookmarkEnd w:id="373"/>
      <w:bookmarkStart w:id="374" w:name="_Toc184308089"/>
      <w:bookmarkEnd w:id="374"/>
      <w:bookmarkStart w:id="375" w:name="_Toc184312137"/>
      <w:bookmarkEnd w:id="375"/>
      <w:bookmarkStart w:id="376" w:name="_Toc184308046"/>
      <w:bookmarkEnd w:id="376"/>
      <w:bookmarkStart w:id="377" w:name="_Toc184314449"/>
      <w:bookmarkEnd w:id="377"/>
      <w:bookmarkStart w:id="378" w:name="_Toc184310299"/>
      <w:bookmarkEnd w:id="378"/>
      <w:bookmarkStart w:id="379" w:name="_Toc184312107"/>
      <w:bookmarkEnd w:id="379"/>
      <w:bookmarkStart w:id="380" w:name="_Toc184308044"/>
      <w:bookmarkEnd w:id="380"/>
      <w:bookmarkStart w:id="381" w:name="_Toc184313278"/>
      <w:bookmarkEnd w:id="381"/>
      <w:bookmarkStart w:id="382" w:name="_Toc184313265"/>
      <w:bookmarkEnd w:id="382"/>
      <w:bookmarkStart w:id="383" w:name="_Toc184308105"/>
      <w:bookmarkEnd w:id="383"/>
      <w:bookmarkStart w:id="384" w:name="_Toc184313250"/>
      <w:bookmarkEnd w:id="384"/>
      <w:bookmarkStart w:id="385" w:name="_Toc184310322"/>
      <w:bookmarkEnd w:id="385"/>
      <w:bookmarkStart w:id="386" w:name="_Toc184310334"/>
      <w:bookmarkEnd w:id="386"/>
      <w:bookmarkStart w:id="387" w:name="_Toc184312077"/>
      <w:bookmarkEnd w:id="387"/>
      <w:bookmarkStart w:id="388" w:name="_Toc184313263"/>
      <w:bookmarkEnd w:id="388"/>
      <w:bookmarkStart w:id="389" w:name="_Toc184308106"/>
      <w:bookmarkEnd w:id="389"/>
      <w:bookmarkStart w:id="390" w:name="_Toc184313249"/>
      <w:bookmarkEnd w:id="390"/>
      <w:bookmarkStart w:id="391" w:name="_Toc184310283"/>
      <w:bookmarkEnd w:id="391"/>
      <w:bookmarkStart w:id="392" w:name="_Toc184310300"/>
      <w:bookmarkEnd w:id="392"/>
      <w:bookmarkStart w:id="393" w:name="_Toc184310328"/>
      <w:bookmarkEnd w:id="393"/>
      <w:r>
        <w:rPr>
          <w:rFonts w:hint="eastAsia" w:ascii="宋体" w:hAnsi="宋体" w:cs="宋体"/>
          <w:b/>
          <w:sz w:val="36"/>
          <w:szCs w:val="36"/>
          <w:highlight w:val="none"/>
        </w:rPr>
        <w:t>评标办法</w:t>
      </w:r>
    </w:p>
    <w:p w14:paraId="135D29E8">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bookmarkEnd w:id="25"/>
    <w:tbl>
      <w:tblPr>
        <w:tblStyle w:val="66"/>
        <w:tblpPr w:leftFromText="180" w:rightFromText="180" w:vertAnchor="text" w:horzAnchor="page" w:tblpX="1134" w:tblpY="615"/>
        <w:tblOverlap w:val="never"/>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21"/>
        <w:gridCol w:w="994"/>
        <w:gridCol w:w="5385"/>
        <w:gridCol w:w="870"/>
        <w:gridCol w:w="1080"/>
      </w:tblGrid>
      <w:tr w14:paraId="6D18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13" w:type="dxa"/>
            <w:noWrap/>
            <w:vAlign w:val="center"/>
          </w:tcPr>
          <w:p w14:paraId="1DD36530">
            <w:pPr>
              <w:widowControl/>
              <w:jc w:val="center"/>
              <w:rPr>
                <w:rFonts w:hint="eastAsia" w:ascii="宋体" w:hAnsi="宋体" w:eastAsia="宋体" w:cs="宋体"/>
                <w:color w:val="auto"/>
                <w:sz w:val="24"/>
                <w:szCs w:val="24"/>
                <w:highlight w:val="none"/>
                <w:lang w:eastAsia="zh-CN"/>
              </w:rPr>
            </w:pPr>
            <w:bookmarkStart w:id="394" w:name="第五部分"/>
            <w:bookmarkStart w:id="395" w:name="_Toc86217003"/>
          </w:p>
        </w:tc>
        <w:tc>
          <w:tcPr>
            <w:tcW w:w="721" w:type="dxa"/>
            <w:noWrap/>
            <w:vAlign w:val="center"/>
          </w:tcPr>
          <w:p w14:paraId="02B9352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79" w:type="dxa"/>
            <w:gridSpan w:val="2"/>
            <w:noWrap/>
            <w:vAlign w:val="center"/>
          </w:tcPr>
          <w:p w14:paraId="59871E2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70" w:type="dxa"/>
            <w:noWrap/>
            <w:vAlign w:val="center"/>
          </w:tcPr>
          <w:p w14:paraId="5B89CCDD">
            <w:pPr>
              <w:widowControl/>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权重</w:t>
            </w:r>
          </w:p>
        </w:tc>
        <w:tc>
          <w:tcPr>
            <w:tcW w:w="1080" w:type="dxa"/>
            <w:noWrap/>
            <w:vAlign w:val="center"/>
          </w:tcPr>
          <w:p w14:paraId="1D86247B">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w:t>
            </w:r>
          </w:p>
          <w:p w14:paraId="5A54795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客观分</w:t>
            </w:r>
          </w:p>
        </w:tc>
      </w:tr>
      <w:tr w14:paraId="79D4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3" w:type="dxa"/>
            <w:vMerge w:val="restart"/>
            <w:noWrap/>
            <w:vAlign w:val="center"/>
          </w:tcPr>
          <w:p w14:paraId="0F29D7FD">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商务部分（3分）</w:t>
            </w:r>
          </w:p>
        </w:tc>
        <w:tc>
          <w:tcPr>
            <w:tcW w:w="721" w:type="dxa"/>
            <w:noWrap/>
            <w:vAlign w:val="center"/>
          </w:tcPr>
          <w:p w14:paraId="66B9E823">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379" w:type="dxa"/>
            <w:gridSpan w:val="2"/>
            <w:noWrap/>
            <w:vAlign w:val="center"/>
          </w:tcPr>
          <w:p w14:paraId="4600747B">
            <w:pPr>
              <w:widowControl/>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人具有有效期内的质量管理体系认证证书的得1分；具有有效期内的环境管理体系认证证书的得1分；具有有效期内职业健康安全管理认证证书的得1分；本项最高得3分。（注：（投标文件提供有效期内的认证证书及全国认证认可信息公共服务平台的网页查询截图并加盖投标人公章，未提供不得分）</w:t>
            </w:r>
          </w:p>
        </w:tc>
        <w:tc>
          <w:tcPr>
            <w:tcW w:w="870" w:type="dxa"/>
            <w:noWrap/>
            <w:vAlign w:val="center"/>
          </w:tcPr>
          <w:p w14:paraId="6F60BB51">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c>
          <w:tcPr>
            <w:tcW w:w="1080" w:type="dxa"/>
            <w:noWrap/>
            <w:vAlign w:val="center"/>
          </w:tcPr>
          <w:p w14:paraId="67241F8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1EE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3" w:type="dxa"/>
            <w:vMerge w:val="continue"/>
            <w:tcBorders>
              <w:bottom w:val="single" w:color="auto" w:sz="4" w:space="0"/>
            </w:tcBorders>
            <w:noWrap/>
            <w:vAlign w:val="center"/>
          </w:tcPr>
          <w:p w14:paraId="408B3FE7">
            <w:pPr>
              <w:widowControl/>
              <w:jc w:val="center"/>
              <w:rPr>
                <w:rFonts w:hint="eastAsia" w:ascii="宋体" w:hAnsi="宋体" w:cs="宋体"/>
                <w:color w:val="auto"/>
                <w:sz w:val="24"/>
                <w:szCs w:val="24"/>
                <w:highlight w:val="none"/>
                <w:lang w:val="en-US" w:eastAsia="zh-CN"/>
              </w:rPr>
            </w:pPr>
          </w:p>
        </w:tc>
        <w:tc>
          <w:tcPr>
            <w:tcW w:w="721" w:type="dxa"/>
            <w:noWrap/>
            <w:vAlign w:val="center"/>
          </w:tcPr>
          <w:p w14:paraId="32BD6A47">
            <w:pPr>
              <w:widowControl/>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379" w:type="dxa"/>
            <w:gridSpan w:val="2"/>
            <w:noWrap/>
            <w:vAlign w:val="center"/>
          </w:tcPr>
          <w:p w14:paraId="1442C11D">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年1月1日以来投标人</w:t>
            </w:r>
            <w:r>
              <w:rPr>
                <w:rFonts w:hint="eastAsia" w:ascii="宋体" w:hAnsi="宋体" w:eastAsia="宋体" w:cs="宋体"/>
                <w:color w:val="auto"/>
                <w:sz w:val="24"/>
                <w:szCs w:val="24"/>
                <w:highlight w:val="none"/>
                <w:lang w:val="en-US" w:eastAsia="zh-CN"/>
              </w:rPr>
              <w:t>完成过</w:t>
            </w:r>
            <w:r>
              <w:rPr>
                <w:rFonts w:hint="eastAsia" w:ascii="宋体" w:hAnsi="宋体" w:eastAsia="宋体" w:cs="宋体"/>
                <w:color w:val="auto"/>
                <w:sz w:val="24"/>
                <w:szCs w:val="24"/>
                <w:highlight w:val="none"/>
              </w:rPr>
              <w:t>类似项目的业绩，每项得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分（提供合同扫描件证明材料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870" w:type="dxa"/>
            <w:noWrap/>
            <w:vAlign w:val="center"/>
          </w:tcPr>
          <w:p w14:paraId="7142B840">
            <w:pPr>
              <w:widowControl/>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0-1分</w:t>
            </w:r>
          </w:p>
        </w:tc>
        <w:tc>
          <w:tcPr>
            <w:tcW w:w="1080" w:type="dxa"/>
            <w:noWrap/>
            <w:vAlign w:val="center"/>
          </w:tcPr>
          <w:p w14:paraId="53747F73">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4AA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3" w:type="dxa"/>
            <w:vMerge w:val="restart"/>
            <w:tcBorders>
              <w:top w:val="single" w:color="auto" w:sz="4" w:space="0"/>
            </w:tcBorders>
            <w:noWrap/>
            <w:vAlign w:val="center"/>
          </w:tcPr>
          <w:p w14:paraId="184C0A65">
            <w:pPr>
              <w:widowControl/>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技术部分（</w:t>
            </w:r>
            <w:r>
              <w:rPr>
                <w:rFonts w:hint="eastAsia" w:ascii="宋体" w:hAnsi="宋体" w:cs="宋体"/>
                <w:color w:val="auto"/>
                <w:kern w:val="0"/>
                <w:sz w:val="24"/>
                <w:szCs w:val="24"/>
                <w:highlight w:val="none"/>
                <w:lang w:val="en-US" w:eastAsia="zh-CN"/>
              </w:rPr>
              <w:t>86</w:t>
            </w:r>
            <w:r>
              <w:rPr>
                <w:rFonts w:hint="eastAsia" w:ascii="宋体" w:hAnsi="宋体" w:eastAsia="宋体" w:cs="宋体"/>
                <w:color w:val="auto"/>
                <w:kern w:val="0"/>
                <w:sz w:val="24"/>
                <w:szCs w:val="24"/>
                <w:highlight w:val="none"/>
                <w:lang w:val="en-US" w:eastAsia="zh-CN"/>
              </w:rPr>
              <w:t>分）</w:t>
            </w:r>
          </w:p>
        </w:tc>
        <w:tc>
          <w:tcPr>
            <w:tcW w:w="721" w:type="dxa"/>
            <w:vMerge w:val="restart"/>
            <w:noWrap/>
            <w:vAlign w:val="center"/>
          </w:tcPr>
          <w:p w14:paraId="3438BC69">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994" w:type="dxa"/>
            <w:vMerge w:val="restart"/>
            <w:noWrap/>
            <w:vAlign w:val="center"/>
          </w:tcPr>
          <w:p w14:paraId="699FC46F">
            <w:pPr>
              <w:widowControl/>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设计和制作内容</w:t>
            </w:r>
          </w:p>
        </w:tc>
        <w:tc>
          <w:tcPr>
            <w:tcW w:w="5385" w:type="dxa"/>
            <w:noWrap/>
            <w:vAlign w:val="top"/>
          </w:tcPr>
          <w:p w14:paraId="0E9DD470">
            <w:pPr>
              <w:widowControl/>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对本项目的主题内涵、设计理念以及对</w:t>
            </w:r>
            <w:r>
              <w:rPr>
                <w:rFonts w:hint="eastAsia" w:ascii="宋体" w:hAnsi="宋体" w:cs="宋体"/>
                <w:color w:val="auto"/>
                <w:sz w:val="24"/>
                <w:szCs w:val="24"/>
                <w:highlight w:val="none"/>
                <w:lang w:val="en-US" w:eastAsia="zh-CN"/>
              </w:rPr>
              <w:t>故宫与萧山朱氏渊源</w:t>
            </w:r>
            <w:r>
              <w:rPr>
                <w:rFonts w:hint="eastAsia" w:ascii="宋体" w:hAnsi="宋体" w:eastAsia="宋体" w:cs="宋体"/>
                <w:color w:val="auto"/>
                <w:sz w:val="24"/>
                <w:szCs w:val="24"/>
                <w:highlight w:val="none"/>
                <w:lang w:val="zh-CN" w:eastAsia="zh-CN"/>
              </w:rPr>
              <w:t>的解读等理解深度和体现程度</w:t>
            </w:r>
            <w:r>
              <w:rPr>
                <w:rFonts w:hint="eastAsia" w:ascii="宋体" w:hAnsi="宋体" w:cs="宋体"/>
                <w:color w:val="auto"/>
                <w:sz w:val="24"/>
                <w:szCs w:val="24"/>
                <w:highlight w:val="none"/>
                <w:lang w:val="en-US" w:eastAsia="zh-CN"/>
              </w:rPr>
              <w:t>等综合评定</w:t>
            </w:r>
            <w:r>
              <w:rPr>
                <w:rFonts w:hint="eastAsia" w:ascii="宋体" w:hAnsi="宋体" w:eastAsia="宋体" w:cs="宋体"/>
                <w:color w:val="auto"/>
                <w:sz w:val="24"/>
                <w:szCs w:val="24"/>
                <w:highlight w:val="none"/>
                <w:lang w:val="zh-CN" w:eastAsia="zh-CN"/>
              </w:rPr>
              <w:t>，理解深度深刻和体现程度好的得7-8分；理解深度较深刻和体现程度较好的得5-6分；理解深度存在欠缺和体现程度一般的得3-4分；理解深度严重欠缺和体现程度不好的得1-2分。</w:t>
            </w:r>
          </w:p>
        </w:tc>
        <w:tc>
          <w:tcPr>
            <w:tcW w:w="870" w:type="dxa"/>
            <w:noWrap/>
            <w:vAlign w:val="center"/>
          </w:tcPr>
          <w:p w14:paraId="12D1716D">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-8分</w:t>
            </w:r>
          </w:p>
        </w:tc>
        <w:tc>
          <w:tcPr>
            <w:tcW w:w="1080" w:type="dxa"/>
            <w:noWrap/>
            <w:vAlign w:val="center"/>
          </w:tcPr>
          <w:p w14:paraId="04C571E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490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3" w:type="dxa"/>
            <w:vMerge w:val="continue"/>
            <w:noWrap/>
            <w:vAlign w:val="center"/>
          </w:tcPr>
          <w:p w14:paraId="1AF88FEE">
            <w:pPr>
              <w:widowControl/>
              <w:spacing w:line="320" w:lineRule="exact"/>
              <w:jc w:val="center"/>
              <w:rPr>
                <w:rFonts w:hint="eastAsia" w:ascii="宋体" w:hAnsi="宋体" w:eastAsia="宋体" w:cs="宋体"/>
                <w:color w:val="auto"/>
                <w:kern w:val="0"/>
                <w:sz w:val="24"/>
                <w:szCs w:val="24"/>
                <w:highlight w:val="none"/>
              </w:rPr>
            </w:pPr>
          </w:p>
        </w:tc>
        <w:tc>
          <w:tcPr>
            <w:tcW w:w="721" w:type="dxa"/>
            <w:vMerge w:val="continue"/>
            <w:noWrap/>
            <w:vAlign w:val="center"/>
          </w:tcPr>
          <w:p w14:paraId="6CA8250F">
            <w:pPr>
              <w:widowControl/>
              <w:spacing w:line="320" w:lineRule="exact"/>
              <w:jc w:val="center"/>
              <w:rPr>
                <w:rFonts w:hint="eastAsia" w:ascii="宋体" w:hAnsi="宋体" w:eastAsia="宋体" w:cs="宋体"/>
                <w:color w:val="auto"/>
                <w:kern w:val="0"/>
                <w:sz w:val="24"/>
                <w:szCs w:val="24"/>
                <w:highlight w:val="none"/>
              </w:rPr>
            </w:pPr>
          </w:p>
        </w:tc>
        <w:tc>
          <w:tcPr>
            <w:tcW w:w="994" w:type="dxa"/>
            <w:vMerge w:val="continue"/>
            <w:noWrap/>
            <w:vAlign w:val="center"/>
          </w:tcPr>
          <w:p w14:paraId="7DDD40F6">
            <w:pPr>
              <w:widowControl/>
              <w:rPr>
                <w:rFonts w:hint="eastAsia" w:ascii="宋体" w:hAnsi="宋体" w:eastAsia="宋体" w:cs="宋体"/>
                <w:color w:val="auto"/>
                <w:sz w:val="24"/>
                <w:szCs w:val="24"/>
                <w:highlight w:val="none"/>
                <w:lang w:val="zh-CN"/>
              </w:rPr>
            </w:pPr>
          </w:p>
        </w:tc>
        <w:tc>
          <w:tcPr>
            <w:tcW w:w="5385" w:type="dxa"/>
            <w:noWrap/>
            <w:vAlign w:val="top"/>
          </w:tcPr>
          <w:p w14:paraId="62424138">
            <w:pPr>
              <w:widowControl/>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整体方案与实施方案符合度高，各建设内容是否匹配，根据提供的方案内容的完整性、与项目的匹配性</w:t>
            </w:r>
            <w:r>
              <w:rPr>
                <w:rFonts w:hint="eastAsia" w:ascii="宋体" w:hAnsi="宋体" w:cs="宋体"/>
                <w:color w:val="auto"/>
                <w:sz w:val="24"/>
                <w:szCs w:val="24"/>
                <w:highlight w:val="none"/>
                <w:lang w:val="en-US" w:eastAsia="zh-CN"/>
              </w:rPr>
              <w:t>等综合评定</w:t>
            </w:r>
            <w:r>
              <w:rPr>
                <w:rFonts w:hint="eastAsia" w:ascii="宋体" w:hAnsi="宋体" w:eastAsia="宋体" w:cs="宋体"/>
                <w:color w:val="auto"/>
                <w:sz w:val="24"/>
                <w:szCs w:val="24"/>
                <w:highlight w:val="none"/>
                <w:lang w:val="zh-CN" w:eastAsia="zh-CN"/>
              </w:rPr>
              <w:t>。方案内容完整且与项目匹配度好的得</w:t>
            </w:r>
            <w:r>
              <w:rPr>
                <w:rFonts w:hint="eastAsia" w:ascii="宋体" w:hAnsi="宋体" w:cs="宋体"/>
                <w:color w:val="auto"/>
                <w:sz w:val="24"/>
                <w:szCs w:val="24"/>
                <w:highlight w:val="none"/>
                <w:lang w:val="en-US" w:eastAsia="zh-CN"/>
              </w:rPr>
              <w:t>6-7</w:t>
            </w:r>
            <w:r>
              <w:rPr>
                <w:rFonts w:hint="eastAsia" w:ascii="宋体" w:hAnsi="宋体" w:eastAsia="宋体" w:cs="宋体"/>
                <w:color w:val="auto"/>
                <w:sz w:val="24"/>
                <w:szCs w:val="24"/>
                <w:highlight w:val="none"/>
                <w:lang w:val="zh-CN" w:eastAsia="zh-CN"/>
              </w:rPr>
              <w:t>分；方案内容基本完整且与项目匹配度较好的得</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zh-CN" w:eastAsia="zh-CN"/>
              </w:rPr>
              <w:t>分；方案内容存在欠缺或与项目匹配度一般的得</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zh-CN" w:eastAsia="zh-CN"/>
              </w:rPr>
              <w:t>分；方案内容缺失严重或与项目不匹配的得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zh-CN" w:eastAsia="zh-CN"/>
              </w:rPr>
              <w:t>分。</w:t>
            </w:r>
          </w:p>
        </w:tc>
        <w:tc>
          <w:tcPr>
            <w:tcW w:w="870" w:type="dxa"/>
            <w:noWrap/>
            <w:vAlign w:val="center"/>
          </w:tcPr>
          <w:p w14:paraId="178E1DFC">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分</w:t>
            </w:r>
          </w:p>
        </w:tc>
        <w:tc>
          <w:tcPr>
            <w:tcW w:w="1080" w:type="dxa"/>
            <w:noWrap/>
            <w:vAlign w:val="center"/>
          </w:tcPr>
          <w:p w14:paraId="2639F20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41E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13" w:type="dxa"/>
            <w:vMerge w:val="continue"/>
            <w:noWrap/>
            <w:vAlign w:val="center"/>
          </w:tcPr>
          <w:p w14:paraId="17233DD0">
            <w:pPr>
              <w:widowControl/>
              <w:spacing w:line="320" w:lineRule="exact"/>
              <w:jc w:val="center"/>
              <w:rPr>
                <w:rFonts w:hint="eastAsia" w:ascii="宋体" w:hAnsi="宋体" w:eastAsia="宋体" w:cs="宋体"/>
                <w:color w:val="auto"/>
                <w:kern w:val="0"/>
                <w:sz w:val="24"/>
                <w:szCs w:val="24"/>
                <w:highlight w:val="none"/>
              </w:rPr>
            </w:pPr>
          </w:p>
        </w:tc>
        <w:tc>
          <w:tcPr>
            <w:tcW w:w="721" w:type="dxa"/>
            <w:vMerge w:val="continue"/>
            <w:noWrap/>
            <w:vAlign w:val="center"/>
          </w:tcPr>
          <w:p w14:paraId="3C470CE8">
            <w:pPr>
              <w:widowControl/>
              <w:spacing w:line="320" w:lineRule="exact"/>
              <w:jc w:val="center"/>
              <w:rPr>
                <w:rFonts w:hint="eastAsia" w:ascii="宋体" w:hAnsi="宋体" w:eastAsia="宋体" w:cs="宋体"/>
                <w:color w:val="auto"/>
                <w:kern w:val="0"/>
                <w:sz w:val="24"/>
                <w:szCs w:val="24"/>
                <w:highlight w:val="none"/>
              </w:rPr>
            </w:pPr>
          </w:p>
        </w:tc>
        <w:tc>
          <w:tcPr>
            <w:tcW w:w="994" w:type="dxa"/>
            <w:vMerge w:val="continue"/>
            <w:noWrap/>
            <w:vAlign w:val="center"/>
          </w:tcPr>
          <w:p w14:paraId="44F64398">
            <w:pPr>
              <w:widowControl/>
              <w:rPr>
                <w:rFonts w:hint="eastAsia" w:ascii="宋体" w:hAnsi="宋体" w:eastAsia="宋体" w:cs="宋体"/>
                <w:color w:val="auto"/>
                <w:sz w:val="24"/>
                <w:szCs w:val="24"/>
                <w:highlight w:val="none"/>
                <w:lang w:val="zh-CN"/>
              </w:rPr>
            </w:pPr>
          </w:p>
        </w:tc>
        <w:tc>
          <w:tcPr>
            <w:tcW w:w="5385" w:type="dxa"/>
            <w:noWrap/>
            <w:vAlign w:val="top"/>
          </w:tcPr>
          <w:p w14:paraId="3E720968">
            <w:pPr>
              <w:widowControl/>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bidi="ar-SA"/>
              </w:rPr>
              <w:t>设计的特色性：空间设计较好结合现有场地，设计符合主题特色，在历史主题中融入现代设计语言；展览的技术创新，对教育展馆特色及内涵理解深入，挖掘与展示完整、准确，艺术效果好，创新意识强</w:t>
            </w:r>
            <w:r>
              <w:rPr>
                <w:rFonts w:hint="eastAsia" w:ascii="宋体" w:hAnsi="宋体" w:cs="宋体"/>
                <w:color w:val="auto"/>
                <w:sz w:val="24"/>
                <w:szCs w:val="24"/>
                <w:highlight w:val="none"/>
                <w:lang w:val="en-US" w:eastAsia="zh-CN" w:bidi="ar-SA"/>
              </w:rPr>
              <w:t>等综合评定</w:t>
            </w:r>
            <w:r>
              <w:rPr>
                <w:rFonts w:hint="eastAsia" w:ascii="宋体" w:hAnsi="宋体" w:eastAsia="宋体" w:cs="宋体"/>
                <w:color w:val="auto"/>
                <w:sz w:val="24"/>
                <w:szCs w:val="24"/>
                <w:highlight w:val="none"/>
                <w:lang w:val="en-US" w:eastAsia="zh-CN" w:bidi="ar-SA"/>
              </w:rPr>
              <w:t>。场景设计艺术：构思是否立意新颖，构图布局是否合理，艺术感染力是否强，</w:t>
            </w:r>
            <w:r>
              <w:rPr>
                <w:rFonts w:hint="eastAsia" w:ascii="宋体" w:hAnsi="宋体" w:eastAsia="宋体" w:cs="宋体"/>
                <w:color w:val="auto"/>
                <w:sz w:val="24"/>
                <w:szCs w:val="24"/>
                <w:highlight w:val="none"/>
                <w:lang w:val="zh-CN" w:eastAsia="zh-CN"/>
              </w:rPr>
              <w:t>方案内容完整且与项目匹配度好的得</w:t>
            </w:r>
            <w:r>
              <w:rPr>
                <w:rFonts w:hint="eastAsia" w:ascii="宋体" w:hAnsi="宋体" w:cs="宋体"/>
                <w:color w:val="auto"/>
                <w:sz w:val="24"/>
                <w:szCs w:val="24"/>
                <w:highlight w:val="none"/>
                <w:lang w:val="en-US" w:eastAsia="zh-CN"/>
              </w:rPr>
              <w:t>7-8</w:t>
            </w:r>
            <w:r>
              <w:rPr>
                <w:rFonts w:hint="eastAsia" w:ascii="宋体" w:hAnsi="宋体" w:eastAsia="宋体" w:cs="宋体"/>
                <w:color w:val="auto"/>
                <w:sz w:val="24"/>
                <w:szCs w:val="24"/>
                <w:highlight w:val="none"/>
                <w:lang w:val="zh-CN" w:eastAsia="zh-CN"/>
              </w:rPr>
              <w:t>分；方案内容基本完整且与项目匹配度较好的得</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分；方案内容存在欠缺或与项目匹配度一般的得3-4分；方案内容缺失严重或与项目不匹配的得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tc>
        <w:tc>
          <w:tcPr>
            <w:tcW w:w="870" w:type="dxa"/>
            <w:noWrap/>
            <w:vAlign w:val="center"/>
          </w:tcPr>
          <w:p w14:paraId="6E322157">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1-8分</w:t>
            </w:r>
          </w:p>
        </w:tc>
        <w:tc>
          <w:tcPr>
            <w:tcW w:w="1080" w:type="dxa"/>
            <w:noWrap/>
            <w:vAlign w:val="center"/>
          </w:tcPr>
          <w:p w14:paraId="4BE171A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696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13" w:type="dxa"/>
            <w:vMerge w:val="continue"/>
            <w:noWrap/>
            <w:vAlign w:val="center"/>
          </w:tcPr>
          <w:p w14:paraId="0B826CBA">
            <w:pPr>
              <w:widowControl/>
              <w:spacing w:line="320" w:lineRule="exact"/>
              <w:jc w:val="center"/>
              <w:rPr>
                <w:rFonts w:hint="eastAsia" w:ascii="宋体" w:hAnsi="宋体" w:eastAsia="宋体" w:cs="宋体"/>
                <w:color w:val="auto"/>
                <w:kern w:val="0"/>
                <w:sz w:val="24"/>
                <w:szCs w:val="24"/>
                <w:highlight w:val="none"/>
              </w:rPr>
            </w:pPr>
          </w:p>
        </w:tc>
        <w:tc>
          <w:tcPr>
            <w:tcW w:w="721" w:type="dxa"/>
            <w:vMerge w:val="continue"/>
            <w:noWrap/>
            <w:vAlign w:val="center"/>
          </w:tcPr>
          <w:p w14:paraId="0934E141">
            <w:pPr>
              <w:widowControl/>
              <w:spacing w:line="320" w:lineRule="exact"/>
              <w:jc w:val="center"/>
              <w:rPr>
                <w:rFonts w:hint="eastAsia" w:ascii="宋体" w:hAnsi="宋体" w:eastAsia="宋体" w:cs="宋体"/>
                <w:color w:val="auto"/>
                <w:kern w:val="0"/>
                <w:sz w:val="24"/>
                <w:szCs w:val="24"/>
                <w:highlight w:val="none"/>
              </w:rPr>
            </w:pPr>
          </w:p>
        </w:tc>
        <w:tc>
          <w:tcPr>
            <w:tcW w:w="994" w:type="dxa"/>
            <w:vMerge w:val="continue"/>
            <w:noWrap/>
            <w:vAlign w:val="center"/>
          </w:tcPr>
          <w:p w14:paraId="13189D5A">
            <w:pPr>
              <w:widowControl/>
              <w:rPr>
                <w:rFonts w:hint="eastAsia" w:ascii="宋体" w:hAnsi="宋体" w:eastAsia="宋体" w:cs="宋体"/>
                <w:color w:val="auto"/>
                <w:sz w:val="24"/>
                <w:szCs w:val="24"/>
                <w:highlight w:val="none"/>
                <w:lang w:val="zh-CN"/>
              </w:rPr>
            </w:pPr>
          </w:p>
        </w:tc>
        <w:tc>
          <w:tcPr>
            <w:tcW w:w="5385" w:type="dxa"/>
            <w:noWrap/>
            <w:vAlign w:val="top"/>
          </w:tcPr>
          <w:p w14:paraId="6536B22D">
            <w:pPr>
              <w:widowControl/>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投标方案具有创新设计理念，声光电等多媒体技术适宜、有效，</w:t>
            </w:r>
            <w:r>
              <w:rPr>
                <w:rFonts w:hint="eastAsia" w:ascii="宋体" w:hAnsi="宋体" w:eastAsia="宋体" w:cs="宋体"/>
                <w:color w:val="auto"/>
                <w:sz w:val="24"/>
                <w:szCs w:val="24"/>
                <w:highlight w:val="none"/>
                <w:lang w:val="en-US" w:eastAsia="zh-CN" w:bidi="ar-SA"/>
              </w:rPr>
              <w:t>创意构思巧妙，内容表现恰当，逻辑节奏合理，故事和画面具有充分的感染力和冲击力</w:t>
            </w:r>
            <w:r>
              <w:rPr>
                <w:rFonts w:hint="eastAsia" w:ascii="宋体" w:hAnsi="宋体" w:eastAsia="宋体" w:cs="宋体"/>
                <w:color w:val="auto"/>
                <w:sz w:val="24"/>
                <w:szCs w:val="24"/>
                <w:highlight w:val="none"/>
                <w:lang w:val="en-US" w:eastAsia="zh-CN"/>
              </w:rPr>
              <w:t>且表现形式多元、对观众吸引力强，根据提供的方案内容的完整性、与项目的匹配性</w:t>
            </w:r>
            <w:r>
              <w:rPr>
                <w:rFonts w:hint="eastAsia" w:ascii="宋体" w:hAnsi="宋体" w:cs="宋体"/>
                <w:color w:val="auto"/>
                <w:sz w:val="24"/>
                <w:szCs w:val="24"/>
                <w:highlight w:val="none"/>
                <w:lang w:val="en-US" w:eastAsia="zh-CN"/>
              </w:rPr>
              <w:t>等综合</w:t>
            </w:r>
            <w:r>
              <w:rPr>
                <w:rFonts w:hint="eastAsia" w:ascii="宋体" w:hAnsi="宋体" w:eastAsia="宋体" w:cs="宋体"/>
                <w:color w:val="auto"/>
                <w:sz w:val="24"/>
                <w:szCs w:val="24"/>
                <w:highlight w:val="none"/>
                <w:lang w:val="en-US" w:eastAsia="zh-CN"/>
              </w:rPr>
              <w:t>评</w:t>
            </w:r>
            <w:r>
              <w:rPr>
                <w:rFonts w:hint="eastAsia" w:ascii="宋体" w:hAnsi="宋体" w:cs="宋体"/>
                <w:color w:val="auto"/>
                <w:sz w:val="24"/>
                <w:szCs w:val="24"/>
                <w:highlight w:val="none"/>
                <w:lang w:val="en-US" w:eastAsia="zh-CN"/>
              </w:rPr>
              <w:t>定</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方案内容完整且与项目匹配度好的得</w:t>
            </w:r>
            <w:r>
              <w:rPr>
                <w:rFonts w:hint="eastAsia" w:ascii="宋体" w:hAnsi="宋体" w:cs="宋体"/>
                <w:color w:val="auto"/>
                <w:sz w:val="24"/>
                <w:szCs w:val="24"/>
                <w:highlight w:val="none"/>
                <w:lang w:val="en-US" w:eastAsia="zh-CN"/>
              </w:rPr>
              <w:t>6-7</w:t>
            </w:r>
            <w:r>
              <w:rPr>
                <w:rFonts w:hint="eastAsia" w:ascii="宋体" w:hAnsi="宋体" w:eastAsia="宋体" w:cs="宋体"/>
                <w:color w:val="auto"/>
                <w:sz w:val="24"/>
                <w:szCs w:val="24"/>
                <w:highlight w:val="none"/>
                <w:lang w:val="zh-CN" w:eastAsia="zh-CN"/>
              </w:rPr>
              <w:t>分；方案内容基本完整且与项目匹配度较好的得</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zh-CN" w:eastAsia="zh-CN"/>
              </w:rPr>
              <w:t>分；方案内容存在欠缺或与项目匹配度一般的得</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zh-CN" w:eastAsia="zh-CN"/>
              </w:rPr>
              <w:t>分；方案内容与项目不匹配</w:t>
            </w:r>
            <w:r>
              <w:rPr>
                <w:rFonts w:hint="eastAsia" w:ascii="宋体" w:hAnsi="宋体" w:cs="宋体"/>
                <w:color w:val="auto"/>
                <w:sz w:val="24"/>
                <w:szCs w:val="24"/>
                <w:highlight w:val="none"/>
                <w:lang w:val="en-US" w:eastAsia="zh-CN"/>
              </w:rPr>
              <w:t>或未提供</w:t>
            </w:r>
            <w:r>
              <w:rPr>
                <w:rFonts w:hint="eastAsia" w:ascii="宋体" w:hAnsi="宋体" w:eastAsia="宋体" w:cs="宋体"/>
                <w:color w:val="auto"/>
                <w:sz w:val="24"/>
                <w:szCs w:val="24"/>
                <w:highlight w:val="none"/>
                <w:lang w:val="zh-CN" w:eastAsia="zh-CN"/>
              </w:rPr>
              <w:t>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zh-CN" w:eastAsia="zh-CN"/>
              </w:rPr>
              <w:t>分。</w:t>
            </w:r>
          </w:p>
        </w:tc>
        <w:tc>
          <w:tcPr>
            <w:tcW w:w="870" w:type="dxa"/>
            <w:noWrap/>
            <w:vAlign w:val="center"/>
          </w:tcPr>
          <w:p w14:paraId="1D24FD51">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1080" w:type="dxa"/>
            <w:noWrap/>
            <w:vAlign w:val="center"/>
          </w:tcPr>
          <w:p w14:paraId="02E280FE">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主观分</w:t>
            </w:r>
          </w:p>
        </w:tc>
      </w:tr>
      <w:tr w14:paraId="3BEA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13" w:type="dxa"/>
            <w:vMerge w:val="continue"/>
            <w:noWrap/>
            <w:vAlign w:val="center"/>
          </w:tcPr>
          <w:p w14:paraId="464C354E">
            <w:pPr>
              <w:widowControl/>
              <w:spacing w:line="320" w:lineRule="exact"/>
              <w:jc w:val="center"/>
              <w:rPr>
                <w:rFonts w:hint="eastAsia" w:ascii="宋体" w:hAnsi="宋体" w:eastAsia="宋体" w:cs="宋体"/>
                <w:color w:val="auto"/>
                <w:kern w:val="0"/>
                <w:sz w:val="24"/>
                <w:szCs w:val="24"/>
                <w:highlight w:val="none"/>
              </w:rPr>
            </w:pPr>
          </w:p>
        </w:tc>
        <w:tc>
          <w:tcPr>
            <w:tcW w:w="721" w:type="dxa"/>
            <w:vMerge w:val="continue"/>
            <w:noWrap/>
            <w:vAlign w:val="center"/>
          </w:tcPr>
          <w:p w14:paraId="25770EEA">
            <w:pPr>
              <w:widowControl/>
              <w:spacing w:line="320" w:lineRule="exact"/>
              <w:jc w:val="center"/>
              <w:rPr>
                <w:rFonts w:hint="eastAsia" w:ascii="宋体" w:hAnsi="宋体" w:eastAsia="宋体" w:cs="宋体"/>
                <w:color w:val="auto"/>
                <w:kern w:val="0"/>
                <w:sz w:val="24"/>
                <w:szCs w:val="24"/>
                <w:highlight w:val="none"/>
              </w:rPr>
            </w:pPr>
          </w:p>
        </w:tc>
        <w:tc>
          <w:tcPr>
            <w:tcW w:w="994" w:type="dxa"/>
            <w:vMerge w:val="continue"/>
            <w:noWrap/>
            <w:vAlign w:val="center"/>
          </w:tcPr>
          <w:p w14:paraId="1648293A">
            <w:pPr>
              <w:widowControl/>
              <w:rPr>
                <w:rFonts w:hint="eastAsia" w:ascii="宋体" w:hAnsi="宋体" w:eastAsia="宋体" w:cs="宋体"/>
                <w:color w:val="auto"/>
                <w:sz w:val="24"/>
                <w:szCs w:val="24"/>
                <w:highlight w:val="none"/>
                <w:lang w:val="zh-CN"/>
              </w:rPr>
            </w:pPr>
          </w:p>
        </w:tc>
        <w:tc>
          <w:tcPr>
            <w:tcW w:w="5385" w:type="dxa"/>
            <w:noWrap/>
            <w:vAlign w:val="top"/>
          </w:tcPr>
          <w:p w14:paraId="19CB9FE9">
            <w:pPr>
              <w:widowControl/>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lang w:val="en-US" w:eastAsia="zh-CN" w:bidi="ar-SA"/>
              </w:rPr>
              <w:t>展区及展示项目的平面、立面、轴测图、剖面、大样、主要节点图纸、效果图、用料及规格是否完整清晰</w:t>
            </w:r>
            <w:r>
              <w:rPr>
                <w:rFonts w:hint="eastAsia" w:ascii="宋体" w:hAnsi="宋体" w:cs="宋体"/>
                <w:color w:val="auto"/>
                <w:sz w:val="24"/>
                <w:szCs w:val="24"/>
                <w:highlight w:val="none"/>
                <w:lang w:val="en-US" w:eastAsia="zh-CN" w:bidi="ar-SA"/>
              </w:rPr>
              <w:t>等综合评定</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zh-CN" w:eastAsia="zh-CN"/>
              </w:rPr>
              <w:t>方案内容完整且与项目匹配度好的得</w:t>
            </w:r>
            <w:r>
              <w:rPr>
                <w:rFonts w:hint="eastAsia" w:ascii="宋体" w:hAnsi="宋体" w:cs="宋体"/>
                <w:color w:val="auto"/>
                <w:sz w:val="24"/>
                <w:szCs w:val="24"/>
                <w:highlight w:val="none"/>
                <w:lang w:val="en-US" w:eastAsia="zh-CN"/>
              </w:rPr>
              <w:t>7-8</w:t>
            </w:r>
            <w:r>
              <w:rPr>
                <w:rFonts w:hint="eastAsia" w:ascii="宋体" w:hAnsi="宋体" w:eastAsia="宋体" w:cs="宋体"/>
                <w:color w:val="auto"/>
                <w:sz w:val="24"/>
                <w:szCs w:val="24"/>
                <w:highlight w:val="none"/>
                <w:lang w:val="zh-CN" w:eastAsia="zh-CN"/>
              </w:rPr>
              <w:t>分；方案内容基本完整且与项目匹配度较好的得</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val="zh-CN" w:eastAsia="zh-CN"/>
              </w:rPr>
              <w:t>分；方案内容存在欠缺或与项目匹配度一般的得3-4分；方案内容缺失严重或与项目不匹配的得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tc>
        <w:tc>
          <w:tcPr>
            <w:tcW w:w="870" w:type="dxa"/>
            <w:noWrap/>
            <w:vAlign w:val="center"/>
          </w:tcPr>
          <w:p w14:paraId="7DD543D8">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分</w:t>
            </w:r>
          </w:p>
        </w:tc>
        <w:tc>
          <w:tcPr>
            <w:tcW w:w="1080" w:type="dxa"/>
            <w:noWrap/>
            <w:vAlign w:val="center"/>
          </w:tcPr>
          <w:p w14:paraId="07AA2C65">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主观分</w:t>
            </w:r>
          </w:p>
        </w:tc>
      </w:tr>
      <w:tr w14:paraId="7B55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3" w:type="dxa"/>
            <w:vMerge w:val="continue"/>
            <w:noWrap/>
            <w:vAlign w:val="center"/>
          </w:tcPr>
          <w:p w14:paraId="283296FD">
            <w:pPr>
              <w:widowControl/>
              <w:spacing w:line="320" w:lineRule="exact"/>
              <w:jc w:val="center"/>
              <w:rPr>
                <w:rFonts w:hint="eastAsia" w:ascii="宋体" w:hAnsi="宋体" w:eastAsia="宋体" w:cs="宋体"/>
                <w:color w:val="auto"/>
                <w:kern w:val="0"/>
                <w:sz w:val="24"/>
                <w:szCs w:val="24"/>
                <w:highlight w:val="none"/>
                <w:lang w:val="en-US" w:eastAsia="zh-CN"/>
              </w:rPr>
            </w:pPr>
          </w:p>
        </w:tc>
        <w:tc>
          <w:tcPr>
            <w:tcW w:w="721" w:type="dxa"/>
            <w:vMerge w:val="restart"/>
            <w:noWrap/>
            <w:vAlign w:val="center"/>
          </w:tcPr>
          <w:p w14:paraId="4CC04567">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994" w:type="dxa"/>
            <w:vMerge w:val="restart"/>
            <w:noWrap/>
            <w:vAlign w:val="center"/>
          </w:tcPr>
          <w:p w14:paraId="07B8786A">
            <w:pPr>
              <w:widowControl/>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布展组织方案</w:t>
            </w:r>
          </w:p>
        </w:tc>
        <w:tc>
          <w:tcPr>
            <w:tcW w:w="5385" w:type="dxa"/>
            <w:noWrap/>
            <w:vAlign w:val="center"/>
          </w:tcPr>
          <w:p w14:paraId="4E87086B">
            <w:pPr>
              <w:pStyle w:val="27"/>
              <w:snapToGrid w:val="0"/>
              <w:spacing w:line="3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投标人对如何使总体组织方案满足强制性标准及施工环境要求的工作方案</w:t>
            </w:r>
            <w:r>
              <w:rPr>
                <w:rFonts w:hint="eastAsia" w:cs="宋体"/>
                <w:color w:val="auto"/>
                <w:sz w:val="24"/>
                <w:szCs w:val="24"/>
                <w:highlight w:val="none"/>
                <w:lang w:val="en-US" w:eastAsia="zh-CN"/>
              </w:rPr>
              <w:t>等综合评定</w:t>
            </w:r>
            <w:r>
              <w:rPr>
                <w:rFonts w:hint="eastAsia" w:ascii="宋体" w:hAnsi="宋体" w:eastAsia="宋体" w:cs="宋体"/>
                <w:color w:val="auto"/>
                <w:sz w:val="24"/>
                <w:szCs w:val="24"/>
                <w:highlight w:val="none"/>
                <w:lang w:val="zh-CN" w:eastAsia="zh-CN"/>
              </w:rPr>
              <w:t>，方案内容完整且与项目匹配度好的得</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val="zh-CN" w:eastAsia="zh-CN"/>
              </w:rPr>
              <w:t>分；方案内容基本完整且与项目匹配度较好的得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zh-CN" w:eastAsia="zh-CN"/>
              </w:rPr>
              <w:t>分；方案内容存在欠缺或与项目匹配度一般的得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分；方案内容与项目不匹配</w:t>
            </w:r>
            <w:r>
              <w:rPr>
                <w:rFonts w:hint="eastAsia" w:ascii="宋体" w:hAnsi="宋体" w:eastAsia="宋体" w:cs="宋体"/>
                <w:color w:val="auto"/>
                <w:sz w:val="24"/>
                <w:szCs w:val="24"/>
                <w:highlight w:val="none"/>
                <w:lang w:val="en-US" w:eastAsia="zh-CN"/>
              </w:rPr>
              <w:t>或未提供</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分。</w:t>
            </w:r>
          </w:p>
        </w:tc>
        <w:tc>
          <w:tcPr>
            <w:tcW w:w="870" w:type="dxa"/>
            <w:noWrap/>
            <w:vAlign w:val="center"/>
          </w:tcPr>
          <w:p w14:paraId="51F586E4">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0-6分</w:t>
            </w:r>
          </w:p>
        </w:tc>
        <w:tc>
          <w:tcPr>
            <w:tcW w:w="1080" w:type="dxa"/>
            <w:noWrap/>
            <w:vAlign w:val="center"/>
          </w:tcPr>
          <w:p w14:paraId="5B92F14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7C3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3" w:type="dxa"/>
            <w:vMerge w:val="continue"/>
            <w:noWrap/>
            <w:vAlign w:val="center"/>
          </w:tcPr>
          <w:p w14:paraId="1F3E9769">
            <w:pPr>
              <w:widowControl/>
              <w:spacing w:line="320" w:lineRule="exact"/>
              <w:jc w:val="center"/>
              <w:rPr>
                <w:rFonts w:hint="eastAsia" w:ascii="宋体" w:hAnsi="宋体" w:eastAsia="宋体" w:cs="宋体"/>
                <w:color w:val="auto"/>
                <w:kern w:val="0"/>
                <w:sz w:val="24"/>
                <w:szCs w:val="24"/>
                <w:highlight w:val="none"/>
                <w:lang w:eastAsia="zh-CN"/>
              </w:rPr>
            </w:pPr>
          </w:p>
        </w:tc>
        <w:tc>
          <w:tcPr>
            <w:tcW w:w="721" w:type="dxa"/>
            <w:vMerge w:val="continue"/>
            <w:noWrap/>
            <w:vAlign w:val="center"/>
          </w:tcPr>
          <w:p w14:paraId="79F68CB3">
            <w:pPr>
              <w:widowControl/>
              <w:spacing w:line="320" w:lineRule="exact"/>
              <w:jc w:val="center"/>
              <w:rPr>
                <w:rFonts w:hint="eastAsia" w:ascii="宋体" w:hAnsi="宋体" w:eastAsia="宋体" w:cs="宋体"/>
                <w:color w:val="auto"/>
                <w:kern w:val="0"/>
                <w:sz w:val="24"/>
                <w:szCs w:val="24"/>
                <w:highlight w:val="none"/>
                <w:lang w:eastAsia="zh-CN"/>
              </w:rPr>
            </w:pPr>
          </w:p>
        </w:tc>
        <w:tc>
          <w:tcPr>
            <w:tcW w:w="994" w:type="dxa"/>
            <w:vMerge w:val="continue"/>
            <w:noWrap/>
            <w:vAlign w:val="center"/>
          </w:tcPr>
          <w:p w14:paraId="4D2426F0">
            <w:pPr>
              <w:widowControl/>
              <w:rPr>
                <w:rFonts w:hint="eastAsia" w:ascii="宋体" w:hAnsi="宋体" w:eastAsia="宋体" w:cs="宋体"/>
                <w:color w:val="auto"/>
                <w:sz w:val="24"/>
                <w:szCs w:val="24"/>
                <w:highlight w:val="none"/>
                <w:lang w:val="zh-CN"/>
              </w:rPr>
            </w:pPr>
          </w:p>
        </w:tc>
        <w:tc>
          <w:tcPr>
            <w:tcW w:w="5385" w:type="dxa"/>
            <w:noWrap/>
            <w:vAlign w:val="top"/>
          </w:tcPr>
          <w:p w14:paraId="38F46C9C">
            <w:pPr>
              <w:pStyle w:val="27"/>
              <w:snapToGrid w:val="0"/>
              <w:spacing w:line="360" w:lineRule="exact"/>
              <w:ind w:firstLine="0" w:firstLineChars="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投标人对本项目难点分析准确、关键环节的处置措施</w:t>
            </w:r>
            <w:r>
              <w:rPr>
                <w:rFonts w:hint="eastAsia" w:cs="宋体"/>
                <w:color w:val="auto"/>
                <w:sz w:val="24"/>
                <w:szCs w:val="24"/>
                <w:highlight w:val="none"/>
                <w:lang w:val="en-US" w:eastAsia="zh-CN"/>
              </w:rPr>
              <w:t>等综合评定，</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内容完整且与项目匹配度好的得</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内容基本完整且与项目匹配度较好的得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内容存在欠缺或与项目匹配度一般的得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内容与项目不匹配</w:t>
            </w:r>
            <w:r>
              <w:rPr>
                <w:rFonts w:hint="eastAsia" w:ascii="宋体" w:hAnsi="宋体" w:eastAsia="宋体" w:cs="宋体"/>
                <w:color w:val="auto"/>
                <w:sz w:val="24"/>
                <w:szCs w:val="24"/>
                <w:highlight w:val="none"/>
                <w:lang w:val="en-US" w:eastAsia="zh-CN"/>
              </w:rPr>
              <w:t>或未提供</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分。</w:t>
            </w:r>
          </w:p>
        </w:tc>
        <w:tc>
          <w:tcPr>
            <w:tcW w:w="870" w:type="dxa"/>
            <w:noWrap/>
            <w:vAlign w:val="center"/>
          </w:tcPr>
          <w:p w14:paraId="582744B5">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val="en-US" w:eastAsia="zh-CN"/>
              </w:rPr>
              <w:t>分</w:t>
            </w:r>
          </w:p>
        </w:tc>
        <w:tc>
          <w:tcPr>
            <w:tcW w:w="1080" w:type="dxa"/>
            <w:noWrap/>
            <w:vAlign w:val="center"/>
          </w:tcPr>
          <w:p w14:paraId="1520A0B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599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13" w:type="dxa"/>
            <w:vMerge w:val="continue"/>
            <w:noWrap/>
            <w:vAlign w:val="center"/>
          </w:tcPr>
          <w:p w14:paraId="378CFBC4">
            <w:pPr>
              <w:widowControl/>
              <w:spacing w:line="320" w:lineRule="exact"/>
              <w:jc w:val="center"/>
              <w:rPr>
                <w:rFonts w:hint="eastAsia" w:ascii="宋体" w:hAnsi="宋体" w:eastAsia="宋体" w:cs="宋体"/>
                <w:color w:val="auto"/>
                <w:kern w:val="0"/>
                <w:sz w:val="24"/>
                <w:szCs w:val="24"/>
                <w:highlight w:val="none"/>
                <w:lang w:eastAsia="zh-CN"/>
              </w:rPr>
            </w:pPr>
          </w:p>
        </w:tc>
        <w:tc>
          <w:tcPr>
            <w:tcW w:w="721" w:type="dxa"/>
            <w:vMerge w:val="continue"/>
            <w:noWrap/>
            <w:vAlign w:val="center"/>
          </w:tcPr>
          <w:p w14:paraId="07B301E3">
            <w:pPr>
              <w:widowControl/>
              <w:spacing w:line="320" w:lineRule="exact"/>
              <w:jc w:val="center"/>
              <w:rPr>
                <w:rFonts w:hint="eastAsia" w:ascii="宋体" w:hAnsi="宋体" w:eastAsia="宋体" w:cs="宋体"/>
                <w:color w:val="auto"/>
                <w:kern w:val="0"/>
                <w:sz w:val="24"/>
                <w:szCs w:val="24"/>
                <w:highlight w:val="none"/>
                <w:lang w:eastAsia="zh-CN"/>
              </w:rPr>
            </w:pPr>
          </w:p>
        </w:tc>
        <w:tc>
          <w:tcPr>
            <w:tcW w:w="994" w:type="dxa"/>
            <w:vMerge w:val="continue"/>
            <w:noWrap/>
            <w:vAlign w:val="center"/>
          </w:tcPr>
          <w:p w14:paraId="5EC3F227">
            <w:pPr>
              <w:widowControl/>
              <w:rPr>
                <w:rFonts w:hint="eastAsia" w:ascii="宋体" w:hAnsi="宋体" w:eastAsia="宋体" w:cs="宋体"/>
                <w:color w:val="auto"/>
                <w:sz w:val="24"/>
                <w:szCs w:val="24"/>
                <w:highlight w:val="none"/>
                <w:lang w:val="zh-CN"/>
              </w:rPr>
            </w:pPr>
          </w:p>
        </w:tc>
        <w:tc>
          <w:tcPr>
            <w:tcW w:w="5385" w:type="dxa"/>
            <w:noWrap/>
            <w:vAlign w:val="top"/>
          </w:tcPr>
          <w:p w14:paraId="6CB8BDB6">
            <w:pPr>
              <w:pStyle w:val="27"/>
              <w:snapToGrid w:val="0"/>
              <w:spacing w:line="360" w:lineRule="exact"/>
              <w:ind w:firstLine="0" w:firstLineChars="0"/>
              <w:jc w:val="left"/>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投标人的布展进度计划及保证措施合理</w:t>
            </w:r>
            <w:r>
              <w:rPr>
                <w:rFonts w:hint="eastAsia" w:cs="宋体"/>
                <w:color w:val="auto"/>
                <w:sz w:val="24"/>
                <w:szCs w:val="24"/>
                <w:highlight w:val="none"/>
                <w:lang w:val="en-US" w:eastAsia="zh-CN"/>
              </w:rPr>
              <w:t>等综合评定，</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内容完整且与项目匹配度好的得</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内容基本完整且与项目匹配度较好的得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内容存在欠缺或与项目匹配度一般的得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内容与项目不匹配</w:t>
            </w:r>
            <w:r>
              <w:rPr>
                <w:rFonts w:hint="eastAsia" w:ascii="宋体" w:hAnsi="宋体" w:eastAsia="宋体" w:cs="宋体"/>
                <w:color w:val="auto"/>
                <w:sz w:val="24"/>
                <w:szCs w:val="24"/>
                <w:highlight w:val="none"/>
                <w:lang w:val="en-US" w:eastAsia="zh-CN"/>
              </w:rPr>
              <w:t>或未提供</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分。</w:t>
            </w:r>
          </w:p>
        </w:tc>
        <w:tc>
          <w:tcPr>
            <w:tcW w:w="870" w:type="dxa"/>
            <w:noWrap/>
            <w:vAlign w:val="center"/>
          </w:tcPr>
          <w:p w14:paraId="5CECA94D">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080" w:type="dxa"/>
            <w:noWrap/>
            <w:vAlign w:val="center"/>
          </w:tcPr>
          <w:p w14:paraId="710D397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743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13" w:type="dxa"/>
            <w:vMerge w:val="continue"/>
            <w:noWrap/>
            <w:vAlign w:val="center"/>
          </w:tcPr>
          <w:p w14:paraId="2AF3378C">
            <w:pPr>
              <w:widowControl/>
              <w:spacing w:line="320" w:lineRule="exact"/>
              <w:jc w:val="center"/>
              <w:rPr>
                <w:rFonts w:hint="eastAsia" w:ascii="宋体" w:hAnsi="宋体" w:eastAsia="宋体" w:cs="宋体"/>
                <w:color w:val="auto"/>
                <w:kern w:val="0"/>
                <w:sz w:val="24"/>
                <w:szCs w:val="24"/>
                <w:highlight w:val="none"/>
                <w:lang w:val="en-US" w:eastAsia="zh-CN"/>
              </w:rPr>
            </w:pPr>
          </w:p>
        </w:tc>
        <w:tc>
          <w:tcPr>
            <w:tcW w:w="721" w:type="dxa"/>
            <w:noWrap/>
            <w:vAlign w:val="center"/>
          </w:tcPr>
          <w:p w14:paraId="756690A7">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994" w:type="dxa"/>
            <w:noWrap/>
            <w:vAlign w:val="center"/>
          </w:tcPr>
          <w:p w14:paraId="25B31D88">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安全措施</w:t>
            </w:r>
          </w:p>
        </w:tc>
        <w:tc>
          <w:tcPr>
            <w:tcW w:w="5385" w:type="dxa"/>
            <w:noWrap/>
            <w:vAlign w:val="center"/>
          </w:tcPr>
          <w:p w14:paraId="1057883C">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投标人的安全保证措施、文明施工现场措施、关键环节的处置措施</w:t>
            </w:r>
            <w:r>
              <w:rPr>
                <w:rFonts w:hint="eastAsia" w:cs="宋体"/>
                <w:color w:val="auto"/>
                <w:sz w:val="24"/>
                <w:szCs w:val="24"/>
                <w:highlight w:val="none"/>
                <w:lang w:val="en-US" w:eastAsia="zh-CN"/>
              </w:rPr>
              <w:t>等综合评定，</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内容完整且与项目匹配度好的得</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内容基本完整且与项目匹配度较好的得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内容存在欠缺或与项目匹配度一般的得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内容与项目不匹配</w:t>
            </w:r>
            <w:r>
              <w:rPr>
                <w:rFonts w:hint="eastAsia" w:ascii="宋体" w:hAnsi="宋体" w:eastAsia="宋体" w:cs="宋体"/>
                <w:color w:val="auto"/>
                <w:sz w:val="24"/>
                <w:szCs w:val="24"/>
                <w:highlight w:val="none"/>
                <w:lang w:val="en-US" w:eastAsia="zh-CN"/>
              </w:rPr>
              <w:t>或未提供</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分。</w:t>
            </w:r>
          </w:p>
        </w:tc>
        <w:tc>
          <w:tcPr>
            <w:tcW w:w="870" w:type="dxa"/>
            <w:noWrap/>
            <w:vAlign w:val="center"/>
          </w:tcPr>
          <w:p w14:paraId="4A31C138">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080" w:type="dxa"/>
            <w:noWrap/>
            <w:vAlign w:val="center"/>
          </w:tcPr>
          <w:p w14:paraId="3FEFADD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AD7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3" w:type="dxa"/>
            <w:vMerge w:val="continue"/>
            <w:noWrap/>
            <w:vAlign w:val="center"/>
          </w:tcPr>
          <w:p w14:paraId="0A38A4AB">
            <w:pPr>
              <w:widowControl/>
              <w:spacing w:line="320" w:lineRule="exact"/>
              <w:jc w:val="center"/>
              <w:rPr>
                <w:rFonts w:hint="eastAsia" w:ascii="宋体" w:hAnsi="宋体" w:eastAsia="宋体" w:cs="宋体"/>
                <w:color w:val="auto"/>
                <w:kern w:val="0"/>
                <w:sz w:val="24"/>
                <w:szCs w:val="24"/>
                <w:highlight w:val="none"/>
                <w:lang w:val="en-US" w:eastAsia="zh-CN"/>
              </w:rPr>
            </w:pPr>
          </w:p>
        </w:tc>
        <w:tc>
          <w:tcPr>
            <w:tcW w:w="721" w:type="dxa"/>
            <w:noWrap/>
            <w:vAlign w:val="center"/>
          </w:tcPr>
          <w:p w14:paraId="16371FD6">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994" w:type="dxa"/>
            <w:noWrap/>
            <w:vAlign w:val="center"/>
          </w:tcPr>
          <w:p w14:paraId="0F9F49FE">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tc>
        <w:tc>
          <w:tcPr>
            <w:tcW w:w="5385" w:type="dxa"/>
            <w:noWrap/>
            <w:vAlign w:val="center"/>
          </w:tcPr>
          <w:p w14:paraId="1375C491">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投标人的服务承诺、质量承诺、质量保证承诺</w:t>
            </w:r>
            <w:r>
              <w:rPr>
                <w:rFonts w:hint="eastAsia" w:cs="宋体"/>
                <w:color w:val="auto"/>
                <w:sz w:val="24"/>
                <w:szCs w:val="24"/>
                <w:highlight w:val="none"/>
                <w:lang w:val="en-US" w:eastAsia="zh-CN"/>
              </w:rPr>
              <w:t>等综合评定，</w:t>
            </w:r>
            <w:r>
              <w:rPr>
                <w:rFonts w:hint="eastAsia" w:ascii="宋体" w:hAnsi="宋体" w:eastAsia="宋体" w:cs="宋体"/>
                <w:color w:val="auto"/>
                <w:sz w:val="24"/>
                <w:szCs w:val="24"/>
                <w:highlight w:val="none"/>
                <w:lang w:val="zh-CN" w:eastAsia="zh-CN"/>
              </w:rPr>
              <w:t>方案内容完整且与项目匹配度好的得</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val="zh-CN" w:eastAsia="zh-CN"/>
              </w:rPr>
              <w:t>分；方案内容基本完整且与项目匹配度较好的得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zh-CN" w:eastAsia="zh-CN"/>
              </w:rPr>
              <w:t>分；方案内容存在欠缺或与项目匹配度一般的得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分；方案内容与项目不匹配</w:t>
            </w:r>
            <w:r>
              <w:rPr>
                <w:rFonts w:hint="eastAsia" w:ascii="宋体" w:hAnsi="宋体" w:eastAsia="宋体" w:cs="宋体"/>
                <w:color w:val="auto"/>
                <w:sz w:val="24"/>
                <w:szCs w:val="24"/>
                <w:highlight w:val="none"/>
                <w:lang w:val="en-US" w:eastAsia="zh-CN"/>
              </w:rPr>
              <w:t>或未提供</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分。</w:t>
            </w:r>
          </w:p>
        </w:tc>
        <w:tc>
          <w:tcPr>
            <w:tcW w:w="870" w:type="dxa"/>
            <w:noWrap/>
            <w:vAlign w:val="center"/>
          </w:tcPr>
          <w:p w14:paraId="26FA705E">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分</w:t>
            </w:r>
          </w:p>
        </w:tc>
        <w:tc>
          <w:tcPr>
            <w:tcW w:w="1080" w:type="dxa"/>
            <w:noWrap/>
            <w:vAlign w:val="center"/>
          </w:tcPr>
          <w:p w14:paraId="30F5C70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390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13" w:type="dxa"/>
            <w:vMerge w:val="continue"/>
            <w:noWrap/>
            <w:vAlign w:val="center"/>
          </w:tcPr>
          <w:p w14:paraId="69351ADF">
            <w:pPr>
              <w:widowControl/>
              <w:spacing w:line="320" w:lineRule="exact"/>
              <w:jc w:val="center"/>
              <w:rPr>
                <w:rFonts w:hint="eastAsia" w:ascii="宋体" w:hAnsi="宋体" w:eastAsia="宋体" w:cs="宋体"/>
                <w:color w:val="auto"/>
                <w:kern w:val="0"/>
                <w:sz w:val="24"/>
                <w:szCs w:val="24"/>
                <w:highlight w:val="none"/>
                <w:lang w:val="en-US" w:eastAsia="zh-CN"/>
              </w:rPr>
            </w:pPr>
          </w:p>
        </w:tc>
        <w:tc>
          <w:tcPr>
            <w:tcW w:w="721" w:type="dxa"/>
            <w:noWrap/>
            <w:vAlign w:val="center"/>
          </w:tcPr>
          <w:p w14:paraId="189613D6">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994" w:type="dxa"/>
            <w:noWrap/>
            <w:vAlign w:val="center"/>
          </w:tcPr>
          <w:p w14:paraId="0E12AD88">
            <w:pPr>
              <w:widowControl/>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项目组人员安排</w:t>
            </w:r>
          </w:p>
        </w:tc>
        <w:tc>
          <w:tcPr>
            <w:tcW w:w="5385" w:type="dxa"/>
            <w:noWrap/>
            <w:vAlign w:val="center"/>
          </w:tcPr>
          <w:p w14:paraId="77609926">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根据项目组织及技术力量安排的合理、项目管理班子人员的配备情况、项目实施能力和综合保障能力等情况综合评定。</w:t>
            </w:r>
          </w:p>
          <w:p w14:paraId="3C777BD5">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①人员投入合理，分工明确的得</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val="zh-CN"/>
              </w:rPr>
              <w:t>分；</w:t>
            </w:r>
          </w:p>
          <w:p w14:paraId="079C66F0">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②人员投入较合理，分工相对的得</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val="zh-CN"/>
              </w:rPr>
              <w:t>分；</w:t>
            </w:r>
          </w:p>
          <w:p w14:paraId="46991953">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③人员投入不合理，分工不明确的得1-2分；</w:t>
            </w:r>
          </w:p>
          <w:p w14:paraId="6FC8F40B">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④投标人此项未做说明得0分。</w:t>
            </w:r>
          </w:p>
        </w:tc>
        <w:tc>
          <w:tcPr>
            <w:tcW w:w="870" w:type="dxa"/>
            <w:noWrap/>
            <w:vAlign w:val="center"/>
          </w:tcPr>
          <w:p w14:paraId="201DF9D9">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tc>
        <w:tc>
          <w:tcPr>
            <w:tcW w:w="1080" w:type="dxa"/>
            <w:noWrap/>
            <w:vAlign w:val="center"/>
          </w:tcPr>
          <w:p w14:paraId="26BC619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06A0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13" w:type="dxa"/>
            <w:vMerge w:val="continue"/>
            <w:tcBorders>
              <w:bottom w:val="nil"/>
            </w:tcBorders>
            <w:noWrap/>
            <w:vAlign w:val="center"/>
          </w:tcPr>
          <w:p w14:paraId="569FDF59">
            <w:pPr>
              <w:widowControl/>
              <w:spacing w:line="320" w:lineRule="exact"/>
              <w:jc w:val="center"/>
              <w:rPr>
                <w:rFonts w:hint="eastAsia" w:ascii="宋体" w:hAnsi="宋体" w:eastAsia="宋体" w:cs="宋体"/>
                <w:color w:val="auto"/>
                <w:kern w:val="0"/>
                <w:sz w:val="24"/>
                <w:szCs w:val="24"/>
                <w:highlight w:val="none"/>
                <w:lang w:val="en-US" w:eastAsia="zh-CN"/>
              </w:rPr>
            </w:pPr>
          </w:p>
        </w:tc>
        <w:tc>
          <w:tcPr>
            <w:tcW w:w="721" w:type="dxa"/>
            <w:noWrap/>
            <w:vAlign w:val="center"/>
          </w:tcPr>
          <w:p w14:paraId="035B6D9C">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994" w:type="dxa"/>
            <w:noWrap/>
            <w:vAlign w:val="center"/>
          </w:tcPr>
          <w:p w14:paraId="243690EC">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tc>
        <w:tc>
          <w:tcPr>
            <w:tcW w:w="5385" w:type="dxa"/>
            <w:noWrap/>
            <w:vAlign w:val="center"/>
          </w:tcPr>
          <w:p w14:paraId="3678FA9A">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合理化建议：根据投标人对于布展各环节工作的进度、质量方面的合理化建议</w:t>
            </w:r>
            <w:r>
              <w:rPr>
                <w:rFonts w:hint="eastAsia" w:ascii="宋体" w:hAnsi="宋体" w:cs="宋体"/>
                <w:color w:val="auto"/>
                <w:sz w:val="24"/>
                <w:szCs w:val="24"/>
                <w:highlight w:val="none"/>
                <w:lang w:val="en-US" w:eastAsia="zh-CN"/>
              </w:rPr>
              <w:t>等综合评定</w:t>
            </w:r>
            <w:r>
              <w:rPr>
                <w:rFonts w:hint="eastAsia" w:ascii="宋体" w:hAnsi="宋体" w:eastAsia="宋体" w:cs="宋体"/>
                <w:color w:val="auto"/>
                <w:sz w:val="24"/>
                <w:szCs w:val="24"/>
                <w:highlight w:val="none"/>
                <w:lang w:val="zh-CN" w:eastAsia="zh-CN"/>
              </w:rPr>
              <w:t>，方案内容完整且与项目匹配度好的得</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val="zh-CN" w:eastAsia="zh-CN"/>
              </w:rPr>
              <w:t>分；方案内容基本完整且与项目匹配度较好的得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zh-CN" w:eastAsia="zh-CN"/>
              </w:rPr>
              <w:t>分；方案内容存在欠缺或与项目匹配度一般的得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分；方案内容与项目不匹配</w:t>
            </w:r>
            <w:r>
              <w:rPr>
                <w:rFonts w:hint="eastAsia" w:ascii="宋体" w:hAnsi="宋体" w:eastAsia="宋体" w:cs="宋体"/>
                <w:color w:val="auto"/>
                <w:sz w:val="24"/>
                <w:szCs w:val="24"/>
                <w:highlight w:val="none"/>
                <w:lang w:val="en-US" w:eastAsia="zh-CN"/>
              </w:rPr>
              <w:t>或未提供</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分。</w:t>
            </w:r>
          </w:p>
        </w:tc>
        <w:tc>
          <w:tcPr>
            <w:tcW w:w="870" w:type="dxa"/>
            <w:noWrap/>
            <w:vAlign w:val="center"/>
          </w:tcPr>
          <w:p w14:paraId="3CB5C726">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080" w:type="dxa"/>
            <w:noWrap/>
            <w:vAlign w:val="center"/>
          </w:tcPr>
          <w:p w14:paraId="3DFD9EB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697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13" w:type="dxa"/>
            <w:tcBorders>
              <w:top w:val="nil"/>
            </w:tcBorders>
            <w:noWrap/>
            <w:vAlign w:val="center"/>
          </w:tcPr>
          <w:p w14:paraId="5874D504">
            <w:pPr>
              <w:widowControl/>
              <w:spacing w:line="320" w:lineRule="exact"/>
              <w:jc w:val="center"/>
              <w:rPr>
                <w:rFonts w:hint="eastAsia" w:ascii="宋体" w:hAnsi="宋体" w:eastAsia="宋体" w:cs="宋体"/>
                <w:color w:val="auto"/>
                <w:kern w:val="0"/>
                <w:sz w:val="24"/>
                <w:szCs w:val="24"/>
                <w:highlight w:val="none"/>
                <w:lang w:val="en-US" w:eastAsia="zh-CN"/>
              </w:rPr>
            </w:pPr>
            <w:bookmarkStart w:id="507" w:name="_GoBack" w:colFirst="2" w:colLast="3"/>
          </w:p>
        </w:tc>
        <w:tc>
          <w:tcPr>
            <w:tcW w:w="721" w:type="dxa"/>
            <w:noWrap/>
            <w:vAlign w:val="center"/>
          </w:tcPr>
          <w:p w14:paraId="33C46F27">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994" w:type="dxa"/>
            <w:noWrap/>
            <w:vAlign w:val="center"/>
          </w:tcPr>
          <w:p w14:paraId="7538303E">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保护措施</w:t>
            </w:r>
          </w:p>
        </w:tc>
        <w:tc>
          <w:tcPr>
            <w:tcW w:w="5385" w:type="dxa"/>
            <w:noWrap/>
            <w:vAlign w:val="center"/>
          </w:tcPr>
          <w:p w14:paraId="1BE8704D">
            <w:pPr>
              <w:widowControl/>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bidi="ar-SA"/>
              </w:rPr>
              <w:t>文物古建筑保护与利用方案设计的严谨性与合理性，以及创新型符合规范，</w:t>
            </w:r>
            <w:r>
              <w:rPr>
                <w:rFonts w:hint="eastAsia" w:cs="宋体"/>
                <w:color w:val="auto"/>
                <w:sz w:val="24"/>
                <w:szCs w:val="24"/>
                <w:highlight w:val="none"/>
                <w:lang w:val="en-US" w:eastAsia="zh-CN"/>
              </w:rPr>
              <w:t>等综合评定，</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内容完整且与项目匹配度好的得</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内容基本完整且与项目匹配度较好的得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内容存在欠缺或与项目匹配度一般的得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val="zh-CN" w:eastAsia="zh-CN"/>
              </w:rPr>
              <w:t>内容与项目不匹配</w:t>
            </w:r>
            <w:r>
              <w:rPr>
                <w:rFonts w:hint="eastAsia" w:ascii="宋体" w:hAnsi="宋体" w:eastAsia="宋体" w:cs="宋体"/>
                <w:color w:val="auto"/>
                <w:sz w:val="24"/>
                <w:szCs w:val="24"/>
                <w:highlight w:val="none"/>
                <w:lang w:val="en-US" w:eastAsia="zh-CN"/>
              </w:rPr>
              <w:t>或未提供</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分。</w:t>
            </w:r>
          </w:p>
        </w:tc>
        <w:tc>
          <w:tcPr>
            <w:tcW w:w="870" w:type="dxa"/>
            <w:noWrap/>
            <w:vAlign w:val="center"/>
          </w:tcPr>
          <w:p w14:paraId="5B7E92DB">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0-6分</w:t>
            </w:r>
          </w:p>
        </w:tc>
        <w:tc>
          <w:tcPr>
            <w:tcW w:w="1080" w:type="dxa"/>
            <w:noWrap/>
            <w:vAlign w:val="center"/>
          </w:tcPr>
          <w:p w14:paraId="4115E81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bookmarkEnd w:id="507"/>
      <w:tr w14:paraId="7576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13" w:type="dxa"/>
            <w:noWrap/>
            <w:vAlign w:val="center"/>
          </w:tcPr>
          <w:p w14:paraId="275DD8AD">
            <w:pPr>
              <w:widowControl/>
              <w:spacing w:line="32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价格部分（</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tc>
        <w:tc>
          <w:tcPr>
            <w:tcW w:w="721" w:type="dxa"/>
            <w:noWrap/>
            <w:vAlign w:val="center"/>
          </w:tcPr>
          <w:p w14:paraId="15368298">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994" w:type="dxa"/>
            <w:noWrap/>
            <w:vAlign w:val="center"/>
          </w:tcPr>
          <w:p w14:paraId="395C07F5">
            <w:pPr>
              <w:widowControl/>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价格权值=</w:t>
            </w:r>
            <w:r>
              <w:rPr>
                <w:rFonts w:hint="eastAsia" w:ascii="宋体" w:hAnsi="宋体" w:cs="宋体"/>
                <w:color w:val="auto"/>
                <w:sz w:val="24"/>
                <w:szCs w:val="24"/>
                <w:highlight w:val="none"/>
                <w:lang w:val="en-US" w:eastAsia="zh-CN"/>
              </w:rPr>
              <w:t>0.10</w:t>
            </w:r>
          </w:p>
        </w:tc>
        <w:tc>
          <w:tcPr>
            <w:tcW w:w="5385" w:type="dxa"/>
            <w:noWrap/>
            <w:vAlign w:val="center"/>
          </w:tcPr>
          <w:p w14:paraId="1C94BC97">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45D088A2">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6143FD06">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46B01C20">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评标过程中，不得去掉报价中的最高报价和最低报价。</w:t>
            </w:r>
          </w:p>
        </w:tc>
        <w:tc>
          <w:tcPr>
            <w:tcW w:w="870" w:type="dxa"/>
            <w:noWrap/>
            <w:vAlign w:val="center"/>
          </w:tcPr>
          <w:p w14:paraId="6E6C7C09">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1080" w:type="dxa"/>
            <w:noWrap/>
            <w:vAlign w:val="center"/>
          </w:tcPr>
          <w:p w14:paraId="4D71E4E0">
            <w:pPr>
              <w:widowControl/>
              <w:jc w:val="center"/>
              <w:rPr>
                <w:rFonts w:hint="eastAsia" w:ascii="宋体" w:hAnsi="宋体" w:eastAsia="宋体" w:cs="宋体"/>
                <w:color w:val="auto"/>
                <w:sz w:val="24"/>
                <w:szCs w:val="24"/>
                <w:highlight w:val="none"/>
              </w:rPr>
            </w:pPr>
          </w:p>
          <w:p w14:paraId="70CC0F01">
            <w:pPr>
              <w:pStyle w:val="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56D7A71B">
      <w:pPr>
        <w:spacing w:line="360" w:lineRule="auto"/>
        <w:rPr>
          <w:rFonts w:ascii="宋体" w:hAnsi="宋体" w:cs="宋体"/>
          <w:sz w:val="24"/>
          <w:highlight w:val="none"/>
        </w:rPr>
      </w:pPr>
      <w:r>
        <w:rPr>
          <w:rFonts w:hint="eastAsia" w:ascii="宋体" w:hAnsi="宋体" w:cs="宋体"/>
          <w:sz w:val="20"/>
          <w:szCs w:val="20"/>
          <w:highlight w:val="none"/>
          <w:shd w:val="clear" w:color="auto" w:fill="FFFFFF"/>
        </w:rPr>
        <w:t>*</w:t>
      </w:r>
      <w:r>
        <w:rPr>
          <w:rFonts w:hint="eastAsia" w:ascii="宋体" w:hAnsi="宋体" w:cs="宋体"/>
          <w:sz w:val="24"/>
          <w:highlight w:val="none"/>
        </w:rPr>
        <w:t xml:space="preserve">备注：1、投标人编制投标文件（商务技术文件部分）时，建议按此目录（序号和内容）提供评标标准相应的商务技术资料。 </w:t>
      </w:r>
    </w:p>
    <w:p w14:paraId="0A32E23D">
      <w:pPr>
        <w:spacing w:line="360" w:lineRule="auto"/>
        <w:rPr>
          <w:rFonts w:ascii="宋体" w:hAnsi="宋体" w:cs="宋体"/>
          <w:sz w:val="24"/>
          <w:highlight w:val="none"/>
        </w:rPr>
      </w:pPr>
      <w:r>
        <w:rPr>
          <w:rFonts w:hint="eastAsia" w:ascii="宋体" w:hAnsi="宋体" w:cs="宋体"/>
          <w:sz w:val="24"/>
          <w:highlight w:val="none"/>
        </w:rPr>
        <w:t>2、评分条款中涉及的业绩、荣誉、人员、社保等分公司均有效。涉及社保、劳动关系证明关系的，如人员为法人代表，则无需提供相关证明</w:t>
      </w:r>
      <w:r>
        <w:rPr>
          <w:rFonts w:ascii="宋体" w:hAnsi="宋体" w:cs="宋体"/>
          <w:sz w:val="24"/>
          <w:highlight w:val="none"/>
        </w:rPr>
        <w:t>，提供营业执照及身份证</w:t>
      </w:r>
      <w:r>
        <w:rPr>
          <w:rFonts w:hint="eastAsia" w:ascii="宋体" w:hAnsi="宋体" w:cs="宋体"/>
          <w:sz w:val="24"/>
          <w:highlight w:val="none"/>
        </w:rPr>
        <w:t>。</w:t>
      </w:r>
    </w:p>
    <w:p w14:paraId="5E824BB2">
      <w:pPr>
        <w:spacing w:line="360" w:lineRule="auto"/>
        <w:rPr>
          <w:rFonts w:hint="eastAsia" w:ascii="宋体" w:hAnsi="宋体" w:cs="宋体"/>
          <w:sz w:val="24"/>
          <w:highlight w:val="none"/>
        </w:rPr>
      </w:pPr>
      <w:r>
        <w:rPr>
          <w:rFonts w:hint="eastAsia" w:ascii="宋体" w:hAnsi="宋体" w:cs="宋体"/>
          <w:sz w:val="24"/>
          <w:highlight w:val="none"/>
        </w:rPr>
        <w:t>3、投标文件中如附有外文资料，必须逐一对应翻译成中文并加盖投标人公章后附在相关外文资料后面，否则外文资料不予认可。</w:t>
      </w:r>
    </w:p>
    <w:p w14:paraId="38AF2383">
      <w:pPr>
        <w:pStyle w:val="23"/>
        <w:rPr>
          <w:rFonts w:hint="eastAsia"/>
          <w:b/>
          <w:bCs/>
          <w:highlight w:val="none"/>
          <w:u w:val="single"/>
          <w:lang w:val="en-US" w:eastAsia="zh-CN"/>
        </w:rPr>
      </w:pPr>
    </w:p>
    <w:p w14:paraId="0110B69C">
      <w:pPr>
        <w:pStyle w:val="23"/>
        <w:rPr>
          <w:highlight w:val="none"/>
        </w:rPr>
      </w:pPr>
    </w:p>
    <w:p w14:paraId="24BA88ED">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4410584E">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58788E02">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1CD8B13A">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19F3833">
      <w:pPr>
        <w:spacing w:line="360" w:lineRule="auto"/>
        <w:outlineLvl w:val="0"/>
        <w:rPr>
          <w:rFonts w:ascii="宋体" w:hAnsi="宋体" w:cs="宋体"/>
          <w:b/>
          <w:sz w:val="32"/>
          <w:szCs w:val="32"/>
          <w:highlight w:val="none"/>
        </w:rPr>
      </w:pPr>
      <w:r>
        <w:rPr>
          <w:rFonts w:hint="eastAsia" w:ascii="宋体" w:hAnsi="宋体" w:cs="宋体"/>
          <w:b/>
          <w:sz w:val="32"/>
          <w:szCs w:val="32"/>
          <w:highlight w:val="none"/>
        </w:rPr>
        <w:t>三、评标程序</w:t>
      </w:r>
    </w:p>
    <w:p w14:paraId="79B1CDB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916F9E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7DB84DAC">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4D60E80A">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307EEED0">
      <w:pPr>
        <w:pStyle w:val="132"/>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594DDCA3">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D7DD29F">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49AFC12F">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383BFA3F">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E33D7D4">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A64F6D0">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26892D2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493927C">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B1E678">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569CF50E">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A94D85">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cs="宋体"/>
          <w:kern w:val="0"/>
          <w:sz w:val="24"/>
          <w:highlight w:val="none"/>
          <w:lang w:eastAsia="zh-CN"/>
        </w:rPr>
        <w:t>中标单位</w:t>
      </w:r>
      <w:r>
        <w:rPr>
          <w:rFonts w:hint="eastAsia" w:ascii="宋体" w:hAnsi="宋体" w:cs="宋体"/>
          <w:kern w:val="0"/>
          <w:sz w:val="24"/>
          <w:highlight w:val="none"/>
        </w:rPr>
        <w:t>推荐资格；评审得分相同的，采取随机抽取方式确定，其他同品牌投标人不作为中标候选人。</w:t>
      </w:r>
    </w:p>
    <w:p w14:paraId="02A24F6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w:t>
      </w:r>
      <w:r>
        <w:rPr>
          <w:rFonts w:hint="eastAsia" w:ascii="宋体" w:hAnsi="宋体" w:cs="宋体"/>
          <w:bCs/>
          <w:kern w:val="0"/>
          <w:sz w:val="24"/>
          <w:highlight w:val="none"/>
        </w:rPr>
        <w:t>6</w:t>
      </w:r>
      <w:r>
        <w:rPr>
          <w:rFonts w:hint="eastAsia" w:ascii="宋体" w:hAnsi="宋体" w:cs="宋体"/>
          <w:b/>
          <w:kern w:val="0"/>
          <w:sz w:val="24"/>
          <w:highlight w:val="none"/>
        </w:rPr>
        <w:t>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6A2040">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32573B33">
      <w:pPr>
        <w:pStyle w:val="132"/>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3CABA1">
      <w:pPr>
        <w:pStyle w:val="27"/>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A85EE3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A20B10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5E06D91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w:t>
      </w:r>
      <w:r>
        <w:rPr>
          <w:rFonts w:hint="eastAsia" w:ascii="宋体" w:hAnsi="宋体" w:cs="宋体"/>
          <w:kern w:val="0"/>
          <w:sz w:val="24"/>
          <w:highlight w:val="none"/>
          <w:lang w:eastAsia="zh-CN"/>
        </w:rPr>
        <w:t>采购单位</w:t>
      </w:r>
      <w:r>
        <w:rPr>
          <w:rFonts w:hint="eastAsia" w:ascii="宋体" w:hAnsi="宋体" w:cs="宋体"/>
          <w:kern w:val="0"/>
          <w:sz w:val="24"/>
          <w:highlight w:val="none"/>
        </w:rPr>
        <w:t>拟采购的产品属于政府强制采购的节能产品品目清单范围的，投标人相应的投标产品未获得国家确定的认证机构出具的、处于有效期之内的节能产品认证证书的；</w:t>
      </w:r>
    </w:p>
    <w:p w14:paraId="21AC948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w:t>
      </w:r>
      <w:r>
        <w:rPr>
          <w:rFonts w:hint="eastAsia" w:ascii="宋体" w:hAnsi="宋体" w:cs="宋体"/>
          <w:kern w:val="0"/>
          <w:sz w:val="24"/>
          <w:highlight w:val="none"/>
          <w:lang w:eastAsia="zh-CN"/>
        </w:rPr>
        <w:t>采购单位</w:t>
      </w:r>
      <w:r>
        <w:rPr>
          <w:rFonts w:hint="eastAsia" w:ascii="宋体" w:hAnsi="宋体" w:cs="宋体"/>
          <w:kern w:val="0"/>
          <w:sz w:val="24"/>
          <w:highlight w:val="none"/>
        </w:rPr>
        <w:t>不能接受的附加条件的；</w:t>
      </w:r>
    </w:p>
    <w:p w14:paraId="6933CEC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2D25F4C">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34E3A76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79AFD67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5B7560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77C950F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4515F0E0">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w:t>
      </w:r>
      <w:r>
        <w:rPr>
          <w:rFonts w:hint="eastAsia" w:ascii="宋体" w:hAnsi="宋体" w:cs="宋体"/>
          <w:kern w:val="0"/>
          <w:sz w:val="24"/>
          <w:highlight w:val="none"/>
          <w:lang w:eastAsia="zh-CN"/>
        </w:rPr>
        <w:t>采购单位</w:t>
      </w:r>
      <w:r>
        <w:rPr>
          <w:rFonts w:hint="eastAsia" w:ascii="宋体" w:hAnsi="宋体" w:cs="宋体"/>
          <w:kern w:val="0"/>
          <w:sz w:val="24"/>
          <w:highlight w:val="none"/>
        </w:rPr>
        <w:t>或者其他投标人的合法权益情形的；</w:t>
      </w:r>
    </w:p>
    <w:p w14:paraId="3507418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E1CE88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38AAB070">
      <w:pPr>
        <w:spacing w:line="360" w:lineRule="auto"/>
        <w:ind w:firstLine="480" w:firstLineChars="200"/>
        <w:rPr>
          <w:highlight w:val="none"/>
        </w:rPr>
      </w:pPr>
      <w:r>
        <w:rPr>
          <w:rFonts w:hint="eastAsia" w:ascii="宋体" w:hAnsi="宋体" w:cs="宋体"/>
          <w:kern w:val="0"/>
          <w:sz w:val="24"/>
          <w:highlight w:val="none"/>
        </w:rPr>
        <w:t>4.2.14 投标文件不满足招标文件的实质性要求的；</w:t>
      </w:r>
    </w:p>
    <w:p w14:paraId="03D7113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4.2.15法律、法规、规章（适用本市的）及省级以上规范性文件（适用本市的）规定的其他无效情形。</w:t>
      </w:r>
    </w:p>
    <w:p w14:paraId="3058DC2D">
      <w:pPr>
        <w:pStyle w:val="27"/>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7AFBA7FE">
      <w:pPr>
        <w:pStyle w:val="27"/>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187E08A7">
      <w:pPr>
        <w:pStyle w:val="27"/>
        <w:snapToGrid w:val="0"/>
        <w:spacing w:line="360" w:lineRule="auto"/>
        <w:rPr>
          <w:rFonts w:cs="宋体"/>
          <w:highlight w:val="none"/>
        </w:rPr>
      </w:pPr>
      <w:r>
        <w:rPr>
          <w:rFonts w:hint="eastAsia" w:cs="宋体"/>
          <w:highlight w:val="none"/>
        </w:rPr>
        <w:t>5.2出现影响采购公正的违法、违规行为的；</w:t>
      </w:r>
    </w:p>
    <w:p w14:paraId="3D3A11B4">
      <w:pPr>
        <w:pStyle w:val="27"/>
        <w:snapToGrid w:val="0"/>
        <w:spacing w:line="360" w:lineRule="auto"/>
        <w:rPr>
          <w:rFonts w:cs="宋体"/>
          <w:highlight w:val="none"/>
        </w:rPr>
      </w:pPr>
      <w:r>
        <w:rPr>
          <w:rFonts w:hint="eastAsia" w:cs="宋体"/>
          <w:highlight w:val="none"/>
        </w:rPr>
        <w:t>5.3投标人的报价均超过了采购预算，</w:t>
      </w:r>
      <w:r>
        <w:rPr>
          <w:rFonts w:hint="eastAsia" w:cs="宋体"/>
          <w:highlight w:val="none"/>
          <w:lang w:eastAsia="zh-CN"/>
        </w:rPr>
        <w:t>采购单位</w:t>
      </w:r>
      <w:r>
        <w:rPr>
          <w:rFonts w:hint="eastAsia" w:cs="宋体"/>
          <w:highlight w:val="none"/>
        </w:rPr>
        <w:t>不能支付的；</w:t>
      </w:r>
    </w:p>
    <w:p w14:paraId="597C0FD2">
      <w:pPr>
        <w:pStyle w:val="27"/>
        <w:snapToGrid w:val="0"/>
        <w:spacing w:line="360" w:lineRule="auto"/>
        <w:rPr>
          <w:rFonts w:cs="宋体"/>
          <w:highlight w:val="none"/>
        </w:rPr>
      </w:pPr>
      <w:r>
        <w:rPr>
          <w:rFonts w:hint="eastAsia" w:cs="宋体"/>
          <w:highlight w:val="none"/>
        </w:rPr>
        <w:t>5.4因重大变故，采购任务取消的。</w:t>
      </w:r>
    </w:p>
    <w:p w14:paraId="3174AB5C">
      <w:pPr>
        <w:pStyle w:val="27"/>
        <w:snapToGrid w:val="0"/>
        <w:spacing w:line="360" w:lineRule="auto"/>
        <w:rPr>
          <w:rFonts w:cs="宋体"/>
          <w:highlight w:val="none"/>
        </w:rPr>
      </w:pPr>
      <w:r>
        <w:rPr>
          <w:rFonts w:hint="eastAsia" w:cs="宋体"/>
          <w:highlight w:val="none"/>
        </w:rPr>
        <w:t>废标后，采购代理机构应当将废标理由通知所有投标人。</w:t>
      </w:r>
    </w:p>
    <w:p w14:paraId="04E10E8B">
      <w:pPr>
        <w:pStyle w:val="27"/>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w:t>
      </w:r>
      <w:r>
        <w:rPr>
          <w:rFonts w:hint="eastAsia" w:cs="宋体"/>
          <w:highlight w:val="none"/>
          <w:lang w:eastAsia="zh-CN"/>
        </w:rPr>
        <w:t>采购单位</w:t>
      </w:r>
      <w:r>
        <w:rPr>
          <w:rFonts w:hint="eastAsia" w:cs="宋体"/>
          <w:highlight w:val="none"/>
        </w:rPr>
        <w:t>、采购代理机构沟通并作书面记录。</w:t>
      </w:r>
      <w:r>
        <w:rPr>
          <w:rFonts w:hint="eastAsia" w:cs="宋体"/>
          <w:highlight w:val="none"/>
          <w:lang w:eastAsia="zh-CN"/>
        </w:rPr>
        <w:t>采购单位</w:t>
      </w:r>
      <w:r>
        <w:rPr>
          <w:rFonts w:hint="eastAsia" w:cs="宋体"/>
          <w:highlight w:val="none"/>
        </w:rPr>
        <w:t>、采购代理机构确认后，将修改招标文件，重新组织采购活动。</w:t>
      </w:r>
    </w:p>
    <w:p w14:paraId="0900DC30">
      <w:pPr>
        <w:pStyle w:val="27"/>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91DBD7E">
      <w:pPr>
        <w:pStyle w:val="27"/>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0C46EFB5">
      <w:pPr>
        <w:pStyle w:val="27"/>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3AE44194">
      <w:pPr>
        <w:pStyle w:val="27"/>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3DDD5B01">
      <w:pPr>
        <w:pStyle w:val="27"/>
        <w:snapToGrid w:val="0"/>
        <w:spacing w:line="360" w:lineRule="auto"/>
        <w:rPr>
          <w:rFonts w:cs="宋体"/>
          <w:highlight w:val="none"/>
        </w:rPr>
      </w:pPr>
      <w:r>
        <w:rPr>
          <w:rFonts w:hint="eastAsia" w:cs="宋体"/>
          <w:highlight w:val="none"/>
        </w:rPr>
        <w:t>7.4政府采购合同已经履行，给</w:t>
      </w:r>
      <w:r>
        <w:rPr>
          <w:rFonts w:hint="eastAsia" w:cs="宋体"/>
          <w:highlight w:val="none"/>
          <w:lang w:eastAsia="zh-CN"/>
        </w:rPr>
        <w:t>采购单位</w:t>
      </w:r>
      <w:r>
        <w:rPr>
          <w:rFonts w:hint="eastAsia" w:cs="宋体"/>
          <w:highlight w:val="none"/>
        </w:rPr>
        <w:t>、供应商造成损失的，由责任人承担赔偿责任。</w:t>
      </w:r>
    </w:p>
    <w:p w14:paraId="3503A5ED">
      <w:pPr>
        <w:spacing w:line="360" w:lineRule="auto"/>
        <w:ind w:firstLine="420"/>
        <w:outlineLvl w:val="0"/>
        <w:rPr>
          <w:rFonts w:cs="宋体"/>
          <w:highlight w:val="none"/>
        </w:rPr>
      </w:pPr>
      <w:r>
        <w:rPr>
          <w:rFonts w:hint="eastAsia" w:asciiTheme="minorEastAsia" w:hAnsiTheme="minorEastAsia" w:eastAsiaTheme="minorEastAsia" w:cstheme="minorEastAsia"/>
          <w:highlight w:val="none"/>
        </w:rPr>
        <w:t>7.</w:t>
      </w:r>
      <w:r>
        <w:rPr>
          <w:rFonts w:hint="eastAsia" w:asciiTheme="minorEastAsia" w:hAnsiTheme="minorEastAsia" w:eastAsiaTheme="minorEastAsia" w:cstheme="minorEastAsia"/>
          <w:sz w:val="24"/>
          <w:highlight w:val="none"/>
        </w:rPr>
        <w:t>5</w:t>
      </w:r>
      <w:r>
        <w:rPr>
          <w:rFonts w:hint="eastAsia" w:cs="宋体"/>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77522659">
      <w:pPr>
        <w:rPr>
          <w:rFonts w:cs="宋体"/>
          <w:highlight w:val="none"/>
        </w:rPr>
      </w:pPr>
      <w:r>
        <w:rPr>
          <w:rFonts w:hint="eastAsia" w:cs="宋体"/>
          <w:highlight w:val="none"/>
        </w:rPr>
        <w:br w:type="page"/>
      </w:r>
    </w:p>
    <w:p w14:paraId="2D91B2E1">
      <w:pPr>
        <w:numPr>
          <w:ilvl w:val="0"/>
          <w:numId w:val="11"/>
        </w:num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拟签订的合同文本</w:t>
      </w:r>
    </w:p>
    <w:p w14:paraId="3F47E665">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650D77C6">
      <w:pPr>
        <w:pStyle w:val="3"/>
        <w:ind w:left="0" w:firstLine="0"/>
        <w:rPr>
          <w:highlight w:val="none"/>
        </w:rPr>
      </w:pPr>
    </w:p>
    <w:p w14:paraId="0714F1E9">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274B2AE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66BD5DEC">
      <w:pPr>
        <w:pStyle w:val="70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71D363F2">
      <w:pPr>
        <w:spacing w:before="120" w:line="22" w:lineRule="atLeast"/>
        <w:rPr>
          <w:rFonts w:ascii="宋体" w:hAnsi="宋体" w:cs="宋体"/>
          <w:sz w:val="24"/>
          <w:highlight w:val="none"/>
        </w:rPr>
      </w:pPr>
    </w:p>
    <w:p w14:paraId="12A23503">
      <w:pPr>
        <w:pStyle w:val="3"/>
        <w:rPr>
          <w:highlight w:val="none"/>
        </w:rPr>
      </w:pPr>
    </w:p>
    <w:p w14:paraId="412D7E88">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0AFE8C3A">
      <w:pPr>
        <w:pStyle w:val="600"/>
        <w:spacing w:before="120" w:line="22" w:lineRule="atLeast"/>
        <w:rPr>
          <w:rFonts w:ascii="宋体" w:hAnsi="宋体" w:eastAsia="宋体" w:cs="宋体"/>
          <w:szCs w:val="24"/>
          <w:highlight w:val="none"/>
        </w:rPr>
      </w:pPr>
    </w:p>
    <w:p w14:paraId="44A1A9AC">
      <w:pPr>
        <w:pStyle w:val="600"/>
        <w:spacing w:before="120" w:line="22" w:lineRule="atLeast"/>
        <w:rPr>
          <w:rFonts w:ascii="宋体" w:hAnsi="宋体" w:eastAsia="宋体" w:cs="宋体"/>
          <w:szCs w:val="24"/>
          <w:highlight w:val="none"/>
        </w:rPr>
      </w:pPr>
    </w:p>
    <w:p w14:paraId="349E87EC">
      <w:pPr>
        <w:rPr>
          <w:rFonts w:ascii="宋体" w:hAnsi="宋体" w:cs="宋体"/>
          <w:sz w:val="24"/>
          <w:highlight w:val="none"/>
        </w:rPr>
      </w:pPr>
    </w:p>
    <w:p w14:paraId="7B25FC53">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65ACE5EF">
      <w:pPr>
        <w:spacing w:before="120" w:line="22" w:lineRule="atLeast"/>
        <w:rPr>
          <w:rFonts w:ascii="宋体" w:hAnsi="宋体" w:cs="宋体"/>
          <w:sz w:val="24"/>
          <w:highlight w:val="none"/>
        </w:rPr>
      </w:pPr>
    </w:p>
    <w:p w14:paraId="742321A6">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4C19902A">
      <w:pPr>
        <w:spacing w:before="120" w:line="22" w:lineRule="atLeast"/>
        <w:rPr>
          <w:rFonts w:ascii="宋体" w:hAnsi="宋体" w:cs="宋体"/>
          <w:sz w:val="24"/>
          <w:highlight w:val="none"/>
        </w:rPr>
      </w:pPr>
    </w:p>
    <w:p w14:paraId="68E2558D">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2DA71464">
      <w:pPr>
        <w:spacing w:before="120" w:line="22" w:lineRule="atLeast"/>
        <w:rPr>
          <w:rFonts w:ascii="宋体" w:hAnsi="宋体" w:cs="宋体"/>
          <w:sz w:val="24"/>
          <w:highlight w:val="none"/>
        </w:rPr>
      </w:pPr>
    </w:p>
    <w:p w14:paraId="33ADF193">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9B21DD4">
      <w:pPr>
        <w:rPr>
          <w:rFonts w:ascii="宋体" w:hAnsi="宋体" w:cs="宋体"/>
          <w:b/>
          <w:sz w:val="24"/>
          <w:highlight w:val="none"/>
        </w:rPr>
      </w:pPr>
      <w:r>
        <w:rPr>
          <w:rFonts w:ascii="宋体" w:hAnsi="宋体" w:cs="宋体"/>
          <w:b/>
          <w:sz w:val="24"/>
          <w:highlight w:val="none"/>
        </w:rPr>
        <w:br w:type="page"/>
      </w:r>
    </w:p>
    <w:p w14:paraId="44AD8E0D">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采购单位</w:t>
      </w:r>
      <w:r>
        <w:rPr>
          <w:rFonts w:hint="eastAsia" w:ascii="宋体" w:hAnsi="宋体" w:cs="宋体"/>
          <w:sz w:val="24"/>
          <w:highlight w:val="none"/>
          <w:u w:val="single"/>
        </w:rPr>
        <w:t>）</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sz w:val="24"/>
          <w:highlight w:val="none"/>
          <w:u w:val="single"/>
        </w:rPr>
        <w:t xml:space="preserve">（项目名称）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3B6A1A56">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sz w:val="24"/>
          <w:highlight w:val="none"/>
          <w:u w:val="single"/>
          <w:lang w:eastAsia="zh-CN"/>
        </w:rPr>
        <w:t>采购单位</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2312D3F2">
      <w:pPr>
        <w:spacing w:line="560" w:lineRule="exact"/>
        <w:ind w:firstLine="482" w:firstLineChars="200"/>
        <w:outlineLvl w:val="0"/>
        <w:rPr>
          <w:rFonts w:ascii="宋体" w:hAnsi="宋体"/>
          <w:sz w:val="24"/>
          <w:highlight w:val="none"/>
        </w:rPr>
      </w:pPr>
      <w:bookmarkStart w:id="396" w:name="_Toc20421"/>
      <w:bookmarkStart w:id="397" w:name="_Toc22967"/>
      <w:bookmarkStart w:id="398" w:name="_Toc28855"/>
      <w:bookmarkStart w:id="399" w:name="_Toc15367"/>
      <w:bookmarkStart w:id="400" w:name="_Toc19273"/>
      <w:r>
        <w:rPr>
          <w:rFonts w:ascii="宋体" w:hAnsi="宋体"/>
          <w:b/>
          <w:sz w:val="24"/>
          <w:highlight w:val="none"/>
        </w:rPr>
        <w:t xml:space="preserve">1.1 </w:t>
      </w:r>
      <w:r>
        <w:rPr>
          <w:rFonts w:hint="eastAsia" w:ascii="宋体" w:hAnsi="宋体"/>
          <w:b/>
          <w:sz w:val="24"/>
          <w:highlight w:val="none"/>
        </w:rPr>
        <w:t>合同组成部分</w:t>
      </w:r>
      <w:bookmarkEnd w:id="396"/>
      <w:bookmarkEnd w:id="397"/>
      <w:bookmarkEnd w:id="398"/>
      <w:bookmarkEnd w:id="399"/>
      <w:bookmarkEnd w:id="400"/>
    </w:p>
    <w:p w14:paraId="783AB58C">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28B613">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020B4272">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4318515F">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71413AE8">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0903CD44">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3B5CA2E9">
      <w:pPr>
        <w:spacing w:line="560" w:lineRule="exact"/>
        <w:ind w:firstLine="482" w:firstLineChars="200"/>
        <w:outlineLvl w:val="0"/>
        <w:rPr>
          <w:rFonts w:ascii="宋体" w:hAnsi="宋体"/>
          <w:b/>
          <w:sz w:val="24"/>
          <w:highlight w:val="none"/>
        </w:rPr>
      </w:pPr>
      <w:bookmarkStart w:id="401" w:name="_Toc18585"/>
      <w:bookmarkStart w:id="402" w:name="_Toc6773"/>
      <w:bookmarkStart w:id="403" w:name="_Toc6311"/>
      <w:bookmarkStart w:id="404" w:name="_Toc22185"/>
      <w:bookmarkStart w:id="405" w:name="_Toc2918"/>
      <w:r>
        <w:rPr>
          <w:rFonts w:ascii="宋体" w:hAnsi="宋体"/>
          <w:b/>
          <w:sz w:val="24"/>
          <w:highlight w:val="none"/>
        </w:rPr>
        <w:t xml:space="preserve">1.2 </w:t>
      </w:r>
      <w:r>
        <w:rPr>
          <w:rFonts w:hint="eastAsia" w:ascii="宋体" w:hAnsi="宋体"/>
          <w:b/>
          <w:sz w:val="24"/>
          <w:highlight w:val="none"/>
        </w:rPr>
        <w:t>标的</w:t>
      </w:r>
      <w:bookmarkEnd w:id="401"/>
      <w:bookmarkEnd w:id="402"/>
      <w:bookmarkEnd w:id="403"/>
      <w:bookmarkEnd w:id="404"/>
      <w:bookmarkEnd w:id="405"/>
    </w:p>
    <w:p w14:paraId="454E01E4">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15075B57">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46B125CA">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2FED3E84">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62630175">
      <w:pPr>
        <w:pStyle w:val="958"/>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14:paraId="4C9DDD39">
      <w:pPr>
        <w:spacing w:line="560" w:lineRule="exact"/>
        <w:ind w:firstLine="480" w:firstLineChars="200"/>
        <w:rPr>
          <w:rFonts w:ascii="宋体" w:hAnsi="宋体" w:cs="宋体"/>
          <w:sz w:val="24"/>
          <w:highlight w:val="none"/>
          <w:u w:val="single"/>
        </w:rPr>
      </w:pPr>
      <w:bookmarkStart w:id="406" w:name="_Toc4929"/>
      <w:bookmarkStart w:id="407" w:name="_Toc5635"/>
      <w:bookmarkStart w:id="408" w:name="_Toc1386"/>
      <w:bookmarkStart w:id="409" w:name="_Toc21124"/>
      <w:bookmarkStart w:id="410" w:name="_Toc13918"/>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21869DF0">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30DEC6BF">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6981A482">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06"/>
      <w:bookmarkEnd w:id="407"/>
      <w:bookmarkEnd w:id="408"/>
      <w:bookmarkEnd w:id="409"/>
      <w:bookmarkEnd w:id="410"/>
    </w:p>
    <w:p w14:paraId="18D81871">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1BBE3940">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4A9B4EF7">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12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BFC39D">
            <w:pPr>
              <w:pStyle w:val="321"/>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224C7108">
            <w:pPr>
              <w:pStyle w:val="321"/>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3891C114">
            <w:pPr>
              <w:pStyle w:val="321"/>
              <w:spacing w:line="560" w:lineRule="exact"/>
              <w:jc w:val="center"/>
              <w:rPr>
                <w:rFonts w:hAnsi="宋体"/>
                <w:sz w:val="24"/>
                <w:szCs w:val="24"/>
                <w:highlight w:val="none"/>
              </w:rPr>
            </w:pPr>
            <w:r>
              <w:rPr>
                <w:rFonts w:hAnsi="宋体"/>
                <w:sz w:val="24"/>
                <w:szCs w:val="24"/>
                <w:highlight w:val="none"/>
              </w:rPr>
              <w:t>分项价格</w:t>
            </w:r>
          </w:p>
        </w:tc>
      </w:tr>
      <w:tr w14:paraId="6D80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BE5544">
            <w:pPr>
              <w:pStyle w:val="321"/>
              <w:spacing w:line="560" w:lineRule="exact"/>
              <w:ind w:firstLine="200"/>
              <w:jc w:val="center"/>
              <w:rPr>
                <w:rFonts w:hAnsi="宋体"/>
                <w:sz w:val="24"/>
                <w:szCs w:val="24"/>
                <w:highlight w:val="none"/>
              </w:rPr>
            </w:pPr>
          </w:p>
        </w:tc>
        <w:tc>
          <w:tcPr>
            <w:tcW w:w="3402" w:type="dxa"/>
            <w:vAlign w:val="center"/>
          </w:tcPr>
          <w:p w14:paraId="4EE63E7D">
            <w:pPr>
              <w:pStyle w:val="321"/>
              <w:spacing w:line="560" w:lineRule="exact"/>
              <w:ind w:firstLine="200"/>
              <w:jc w:val="center"/>
              <w:rPr>
                <w:rFonts w:hAnsi="宋体"/>
                <w:sz w:val="24"/>
                <w:szCs w:val="24"/>
                <w:highlight w:val="none"/>
              </w:rPr>
            </w:pPr>
          </w:p>
        </w:tc>
        <w:tc>
          <w:tcPr>
            <w:tcW w:w="2552" w:type="dxa"/>
            <w:vAlign w:val="center"/>
          </w:tcPr>
          <w:p w14:paraId="67FBAB05">
            <w:pPr>
              <w:pStyle w:val="321"/>
              <w:spacing w:line="560" w:lineRule="exact"/>
              <w:ind w:firstLine="200"/>
              <w:jc w:val="center"/>
              <w:rPr>
                <w:rFonts w:hAnsi="宋体"/>
                <w:sz w:val="24"/>
                <w:szCs w:val="24"/>
                <w:highlight w:val="none"/>
              </w:rPr>
            </w:pPr>
          </w:p>
        </w:tc>
      </w:tr>
      <w:tr w14:paraId="1C96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888CCC">
            <w:pPr>
              <w:pStyle w:val="321"/>
              <w:spacing w:line="560" w:lineRule="exact"/>
              <w:ind w:firstLine="200"/>
              <w:jc w:val="center"/>
              <w:rPr>
                <w:rFonts w:hAnsi="宋体"/>
                <w:sz w:val="24"/>
                <w:szCs w:val="24"/>
                <w:highlight w:val="none"/>
              </w:rPr>
            </w:pPr>
          </w:p>
        </w:tc>
        <w:tc>
          <w:tcPr>
            <w:tcW w:w="3402" w:type="dxa"/>
            <w:vAlign w:val="center"/>
          </w:tcPr>
          <w:p w14:paraId="518517C3">
            <w:pPr>
              <w:pStyle w:val="321"/>
              <w:spacing w:line="560" w:lineRule="exact"/>
              <w:ind w:firstLine="200"/>
              <w:jc w:val="center"/>
              <w:rPr>
                <w:rFonts w:hAnsi="宋体"/>
                <w:sz w:val="24"/>
                <w:szCs w:val="24"/>
                <w:highlight w:val="none"/>
              </w:rPr>
            </w:pPr>
          </w:p>
        </w:tc>
        <w:tc>
          <w:tcPr>
            <w:tcW w:w="2552" w:type="dxa"/>
            <w:vAlign w:val="center"/>
          </w:tcPr>
          <w:p w14:paraId="463C483E">
            <w:pPr>
              <w:pStyle w:val="321"/>
              <w:spacing w:line="560" w:lineRule="exact"/>
              <w:ind w:firstLine="200"/>
              <w:jc w:val="center"/>
              <w:rPr>
                <w:rFonts w:hAnsi="宋体"/>
                <w:sz w:val="24"/>
                <w:szCs w:val="24"/>
                <w:highlight w:val="none"/>
              </w:rPr>
            </w:pPr>
          </w:p>
        </w:tc>
      </w:tr>
      <w:tr w14:paraId="66DC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894177">
            <w:pPr>
              <w:pStyle w:val="321"/>
              <w:spacing w:line="560" w:lineRule="exact"/>
              <w:ind w:firstLine="200"/>
              <w:jc w:val="center"/>
              <w:rPr>
                <w:rFonts w:hAnsi="宋体"/>
                <w:sz w:val="24"/>
                <w:szCs w:val="24"/>
                <w:highlight w:val="none"/>
              </w:rPr>
            </w:pPr>
          </w:p>
        </w:tc>
        <w:tc>
          <w:tcPr>
            <w:tcW w:w="3402" w:type="dxa"/>
            <w:vAlign w:val="center"/>
          </w:tcPr>
          <w:p w14:paraId="6F435B78">
            <w:pPr>
              <w:pStyle w:val="321"/>
              <w:spacing w:line="560" w:lineRule="exact"/>
              <w:ind w:firstLine="200"/>
              <w:jc w:val="center"/>
              <w:rPr>
                <w:rFonts w:hAnsi="宋体"/>
                <w:sz w:val="24"/>
                <w:szCs w:val="24"/>
                <w:highlight w:val="none"/>
              </w:rPr>
            </w:pPr>
          </w:p>
        </w:tc>
        <w:tc>
          <w:tcPr>
            <w:tcW w:w="2552" w:type="dxa"/>
            <w:vAlign w:val="center"/>
          </w:tcPr>
          <w:p w14:paraId="4E4411D9">
            <w:pPr>
              <w:pStyle w:val="321"/>
              <w:spacing w:line="560" w:lineRule="exact"/>
              <w:ind w:firstLine="200"/>
              <w:jc w:val="center"/>
              <w:rPr>
                <w:rFonts w:hAnsi="宋体"/>
                <w:sz w:val="24"/>
                <w:szCs w:val="24"/>
                <w:highlight w:val="none"/>
              </w:rPr>
            </w:pPr>
          </w:p>
        </w:tc>
      </w:tr>
      <w:tr w14:paraId="448D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77727B">
            <w:pPr>
              <w:pStyle w:val="321"/>
              <w:spacing w:line="560" w:lineRule="exact"/>
              <w:ind w:firstLine="200"/>
              <w:jc w:val="center"/>
              <w:rPr>
                <w:rFonts w:hAnsi="宋体"/>
                <w:sz w:val="24"/>
                <w:szCs w:val="24"/>
                <w:highlight w:val="none"/>
              </w:rPr>
            </w:pPr>
          </w:p>
        </w:tc>
        <w:tc>
          <w:tcPr>
            <w:tcW w:w="3402" w:type="dxa"/>
            <w:vAlign w:val="center"/>
          </w:tcPr>
          <w:p w14:paraId="321115FA">
            <w:pPr>
              <w:pStyle w:val="321"/>
              <w:spacing w:line="560" w:lineRule="exact"/>
              <w:ind w:firstLine="200"/>
              <w:jc w:val="center"/>
              <w:rPr>
                <w:rFonts w:hAnsi="宋体"/>
                <w:sz w:val="24"/>
                <w:szCs w:val="24"/>
                <w:highlight w:val="none"/>
              </w:rPr>
            </w:pPr>
          </w:p>
        </w:tc>
        <w:tc>
          <w:tcPr>
            <w:tcW w:w="2552" w:type="dxa"/>
            <w:vAlign w:val="center"/>
          </w:tcPr>
          <w:p w14:paraId="680F5F4C">
            <w:pPr>
              <w:pStyle w:val="321"/>
              <w:spacing w:line="560" w:lineRule="exact"/>
              <w:ind w:firstLine="200"/>
              <w:jc w:val="center"/>
              <w:rPr>
                <w:rFonts w:hAnsi="宋体"/>
                <w:sz w:val="24"/>
                <w:szCs w:val="24"/>
                <w:highlight w:val="none"/>
              </w:rPr>
            </w:pPr>
          </w:p>
        </w:tc>
      </w:tr>
      <w:tr w14:paraId="57A7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54DAA21">
            <w:pPr>
              <w:pStyle w:val="321"/>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4A9543F7">
            <w:pPr>
              <w:pStyle w:val="321"/>
              <w:spacing w:line="560" w:lineRule="exact"/>
              <w:ind w:firstLine="200"/>
              <w:jc w:val="center"/>
              <w:rPr>
                <w:rFonts w:hAnsi="宋体"/>
                <w:sz w:val="24"/>
                <w:szCs w:val="24"/>
                <w:highlight w:val="none"/>
              </w:rPr>
            </w:pPr>
          </w:p>
        </w:tc>
      </w:tr>
    </w:tbl>
    <w:p w14:paraId="57FBFBBA">
      <w:pPr>
        <w:spacing w:line="560" w:lineRule="exact"/>
        <w:ind w:firstLine="480" w:firstLineChars="200"/>
        <w:rPr>
          <w:rFonts w:ascii="宋体" w:hAnsi="宋体"/>
          <w:sz w:val="24"/>
          <w:highlight w:val="none"/>
        </w:rPr>
      </w:pPr>
      <w:bookmarkStart w:id="411" w:name="_Toc30158"/>
      <w:bookmarkStart w:id="412" w:name="_Toc26916"/>
      <w:bookmarkStart w:id="413" w:name="_Toc30506"/>
      <w:bookmarkStart w:id="414" w:name="_Toc14993"/>
      <w:bookmarkStart w:id="415" w:name="_Toc3654"/>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0E95E1AD">
      <w:pPr>
        <w:pStyle w:val="3"/>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411"/>
    <w:bookmarkEnd w:id="412"/>
    <w:bookmarkEnd w:id="413"/>
    <w:bookmarkEnd w:id="414"/>
    <w:bookmarkEnd w:id="415"/>
    <w:p w14:paraId="496B4003">
      <w:pPr>
        <w:pStyle w:val="958"/>
        <w:spacing w:before="0" w:beforeAutospacing="0" w:after="0" w:afterAutospacing="0" w:line="360" w:lineRule="auto"/>
        <w:ind w:firstLine="480"/>
        <w:rPr>
          <w:b/>
          <w:highlight w:val="none"/>
        </w:rPr>
      </w:pPr>
      <w:bookmarkStart w:id="416" w:name="_Toc3625"/>
      <w:bookmarkStart w:id="417" w:name="_Toc11108"/>
      <w:bookmarkStart w:id="418" w:name="_Toc4760"/>
      <w:bookmarkStart w:id="419" w:name="_Toc8772"/>
      <w:bookmarkStart w:id="420" w:name="_Toc31421"/>
      <w:r>
        <w:rPr>
          <w:rFonts w:hint="eastAsia"/>
          <w:b/>
          <w:highlight w:val="none"/>
        </w:rPr>
        <w:t>1.4履约保证金</w:t>
      </w:r>
    </w:p>
    <w:p w14:paraId="6479803E">
      <w:pPr>
        <w:pStyle w:val="958"/>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6F6213E9">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EF83B6A">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2044A74">
      <w:pPr>
        <w:pStyle w:val="3"/>
        <w:tabs>
          <w:tab w:val="left" w:pos="0"/>
        </w:tabs>
        <w:spacing w:line="560" w:lineRule="exact"/>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55EF577">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794D2521">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1.5预付款</w:t>
      </w:r>
    </w:p>
    <w:p w14:paraId="7B8049D3">
      <w:pPr>
        <w:pStyle w:val="958"/>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0EB8D27E">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DB2AD6D">
      <w:pPr>
        <w:pStyle w:val="958"/>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0EB48C96">
      <w:pPr>
        <w:pStyle w:val="958"/>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3469D6A1">
      <w:pPr>
        <w:pStyle w:val="958"/>
        <w:spacing w:before="0" w:beforeAutospacing="0" w:after="0" w:afterAutospacing="0" w:line="360" w:lineRule="auto"/>
        <w:ind w:firstLine="480"/>
        <w:rPr>
          <w:b/>
          <w:bCs/>
          <w:highlight w:val="none"/>
        </w:rPr>
      </w:pPr>
      <w:r>
        <w:rPr>
          <w:rFonts w:hint="eastAsia"/>
          <w:b/>
          <w:bCs/>
          <w:highlight w:val="none"/>
        </w:rPr>
        <w:t>1.6资金支付</w:t>
      </w:r>
    </w:p>
    <w:p w14:paraId="6695BFB7">
      <w:pPr>
        <w:pStyle w:val="958"/>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CA3601">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6B3D78A">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16"/>
      <w:bookmarkEnd w:id="417"/>
      <w:bookmarkEnd w:id="418"/>
      <w:bookmarkEnd w:id="419"/>
      <w:bookmarkEnd w:id="420"/>
    </w:p>
    <w:p w14:paraId="381F4D71">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1D38D5A6">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090785A9">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7B1966D4">
      <w:pPr>
        <w:spacing w:line="560" w:lineRule="exact"/>
        <w:ind w:firstLine="480" w:firstLineChars="200"/>
        <w:outlineLvl w:val="0"/>
        <w:rPr>
          <w:rFonts w:ascii="宋体" w:hAnsi="宋体"/>
          <w:bCs/>
          <w:sz w:val="24"/>
          <w:highlight w:val="none"/>
        </w:rPr>
      </w:pPr>
      <w:bookmarkStart w:id="421" w:name="_Toc8586"/>
      <w:bookmarkStart w:id="422" w:name="_Toc24662"/>
      <w:bookmarkStart w:id="423" w:name="_Toc3079"/>
      <w:bookmarkStart w:id="424" w:name="_Toc2375"/>
      <w:bookmarkStart w:id="425" w:name="_Toc5698"/>
      <w:r>
        <w:rPr>
          <w:rFonts w:hint="eastAsia" w:ascii="宋体" w:hAnsi="宋体"/>
          <w:bCs/>
          <w:sz w:val="24"/>
          <w:highlight w:val="none"/>
        </w:rPr>
        <w:t>1.7.4若服务</w:t>
      </w:r>
      <w:r>
        <w:rPr>
          <w:rFonts w:hint="eastAsia"/>
          <w:bCs/>
          <w:sz w:val="24"/>
          <w:highlight w:val="none"/>
        </w:rPr>
        <w:t>涉及货物的，则货物的：</w:t>
      </w:r>
    </w:p>
    <w:p w14:paraId="548F46B3">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BE8A2CA">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36DAE97">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73E702D">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21"/>
      <w:bookmarkEnd w:id="422"/>
      <w:bookmarkEnd w:id="423"/>
      <w:bookmarkEnd w:id="424"/>
      <w:bookmarkEnd w:id="425"/>
    </w:p>
    <w:p w14:paraId="1F181765">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6EC9E224">
      <w:pPr>
        <w:pStyle w:val="3"/>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6B444D16">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5C7F4D93">
      <w:pPr>
        <w:spacing w:line="560" w:lineRule="exact"/>
        <w:ind w:firstLine="480" w:firstLineChars="200"/>
        <w:rPr>
          <w:rFonts w:ascii="宋体" w:hAnsi="宋体" w:cs="宋体"/>
          <w:sz w:val="24"/>
          <w:highlight w:val="none"/>
        </w:rPr>
      </w:pPr>
      <w:bookmarkStart w:id="426" w:name="_Toc9497"/>
      <w:bookmarkStart w:id="427" w:name="_Toc26807"/>
      <w:bookmarkStart w:id="428" w:name="_Toc30329"/>
      <w:bookmarkStart w:id="429" w:name="_Toc32454"/>
      <w:bookmarkStart w:id="430" w:name="_Toc18683"/>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C8851F">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95CC28">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8696FBB">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26"/>
    <w:bookmarkEnd w:id="427"/>
    <w:bookmarkEnd w:id="428"/>
    <w:bookmarkEnd w:id="429"/>
    <w:bookmarkEnd w:id="430"/>
    <w:p w14:paraId="0DF407C1">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1.9合同争议的解决</w:t>
      </w:r>
    </w:p>
    <w:p w14:paraId="0B1A631F">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2271AD4B">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7F407C5E">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055DAA3E">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2.0 合同生效</w:t>
      </w:r>
    </w:p>
    <w:p w14:paraId="505C770B">
      <w:pPr>
        <w:spacing w:line="560" w:lineRule="exact"/>
        <w:ind w:firstLine="480" w:firstLineChars="200"/>
        <w:rPr>
          <w:rFonts w:ascii="宋体" w:hAnsi="宋体"/>
          <w:sz w:val="24"/>
          <w:highlight w:val="none"/>
          <w:lang w:val="zh-CN"/>
        </w:rPr>
      </w:pPr>
      <w:r>
        <w:rPr>
          <w:rFonts w:hint="eastAsia" w:ascii="宋体" w:hAnsi="宋体" w:cs="宋体"/>
          <w:sz w:val="24"/>
          <w:highlight w:val="none"/>
        </w:rPr>
        <w:t>本合同自双方当事人盖章签字时生效。</w:t>
      </w:r>
    </w:p>
    <w:p w14:paraId="28015EFD">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0A6434B6">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0F9B46E5">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32A9FD39">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1C988587">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1B7B73F2">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5DBDDFD2">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724C5948">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1AFBE937">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40676E51">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38D9C4BE">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64E16892">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592800C4">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12386A5B">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7C2E3A3D">
      <w:pPr>
        <w:pStyle w:val="700"/>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3827C908">
      <w:pPr>
        <w:spacing w:line="560" w:lineRule="exact"/>
        <w:ind w:firstLine="482" w:firstLineChars="200"/>
        <w:outlineLvl w:val="0"/>
        <w:rPr>
          <w:rFonts w:ascii="宋体" w:hAnsi="宋体"/>
          <w:b/>
          <w:sz w:val="24"/>
          <w:highlight w:val="none"/>
        </w:rPr>
      </w:pPr>
      <w:bookmarkStart w:id="431" w:name="_Toc31297"/>
      <w:bookmarkStart w:id="432" w:name="_Toc14021"/>
      <w:bookmarkStart w:id="433" w:name="_Toc5228"/>
      <w:bookmarkStart w:id="434" w:name="_Toc25079"/>
      <w:bookmarkStart w:id="435" w:name="_Toc19680"/>
      <w:r>
        <w:rPr>
          <w:rFonts w:ascii="宋体" w:hAnsi="宋体"/>
          <w:b/>
          <w:sz w:val="24"/>
          <w:highlight w:val="none"/>
        </w:rPr>
        <w:t>2.1 定义</w:t>
      </w:r>
      <w:bookmarkEnd w:id="431"/>
      <w:bookmarkEnd w:id="432"/>
      <w:bookmarkEnd w:id="433"/>
      <w:bookmarkEnd w:id="434"/>
      <w:bookmarkEnd w:id="435"/>
    </w:p>
    <w:p w14:paraId="52E19A17">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11F94AAB">
      <w:pPr>
        <w:spacing w:line="560" w:lineRule="exact"/>
        <w:ind w:firstLine="480" w:firstLineChars="200"/>
        <w:rPr>
          <w:rFonts w:ascii="宋体" w:hAnsi="宋体"/>
          <w:sz w:val="24"/>
          <w:highlight w:val="none"/>
        </w:rPr>
      </w:pPr>
      <w:r>
        <w:rPr>
          <w:rFonts w:ascii="宋体" w:hAnsi="宋体"/>
          <w:sz w:val="24"/>
          <w:highlight w:val="none"/>
        </w:rPr>
        <w:t>2.1.1 “合同”系指</w:t>
      </w:r>
      <w:r>
        <w:rPr>
          <w:rFonts w:hint="eastAsia" w:ascii="宋体" w:hAnsi="宋体"/>
          <w:sz w:val="24"/>
          <w:highlight w:val="none"/>
          <w:lang w:eastAsia="zh-CN"/>
        </w:rPr>
        <w:t>采购单位</w:t>
      </w:r>
      <w:r>
        <w:rPr>
          <w:rFonts w:ascii="宋体" w:hAnsi="宋体"/>
          <w:sz w:val="24"/>
          <w:highlight w:val="none"/>
        </w:rPr>
        <w:t>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4EEE30A5">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hint="eastAsia" w:ascii="宋体" w:hAnsi="宋体"/>
          <w:sz w:val="24"/>
          <w:highlight w:val="none"/>
          <w:lang w:eastAsia="zh-CN"/>
        </w:rPr>
        <w:t>采购单位</w:t>
      </w:r>
      <w:r>
        <w:rPr>
          <w:rFonts w:ascii="宋体" w:hAnsi="宋体"/>
          <w:sz w:val="24"/>
          <w:highlight w:val="none"/>
        </w:rPr>
        <w:t>应支付给</w:t>
      </w:r>
      <w:r>
        <w:rPr>
          <w:rFonts w:hint="eastAsia" w:ascii="宋体" w:hAnsi="宋体" w:cs="宋体"/>
          <w:sz w:val="24"/>
          <w:highlight w:val="none"/>
        </w:rPr>
        <w:t>中标或成交</w:t>
      </w:r>
      <w:r>
        <w:rPr>
          <w:rFonts w:ascii="宋体" w:hAnsi="宋体"/>
          <w:sz w:val="24"/>
          <w:highlight w:val="none"/>
        </w:rPr>
        <w:t>供应商的价格。</w:t>
      </w:r>
    </w:p>
    <w:p w14:paraId="58694DCE">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w:t>
      </w:r>
      <w:r>
        <w:rPr>
          <w:rFonts w:hint="eastAsia" w:ascii="宋体" w:hAnsi="宋体"/>
          <w:sz w:val="24"/>
          <w:highlight w:val="none"/>
          <w:lang w:eastAsia="zh-CN"/>
        </w:rPr>
        <w:t>采购单位</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w:t>
      </w:r>
      <w:r>
        <w:rPr>
          <w:rFonts w:hint="eastAsia" w:ascii="宋体" w:hAnsi="宋体"/>
          <w:sz w:val="24"/>
          <w:highlight w:val="none"/>
          <w:lang w:eastAsia="zh-CN"/>
        </w:rPr>
        <w:t>采购单位</w:t>
      </w:r>
      <w:r>
        <w:rPr>
          <w:rFonts w:hint="eastAsia" w:ascii="宋体" w:hAnsi="宋体"/>
          <w:sz w:val="24"/>
          <w:highlight w:val="none"/>
        </w:rPr>
        <w:t>自身需要的服务和向社会公众提供的公共服务。</w:t>
      </w:r>
    </w:p>
    <w:p w14:paraId="34B787BC">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w:t>
      </w:r>
      <w:r>
        <w:rPr>
          <w:rFonts w:hint="eastAsia" w:ascii="宋体" w:hAnsi="宋体"/>
          <w:sz w:val="24"/>
          <w:highlight w:val="none"/>
          <w:lang w:eastAsia="zh-CN"/>
        </w:rPr>
        <w:t>采购单位</w:t>
      </w:r>
      <w:r>
        <w:rPr>
          <w:rFonts w:hint="eastAsia" w:ascii="宋体" w:hAnsi="宋体"/>
          <w:sz w:val="24"/>
          <w:highlight w:val="none"/>
        </w:rPr>
        <w:t>；</w:t>
      </w:r>
      <w:r>
        <w:rPr>
          <w:rFonts w:hint="eastAsia" w:ascii="宋体" w:hAnsi="宋体"/>
          <w:sz w:val="24"/>
          <w:highlight w:val="none"/>
          <w:lang w:eastAsia="zh-CN"/>
        </w:rPr>
        <w:t>采购单位</w:t>
      </w:r>
      <w:r>
        <w:rPr>
          <w:rFonts w:hint="eastAsia" w:ascii="宋体" w:hAnsi="宋体"/>
          <w:sz w:val="24"/>
          <w:highlight w:val="none"/>
        </w:rPr>
        <w:t>委托采购代理机构代表其与乙方签订合同的，</w:t>
      </w:r>
      <w:r>
        <w:rPr>
          <w:rFonts w:hint="eastAsia" w:ascii="宋体" w:hAnsi="宋体"/>
          <w:sz w:val="24"/>
          <w:highlight w:val="none"/>
          <w:lang w:eastAsia="zh-CN"/>
        </w:rPr>
        <w:t>采购单位</w:t>
      </w:r>
      <w:r>
        <w:rPr>
          <w:rFonts w:hint="eastAsia" w:ascii="宋体" w:hAnsi="宋体"/>
          <w:sz w:val="24"/>
          <w:highlight w:val="none"/>
        </w:rPr>
        <w:t>的授权委托书作为合同附件。</w:t>
      </w:r>
    </w:p>
    <w:p w14:paraId="2DC3AF59">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1796675">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14:paraId="35ACB633">
      <w:pPr>
        <w:spacing w:line="560" w:lineRule="exact"/>
        <w:ind w:firstLine="482" w:firstLineChars="200"/>
        <w:outlineLvl w:val="0"/>
        <w:rPr>
          <w:rFonts w:ascii="宋体" w:hAnsi="宋体"/>
          <w:b/>
          <w:sz w:val="24"/>
          <w:highlight w:val="none"/>
        </w:rPr>
      </w:pPr>
      <w:bookmarkStart w:id="436" w:name="_Toc31402"/>
      <w:bookmarkStart w:id="437" w:name="_Toc19539"/>
      <w:bookmarkStart w:id="438" w:name="_Toc23289"/>
      <w:bookmarkStart w:id="439" w:name="_Toc3769"/>
      <w:bookmarkStart w:id="440" w:name="_Toc16752"/>
      <w:r>
        <w:rPr>
          <w:rFonts w:ascii="宋体" w:hAnsi="宋体"/>
          <w:b/>
          <w:sz w:val="24"/>
          <w:highlight w:val="none"/>
        </w:rPr>
        <w:t>2.2 技术规范</w:t>
      </w:r>
      <w:bookmarkEnd w:id="436"/>
      <w:bookmarkEnd w:id="437"/>
      <w:bookmarkEnd w:id="438"/>
      <w:bookmarkEnd w:id="439"/>
      <w:bookmarkEnd w:id="440"/>
    </w:p>
    <w:p w14:paraId="66E2F37E">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77022D32">
      <w:pPr>
        <w:spacing w:line="560" w:lineRule="exact"/>
        <w:ind w:firstLine="482" w:firstLineChars="200"/>
        <w:outlineLvl w:val="0"/>
        <w:rPr>
          <w:rFonts w:ascii="宋体" w:hAnsi="宋体"/>
          <w:b/>
          <w:sz w:val="24"/>
          <w:highlight w:val="none"/>
        </w:rPr>
      </w:pPr>
      <w:bookmarkStart w:id="441" w:name="_Toc12412"/>
      <w:bookmarkStart w:id="442" w:name="_Toc27945"/>
      <w:bookmarkStart w:id="443" w:name="_Toc9161"/>
      <w:bookmarkStart w:id="444" w:name="_Toc13673"/>
      <w:bookmarkStart w:id="445" w:name="_Toc4133"/>
      <w:r>
        <w:rPr>
          <w:rFonts w:ascii="宋体" w:hAnsi="宋体"/>
          <w:b/>
          <w:sz w:val="24"/>
          <w:highlight w:val="none"/>
        </w:rPr>
        <w:t>2.3 知识产权</w:t>
      </w:r>
      <w:bookmarkEnd w:id="441"/>
      <w:bookmarkEnd w:id="442"/>
      <w:bookmarkEnd w:id="443"/>
      <w:bookmarkEnd w:id="444"/>
      <w:bookmarkEnd w:id="445"/>
    </w:p>
    <w:p w14:paraId="0DCDE862">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2CDD3EE1">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1AFE6660">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1F082CED">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1B9ABF2F">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48A1ACAD">
      <w:pPr>
        <w:spacing w:line="560" w:lineRule="exact"/>
        <w:ind w:firstLine="482" w:firstLineChars="200"/>
        <w:outlineLvl w:val="0"/>
        <w:rPr>
          <w:rFonts w:ascii="宋体" w:hAnsi="宋体"/>
          <w:b/>
          <w:sz w:val="24"/>
          <w:highlight w:val="none"/>
        </w:rPr>
      </w:pPr>
      <w:bookmarkStart w:id="446" w:name="_Toc22011"/>
      <w:bookmarkStart w:id="447" w:name="_Toc15447"/>
      <w:bookmarkStart w:id="448" w:name="_Toc26555"/>
      <w:bookmarkStart w:id="449" w:name="_Toc32670"/>
      <w:bookmarkStart w:id="450" w:name="_Toc31233"/>
      <w:r>
        <w:rPr>
          <w:rFonts w:ascii="宋体" w:hAnsi="宋体"/>
          <w:b/>
          <w:sz w:val="24"/>
          <w:highlight w:val="none"/>
        </w:rPr>
        <w:t>2.5 结算方式和付款条件</w:t>
      </w:r>
      <w:bookmarkEnd w:id="446"/>
      <w:bookmarkEnd w:id="447"/>
      <w:bookmarkEnd w:id="448"/>
      <w:bookmarkEnd w:id="449"/>
      <w:bookmarkEnd w:id="450"/>
    </w:p>
    <w:p w14:paraId="169F6E99">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5502CCFA">
      <w:pPr>
        <w:spacing w:line="560" w:lineRule="exact"/>
        <w:ind w:firstLine="482" w:firstLineChars="200"/>
        <w:outlineLvl w:val="0"/>
        <w:rPr>
          <w:rFonts w:ascii="宋体" w:hAnsi="宋体"/>
          <w:b/>
          <w:sz w:val="24"/>
          <w:highlight w:val="none"/>
        </w:rPr>
      </w:pPr>
      <w:bookmarkStart w:id="451" w:name="_Toc16163"/>
      <w:bookmarkStart w:id="452" w:name="_Toc13154"/>
      <w:bookmarkStart w:id="453" w:name="_Toc18990"/>
      <w:bookmarkStart w:id="454" w:name="_Toc13467"/>
      <w:bookmarkStart w:id="455" w:name="_Toc30507"/>
      <w:r>
        <w:rPr>
          <w:rFonts w:ascii="宋体" w:hAnsi="宋体"/>
          <w:b/>
          <w:sz w:val="24"/>
          <w:highlight w:val="none"/>
        </w:rPr>
        <w:t>2.6 技术资料和保密义务</w:t>
      </w:r>
      <w:bookmarkEnd w:id="451"/>
      <w:bookmarkEnd w:id="452"/>
      <w:bookmarkEnd w:id="453"/>
      <w:bookmarkEnd w:id="454"/>
      <w:bookmarkEnd w:id="455"/>
    </w:p>
    <w:p w14:paraId="4C2D9833">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7E47E09A">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72D9F086">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19FF9D69">
      <w:pPr>
        <w:spacing w:line="560" w:lineRule="exact"/>
        <w:ind w:firstLine="482" w:firstLineChars="200"/>
        <w:outlineLvl w:val="0"/>
        <w:rPr>
          <w:rFonts w:ascii="宋体" w:hAnsi="宋体"/>
          <w:b/>
          <w:sz w:val="24"/>
          <w:highlight w:val="none"/>
        </w:rPr>
      </w:pPr>
      <w:bookmarkStart w:id="456" w:name="_Toc19069"/>
      <w:r>
        <w:rPr>
          <w:rFonts w:ascii="宋体" w:hAnsi="宋体"/>
          <w:b/>
          <w:sz w:val="24"/>
          <w:highlight w:val="none"/>
        </w:rPr>
        <w:t xml:space="preserve">2.7 </w:t>
      </w:r>
      <w:r>
        <w:rPr>
          <w:rFonts w:hint="eastAsia" w:ascii="宋体" w:hAnsi="宋体"/>
          <w:b/>
          <w:sz w:val="24"/>
          <w:highlight w:val="none"/>
        </w:rPr>
        <w:t>质量保证</w:t>
      </w:r>
      <w:bookmarkEnd w:id="456"/>
    </w:p>
    <w:p w14:paraId="5647DC58">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414BADB1">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0FD4628A">
      <w:pPr>
        <w:spacing w:line="560" w:lineRule="exact"/>
        <w:ind w:firstLine="482" w:firstLineChars="200"/>
        <w:outlineLvl w:val="0"/>
        <w:rPr>
          <w:rFonts w:ascii="宋体" w:hAnsi="宋体"/>
          <w:b/>
          <w:sz w:val="24"/>
          <w:highlight w:val="none"/>
        </w:rPr>
      </w:pPr>
      <w:bookmarkStart w:id="457" w:name="_Toc22267"/>
      <w:r>
        <w:rPr>
          <w:rFonts w:ascii="宋体" w:hAnsi="宋体"/>
          <w:b/>
          <w:sz w:val="24"/>
          <w:highlight w:val="none"/>
        </w:rPr>
        <w:t xml:space="preserve">2.8 </w:t>
      </w:r>
      <w:r>
        <w:rPr>
          <w:rFonts w:hint="eastAsia" w:ascii="宋体" w:hAnsi="宋体"/>
          <w:b/>
          <w:sz w:val="24"/>
          <w:highlight w:val="none"/>
        </w:rPr>
        <w:t>延迟履行</w:t>
      </w:r>
      <w:bookmarkEnd w:id="457"/>
    </w:p>
    <w:p w14:paraId="287C93B9">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2112FB99">
      <w:pPr>
        <w:spacing w:line="560" w:lineRule="exact"/>
        <w:ind w:firstLine="482" w:firstLineChars="200"/>
        <w:outlineLvl w:val="0"/>
        <w:rPr>
          <w:rFonts w:ascii="宋体" w:hAnsi="宋体"/>
          <w:b/>
          <w:sz w:val="24"/>
          <w:highlight w:val="none"/>
        </w:rPr>
      </w:pPr>
      <w:bookmarkStart w:id="458" w:name="_Toc10611"/>
      <w:r>
        <w:rPr>
          <w:rFonts w:ascii="宋体" w:hAnsi="宋体"/>
          <w:b/>
          <w:sz w:val="24"/>
          <w:highlight w:val="none"/>
        </w:rPr>
        <w:t xml:space="preserve">2.9 </w:t>
      </w:r>
      <w:r>
        <w:rPr>
          <w:rFonts w:hint="eastAsia" w:ascii="宋体" w:hAnsi="宋体"/>
          <w:b/>
          <w:sz w:val="24"/>
          <w:highlight w:val="none"/>
        </w:rPr>
        <w:t>合同变更</w:t>
      </w:r>
      <w:bookmarkEnd w:id="458"/>
    </w:p>
    <w:p w14:paraId="15ABD651">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3E8A881B">
      <w:pPr>
        <w:spacing w:line="560" w:lineRule="exact"/>
        <w:ind w:firstLine="482" w:firstLineChars="200"/>
        <w:outlineLvl w:val="0"/>
        <w:rPr>
          <w:rFonts w:ascii="宋体" w:hAnsi="宋体"/>
          <w:b/>
          <w:sz w:val="24"/>
          <w:highlight w:val="none"/>
        </w:rPr>
      </w:pPr>
      <w:bookmarkStart w:id="459" w:name="_Toc26689"/>
      <w:bookmarkStart w:id="460" w:name="_Toc21830"/>
      <w:bookmarkStart w:id="461" w:name="_Toc23368"/>
      <w:bookmarkStart w:id="462" w:name="_Toc10663"/>
      <w:bookmarkStart w:id="463" w:name="_Toc42"/>
      <w:r>
        <w:rPr>
          <w:rFonts w:ascii="宋体" w:hAnsi="宋体"/>
          <w:b/>
          <w:sz w:val="24"/>
          <w:highlight w:val="none"/>
        </w:rPr>
        <w:t>2.10 合同转让和分包</w:t>
      </w:r>
      <w:bookmarkEnd w:id="459"/>
      <w:bookmarkEnd w:id="460"/>
      <w:bookmarkEnd w:id="461"/>
      <w:bookmarkEnd w:id="462"/>
      <w:bookmarkEnd w:id="463"/>
    </w:p>
    <w:p w14:paraId="49F4C5AF">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3B22389D">
      <w:pPr>
        <w:spacing w:line="560" w:lineRule="exact"/>
        <w:ind w:firstLine="482" w:firstLineChars="200"/>
        <w:outlineLvl w:val="0"/>
        <w:rPr>
          <w:rFonts w:ascii="宋体" w:hAnsi="宋体"/>
          <w:b/>
          <w:sz w:val="24"/>
          <w:highlight w:val="none"/>
        </w:rPr>
      </w:pPr>
      <w:bookmarkStart w:id="464" w:name="_Toc25571"/>
      <w:bookmarkStart w:id="465" w:name="_Toc14371"/>
      <w:bookmarkStart w:id="466" w:name="_Toc32494"/>
      <w:bookmarkStart w:id="467" w:name="_Toc4720"/>
      <w:bookmarkStart w:id="468" w:name="_Toc26633"/>
      <w:r>
        <w:rPr>
          <w:rFonts w:ascii="宋体" w:hAnsi="宋体"/>
          <w:b/>
          <w:sz w:val="24"/>
          <w:highlight w:val="none"/>
        </w:rPr>
        <w:t>2.11 不可抗力</w:t>
      </w:r>
      <w:bookmarkEnd w:id="464"/>
      <w:bookmarkEnd w:id="465"/>
      <w:bookmarkEnd w:id="466"/>
      <w:bookmarkEnd w:id="467"/>
      <w:bookmarkEnd w:id="468"/>
    </w:p>
    <w:p w14:paraId="314F022B">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7F5ABE9A">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027BE577">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6D7DE73D">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2D7DD639">
      <w:pPr>
        <w:spacing w:line="560" w:lineRule="exact"/>
        <w:ind w:firstLine="482" w:firstLineChars="200"/>
        <w:outlineLvl w:val="0"/>
        <w:rPr>
          <w:rFonts w:ascii="宋体" w:hAnsi="宋体"/>
          <w:b/>
          <w:sz w:val="24"/>
          <w:highlight w:val="none"/>
        </w:rPr>
      </w:pPr>
      <w:bookmarkStart w:id="469" w:name="_Toc3638"/>
      <w:bookmarkStart w:id="470" w:name="_Toc23854"/>
      <w:bookmarkStart w:id="471" w:name="_Toc24465"/>
      <w:bookmarkStart w:id="472" w:name="_Toc25783"/>
      <w:bookmarkStart w:id="473" w:name="_Toc14115"/>
      <w:r>
        <w:rPr>
          <w:rFonts w:ascii="宋体" w:hAnsi="宋体"/>
          <w:b/>
          <w:sz w:val="24"/>
          <w:highlight w:val="none"/>
        </w:rPr>
        <w:t>2.12 税费</w:t>
      </w:r>
      <w:bookmarkEnd w:id="469"/>
      <w:bookmarkEnd w:id="470"/>
      <w:bookmarkEnd w:id="471"/>
      <w:bookmarkEnd w:id="472"/>
      <w:bookmarkEnd w:id="473"/>
    </w:p>
    <w:p w14:paraId="65FFFFF4">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201AA19F">
      <w:pPr>
        <w:spacing w:line="560" w:lineRule="exact"/>
        <w:ind w:firstLine="482" w:firstLineChars="200"/>
        <w:outlineLvl w:val="0"/>
        <w:rPr>
          <w:rFonts w:ascii="宋体" w:hAnsi="宋体"/>
          <w:b/>
          <w:sz w:val="24"/>
          <w:highlight w:val="none"/>
        </w:rPr>
      </w:pPr>
      <w:bookmarkStart w:id="474" w:name="_Toc14814"/>
      <w:bookmarkStart w:id="475" w:name="_Toc25525"/>
      <w:bookmarkStart w:id="476" w:name="_Toc7315"/>
      <w:bookmarkStart w:id="477" w:name="_Toc26883"/>
      <w:bookmarkStart w:id="478" w:name="_Toc30105"/>
      <w:r>
        <w:rPr>
          <w:rFonts w:ascii="宋体" w:hAnsi="宋体"/>
          <w:b/>
          <w:sz w:val="24"/>
          <w:highlight w:val="none"/>
        </w:rPr>
        <w:t>2.13 乙方破产</w:t>
      </w:r>
      <w:bookmarkEnd w:id="474"/>
      <w:bookmarkEnd w:id="475"/>
      <w:bookmarkEnd w:id="476"/>
      <w:bookmarkEnd w:id="477"/>
      <w:bookmarkEnd w:id="478"/>
    </w:p>
    <w:p w14:paraId="6F4B657C">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5D2E022B">
      <w:pPr>
        <w:spacing w:line="560" w:lineRule="exact"/>
        <w:ind w:firstLine="482" w:firstLineChars="200"/>
        <w:outlineLvl w:val="0"/>
        <w:rPr>
          <w:rFonts w:ascii="宋体" w:hAnsi="宋体"/>
          <w:b/>
          <w:sz w:val="24"/>
          <w:highlight w:val="none"/>
        </w:rPr>
      </w:pPr>
      <w:bookmarkStart w:id="479" w:name="_Toc1123"/>
      <w:bookmarkStart w:id="480" w:name="_Toc2016"/>
      <w:bookmarkStart w:id="481" w:name="_Toc23323"/>
      <w:r>
        <w:rPr>
          <w:rFonts w:ascii="宋体" w:hAnsi="宋体"/>
          <w:b/>
          <w:sz w:val="24"/>
          <w:highlight w:val="none"/>
        </w:rPr>
        <w:t>2.14 合同中止、终止</w:t>
      </w:r>
      <w:bookmarkEnd w:id="479"/>
      <w:bookmarkEnd w:id="480"/>
      <w:bookmarkEnd w:id="481"/>
    </w:p>
    <w:p w14:paraId="502D40DD">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3774C271">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6825E259">
      <w:pPr>
        <w:spacing w:line="560" w:lineRule="exact"/>
        <w:ind w:firstLine="482" w:firstLineChars="200"/>
        <w:outlineLvl w:val="0"/>
        <w:rPr>
          <w:rFonts w:ascii="宋体" w:hAnsi="宋体"/>
          <w:b/>
          <w:sz w:val="24"/>
          <w:highlight w:val="none"/>
        </w:rPr>
      </w:pPr>
      <w:bookmarkStart w:id="482" w:name="_Toc1969"/>
      <w:bookmarkStart w:id="483" w:name="_Toc17363"/>
      <w:bookmarkStart w:id="484" w:name="_Toc14525"/>
      <w:r>
        <w:rPr>
          <w:rFonts w:ascii="宋体" w:hAnsi="宋体"/>
          <w:b/>
          <w:sz w:val="24"/>
          <w:highlight w:val="none"/>
        </w:rPr>
        <w:t>2.15 检验和验收</w:t>
      </w:r>
      <w:bookmarkEnd w:id="482"/>
      <w:bookmarkEnd w:id="483"/>
      <w:bookmarkEnd w:id="484"/>
    </w:p>
    <w:p w14:paraId="68098F15">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0DE113BD">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82E591">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738A5EF4">
      <w:pPr>
        <w:spacing w:line="560" w:lineRule="exact"/>
        <w:ind w:firstLine="482" w:firstLineChars="200"/>
        <w:outlineLvl w:val="0"/>
        <w:rPr>
          <w:rFonts w:ascii="宋体" w:hAnsi="宋体"/>
          <w:b/>
          <w:sz w:val="24"/>
          <w:highlight w:val="none"/>
        </w:rPr>
      </w:pPr>
      <w:bookmarkStart w:id="485" w:name="_Toc12666"/>
      <w:bookmarkStart w:id="486" w:name="_Toc31892"/>
      <w:bookmarkStart w:id="487" w:name="_Toc2308"/>
      <w:bookmarkStart w:id="488" w:name="_Toc25198"/>
      <w:bookmarkStart w:id="489" w:name="_Toc9808"/>
      <w:r>
        <w:rPr>
          <w:rFonts w:ascii="宋体" w:hAnsi="宋体"/>
          <w:b/>
          <w:sz w:val="24"/>
          <w:highlight w:val="none"/>
        </w:rPr>
        <w:t>2.16 通知和送达</w:t>
      </w:r>
      <w:bookmarkEnd w:id="485"/>
      <w:bookmarkEnd w:id="486"/>
      <w:bookmarkEnd w:id="487"/>
      <w:bookmarkEnd w:id="488"/>
      <w:bookmarkEnd w:id="489"/>
    </w:p>
    <w:p w14:paraId="3C385584">
      <w:pPr>
        <w:spacing w:line="560" w:lineRule="exact"/>
        <w:ind w:firstLine="480" w:firstLineChars="200"/>
        <w:rPr>
          <w:rFonts w:ascii="宋体" w:hAnsi="宋体"/>
          <w:sz w:val="24"/>
          <w:highlight w:val="none"/>
        </w:rPr>
      </w:pPr>
      <w:bookmarkStart w:id="490" w:name="_Toc18401"/>
      <w:bookmarkStart w:id="491" w:name="_Toc27674"/>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7E32977C">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490"/>
      <w:bookmarkEnd w:id="491"/>
    </w:p>
    <w:p w14:paraId="12B9B931">
      <w:pPr>
        <w:spacing w:line="560" w:lineRule="exact"/>
        <w:ind w:firstLine="482" w:firstLineChars="200"/>
        <w:outlineLvl w:val="0"/>
        <w:rPr>
          <w:rFonts w:ascii="宋体" w:hAnsi="宋体"/>
          <w:b/>
          <w:sz w:val="24"/>
          <w:highlight w:val="none"/>
        </w:rPr>
      </w:pPr>
      <w:bookmarkStart w:id="492" w:name="_Toc20808"/>
      <w:bookmarkStart w:id="493" w:name="_Toc12254"/>
      <w:bookmarkStart w:id="494" w:name="_Toc5063"/>
      <w:bookmarkStart w:id="495" w:name="_Toc27644"/>
      <w:bookmarkStart w:id="496" w:name="_Toc28906"/>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492"/>
      <w:bookmarkEnd w:id="493"/>
      <w:bookmarkEnd w:id="494"/>
      <w:bookmarkEnd w:id="495"/>
      <w:bookmarkEnd w:id="496"/>
    </w:p>
    <w:p w14:paraId="50C44339">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69389B6D">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385D6577">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2.18 计量单位</w:t>
      </w:r>
    </w:p>
    <w:p w14:paraId="410DDBB1">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1DCFAAAB">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6EA7707D">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50372A75">
      <w:pPr>
        <w:spacing w:line="360" w:lineRule="auto"/>
        <w:jc w:val="center"/>
        <w:outlineLvl w:val="0"/>
        <w:rPr>
          <w:rFonts w:ascii="宋体" w:hAnsi="宋体" w:cs="宋体"/>
          <w:b/>
          <w:sz w:val="24"/>
          <w:highlight w:val="none"/>
        </w:rPr>
      </w:pPr>
      <w:r>
        <w:rPr>
          <w:rFonts w:hint="eastAsia" w:ascii="宋体" w:hAnsi="宋体" w:cs="宋体"/>
          <w:b/>
          <w:sz w:val="24"/>
          <w:highlight w:val="none"/>
        </w:rPr>
        <w:t>第三部分  合同专用条款</w:t>
      </w:r>
    </w:p>
    <w:p w14:paraId="00A2B53B">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1853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6F8E578">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149" w:type="dxa"/>
            <w:vAlign w:val="center"/>
          </w:tcPr>
          <w:p w14:paraId="7550ECEB">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4C8C8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909042">
            <w:pPr>
              <w:spacing w:line="360" w:lineRule="auto"/>
              <w:rPr>
                <w:rFonts w:ascii="宋体" w:hAnsi="宋体" w:cs="宋体"/>
                <w:sz w:val="24"/>
                <w:highlight w:val="none"/>
              </w:rPr>
            </w:pPr>
            <w:r>
              <w:rPr>
                <w:rFonts w:hint="eastAsia" w:ascii="宋体" w:hAnsi="宋体" w:cs="宋体"/>
                <w:sz w:val="24"/>
                <w:highlight w:val="none"/>
              </w:rPr>
              <w:t>1.3.2</w:t>
            </w:r>
          </w:p>
        </w:tc>
        <w:tc>
          <w:tcPr>
            <w:tcW w:w="8149" w:type="dxa"/>
            <w:vAlign w:val="center"/>
          </w:tcPr>
          <w:p w14:paraId="4E586EDB">
            <w:pPr>
              <w:spacing w:line="360" w:lineRule="auto"/>
              <w:rPr>
                <w:rFonts w:ascii="宋体" w:hAnsi="宋体" w:cs="宋体"/>
                <w:sz w:val="24"/>
                <w:highlight w:val="none"/>
              </w:rPr>
            </w:pPr>
          </w:p>
        </w:tc>
      </w:tr>
      <w:tr w14:paraId="2D03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55688C">
            <w:pPr>
              <w:spacing w:line="360" w:lineRule="auto"/>
              <w:rPr>
                <w:rFonts w:ascii="宋体" w:hAnsi="宋体" w:cs="宋体"/>
                <w:sz w:val="24"/>
                <w:highlight w:val="none"/>
              </w:rPr>
            </w:pPr>
            <w:r>
              <w:rPr>
                <w:rFonts w:hint="eastAsia" w:ascii="宋体" w:hAnsi="宋体" w:cs="宋体"/>
                <w:sz w:val="24"/>
                <w:highlight w:val="none"/>
              </w:rPr>
              <w:t>1.4.2</w:t>
            </w:r>
          </w:p>
        </w:tc>
        <w:tc>
          <w:tcPr>
            <w:tcW w:w="8149" w:type="dxa"/>
            <w:vAlign w:val="center"/>
          </w:tcPr>
          <w:p w14:paraId="366057AB">
            <w:pPr>
              <w:spacing w:line="360" w:lineRule="auto"/>
              <w:rPr>
                <w:rFonts w:ascii="宋体" w:hAnsi="宋体" w:cs="宋体"/>
                <w:sz w:val="24"/>
                <w:highlight w:val="none"/>
              </w:rPr>
            </w:pPr>
          </w:p>
        </w:tc>
      </w:tr>
      <w:tr w14:paraId="6B252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774139">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149" w:type="dxa"/>
            <w:vAlign w:val="center"/>
          </w:tcPr>
          <w:p w14:paraId="32721671">
            <w:pPr>
              <w:spacing w:line="360" w:lineRule="auto"/>
              <w:rPr>
                <w:rFonts w:ascii="宋体" w:hAnsi="宋体" w:cs="宋体"/>
                <w:sz w:val="24"/>
                <w:highlight w:val="none"/>
              </w:rPr>
            </w:pPr>
          </w:p>
        </w:tc>
      </w:tr>
      <w:tr w14:paraId="0BD26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C00741">
            <w:pPr>
              <w:spacing w:line="360" w:lineRule="auto"/>
              <w:rPr>
                <w:rFonts w:ascii="宋体" w:hAnsi="宋体" w:cs="宋体"/>
                <w:sz w:val="24"/>
                <w:highlight w:val="none"/>
              </w:rPr>
            </w:pPr>
            <w:r>
              <w:rPr>
                <w:rFonts w:hint="eastAsia" w:ascii="宋体" w:hAnsi="宋体" w:cs="宋体"/>
                <w:sz w:val="24"/>
                <w:highlight w:val="none"/>
              </w:rPr>
              <w:t>1.5.2</w:t>
            </w:r>
          </w:p>
        </w:tc>
        <w:tc>
          <w:tcPr>
            <w:tcW w:w="8149" w:type="dxa"/>
            <w:vAlign w:val="center"/>
          </w:tcPr>
          <w:p w14:paraId="6AE3BF37">
            <w:pPr>
              <w:spacing w:line="360" w:lineRule="auto"/>
              <w:rPr>
                <w:rFonts w:ascii="宋体" w:hAnsi="宋体" w:cs="宋体"/>
                <w:sz w:val="24"/>
                <w:highlight w:val="none"/>
              </w:rPr>
            </w:pPr>
          </w:p>
        </w:tc>
      </w:tr>
      <w:tr w14:paraId="1CEE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493666">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149" w:type="dxa"/>
            <w:vAlign w:val="center"/>
          </w:tcPr>
          <w:p w14:paraId="2559EBA4">
            <w:pPr>
              <w:spacing w:line="360" w:lineRule="auto"/>
              <w:rPr>
                <w:rFonts w:ascii="宋体" w:hAnsi="宋体" w:cs="宋体"/>
                <w:sz w:val="24"/>
                <w:highlight w:val="none"/>
              </w:rPr>
            </w:pPr>
          </w:p>
        </w:tc>
      </w:tr>
      <w:tr w14:paraId="2EDFA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6F2265">
            <w:pPr>
              <w:spacing w:line="360" w:lineRule="auto"/>
              <w:rPr>
                <w:rFonts w:ascii="宋体" w:hAnsi="宋体" w:cs="宋体"/>
                <w:sz w:val="24"/>
                <w:highlight w:val="none"/>
              </w:rPr>
            </w:pPr>
            <w:r>
              <w:rPr>
                <w:rFonts w:hint="eastAsia" w:ascii="宋体" w:hAnsi="宋体" w:cs="宋体"/>
                <w:sz w:val="24"/>
                <w:highlight w:val="none"/>
              </w:rPr>
              <w:t>1.6.2</w:t>
            </w:r>
          </w:p>
        </w:tc>
        <w:tc>
          <w:tcPr>
            <w:tcW w:w="8149" w:type="dxa"/>
            <w:vAlign w:val="center"/>
          </w:tcPr>
          <w:p w14:paraId="0C9E6565">
            <w:pPr>
              <w:spacing w:line="360" w:lineRule="auto"/>
              <w:rPr>
                <w:rFonts w:ascii="宋体" w:hAnsi="宋体" w:cs="宋体"/>
                <w:sz w:val="24"/>
                <w:highlight w:val="none"/>
              </w:rPr>
            </w:pPr>
          </w:p>
        </w:tc>
      </w:tr>
      <w:tr w14:paraId="40D8D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BC0A0B">
            <w:pPr>
              <w:spacing w:line="360" w:lineRule="auto"/>
              <w:rPr>
                <w:rFonts w:ascii="宋体" w:hAnsi="宋体" w:cs="宋体"/>
                <w:sz w:val="24"/>
                <w:highlight w:val="none"/>
              </w:rPr>
            </w:pPr>
            <w:r>
              <w:rPr>
                <w:rFonts w:hint="eastAsia" w:ascii="宋体" w:hAnsi="宋体" w:cs="宋体"/>
                <w:sz w:val="24"/>
                <w:highlight w:val="none"/>
              </w:rPr>
              <w:t>1.7.1</w:t>
            </w:r>
          </w:p>
        </w:tc>
        <w:tc>
          <w:tcPr>
            <w:tcW w:w="8149" w:type="dxa"/>
            <w:vAlign w:val="center"/>
          </w:tcPr>
          <w:p w14:paraId="71D01E21">
            <w:pPr>
              <w:spacing w:line="360" w:lineRule="auto"/>
              <w:rPr>
                <w:rFonts w:ascii="宋体" w:hAnsi="宋体" w:cs="宋体"/>
                <w:sz w:val="24"/>
                <w:highlight w:val="none"/>
              </w:rPr>
            </w:pPr>
          </w:p>
        </w:tc>
      </w:tr>
      <w:tr w14:paraId="6D5D6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E7D99A">
            <w:pPr>
              <w:spacing w:line="360" w:lineRule="auto"/>
              <w:rPr>
                <w:rFonts w:ascii="宋体" w:hAnsi="宋体" w:cs="宋体"/>
                <w:sz w:val="24"/>
                <w:highlight w:val="none"/>
              </w:rPr>
            </w:pPr>
            <w:r>
              <w:rPr>
                <w:rFonts w:hint="eastAsia" w:ascii="宋体" w:hAnsi="宋体" w:cs="宋体"/>
                <w:sz w:val="24"/>
                <w:highlight w:val="none"/>
              </w:rPr>
              <w:t>1.7.2</w:t>
            </w:r>
          </w:p>
        </w:tc>
        <w:tc>
          <w:tcPr>
            <w:tcW w:w="8149" w:type="dxa"/>
            <w:vAlign w:val="center"/>
          </w:tcPr>
          <w:p w14:paraId="38599111">
            <w:pPr>
              <w:spacing w:line="360" w:lineRule="auto"/>
              <w:rPr>
                <w:rFonts w:ascii="宋体" w:hAnsi="宋体" w:cs="宋体"/>
                <w:sz w:val="24"/>
                <w:highlight w:val="none"/>
              </w:rPr>
            </w:pPr>
          </w:p>
        </w:tc>
      </w:tr>
      <w:tr w14:paraId="3BA6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AD22BF">
            <w:pPr>
              <w:spacing w:line="360" w:lineRule="auto"/>
              <w:rPr>
                <w:rFonts w:ascii="宋体" w:hAnsi="宋体" w:cs="宋体"/>
                <w:sz w:val="24"/>
                <w:highlight w:val="none"/>
              </w:rPr>
            </w:pPr>
            <w:r>
              <w:rPr>
                <w:rFonts w:hint="eastAsia" w:ascii="宋体" w:hAnsi="宋体" w:cs="宋体"/>
                <w:sz w:val="24"/>
                <w:highlight w:val="none"/>
              </w:rPr>
              <w:t>1.7.3</w:t>
            </w:r>
          </w:p>
        </w:tc>
        <w:tc>
          <w:tcPr>
            <w:tcW w:w="8149" w:type="dxa"/>
            <w:vAlign w:val="center"/>
          </w:tcPr>
          <w:p w14:paraId="7160A6D0">
            <w:pPr>
              <w:spacing w:line="360" w:lineRule="auto"/>
              <w:rPr>
                <w:rFonts w:ascii="宋体" w:hAnsi="宋体" w:cs="宋体"/>
                <w:sz w:val="24"/>
                <w:highlight w:val="none"/>
              </w:rPr>
            </w:pPr>
          </w:p>
        </w:tc>
      </w:tr>
      <w:tr w14:paraId="2B38D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FABC8A">
            <w:pPr>
              <w:spacing w:line="360" w:lineRule="auto"/>
              <w:rPr>
                <w:rFonts w:ascii="宋体" w:hAnsi="宋体" w:cs="宋体"/>
                <w:sz w:val="24"/>
                <w:highlight w:val="none"/>
              </w:rPr>
            </w:pPr>
            <w:r>
              <w:rPr>
                <w:rFonts w:hint="eastAsia" w:ascii="宋体" w:hAnsi="宋体" w:cs="宋体"/>
                <w:sz w:val="24"/>
                <w:highlight w:val="none"/>
              </w:rPr>
              <w:t>1.7.4.1</w:t>
            </w:r>
          </w:p>
        </w:tc>
        <w:tc>
          <w:tcPr>
            <w:tcW w:w="8149" w:type="dxa"/>
            <w:vAlign w:val="center"/>
          </w:tcPr>
          <w:p w14:paraId="42B8C261">
            <w:pPr>
              <w:spacing w:line="360" w:lineRule="auto"/>
              <w:rPr>
                <w:rFonts w:ascii="宋体" w:hAnsi="宋体" w:cs="宋体"/>
                <w:sz w:val="24"/>
                <w:highlight w:val="none"/>
              </w:rPr>
            </w:pPr>
          </w:p>
        </w:tc>
      </w:tr>
      <w:tr w14:paraId="5EB64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AE24EF">
            <w:pPr>
              <w:spacing w:line="360" w:lineRule="auto"/>
              <w:rPr>
                <w:rFonts w:ascii="宋体" w:hAnsi="宋体" w:cs="宋体"/>
                <w:sz w:val="24"/>
                <w:highlight w:val="none"/>
              </w:rPr>
            </w:pPr>
            <w:r>
              <w:rPr>
                <w:rFonts w:hint="eastAsia" w:ascii="宋体" w:hAnsi="宋体" w:cs="宋体"/>
                <w:sz w:val="24"/>
                <w:highlight w:val="none"/>
              </w:rPr>
              <w:t>1.7.4.2</w:t>
            </w:r>
          </w:p>
        </w:tc>
        <w:tc>
          <w:tcPr>
            <w:tcW w:w="8149" w:type="dxa"/>
            <w:vAlign w:val="center"/>
          </w:tcPr>
          <w:p w14:paraId="6D9EC098">
            <w:pPr>
              <w:spacing w:line="360" w:lineRule="auto"/>
              <w:rPr>
                <w:rFonts w:ascii="宋体" w:hAnsi="宋体" w:cs="宋体"/>
                <w:sz w:val="24"/>
                <w:highlight w:val="none"/>
              </w:rPr>
            </w:pPr>
          </w:p>
        </w:tc>
      </w:tr>
      <w:tr w14:paraId="1A9A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5C4032">
            <w:pPr>
              <w:spacing w:line="360" w:lineRule="auto"/>
              <w:rPr>
                <w:rFonts w:ascii="宋体" w:hAnsi="宋体" w:cs="宋体"/>
                <w:sz w:val="24"/>
                <w:highlight w:val="none"/>
              </w:rPr>
            </w:pPr>
            <w:r>
              <w:rPr>
                <w:rFonts w:hint="eastAsia" w:ascii="宋体" w:hAnsi="宋体" w:cs="宋体"/>
                <w:sz w:val="24"/>
                <w:highlight w:val="none"/>
              </w:rPr>
              <w:t>1.7.4.3</w:t>
            </w:r>
          </w:p>
        </w:tc>
        <w:tc>
          <w:tcPr>
            <w:tcW w:w="8149" w:type="dxa"/>
            <w:vAlign w:val="center"/>
          </w:tcPr>
          <w:p w14:paraId="2BFBB985">
            <w:pPr>
              <w:spacing w:line="360" w:lineRule="auto"/>
              <w:rPr>
                <w:rFonts w:ascii="宋体" w:hAnsi="宋体" w:cs="宋体"/>
                <w:sz w:val="24"/>
                <w:highlight w:val="none"/>
              </w:rPr>
            </w:pPr>
          </w:p>
        </w:tc>
      </w:tr>
      <w:tr w14:paraId="3B6B0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DA34BA">
            <w:pPr>
              <w:spacing w:line="360" w:lineRule="auto"/>
              <w:rPr>
                <w:rFonts w:ascii="宋体" w:hAnsi="宋体" w:cs="宋体"/>
                <w:sz w:val="24"/>
                <w:highlight w:val="none"/>
              </w:rPr>
            </w:pPr>
            <w:r>
              <w:rPr>
                <w:rFonts w:hint="eastAsia" w:ascii="宋体" w:hAnsi="宋体" w:cs="宋体"/>
                <w:sz w:val="24"/>
                <w:highlight w:val="none"/>
              </w:rPr>
              <w:t>1.8.7</w:t>
            </w:r>
          </w:p>
        </w:tc>
        <w:tc>
          <w:tcPr>
            <w:tcW w:w="8149" w:type="dxa"/>
            <w:vAlign w:val="center"/>
          </w:tcPr>
          <w:p w14:paraId="43C02F7E">
            <w:pPr>
              <w:spacing w:line="360" w:lineRule="auto"/>
              <w:rPr>
                <w:rFonts w:ascii="宋体" w:hAnsi="宋体" w:cs="宋体"/>
                <w:sz w:val="24"/>
                <w:highlight w:val="none"/>
              </w:rPr>
            </w:pPr>
          </w:p>
        </w:tc>
      </w:tr>
      <w:tr w14:paraId="5BF66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D75C72">
            <w:pPr>
              <w:spacing w:line="360" w:lineRule="auto"/>
              <w:rPr>
                <w:rFonts w:ascii="宋体" w:hAnsi="宋体" w:cs="宋体"/>
                <w:sz w:val="24"/>
                <w:highlight w:val="none"/>
              </w:rPr>
            </w:pPr>
            <w:r>
              <w:rPr>
                <w:rFonts w:hint="eastAsia" w:ascii="宋体" w:hAnsi="宋体" w:cs="宋体"/>
                <w:sz w:val="24"/>
                <w:highlight w:val="none"/>
              </w:rPr>
              <w:t>1.9.1</w:t>
            </w:r>
          </w:p>
        </w:tc>
        <w:tc>
          <w:tcPr>
            <w:tcW w:w="8149" w:type="dxa"/>
            <w:vAlign w:val="center"/>
          </w:tcPr>
          <w:p w14:paraId="24564A38">
            <w:pPr>
              <w:spacing w:line="360" w:lineRule="auto"/>
              <w:rPr>
                <w:rFonts w:ascii="宋体" w:hAnsi="宋体" w:cs="宋体"/>
                <w:sz w:val="24"/>
                <w:highlight w:val="none"/>
              </w:rPr>
            </w:pPr>
          </w:p>
        </w:tc>
      </w:tr>
      <w:tr w14:paraId="0E0CB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625DB7">
            <w:pPr>
              <w:spacing w:line="360" w:lineRule="auto"/>
              <w:rPr>
                <w:rFonts w:ascii="宋体" w:hAnsi="宋体" w:cs="宋体"/>
                <w:sz w:val="24"/>
                <w:highlight w:val="none"/>
              </w:rPr>
            </w:pPr>
            <w:r>
              <w:rPr>
                <w:rFonts w:hint="eastAsia" w:ascii="宋体" w:hAnsi="宋体" w:cs="宋体"/>
                <w:sz w:val="24"/>
                <w:highlight w:val="none"/>
              </w:rPr>
              <w:t>1.9.2</w:t>
            </w:r>
          </w:p>
        </w:tc>
        <w:tc>
          <w:tcPr>
            <w:tcW w:w="8149" w:type="dxa"/>
            <w:vAlign w:val="center"/>
          </w:tcPr>
          <w:p w14:paraId="55690047">
            <w:pPr>
              <w:spacing w:line="360" w:lineRule="auto"/>
              <w:rPr>
                <w:rFonts w:ascii="宋体" w:hAnsi="宋体" w:cs="宋体"/>
                <w:sz w:val="24"/>
                <w:highlight w:val="none"/>
              </w:rPr>
            </w:pPr>
          </w:p>
        </w:tc>
      </w:tr>
      <w:tr w14:paraId="2E531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41B8B3">
            <w:pPr>
              <w:spacing w:line="360" w:lineRule="auto"/>
              <w:rPr>
                <w:rFonts w:ascii="宋体" w:hAnsi="宋体" w:cs="宋体"/>
                <w:sz w:val="24"/>
                <w:highlight w:val="none"/>
              </w:rPr>
            </w:pPr>
            <w:r>
              <w:rPr>
                <w:rFonts w:hint="eastAsia" w:ascii="宋体" w:hAnsi="宋体" w:cs="宋体"/>
                <w:sz w:val="24"/>
                <w:highlight w:val="none"/>
              </w:rPr>
              <w:t>2.3.2</w:t>
            </w:r>
          </w:p>
        </w:tc>
        <w:tc>
          <w:tcPr>
            <w:tcW w:w="8149" w:type="dxa"/>
            <w:vAlign w:val="center"/>
          </w:tcPr>
          <w:p w14:paraId="76034CB1">
            <w:pPr>
              <w:spacing w:line="360" w:lineRule="auto"/>
              <w:ind w:left="-420" w:leftChars="-200" w:right="-420" w:rightChars="-200" w:firstLine="480" w:firstLineChars="200"/>
              <w:rPr>
                <w:rFonts w:ascii="宋体" w:hAnsi="宋体" w:cs="宋体"/>
                <w:sz w:val="24"/>
                <w:highlight w:val="none"/>
              </w:rPr>
            </w:pPr>
          </w:p>
        </w:tc>
      </w:tr>
      <w:tr w14:paraId="7BC8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4CE39D">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149" w:type="dxa"/>
            <w:vAlign w:val="center"/>
          </w:tcPr>
          <w:p w14:paraId="362D6552">
            <w:pPr>
              <w:spacing w:line="360" w:lineRule="auto"/>
              <w:ind w:left="-420" w:leftChars="-200" w:right="-420" w:rightChars="-200" w:firstLine="480" w:firstLineChars="200"/>
              <w:rPr>
                <w:rFonts w:ascii="宋体" w:hAnsi="宋体" w:cs="宋体"/>
                <w:sz w:val="24"/>
                <w:highlight w:val="none"/>
              </w:rPr>
            </w:pPr>
          </w:p>
        </w:tc>
      </w:tr>
      <w:tr w14:paraId="24B05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2CE0CA">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149" w:type="dxa"/>
            <w:vAlign w:val="center"/>
          </w:tcPr>
          <w:p w14:paraId="08AC2C98">
            <w:pPr>
              <w:spacing w:line="360" w:lineRule="auto"/>
              <w:rPr>
                <w:rFonts w:ascii="宋体" w:hAnsi="宋体" w:cs="宋体"/>
                <w:sz w:val="24"/>
                <w:highlight w:val="none"/>
              </w:rPr>
            </w:pPr>
          </w:p>
        </w:tc>
      </w:tr>
      <w:tr w14:paraId="5F1D8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9E792ED">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149" w:type="dxa"/>
          </w:tcPr>
          <w:p w14:paraId="040842EB">
            <w:pPr>
              <w:spacing w:line="360" w:lineRule="auto"/>
              <w:rPr>
                <w:rFonts w:ascii="宋体" w:hAnsi="宋体" w:cs="宋体"/>
                <w:sz w:val="24"/>
                <w:highlight w:val="none"/>
              </w:rPr>
            </w:pPr>
          </w:p>
        </w:tc>
      </w:tr>
      <w:tr w14:paraId="2643E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855AE4">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149" w:type="dxa"/>
            <w:vAlign w:val="center"/>
          </w:tcPr>
          <w:p w14:paraId="293F7032">
            <w:pPr>
              <w:spacing w:line="360" w:lineRule="auto"/>
              <w:rPr>
                <w:rFonts w:ascii="宋体" w:hAnsi="宋体" w:cs="宋体"/>
                <w:sz w:val="24"/>
                <w:highlight w:val="none"/>
              </w:rPr>
            </w:pPr>
          </w:p>
        </w:tc>
      </w:tr>
      <w:tr w14:paraId="29C96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A8F624">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149" w:type="dxa"/>
            <w:vAlign w:val="center"/>
          </w:tcPr>
          <w:p w14:paraId="47954140">
            <w:pPr>
              <w:spacing w:line="360" w:lineRule="auto"/>
              <w:rPr>
                <w:rFonts w:ascii="宋体" w:hAnsi="宋体" w:cs="宋体"/>
                <w:sz w:val="24"/>
                <w:highlight w:val="none"/>
              </w:rPr>
            </w:pPr>
          </w:p>
        </w:tc>
      </w:tr>
      <w:tr w14:paraId="1F004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082A3F4">
            <w:pPr>
              <w:spacing w:line="360" w:lineRule="auto"/>
              <w:rPr>
                <w:rFonts w:ascii="宋体" w:hAnsi="宋体" w:cs="宋体"/>
                <w:sz w:val="24"/>
                <w:highlight w:val="none"/>
              </w:rPr>
            </w:pPr>
            <w:r>
              <w:rPr>
                <w:rFonts w:hint="eastAsia" w:ascii="宋体" w:hAnsi="宋体" w:cs="宋体"/>
                <w:sz w:val="24"/>
                <w:highlight w:val="none"/>
              </w:rPr>
              <w:t>2.19</w:t>
            </w:r>
          </w:p>
        </w:tc>
        <w:tc>
          <w:tcPr>
            <w:tcW w:w="8149" w:type="dxa"/>
          </w:tcPr>
          <w:p w14:paraId="1329F325">
            <w:pPr>
              <w:spacing w:line="360" w:lineRule="auto"/>
              <w:rPr>
                <w:rFonts w:ascii="宋体" w:hAnsi="宋体" w:cs="宋体"/>
                <w:sz w:val="24"/>
                <w:highlight w:val="none"/>
              </w:rPr>
            </w:pPr>
          </w:p>
        </w:tc>
      </w:tr>
    </w:tbl>
    <w:p w14:paraId="71307752">
      <w:pPr>
        <w:rPr>
          <w:rFonts w:ascii="宋体" w:hAnsi="宋体" w:cs="宋体"/>
          <w:b/>
          <w:sz w:val="36"/>
          <w:szCs w:val="20"/>
          <w:highlight w:val="none"/>
        </w:rPr>
      </w:pPr>
      <w:r>
        <w:rPr>
          <w:rFonts w:hint="eastAsia" w:ascii="宋体" w:hAnsi="宋体" w:cs="宋体"/>
          <w:b/>
          <w:sz w:val="36"/>
          <w:szCs w:val="20"/>
          <w:highlight w:val="none"/>
        </w:rPr>
        <w:br w:type="page"/>
      </w:r>
    </w:p>
    <w:p w14:paraId="55CBCD73">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4"/>
      <w:r>
        <w:rPr>
          <w:rFonts w:hint="eastAsia" w:ascii="宋体" w:hAnsi="宋体" w:cs="宋体"/>
          <w:b/>
          <w:sz w:val="36"/>
          <w:szCs w:val="20"/>
          <w:highlight w:val="none"/>
        </w:rPr>
        <w:t xml:space="preserve"> </w:t>
      </w:r>
      <w:bookmarkEnd w:id="395"/>
      <w:r>
        <w:rPr>
          <w:rFonts w:hint="eastAsia" w:ascii="宋体" w:hAnsi="宋体" w:cs="宋体"/>
          <w:b/>
          <w:sz w:val="36"/>
          <w:szCs w:val="20"/>
          <w:highlight w:val="none"/>
        </w:rPr>
        <w:t>应提交的有关格式范例</w:t>
      </w:r>
    </w:p>
    <w:p w14:paraId="5386C6A2">
      <w:pPr>
        <w:spacing w:line="360" w:lineRule="auto"/>
        <w:jc w:val="center"/>
        <w:outlineLvl w:val="0"/>
        <w:rPr>
          <w:rFonts w:ascii="宋体" w:hAnsi="宋体" w:cs="宋体"/>
          <w:b/>
          <w:kern w:val="0"/>
          <w:sz w:val="36"/>
          <w:szCs w:val="36"/>
          <w:highlight w:val="none"/>
        </w:rPr>
      </w:pPr>
    </w:p>
    <w:p w14:paraId="4A1E867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7B97833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31CFDA4">
      <w:pPr>
        <w:spacing w:line="360" w:lineRule="auto"/>
        <w:jc w:val="center"/>
        <w:outlineLvl w:val="0"/>
        <w:rPr>
          <w:rFonts w:ascii="宋体" w:hAnsi="宋体" w:cs="宋体"/>
          <w:b/>
          <w:kern w:val="0"/>
          <w:sz w:val="36"/>
          <w:szCs w:val="36"/>
          <w:highlight w:val="none"/>
        </w:rPr>
      </w:pPr>
    </w:p>
    <w:p w14:paraId="7A7285CE">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0DC97075">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40AF9477">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641378C7">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61CF6794">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68CFF5BB">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符合参加政府采购活动应当具备的一般条件的承诺函</w:t>
      </w:r>
    </w:p>
    <w:p w14:paraId="2F49108A">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采购单位</w:t>
      </w:r>
      <w:r>
        <w:rPr>
          <w:rFonts w:hint="eastAsia" w:ascii="宋体" w:hAnsi="宋体" w:cs="宋体"/>
          <w:sz w:val="24"/>
          <w:highlight w:val="none"/>
        </w:rPr>
        <w:t>）、（采购代理机构）：</w:t>
      </w:r>
    </w:p>
    <w:p w14:paraId="171F738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5EDCECD0">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42C7BB1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7DC27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9FE974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C6D7F3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04674E7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27E1E2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58E1A4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509E134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047637B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55A8D99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75AFBC7">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198D8FC">
      <w:pPr>
        <w:snapToGrid w:val="0"/>
        <w:spacing w:line="360" w:lineRule="auto"/>
        <w:rPr>
          <w:rFonts w:ascii="宋体" w:hAnsi="宋体" w:cs="宋体"/>
          <w:b/>
          <w:kern w:val="0"/>
          <w:sz w:val="32"/>
          <w:szCs w:val="32"/>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08661A8">
      <w:pPr>
        <w:snapToGrid w:val="0"/>
        <w:spacing w:line="360" w:lineRule="auto"/>
        <w:ind w:right="480" w:firstLine="559" w:firstLineChars="233"/>
        <w:jc w:val="left"/>
        <w:rPr>
          <w:rFonts w:ascii="宋体" w:hAnsi="宋体" w:cs="宋体"/>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C26FE6">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C187DD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6261BBBB">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8F4F238">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B0C875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68BA5033">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r>
        <w:rPr>
          <w:rFonts w:hint="eastAsia" w:ascii="宋体" w:hAnsi="宋体" w:cs="宋体"/>
          <w:b/>
          <w:sz w:val="24"/>
          <w:highlight w:val="none"/>
        </w:rPr>
        <w:t xml:space="preserve">    </w:t>
      </w:r>
    </w:p>
    <w:p w14:paraId="7B221D9D">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6CF5946C">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537EDB9F">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0A6EDB91">
      <w:pPr>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6A81800B">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C8B30DC">
      <w:pPr>
        <w:spacing w:line="360" w:lineRule="auto"/>
        <w:jc w:val="center"/>
        <w:outlineLvl w:val="0"/>
        <w:rPr>
          <w:rFonts w:ascii="宋体" w:hAnsi="宋体" w:cs="宋体"/>
          <w:b/>
          <w:kern w:val="0"/>
          <w:sz w:val="24"/>
          <w:highlight w:val="none"/>
        </w:rPr>
      </w:pPr>
    </w:p>
    <w:p w14:paraId="5B4E697B">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0E05E843">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020177C">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40C94AA4">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66140E38">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678E78B7">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2AC7672D">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4BA466A8">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58C509F3">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采购单位</w:t>
      </w:r>
      <w:r>
        <w:rPr>
          <w:rFonts w:hint="eastAsia" w:ascii="宋体" w:hAnsi="宋体" w:cs="宋体"/>
          <w:sz w:val="24"/>
          <w:highlight w:val="none"/>
        </w:rPr>
        <w:t>）、（采购代理机构）：</w:t>
      </w:r>
    </w:p>
    <w:p w14:paraId="33730E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67FD0F7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2CEC026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22D7B1E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6C8B399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0638479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97" w:name="_Hlk101257010"/>
      <w:r>
        <w:rPr>
          <w:rFonts w:hint="eastAsia" w:ascii="宋体" w:hAnsi="宋体" w:cs="宋体"/>
          <w:sz w:val="24"/>
          <w:highlight w:val="none"/>
        </w:rPr>
        <w:t>（如果有)</w:t>
      </w:r>
      <w:bookmarkEnd w:id="497"/>
      <w:r>
        <w:rPr>
          <w:rFonts w:hint="eastAsia" w:ascii="宋体" w:hAnsi="宋体" w:cs="宋体"/>
          <w:snapToGrid w:val="0"/>
          <w:kern w:val="28"/>
          <w:sz w:val="24"/>
          <w:szCs w:val="20"/>
          <w:highlight w:val="none"/>
        </w:rPr>
        <w:t>；</w:t>
      </w:r>
    </w:p>
    <w:p w14:paraId="5E16F28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3FAA8A3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2EDD8A42">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75AD54A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747352F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6E70C6D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2B6E5E4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3228BBE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5CA37C4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4A80E6C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583B208D">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3AB8348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2B2145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9967FD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535F0C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235B147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4587660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09F261A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8495BC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DB01C5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02061E5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B392A8F">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277AD252">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A1BFAA2">
      <w:pPr>
        <w:snapToGrid w:val="0"/>
        <w:spacing w:line="360" w:lineRule="auto"/>
        <w:ind w:left="420" w:leftChars="200" w:firstLine="4200" w:firstLineChars="1750"/>
        <w:rPr>
          <w:rFonts w:ascii="宋体" w:hAnsi="宋体" w:cs="宋体"/>
          <w:kern w:val="0"/>
          <w:sz w:val="24"/>
          <w:highlight w:val="none"/>
          <w:u w:val="single"/>
        </w:rPr>
      </w:pPr>
    </w:p>
    <w:p w14:paraId="15A1DEA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91C64AE">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4229BCA6">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D19395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C3F4001">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444A69D9">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56DC147A">
      <w:pPr>
        <w:snapToGrid w:val="0"/>
        <w:spacing w:line="360" w:lineRule="auto"/>
        <w:rPr>
          <w:rFonts w:ascii="宋体" w:hAnsi="宋体" w:cs="宋体"/>
          <w:kern w:val="0"/>
          <w:sz w:val="24"/>
          <w:highlight w:val="none"/>
        </w:rPr>
      </w:pPr>
      <w:r>
        <w:rPr>
          <w:rFonts w:hint="eastAsia" w:ascii="宋体" w:hAnsi="宋体" w:cs="宋体"/>
          <w:sz w:val="24"/>
          <w:highlight w:val="none"/>
        </w:rPr>
        <w:t>（</w:t>
      </w:r>
      <w:r>
        <w:rPr>
          <w:rFonts w:hint="eastAsia" w:ascii="宋体" w:hAnsi="宋体" w:cs="宋体"/>
          <w:sz w:val="24"/>
          <w:highlight w:val="none"/>
          <w:lang w:eastAsia="zh-CN"/>
        </w:rPr>
        <w:t>采购单位</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2AA9D5D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4D5FA319">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671B76D">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6C748E2">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4C513BFE">
      <w:pPr>
        <w:snapToGrid w:val="0"/>
        <w:spacing w:line="360" w:lineRule="auto"/>
        <w:rPr>
          <w:rFonts w:ascii="宋体" w:hAnsi="宋体" w:cs="宋体"/>
          <w:sz w:val="24"/>
          <w:highlight w:val="none"/>
        </w:rPr>
      </w:pPr>
      <w:r>
        <w:rPr>
          <w:rFonts w:hint="eastAsia" w:ascii="宋体" w:hAnsi="宋体" w:cs="宋体"/>
          <w:kern w:val="0"/>
          <w:sz w:val="24"/>
          <w:highlight w:val="none"/>
          <w:lang w:val="zh-CN"/>
        </w:rPr>
        <w:t xml:space="preserve">                                                 签发日期：  年  月   日</w:t>
      </w:r>
    </w:p>
    <w:p w14:paraId="282FE3B1">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18E40A43">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14:paraId="39E18166">
      <w:pPr>
        <w:snapToGrid w:val="0"/>
        <w:spacing w:line="360" w:lineRule="auto"/>
        <w:rPr>
          <w:rFonts w:ascii="宋体" w:hAnsi="宋体" w:cs="宋体"/>
          <w:kern w:val="0"/>
          <w:sz w:val="24"/>
          <w:highlight w:val="none"/>
        </w:rPr>
      </w:pPr>
      <w:r>
        <w:rPr>
          <w:rFonts w:hint="eastAsia" w:ascii="宋体" w:hAnsi="宋体" w:cs="宋体"/>
          <w:sz w:val="24"/>
          <w:highlight w:val="none"/>
        </w:rPr>
        <w:t>（</w:t>
      </w:r>
      <w:r>
        <w:rPr>
          <w:rFonts w:hint="eastAsia" w:ascii="宋体" w:hAnsi="宋体" w:cs="宋体"/>
          <w:sz w:val="24"/>
          <w:highlight w:val="none"/>
          <w:lang w:eastAsia="zh-CN"/>
        </w:rPr>
        <w:t>采购单位</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3E7CF1B2">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100F1C9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A26BC39">
      <w:pPr>
        <w:snapToGrid w:val="0"/>
        <w:spacing w:line="360" w:lineRule="auto"/>
        <w:rPr>
          <w:rFonts w:ascii="宋体" w:hAnsi="宋体" w:cs="宋体"/>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4EEA8E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BB49A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BE3F015">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B47076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A2F419A">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688FA3EF">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89E635B">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8F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69BDFB">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46663D35">
            <w:pPr>
              <w:pStyle w:val="150"/>
              <w:adjustRightInd w:val="0"/>
              <w:spacing w:line="360" w:lineRule="auto"/>
              <w:rPr>
                <w:rFonts w:hAnsi="宋体" w:cs="宋体"/>
                <w:bCs/>
                <w:sz w:val="24"/>
                <w:highlight w:val="none"/>
              </w:rPr>
            </w:pPr>
          </w:p>
        </w:tc>
      </w:tr>
    </w:tbl>
    <w:p w14:paraId="24A5417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28C4333">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038EB35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70FD663">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0FDF1F4A">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26B4BA98">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w:t>
      </w:r>
      <w:r>
        <w:rPr>
          <w:rFonts w:hint="eastAsia" w:ascii="宋体" w:hAnsi="宋体" w:cs="宋体"/>
          <w:b/>
          <w:sz w:val="24"/>
          <w:highlight w:val="none"/>
          <w:lang w:eastAsia="zh-CN"/>
        </w:rPr>
        <w:t>采购单位</w:t>
      </w:r>
      <w:r>
        <w:rPr>
          <w:rFonts w:hint="eastAsia" w:ascii="宋体" w:hAnsi="宋体" w:cs="宋体"/>
          <w:b/>
          <w:sz w:val="24"/>
          <w:highlight w:val="none"/>
        </w:rPr>
        <w:t>不同意分包或者投标人中标后不以分包方式履行合同的，则不需要提供。</w:t>
      </w:r>
      <w:r>
        <w:rPr>
          <w:rFonts w:hint="eastAsia" w:ascii="宋体" w:hAnsi="宋体" w:cs="宋体"/>
          <w:sz w:val="24"/>
          <w:highlight w:val="none"/>
        </w:rPr>
        <w:t>]</w:t>
      </w:r>
    </w:p>
    <w:p w14:paraId="12E1B06C">
      <w:pPr>
        <w:snapToGrid w:val="0"/>
        <w:spacing w:line="360" w:lineRule="auto"/>
        <w:rPr>
          <w:rFonts w:ascii="宋体" w:hAnsi="宋体" w:cs="宋体"/>
          <w:kern w:val="0"/>
          <w:sz w:val="24"/>
          <w:highlight w:val="none"/>
        </w:rPr>
      </w:pPr>
    </w:p>
    <w:p w14:paraId="1F232804">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69B5C765">
      <w:pPr>
        <w:jc w:val="center"/>
        <w:rPr>
          <w:rFonts w:ascii="宋体" w:hAnsi="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0D3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1DCFA8">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35DF0444">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958B553">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87BC7E3">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30008924">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7E19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0C651">
            <w:pPr>
              <w:jc w:val="center"/>
              <w:rPr>
                <w:rFonts w:ascii="宋体" w:hAnsi="宋体" w:cs="宋体"/>
                <w:sz w:val="24"/>
                <w:highlight w:val="none"/>
              </w:rPr>
            </w:pPr>
            <w:r>
              <w:rPr>
                <w:rFonts w:hint="eastAsia" w:ascii="宋体" w:hAnsi="宋体" w:cs="宋体"/>
                <w:sz w:val="24"/>
                <w:highlight w:val="none"/>
              </w:rPr>
              <w:t>1</w:t>
            </w:r>
          </w:p>
        </w:tc>
        <w:tc>
          <w:tcPr>
            <w:tcW w:w="4991" w:type="dxa"/>
          </w:tcPr>
          <w:p w14:paraId="73A3E0F8">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1D964978">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5E290CB5">
            <w:pPr>
              <w:rPr>
                <w:rFonts w:ascii="宋体" w:hAnsi="宋体" w:cs="宋体"/>
                <w:sz w:val="24"/>
                <w:highlight w:val="none"/>
              </w:rPr>
            </w:pPr>
          </w:p>
          <w:p w14:paraId="7E47F459">
            <w:pPr>
              <w:rPr>
                <w:rFonts w:ascii="宋体" w:hAnsi="宋体" w:cs="宋体"/>
                <w:sz w:val="24"/>
                <w:highlight w:val="none"/>
              </w:rPr>
            </w:pPr>
            <w:r>
              <w:rPr>
                <w:rFonts w:hint="eastAsia" w:ascii="宋体" w:hAnsi="宋体" w:cs="宋体"/>
                <w:sz w:val="24"/>
                <w:highlight w:val="none"/>
              </w:rPr>
              <w:t>见投标文件</w:t>
            </w:r>
          </w:p>
          <w:p w14:paraId="4EB9BA72">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7FD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61068C">
            <w:pPr>
              <w:jc w:val="center"/>
              <w:rPr>
                <w:rFonts w:ascii="宋体" w:hAnsi="宋体" w:cs="宋体"/>
                <w:sz w:val="24"/>
                <w:highlight w:val="none"/>
              </w:rPr>
            </w:pPr>
            <w:r>
              <w:rPr>
                <w:rFonts w:hint="eastAsia" w:ascii="宋体" w:hAnsi="宋体" w:cs="宋体"/>
                <w:sz w:val="24"/>
                <w:highlight w:val="none"/>
              </w:rPr>
              <w:t>2</w:t>
            </w:r>
          </w:p>
        </w:tc>
        <w:tc>
          <w:tcPr>
            <w:tcW w:w="4991" w:type="dxa"/>
          </w:tcPr>
          <w:p w14:paraId="6B17B51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02687084">
            <w:pPr>
              <w:rPr>
                <w:rFonts w:ascii="宋体" w:hAnsi="宋体" w:cs="宋体"/>
                <w:sz w:val="24"/>
                <w:highlight w:val="none"/>
              </w:rPr>
            </w:pPr>
            <w:r>
              <w:rPr>
                <w:rFonts w:hint="eastAsia" w:ascii="宋体" w:hAnsi="宋体" w:cs="宋体"/>
                <w:sz w:val="24"/>
                <w:highlight w:val="none"/>
              </w:rPr>
              <w:t>投标函</w:t>
            </w:r>
          </w:p>
        </w:tc>
        <w:tc>
          <w:tcPr>
            <w:tcW w:w="1418" w:type="dxa"/>
          </w:tcPr>
          <w:p w14:paraId="211E02D0">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740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CE4315">
            <w:pPr>
              <w:jc w:val="center"/>
              <w:rPr>
                <w:rFonts w:ascii="宋体" w:hAnsi="宋体" w:cs="宋体"/>
                <w:sz w:val="24"/>
                <w:highlight w:val="none"/>
              </w:rPr>
            </w:pPr>
            <w:r>
              <w:rPr>
                <w:rFonts w:hint="eastAsia" w:ascii="宋体" w:hAnsi="宋体" w:cs="宋体"/>
                <w:sz w:val="24"/>
                <w:highlight w:val="none"/>
              </w:rPr>
              <w:t>3</w:t>
            </w:r>
          </w:p>
        </w:tc>
        <w:tc>
          <w:tcPr>
            <w:tcW w:w="4991" w:type="dxa"/>
          </w:tcPr>
          <w:p w14:paraId="5C940FA6">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7DD8FAE8">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08AE6356">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DAEF31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A312753">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19939D66">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7823698D">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AB211E5">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0D8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33A0DD">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510432A">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C6BFE13">
            <w:pPr>
              <w:spacing w:line="360" w:lineRule="auto"/>
              <w:jc w:val="center"/>
              <w:rPr>
                <w:rFonts w:ascii="宋体" w:hAnsi="宋体" w:cs="宋体"/>
                <w:b/>
                <w:sz w:val="24"/>
                <w:highlight w:val="none"/>
              </w:rPr>
            </w:pPr>
          </w:p>
          <w:p w14:paraId="02CB2DA4">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CE02B41">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1BE1D86">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9E2C28">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CB8CC74">
            <w:pPr>
              <w:spacing w:line="360" w:lineRule="auto"/>
              <w:jc w:val="center"/>
              <w:rPr>
                <w:rFonts w:ascii="宋体" w:hAnsi="宋体" w:cs="宋体"/>
                <w:b/>
                <w:sz w:val="24"/>
                <w:highlight w:val="none"/>
              </w:rPr>
            </w:pPr>
          </w:p>
          <w:p w14:paraId="0EAD8D70">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16348B40">
            <w:pPr>
              <w:spacing w:line="360" w:lineRule="auto"/>
              <w:jc w:val="center"/>
              <w:rPr>
                <w:rFonts w:ascii="宋体" w:hAnsi="宋体" w:cs="宋体"/>
                <w:b/>
                <w:sz w:val="24"/>
                <w:highlight w:val="none"/>
              </w:rPr>
            </w:pPr>
          </w:p>
        </w:tc>
      </w:tr>
      <w:tr w14:paraId="530A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F25E5F">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110D3C">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9CC52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D7C0E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A2C5F0">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F40F53">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0D735E6">
            <w:pPr>
              <w:spacing w:line="360" w:lineRule="auto"/>
              <w:jc w:val="center"/>
              <w:rPr>
                <w:rFonts w:ascii="宋体" w:hAnsi="宋体" w:cs="宋体"/>
                <w:sz w:val="24"/>
                <w:highlight w:val="none"/>
              </w:rPr>
            </w:pPr>
          </w:p>
        </w:tc>
      </w:tr>
      <w:tr w14:paraId="1BBC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FBFAD7">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ABA69F">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95183B">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B5D454">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76AF4D">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781A60">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03552E9">
            <w:pPr>
              <w:spacing w:line="360" w:lineRule="auto"/>
              <w:jc w:val="center"/>
              <w:rPr>
                <w:rFonts w:ascii="宋体" w:hAnsi="宋体" w:cs="宋体"/>
                <w:sz w:val="24"/>
                <w:highlight w:val="none"/>
              </w:rPr>
            </w:pPr>
          </w:p>
        </w:tc>
      </w:tr>
      <w:tr w14:paraId="3BCF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CD4407">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18564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4D1CD49">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9C241E">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C5C03F">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B2E7C3">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97B94F">
            <w:pPr>
              <w:spacing w:line="360" w:lineRule="auto"/>
              <w:jc w:val="center"/>
              <w:rPr>
                <w:rFonts w:ascii="宋体" w:hAnsi="宋体" w:cs="宋体"/>
                <w:sz w:val="24"/>
                <w:highlight w:val="none"/>
              </w:rPr>
            </w:pPr>
          </w:p>
        </w:tc>
      </w:tr>
    </w:tbl>
    <w:p w14:paraId="1AAA591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04043C0">
      <w:pPr>
        <w:jc w:val="center"/>
        <w:rPr>
          <w:rFonts w:ascii="宋体" w:hAnsi="宋体" w:cs="宋体"/>
          <w:b/>
          <w:kern w:val="0"/>
          <w:sz w:val="32"/>
          <w:szCs w:val="32"/>
          <w:highlight w:val="none"/>
        </w:rPr>
      </w:pPr>
    </w:p>
    <w:p w14:paraId="56BFC506">
      <w:pPr>
        <w:jc w:val="center"/>
        <w:rPr>
          <w:rFonts w:ascii="宋体" w:hAnsi="宋体" w:cs="宋体"/>
          <w:b/>
          <w:kern w:val="0"/>
          <w:sz w:val="32"/>
          <w:szCs w:val="32"/>
          <w:highlight w:val="none"/>
        </w:rPr>
      </w:pPr>
    </w:p>
    <w:p w14:paraId="6E23177B">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5E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477DFDE">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23301194">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B43F726">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72C44521">
            <w:pPr>
              <w:jc w:val="center"/>
              <w:rPr>
                <w:rFonts w:ascii="宋体" w:hAnsi="宋体" w:cs="宋体"/>
                <w:b/>
                <w:bCs/>
                <w:sz w:val="24"/>
                <w:highlight w:val="none"/>
              </w:rPr>
            </w:pPr>
            <w:r>
              <w:rPr>
                <w:rFonts w:hint="eastAsia" w:ascii="宋体" w:hAnsi="宋体" w:cs="宋体"/>
                <w:b/>
                <w:bCs/>
                <w:sz w:val="24"/>
                <w:highlight w:val="none"/>
              </w:rPr>
              <w:t>偏离说明</w:t>
            </w:r>
          </w:p>
        </w:tc>
      </w:tr>
      <w:tr w14:paraId="5550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EF5375">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3D5A9C7F">
            <w:pPr>
              <w:jc w:val="center"/>
              <w:rPr>
                <w:rFonts w:ascii="宋体" w:hAnsi="宋体" w:cs="宋体"/>
                <w:b/>
                <w:kern w:val="0"/>
                <w:sz w:val="32"/>
                <w:szCs w:val="32"/>
                <w:highlight w:val="none"/>
              </w:rPr>
            </w:pPr>
          </w:p>
        </w:tc>
        <w:tc>
          <w:tcPr>
            <w:tcW w:w="3546" w:type="dxa"/>
          </w:tcPr>
          <w:p w14:paraId="4131D519">
            <w:pPr>
              <w:jc w:val="center"/>
              <w:rPr>
                <w:rFonts w:ascii="宋体" w:hAnsi="宋体" w:cs="宋体"/>
                <w:b/>
                <w:kern w:val="0"/>
                <w:sz w:val="32"/>
                <w:szCs w:val="32"/>
                <w:highlight w:val="none"/>
              </w:rPr>
            </w:pPr>
          </w:p>
        </w:tc>
        <w:tc>
          <w:tcPr>
            <w:tcW w:w="1276" w:type="dxa"/>
          </w:tcPr>
          <w:p w14:paraId="15593DAF">
            <w:pPr>
              <w:jc w:val="center"/>
              <w:rPr>
                <w:rFonts w:ascii="宋体" w:hAnsi="宋体" w:cs="宋体"/>
                <w:b/>
                <w:kern w:val="0"/>
                <w:sz w:val="32"/>
                <w:szCs w:val="32"/>
                <w:highlight w:val="none"/>
              </w:rPr>
            </w:pPr>
          </w:p>
        </w:tc>
      </w:tr>
      <w:tr w14:paraId="1DBC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F539C6">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6FE83072">
            <w:pPr>
              <w:jc w:val="center"/>
              <w:rPr>
                <w:rFonts w:ascii="宋体" w:hAnsi="宋体" w:cs="宋体"/>
                <w:b/>
                <w:kern w:val="0"/>
                <w:sz w:val="32"/>
                <w:szCs w:val="32"/>
                <w:highlight w:val="none"/>
              </w:rPr>
            </w:pPr>
          </w:p>
        </w:tc>
        <w:tc>
          <w:tcPr>
            <w:tcW w:w="3546" w:type="dxa"/>
          </w:tcPr>
          <w:p w14:paraId="03E1EF64">
            <w:pPr>
              <w:jc w:val="center"/>
              <w:rPr>
                <w:rFonts w:ascii="宋体" w:hAnsi="宋体" w:cs="宋体"/>
                <w:b/>
                <w:kern w:val="0"/>
                <w:sz w:val="32"/>
                <w:szCs w:val="32"/>
                <w:highlight w:val="none"/>
              </w:rPr>
            </w:pPr>
          </w:p>
        </w:tc>
        <w:tc>
          <w:tcPr>
            <w:tcW w:w="1276" w:type="dxa"/>
          </w:tcPr>
          <w:p w14:paraId="0A8EE79B">
            <w:pPr>
              <w:jc w:val="center"/>
              <w:rPr>
                <w:rFonts w:ascii="宋体" w:hAnsi="宋体" w:cs="宋体"/>
                <w:b/>
                <w:kern w:val="0"/>
                <w:sz w:val="32"/>
                <w:szCs w:val="32"/>
                <w:highlight w:val="none"/>
              </w:rPr>
            </w:pPr>
          </w:p>
        </w:tc>
      </w:tr>
      <w:tr w14:paraId="65F9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A64C12">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3C4636A2">
            <w:pPr>
              <w:jc w:val="center"/>
              <w:rPr>
                <w:rFonts w:ascii="宋体" w:hAnsi="宋体" w:cs="宋体"/>
                <w:b/>
                <w:kern w:val="0"/>
                <w:sz w:val="32"/>
                <w:szCs w:val="32"/>
                <w:highlight w:val="none"/>
              </w:rPr>
            </w:pPr>
          </w:p>
        </w:tc>
        <w:tc>
          <w:tcPr>
            <w:tcW w:w="3546" w:type="dxa"/>
          </w:tcPr>
          <w:p w14:paraId="766228E7">
            <w:pPr>
              <w:jc w:val="center"/>
              <w:rPr>
                <w:rFonts w:ascii="宋体" w:hAnsi="宋体" w:cs="宋体"/>
                <w:b/>
                <w:kern w:val="0"/>
                <w:sz w:val="32"/>
                <w:szCs w:val="32"/>
                <w:highlight w:val="none"/>
              </w:rPr>
            </w:pPr>
          </w:p>
        </w:tc>
        <w:tc>
          <w:tcPr>
            <w:tcW w:w="1276" w:type="dxa"/>
          </w:tcPr>
          <w:p w14:paraId="2CEE5A79">
            <w:pPr>
              <w:jc w:val="center"/>
              <w:rPr>
                <w:rFonts w:ascii="宋体" w:hAnsi="宋体" w:cs="宋体"/>
                <w:b/>
                <w:kern w:val="0"/>
                <w:sz w:val="32"/>
                <w:szCs w:val="32"/>
                <w:highlight w:val="none"/>
              </w:rPr>
            </w:pPr>
          </w:p>
        </w:tc>
      </w:tr>
    </w:tbl>
    <w:p w14:paraId="6FBC25E5">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11FC73A8">
      <w:pPr>
        <w:jc w:val="center"/>
        <w:rPr>
          <w:rFonts w:ascii="宋体" w:hAnsi="宋体" w:cs="宋体"/>
          <w:b/>
          <w:kern w:val="0"/>
          <w:sz w:val="32"/>
          <w:szCs w:val="32"/>
          <w:highlight w:val="none"/>
        </w:rPr>
      </w:pPr>
    </w:p>
    <w:p w14:paraId="461FFA2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91DF6E3">
      <w:pPr>
        <w:rPr>
          <w:rFonts w:ascii="宋体" w:hAnsi="宋体" w:cs="宋体"/>
          <w:b/>
          <w:bCs/>
          <w:sz w:val="32"/>
          <w:szCs w:val="32"/>
          <w:highlight w:val="none"/>
        </w:rPr>
      </w:pPr>
      <w:r>
        <w:rPr>
          <w:rFonts w:hint="eastAsia" w:ascii="宋体" w:hAnsi="宋体" w:cs="宋体"/>
          <w:b/>
          <w:bCs/>
          <w:sz w:val="32"/>
          <w:szCs w:val="32"/>
          <w:highlight w:val="none"/>
        </w:rPr>
        <w:br w:type="page"/>
      </w:r>
    </w:p>
    <w:p w14:paraId="0F438048">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5E5E1A4C">
      <w:pPr>
        <w:snapToGrid w:val="0"/>
        <w:spacing w:line="360" w:lineRule="auto"/>
        <w:rPr>
          <w:rFonts w:ascii="宋体" w:hAnsi="宋体" w:cs="宋体"/>
          <w:sz w:val="24"/>
          <w:highlight w:val="none"/>
        </w:rPr>
      </w:pPr>
    </w:p>
    <w:p w14:paraId="3A0E9C8B">
      <w:pPr>
        <w:snapToGrid w:val="0"/>
        <w:spacing w:line="360" w:lineRule="auto"/>
        <w:rPr>
          <w:rFonts w:ascii="宋体" w:hAnsi="宋体" w:cs="宋体"/>
          <w:kern w:val="0"/>
          <w:sz w:val="24"/>
          <w:highlight w:val="none"/>
        </w:rPr>
      </w:pPr>
      <w:r>
        <w:rPr>
          <w:rFonts w:hint="eastAsia" w:ascii="宋体" w:hAnsi="宋体" w:cs="宋体"/>
          <w:sz w:val="24"/>
          <w:highlight w:val="none"/>
        </w:rPr>
        <w:t>（</w:t>
      </w:r>
      <w:r>
        <w:rPr>
          <w:rFonts w:hint="eastAsia" w:ascii="宋体" w:hAnsi="宋体" w:cs="宋体"/>
          <w:sz w:val="24"/>
          <w:highlight w:val="none"/>
          <w:lang w:eastAsia="zh-CN"/>
        </w:rPr>
        <w:t>采购单位</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2450871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1C6092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031F7F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9ED060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4CEDB2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88A832B">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2275BD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62887550">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68D64BBB">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500684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36AAE316">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6CD3B767">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D228289">
      <w:pPr>
        <w:spacing w:line="360" w:lineRule="auto"/>
        <w:jc w:val="center"/>
        <w:rPr>
          <w:rFonts w:ascii="宋体" w:hAnsi="宋体" w:cs="宋体"/>
          <w:b/>
          <w:bCs/>
          <w:sz w:val="24"/>
          <w:highlight w:val="none"/>
        </w:rPr>
      </w:pPr>
    </w:p>
    <w:p w14:paraId="6C68265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FBBF8E6">
      <w:pPr>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44A31C6E">
      <w:pPr>
        <w:jc w:val="center"/>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2F1F46BE">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4DFAC75">
      <w:pPr>
        <w:spacing w:line="360" w:lineRule="auto"/>
        <w:jc w:val="center"/>
        <w:outlineLvl w:val="0"/>
        <w:rPr>
          <w:rFonts w:ascii="宋体" w:hAnsi="宋体" w:cs="宋体"/>
          <w:b/>
          <w:kern w:val="0"/>
          <w:sz w:val="36"/>
          <w:szCs w:val="36"/>
          <w:highlight w:val="none"/>
        </w:rPr>
      </w:pPr>
    </w:p>
    <w:p w14:paraId="669C5E46">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00F1DC10">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5E0C9B72">
      <w:pPr>
        <w:rPr>
          <w:rFonts w:hint="eastAsia" w:ascii="宋体" w:hAnsi="宋体" w:eastAsia="宋体" w:cs="宋体"/>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highlight w:val="none"/>
        </w:rPr>
        <w:br w:type="page"/>
      </w:r>
    </w:p>
    <w:p w14:paraId="208BA0ED">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557EB357">
      <w:pPr>
        <w:snapToGrid w:val="0"/>
        <w:spacing w:line="360" w:lineRule="auto"/>
        <w:rPr>
          <w:rFonts w:ascii="宋体" w:hAnsi="宋体" w:cs="宋体"/>
          <w:kern w:val="0"/>
          <w:sz w:val="24"/>
          <w:highlight w:val="none"/>
        </w:rPr>
      </w:pPr>
      <w:r>
        <w:rPr>
          <w:rFonts w:hint="eastAsia" w:ascii="宋体" w:hAnsi="宋体" w:cs="宋体"/>
          <w:sz w:val="24"/>
          <w:highlight w:val="none"/>
        </w:rPr>
        <w:t>（</w:t>
      </w:r>
      <w:r>
        <w:rPr>
          <w:rFonts w:hint="eastAsia" w:ascii="宋体" w:hAnsi="宋体" w:cs="宋体"/>
          <w:sz w:val="24"/>
          <w:highlight w:val="none"/>
          <w:lang w:eastAsia="zh-CN"/>
        </w:rPr>
        <w:t>采购单位</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391A24E9">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01D2798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AB6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999C51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03074445">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tcPr>
          <w:p w14:paraId="23BB9082">
            <w:pPr>
              <w:spacing w:line="360" w:lineRule="auto"/>
              <w:jc w:val="center"/>
              <w:rPr>
                <w:rFonts w:ascii="宋体" w:hAnsi="宋体" w:cs="宋体"/>
                <w:b/>
                <w:sz w:val="24"/>
                <w:highlight w:val="none"/>
              </w:rPr>
            </w:pPr>
          </w:p>
          <w:p w14:paraId="50DEEDBE">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4CE6C0CF">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6AABF612">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6FAC000B">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tcPr>
          <w:p w14:paraId="2EB88225">
            <w:pPr>
              <w:spacing w:line="360" w:lineRule="auto"/>
              <w:jc w:val="center"/>
              <w:rPr>
                <w:rFonts w:ascii="宋体" w:hAnsi="宋体" w:cs="宋体"/>
                <w:b/>
                <w:sz w:val="24"/>
                <w:highlight w:val="none"/>
              </w:rPr>
            </w:pPr>
          </w:p>
          <w:p w14:paraId="07E6B4CA">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32014810">
            <w:pPr>
              <w:spacing w:line="360" w:lineRule="auto"/>
              <w:jc w:val="center"/>
              <w:rPr>
                <w:rFonts w:ascii="宋体" w:hAnsi="宋体" w:cs="宋体"/>
                <w:b/>
                <w:sz w:val="24"/>
                <w:highlight w:val="none"/>
              </w:rPr>
            </w:pPr>
          </w:p>
          <w:p w14:paraId="07390C78">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1D84591B">
            <w:pPr>
              <w:spacing w:line="360" w:lineRule="auto"/>
              <w:jc w:val="center"/>
              <w:rPr>
                <w:rFonts w:ascii="宋体" w:hAnsi="宋体" w:cs="宋体"/>
                <w:b/>
                <w:sz w:val="24"/>
                <w:highlight w:val="none"/>
              </w:rPr>
            </w:pPr>
          </w:p>
        </w:tc>
      </w:tr>
      <w:tr w14:paraId="5874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6D15B62">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14:paraId="5FC1D6A5">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4A7577CB">
            <w:pPr>
              <w:snapToGrid w:val="0"/>
              <w:spacing w:line="360" w:lineRule="auto"/>
              <w:jc w:val="center"/>
              <w:rPr>
                <w:rFonts w:ascii="宋体" w:hAnsi="宋体" w:cs="宋体"/>
                <w:sz w:val="24"/>
                <w:highlight w:val="none"/>
              </w:rPr>
            </w:pPr>
          </w:p>
        </w:tc>
        <w:tc>
          <w:tcPr>
            <w:tcW w:w="2410" w:type="dxa"/>
            <w:vAlign w:val="center"/>
          </w:tcPr>
          <w:p w14:paraId="73699D2E">
            <w:pPr>
              <w:snapToGrid w:val="0"/>
              <w:spacing w:line="360" w:lineRule="auto"/>
              <w:jc w:val="center"/>
              <w:rPr>
                <w:rFonts w:ascii="宋体" w:hAnsi="宋体" w:cs="宋体"/>
                <w:sz w:val="24"/>
                <w:highlight w:val="none"/>
              </w:rPr>
            </w:pPr>
          </w:p>
        </w:tc>
        <w:tc>
          <w:tcPr>
            <w:tcW w:w="2268" w:type="dxa"/>
            <w:vAlign w:val="center"/>
          </w:tcPr>
          <w:p w14:paraId="733956F8">
            <w:pPr>
              <w:snapToGrid w:val="0"/>
              <w:spacing w:line="360" w:lineRule="auto"/>
              <w:jc w:val="center"/>
              <w:rPr>
                <w:rFonts w:ascii="宋体" w:hAnsi="宋体" w:cs="宋体"/>
                <w:sz w:val="24"/>
                <w:highlight w:val="none"/>
              </w:rPr>
            </w:pPr>
          </w:p>
        </w:tc>
        <w:tc>
          <w:tcPr>
            <w:tcW w:w="2126" w:type="dxa"/>
            <w:vAlign w:val="center"/>
          </w:tcPr>
          <w:p w14:paraId="0B9F922C">
            <w:pPr>
              <w:spacing w:line="360" w:lineRule="auto"/>
              <w:jc w:val="center"/>
              <w:rPr>
                <w:rFonts w:ascii="宋体" w:hAnsi="宋体" w:cs="宋体"/>
                <w:sz w:val="24"/>
                <w:highlight w:val="none"/>
              </w:rPr>
            </w:pPr>
          </w:p>
        </w:tc>
        <w:tc>
          <w:tcPr>
            <w:tcW w:w="2127" w:type="dxa"/>
          </w:tcPr>
          <w:p w14:paraId="01206998">
            <w:pPr>
              <w:spacing w:line="360" w:lineRule="auto"/>
              <w:jc w:val="center"/>
              <w:rPr>
                <w:rFonts w:ascii="宋体" w:hAnsi="宋体" w:cs="宋体"/>
                <w:sz w:val="24"/>
                <w:highlight w:val="none"/>
              </w:rPr>
            </w:pPr>
          </w:p>
        </w:tc>
        <w:tc>
          <w:tcPr>
            <w:tcW w:w="2126" w:type="dxa"/>
            <w:vAlign w:val="center"/>
          </w:tcPr>
          <w:p w14:paraId="2068BD42">
            <w:pPr>
              <w:spacing w:line="360" w:lineRule="auto"/>
              <w:jc w:val="center"/>
              <w:rPr>
                <w:rFonts w:ascii="宋体" w:hAnsi="宋体" w:cs="宋体"/>
                <w:sz w:val="24"/>
                <w:highlight w:val="none"/>
              </w:rPr>
            </w:pPr>
          </w:p>
        </w:tc>
      </w:tr>
      <w:tr w14:paraId="4A8D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6EEE5C">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14:paraId="10E447E6">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08A01581">
            <w:pPr>
              <w:snapToGrid w:val="0"/>
              <w:spacing w:line="360" w:lineRule="auto"/>
              <w:jc w:val="center"/>
              <w:rPr>
                <w:rFonts w:ascii="宋体" w:hAnsi="宋体" w:cs="宋体"/>
                <w:sz w:val="24"/>
                <w:highlight w:val="none"/>
              </w:rPr>
            </w:pPr>
          </w:p>
        </w:tc>
        <w:tc>
          <w:tcPr>
            <w:tcW w:w="2410" w:type="dxa"/>
            <w:vAlign w:val="center"/>
          </w:tcPr>
          <w:p w14:paraId="35B6E9A0">
            <w:pPr>
              <w:snapToGrid w:val="0"/>
              <w:spacing w:line="360" w:lineRule="auto"/>
              <w:jc w:val="center"/>
              <w:rPr>
                <w:rFonts w:ascii="宋体" w:hAnsi="宋体" w:cs="宋体"/>
                <w:sz w:val="24"/>
                <w:highlight w:val="none"/>
              </w:rPr>
            </w:pPr>
          </w:p>
        </w:tc>
        <w:tc>
          <w:tcPr>
            <w:tcW w:w="2268" w:type="dxa"/>
            <w:vAlign w:val="center"/>
          </w:tcPr>
          <w:p w14:paraId="13B3F931">
            <w:pPr>
              <w:snapToGrid w:val="0"/>
              <w:spacing w:line="360" w:lineRule="auto"/>
              <w:jc w:val="center"/>
              <w:rPr>
                <w:rFonts w:ascii="宋体" w:hAnsi="宋体" w:cs="宋体"/>
                <w:sz w:val="24"/>
                <w:highlight w:val="none"/>
              </w:rPr>
            </w:pPr>
          </w:p>
        </w:tc>
        <w:tc>
          <w:tcPr>
            <w:tcW w:w="2126" w:type="dxa"/>
            <w:vAlign w:val="center"/>
          </w:tcPr>
          <w:p w14:paraId="51362CE2">
            <w:pPr>
              <w:spacing w:line="360" w:lineRule="auto"/>
              <w:jc w:val="center"/>
              <w:rPr>
                <w:rFonts w:ascii="宋体" w:hAnsi="宋体" w:cs="宋体"/>
                <w:sz w:val="24"/>
                <w:highlight w:val="none"/>
              </w:rPr>
            </w:pPr>
          </w:p>
        </w:tc>
        <w:tc>
          <w:tcPr>
            <w:tcW w:w="2127" w:type="dxa"/>
          </w:tcPr>
          <w:p w14:paraId="4E0C7973">
            <w:pPr>
              <w:spacing w:line="360" w:lineRule="auto"/>
              <w:jc w:val="center"/>
              <w:rPr>
                <w:rFonts w:ascii="宋体" w:hAnsi="宋体" w:cs="宋体"/>
                <w:sz w:val="24"/>
                <w:highlight w:val="none"/>
              </w:rPr>
            </w:pPr>
          </w:p>
        </w:tc>
        <w:tc>
          <w:tcPr>
            <w:tcW w:w="2126" w:type="dxa"/>
            <w:vAlign w:val="center"/>
          </w:tcPr>
          <w:p w14:paraId="3F8A1450">
            <w:pPr>
              <w:spacing w:line="360" w:lineRule="auto"/>
              <w:jc w:val="center"/>
              <w:rPr>
                <w:rFonts w:ascii="宋体" w:hAnsi="宋体" w:cs="宋体"/>
                <w:sz w:val="24"/>
                <w:highlight w:val="none"/>
              </w:rPr>
            </w:pPr>
          </w:p>
        </w:tc>
      </w:tr>
      <w:tr w14:paraId="6E9E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1667DE">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14:paraId="7AD049F4">
            <w:pPr>
              <w:snapToGrid w:val="0"/>
              <w:spacing w:line="360" w:lineRule="auto"/>
              <w:jc w:val="center"/>
              <w:rPr>
                <w:rFonts w:ascii="宋体" w:hAnsi="宋体" w:cs="宋体"/>
                <w:sz w:val="24"/>
                <w:highlight w:val="none"/>
              </w:rPr>
            </w:pPr>
          </w:p>
        </w:tc>
        <w:tc>
          <w:tcPr>
            <w:tcW w:w="2268" w:type="dxa"/>
            <w:vAlign w:val="center"/>
          </w:tcPr>
          <w:p w14:paraId="1CF44E25">
            <w:pPr>
              <w:snapToGrid w:val="0"/>
              <w:spacing w:line="360" w:lineRule="auto"/>
              <w:jc w:val="center"/>
              <w:rPr>
                <w:rFonts w:ascii="宋体" w:hAnsi="宋体" w:cs="宋体"/>
                <w:sz w:val="24"/>
                <w:highlight w:val="none"/>
              </w:rPr>
            </w:pPr>
          </w:p>
        </w:tc>
        <w:tc>
          <w:tcPr>
            <w:tcW w:w="2410" w:type="dxa"/>
            <w:vAlign w:val="center"/>
          </w:tcPr>
          <w:p w14:paraId="37D13151">
            <w:pPr>
              <w:snapToGrid w:val="0"/>
              <w:spacing w:line="360" w:lineRule="auto"/>
              <w:jc w:val="center"/>
              <w:rPr>
                <w:rFonts w:ascii="宋体" w:hAnsi="宋体" w:cs="宋体"/>
                <w:sz w:val="24"/>
                <w:highlight w:val="none"/>
              </w:rPr>
            </w:pPr>
          </w:p>
        </w:tc>
        <w:tc>
          <w:tcPr>
            <w:tcW w:w="2268" w:type="dxa"/>
            <w:vAlign w:val="center"/>
          </w:tcPr>
          <w:p w14:paraId="687C5CC2">
            <w:pPr>
              <w:snapToGrid w:val="0"/>
              <w:spacing w:line="360" w:lineRule="auto"/>
              <w:jc w:val="center"/>
              <w:rPr>
                <w:rFonts w:ascii="宋体" w:hAnsi="宋体" w:cs="宋体"/>
                <w:sz w:val="24"/>
                <w:highlight w:val="none"/>
              </w:rPr>
            </w:pPr>
          </w:p>
        </w:tc>
        <w:tc>
          <w:tcPr>
            <w:tcW w:w="2126" w:type="dxa"/>
            <w:vAlign w:val="center"/>
          </w:tcPr>
          <w:p w14:paraId="3DFF4981">
            <w:pPr>
              <w:spacing w:line="360" w:lineRule="auto"/>
              <w:jc w:val="center"/>
              <w:rPr>
                <w:rFonts w:ascii="宋体" w:hAnsi="宋体" w:cs="宋体"/>
                <w:sz w:val="24"/>
                <w:highlight w:val="none"/>
              </w:rPr>
            </w:pPr>
          </w:p>
        </w:tc>
        <w:tc>
          <w:tcPr>
            <w:tcW w:w="2127" w:type="dxa"/>
          </w:tcPr>
          <w:p w14:paraId="6CD57548">
            <w:pPr>
              <w:spacing w:line="360" w:lineRule="auto"/>
              <w:jc w:val="center"/>
              <w:rPr>
                <w:rFonts w:ascii="宋体" w:hAnsi="宋体" w:cs="宋体"/>
                <w:sz w:val="24"/>
                <w:highlight w:val="none"/>
              </w:rPr>
            </w:pPr>
          </w:p>
        </w:tc>
        <w:tc>
          <w:tcPr>
            <w:tcW w:w="2126" w:type="dxa"/>
            <w:vAlign w:val="center"/>
          </w:tcPr>
          <w:p w14:paraId="6CE2A0C6">
            <w:pPr>
              <w:spacing w:line="360" w:lineRule="auto"/>
              <w:jc w:val="center"/>
              <w:rPr>
                <w:rFonts w:ascii="宋体" w:hAnsi="宋体" w:cs="宋体"/>
                <w:sz w:val="24"/>
                <w:highlight w:val="none"/>
              </w:rPr>
            </w:pPr>
          </w:p>
        </w:tc>
      </w:tr>
      <w:tr w14:paraId="4B40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841B79">
            <w:pPr>
              <w:spacing w:line="360" w:lineRule="auto"/>
              <w:jc w:val="center"/>
              <w:rPr>
                <w:rFonts w:ascii="宋体" w:hAnsi="宋体" w:cs="宋体"/>
                <w:sz w:val="24"/>
                <w:highlight w:val="none"/>
              </w:rPr>
            </w:pPr>
          </w:p>
        </w:tc>
        <w:tc>
          <w:tcPr>
            <w:tcW w:w="992" w:type="dxa"/>
            <w:vAlign w:val="center"/>
          </w:tcPr>
          <w:p w14:paraId="1658F70A">
            <w:pPr>
              <w:snapToGrid w:val="0"/>
              <w:spacing w:line="360" w:lineRule="auto"/>
              <w:jc w:val="center"/>
              <w:rPr>
                <w:rFonts w:ascii="宋体" w:hAnsi="宋体" w:cs="宋体"/>
                <w:sz w:val="24"/>
                <w:highlight w:val="none"/>
              </w:rPr>
            </w:pPr>
          </w:p>
        </w:tc>
        <w:tc>
          <w:tcPr>
            <w:tcW w:w="2268" w:type="dxa"/>
            <w:vAlign w:val="center"/>
          </w:tcPr>
          <w:p w14:paraId="1A4996C8">
            <w:pPr>
              <w:snapToGrid w:val="0"/>
              <w:spacing w:line="360" w:lineRule="auto"/>
              <w:jc w:val="center"/>
              <w:rPr>
                <w:rFonts w:ascii="宋体" w:hAnsi="宋体" w:cs="宋体"/>
                <w:sz w:val="24"/>
                <w:highlight w:val="none"/>
              </w:rPr>
            </w:pPr>
          </w:p>
        </w:tc>
        <w:tc>
          <w:tcPr>
            <w:tcW w:w="2410" w:type="dxa"/>
            <w:vAlign w:val="center"/>
          </w:tcPr>
          <w:p w14:paraId="5F141514">
            <w:pPr>
              <w:snapToGrid w:val="0"/>
              <w:spacing w:line="360" w:lineRule="auto"/>
              <w:jc w:val="center"/>
              <w:rPr>
                <w:rFonts w:ascii="宋体" w:hAnsi="宋体" w:cs="宋体"/>
                <w:sz w:val="24"/>
                <w:highlight w:val="none"/>
              </w:rPr>
            </w:pPr>
          </w:p>
        </w:tc>
        <w:tc>
          <w:tcPr>
            <w:tcW w:w="2268" w:type="dxa"/>
            <w:vAlign w:val="center"/>
          </w:tcPr>
          <w:p w14:paraId="621425B9">
            <w:pPr>
              <w:snapToGrid w:val="0"/>
              <w:spacing w:line="360" w:lineRule="auto"/>
              <w:jc w:val="center"/>
              <w:rPr>
                <w:rFonts w:ascii="宋体" w:hAnsi="宋体" w:cs="宋体"/>
                <w:sz w:val="24"/>
                <w:highlight w:val="none"/>
              </w:rPr>
            </w:pPr>
          </w:p>
        </w:tc>
        <w:tc>
          <w:tcPr>
            <w:tcW w:w="2126" w:type="dxa"/>
            <w:vAlign w:val="center"/>
          </w:tcPr>
          <w:p w14:paraId="3C25E5A1">
            <w:pPr>
              <w:spacing w:line="360" w:lineRule="auto"/>
              <w:jc w:val="center"/>
              <w:rPr>
                <w:rFonts w:ascii="宋体" w:hAnsi="宋体" w:cs="宋体"/>
                <w:sz w:val="24"/>
                <w:highlight w:val="none"/>
              </w:rPr>
            </w:pPr>
          </w:p>
        </w:tc>
        <w:tc>
          <w:tcPr>
            <w:tcW w:w="2127" w:type="dxa"/>
          </w:tcPr>
          <w:p w14:paraId="340D7310">
            <w:pPr>
              <w:spacing w:line="360" w:lineRule="auto"/>
              <w:jc w:val="center"/>
              <w:rPr>
                <w:rFonts w:ascii="宋体" w:hAnsi="宋体" w:cs="宋体"/>
                <w:sz w:val="24"/>
                <w:highlight w:val="none"/>
              </w:rPr>
            </w:pPr>
          </w:p>
        </w:tc>
        <w:tc>
          <w:tcPr>
            <w:tcW w:w="2126" w:type="dxa"/>
            <w:vAlign w:val="center"/>
          </w:tcPr>
          <w:p w14:paraId="154950DA">
            <w:pPr>
              <w:spacing w:line="360" w:lineRule="auto"/>
              <w:jc w:val="center"/>
              <w:rPr>
                <w:rFonts w:ascii="宋体" w:hAnsi="宋体" w:cs="宋体"/>
                <w:sz w:val="24"/>
                <w:highlight w:val="none"/>
              </w:rPr>
            </w:pPr>
          </w:p>
        </w:tc>
      </w:tr>
      <w:tr w14:paraId="2637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454C09">
            <w:pPr>
              <w:spacing w:line="360" w:lineRule="auto"/>
              <w:jc w:val="center"/>
              <w:rPr>
                <w:rFonts w:ascii="宋体" w:hAnsi="宋体" w:cs="宋体"/>
                <w:sz w:val="24"/>
                <w:highlight w:val="none"/>
              </w:rPr>
            </w:pPr>
          </w:p>
        </w:tc>
        <w:tc>
          <w:tcPr>
            <w:tcW w:w="992" w:type="dxa"/>
            <w:vAlign w:val="center"/>
          </w:tcPr>
          <w:p w14:paraId="0D8EA462">
            <w:pPr>
              <w:snapToGrid w:val="0"/>
              <w:spacing w:line="360" w:lineRule="auto"/>
              <w:jc w:val="center"/>
              <w:rPr>
                <w:rFonts w:ascii="宋体" w:hAnsi="宋体" w:cs="宋体"/>
                <w:sz w:val="24"/>
                <w:highlight w:val="none"/>
              </w:rPr>
            </w:pPr>
          </w:p>
        </w:tc>
        <w:tc>
          <w:tcPr>
            <w:tcW w:w="2268" w:type="dxa"/>
            <w:vAlign w:val="center"/>
          </w:tcPr>
          <w:p w14:paraId="7E54BD32">
            <w:pPr>
              <w:snapToGrid w:val="0"/>
              <w:spacing w:line="360" w:lineRule="auto"/>
              <w:jc w:val="center"/>
              <w:rPr>
                <w:rFonts w:ascii="宋体" w:hAnsi="宋体" w:cs="宋体"/>
                <w:sz w:val="24"/>
                <w:highlight w:val="none"/>
              </w:rPr>
            </w:pPr>
          </w:p>
        </w:tc>
        <w:tc>
          <w:tcPr>
            <w:tcW w:w="2410" w:type="dxa"/>
            <w:vAlign w:val="center"/>
          </w:tcPr>
          <w:p w14:paraId="66F32E0D">
            <w:pPr>
              <w:snapToGrid w:val="0"/>
              <w:spacing w:line="360" w:lineRule="auto"/>
              <w:jc w:val="center"/>
              <w:rPr>
                <w:rFonts w:ascii="宋体" w:hAnsi="宋体" w:cs="宋体"/>
                <w:sz w:val="24"/>
                <w:highlight w:val="none"/>
              </w:rPr>
            </w:pPr>
          </w:p>
        </w:tc>
        <w:tc>
          <w:tcPr>
            <w:tcW w:w="2268" w:type="dxa"/>
            <w:vAlign w:val="center"/>
          </w:tcPr>
          <w:p w14:paraId="60A357FA">
            <w:pPr>
              <w:snapToGrid w:val="0"/>
              <w:spacing w:line="360" w:lineRule="auto"/>
              <w:jc w:val="center"/>
              <w:rPr>
                <w:rFonts w:ascii="宋体" w:hAnsi="宋体" w:cs="宋体"/>
                <w:sz w:val="24"/>
                <w:highlight w:val="none"/>
              </w:rPr>
            </w:pPr>
          </w:p>
        </w:tc>
        <w:tc>
          <w:tcPr>
            <w:tcW w:w="2126" w:type="dxa"/>
            <w:vAlign w:val="center"/>
          </w:tcPr>
          <w:p w14:paraId="6E9B751C">
            <w:pPr>
              <w:spacing w:line="360" w:lineRule="auto"/>
              <w:jc w:val="center"/>
              <w:rPr>
                <w:rFonts w:ascii="宋体" w:hAnsi="宋体" w:cs="宋体"/>
                <w:sz w:val="24"/>
                <w:highlight w:val="none"/>
              </w:rPr>
            </w:pPr>
          </w:p>
        </w:tc>
        <w:tc>
          <w:tcPr>
            <w:tcW w:w="2127" w:type="dxa"/>
          </w:tcPr>
          <w:p w14:paraId="3BBEC8B2">
            <w:pPr>
              <w:spacing w:line="360" w:lineRule="auto"/>
              <w:jc w:val="center"/>
              <w:rPr>
                <w:rFonts w:ascii="宋体" w:hAnsi="宋体" w:cs="宋体"/>
                <w:sz w:val="24"/>
                <w:highlight w:val="none"/>
              </w:rPr>
            </w:pPr>
          </w:p>
        </w:tc>
        <w:tc>
          <w:tcPr>
            <w:tcW w:w="2126" w:type="dxa"/>
            <w:vAlign w:val="center"/>
          </w:tcPr>
          <w:p w14:paraId="39E22953">
            <w:pPr>
              <w:spacing w:line="360" w:lineRule="auto"/>
              <w:jc w:val="center"/>
              <w:rPr>
                <w:rFonts w:ascii="宋体" w:hAnsi="宋体" w:cs="宋体"/>
                <w:sz w:val="24"/>
                <w:highlight w:val="none"/>
              </w:rPr>
            </w:pPr>
          </w:p>
        </w:tc>
      </w:tr>
      <w:tr w14:paraId="04E6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2CA8C47">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63AA8F05">
            <w:pPr>
              <w:spacing w:line="360" w:lineRule="auto"/>
              <w:jc w:val="center"/>
              <w:rPr>
                <w:rFonts w:ascii="宋体" w:hAnsi="宋体" w:cs="宋体"/>
                <w:sz w:val="24"/>
                <w:highlight w:val="none"/>
              </w:rPr>
            </w:pPr>
          </w:p>
        </w:tc>
      </w:tr>
      <w:tr w14:paraId="21FE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8137E6">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7C95C0E1">
            <w:pPr>
              <w:spacing w:line="360" w:lineRule="auto"/>
              <w:jc w:val="center"/>
              <w:rPr>
                <w:rFonts w:ascii="宋体" w:hAnsi="宋体" w:cs="宋体"/>
                <w:sz w:val="24"/>
                <w:highlight w:val="none"/>
              </w:rPr>
            </w:pPr>
          </w:p>
        </w:tc>
      </w:tr>
    </w:tbl>
    <w:p w14:paraId="3C785E09">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73FE8DCA">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w:t>
      </w:r>
      <w:r>
        <w:rPr>
          <w:rFonts w:hint="eastAsia" w:ascii="宋体" w:hAnsi="宋体" w:cs="宋体"/>
          <w:b/>
          <w:sz w:val="24"/>
          <w:highlight w:val="none"/>
          <w:lang w:eastAsia="zh-CN"/>
        </w:rPr>
        <w:t>采购单位</w:t>
      </w:r>
      <w:r>
        <w:rPr>
          <w:rFonts w:hint="eastAsia" w:ascii="宋体" w:hAnsi="宋体" w:cs="宋体"/>
          <w:b/>
          <w:sz w:val="24"/>
          <w:highlight w:val="none"/>
        </w:rPr>
        <w:t>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240F83A4">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采购单位将以合同形式有偿取得货物或服务，不接受投标人给予的赠品、回扣或者与采购无关的其他商品、服务；采购内容未包含在《开标一览表（报价表）》名称栏中，投标人不能作出合理解释的，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w:t>
      </w:r>
      <w:r>
        <w:rPr>
          <w:rFonts w:hint="eastAsia" w:ascii="宋体" w:hAnsi="宋体" w:cs="宋体"/>
          <w:b/>
          <w:sz w:val="24"/>
          <w:highlight w:val="none"/>
          <w:lang w:eastAsia="zh-CN"/>
        </w:rPr>
        <w:t>采购单位</w:t>
      </w:r>
      <w:r>
        <w:rPr>
          <w:rFonts w:hint="eastAsia" w:ascii="宋体" w:hAnsi="宋体" w:cs="宋体"/>
          <w:b/>
          <w:sz w:val="24"/>
          <w:highlight w:val="none"/>
        </w:rPr>
        <w:t>不能接受的附加条件的，投标无效。</w:t>
      </w:r>
    </w:p>
    <w:p w14:paraId="6ED786D5">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D3FB298">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1751E0">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5、特别说明：▲供应商报价低于项目预算50%的，应当在报价文件中详细阐述不影响产品质量或者诚信履约的具体原因，未做阐述说明的，投标无效。</w:t>
      </w:r>
    </w:p>
    <w:p w14:paraId="6031DB1A">
      <w:pPr>
        <w:rPr>
          <w:rFonts w:hint="eastAsia" w:ascii="宋体" w:hAnsi="宋体" w:eastAsia="宋体" w:cs="宋体"/>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highlight w:val="none"/>
        </w:rPr>
        <w:br w:type="page"/>
      </w:r>
    </w:p>
    <w:p w14:paraId="369C33D5">
      <w:pPr>
        <w:pStyle w:val="691"/>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4495D0C0">
      <w:pPr>
        <w:widowControl/>
        <w:spacing w:line="360" w:lineRule="auto"/>
        <w:ind w:firstLine="120" w:firstLineChars="50"/>
        <w:jc w:val="left"/>
        <w:rPr>
          <w:rFonts w:hint="eastAsia"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5D044EFE">
      <w:pPr>
        <w:rPr>
          <w:highlight w:val="none"/>
        </w:rPr>
      </w:pPr>
      <w:r>
        <w:rPr>
          <w:rFonts w:hint="eastAsia" w:ascii="宋体" w:hAnsi="宋体" w:cs="宋体"/>
          <w:b/>
          <w:sz w:val="24"/>
          <w:highlight w:val="none"/>
        </w:rPr>
        <w:br w:type="page"/>
      </w:r>
    </w:p>
    <w:p w14:paraId="65381DC3">
      <w:pPr>
        <w:pStyle w:val="2"/>
        <w:keepNext w:val="0"/>
        <w:keepLines w:val="0"/>
        <w:pageBreakBefore/>
        <w:widowControl/>
        <w:spacing w:before="100" w:beforeAutospacing="1" w:after="100" w:afterAutospacing="1" w:line="360" w:lineRule="auto"/>
        <w:jc w:val="center"/>
        <w:rPr>
          <w:rFonts w:ascii="宋体" w:hAnsi="宋体" w:cs="宋体"/>
          <w:sz w:val="32"/>
          <w:szCs w:val="32"/>
          <w:highlight w:val="none"/>
        </w:rPr>
      </w:pPr>
      <w:r>
        <w:rPr>
          <w:rFonts w:hint="eastAsia" w:ascii="宋体" w:hAnsi="宋体" w:cs="宋体"/>
          <w:sz w:val="32"/>
          <w:szCs w:val="32"/>
          <w:highlight w:val="none"/>
        </w:rPr>
        <w:t>附件</w:t>
      </w:r>
    </w:p>
    <w:p w14:paraId="54DF1E43">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669952F9">
      <w:pPr>
        <w:spacing w:line="360" w:lineRule="auto"/>
        <w:jc w:val="center"/>
        <w:rPr>
          <w:rFonts w:ascii="宋体" w:hAnsi="宋体" w:cs="宋体"/>
          <w:b/>
          <w:spacing w:val="6"/>
          <w:sz w:val="32"/>
          <w:szCs w:val="32"/>
          <w:highlight w:val="none"/>
        </w:rPr>
      </w:pPr>
      <w:bookmarkStart w:id="498" w:name="OLE_LINK13"/>
      <w:bookmarkStart w:id="499" w:name="OLE_LINK14"/>
      <w:r>
        <w:rPr>
          <w:rFonts w:hint="eastAsia" w:ascii="宋体" w:hAnsi="宋体" w:cs="宋体"/>
          <w:b/>
          <w:spacing w:val="6"/>
          <w:sz w:val="32"/>
          <w:szCs w:val="32"/>
          <w:highlight w:val="none"/>
        </w:rPr>
        <w:t>残疾人福利性单位声明函</w:t>
      </w:r>
    </w:p>
    <w:bookmarkEnd w:id="498"/>
    <w:bookmarkEnd w:id="499"/>
    <w:p w14:paraId="55F126BB">
      <w:pPr>
        <w:spacing w:line="360" w:lineRule="auto"/>
        <w:rPr>
          <w:rFonts w:ascii="宋体" w:hAnsi="宋体" w:cs="宋体"/>
          <w:b/>
          <w:spacing w:val="6"/>
          <w:sz w:val="30"/>
          <w:szCs w:val="30"/>
          <w:highlight w:val="none"/>
        </w:rPr>
      </w:pPr>
    </w:p>
    <w:p w14:paraId="39EC736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w:t>
      </w:r>
      <w:r>
        <w:rPr>
          <w:rFonts w:hint="eastAsia" w:ascii="宋体" w:hAnsi="宋体" w:cs="宋体"/>
          <w:sz w:val="24"/>
          <w:highlight w:val="none"/>
          <w:u w:val="single"/>
          <w:lang w:eastAsia="zh-CN"/>
        </w:rPr>
        <w:t>采购单位</w:t>
      </w:r>
      <w:r>
        <w:rPr>
          <w:rFonts w:hint="eastAsia" w:ascii="宋体" w:hAnsi="宋体" w:cs="宋体"/>
          <w:sz w:val="24"/>
          <w:highlight w:val="none"/>
          <w:u w:val="single"/>
        </w:rPr>
        <w:t>)</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29AFD61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382A4C4">
      <w:pPr>
        <w:spacing w:line="360" w:lineRule="auto"/>
        <w:ind w:firstLine="480" w:firstLineChars="200"/>
        <w:rPr>
          <w:rFonts w:ascii="宋体" w:hAnsi="宋体" w:cs="宋体"/>
          <w:sz w:val="24"/>
          <w:highlight w:val="none"/>
        </w:rPr>
      </w:pPr>
    </w:p>
    <w:p w14:paraId="3F55EE99">
      <w:pPr>
        <w:spacing w:line="360" w:lineRule="auto"/>
        <w:ind w:firstLine="480" w:firstLineChars="200"/>
        <w:rPr>
          <w:rFonts w:ascii="宋体" w:hAnsi="宋体" w:cs="宋体"/>
          <w:sz w:val="24"/>
          <w:highlight w:val="none"/>
        </w:rPr>
      </w:pPr>
    </w:p>
    <w:p w14:paraId="6DCDAB1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08A91BC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04CF1396">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189C2585">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54844DC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0D8B02C">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EFD39C7">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02F2ABA6">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12EEB29">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A1FACCC">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5ACD9AF">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EA3C134">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497F4187">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829DB74">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DA45A16">
      <w:pPr>
        <w:snapToGrid w:val="0"/>
        <w:spacing w:line="360" w:lineRule="auto"/>
        <w:rPr>
          <w:rFonts w:ascii="宋体" w:hAnsi="宋体" w:cs="宋体"/>
          <w:sz w:val="24"/>
          <w:highlight w:val="none"/>
          <w:u w:val="dotted"/>
        </w:rPr>
      </w:pPr>
      <w:r>
        <w:rPr>
          <w:rFonts w:hint="eastAsia" w:ascii="宋体" w:hAnsi="宋体" w:cs="宋体"/>
          <w:sz w:val="24"/>
          <w:highlight w:val="none"/>
          <w:lang w:eastAsia="zh-CN"/>
        </w:rPr>
        <w:t>采购单位</w:t>
      </w:r>
      <w:r>
        <w:rPr>
          <w:rFonts w:hint="eastAsia" w:ascii="宋体" w:hAnsi="宋体" w:cs="宋体"/>
          <w:sz w:val="24"/>
          <w:highlight w:val="none"/>
        </w:rPr>
        <w:t>名称：</w:t>
      </w:r>
      <w:r>
        <w:rPr>
          <w:rFonts w:hint="eastAsia" w:ascii="宋体" w:hAnsi="宋体" w:cs="宋体"/>
          <w:sz w:val="24"/>
          <w:highlight w:val="none"/>
          <w:u w:val="dotted"/>
        </w:rPr>
        <w:t xml:space="preserve">                                         </w:t>
      </w:r>
    </w:p>
    <w:p w14:paraId="7FC9FD8C">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2A3042F6">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A81CB7B">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BE8494D">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BCEA43F">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4066CDD7">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7B7C12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F6878DC">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5A1B93D">
      <w:pPr>
        <w:snapToGrid w:val="0"/>
        <w:spacing w:line="360" w:lineRule="auto"/>
        <w:rPr>
          <w:rFonts w:ascii="宋体" w:hAnsi="宋体" w:cs="宋体"/>
          <w:sz w:val="24"/>
          <w:highlight w:val="none"/>
        </w:rPr>
      </w:pPr>
      <w:r>
        <w:rPr>
          <w:rFonts w:hint="eastAsia" w:ascii="宋体" w:hAnsi="宋体" w:cs="宋体"/>
          <w:sz w:val="24"/>
          <w:highlight w:val="none"/>
        </w:rPr>
        <w:t>……</w:t>
      </w:r>
    </w:p>
    <w:p w14:paraId="24A821C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32BC15DF">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105087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FB7A51C">
      <w:pPr>
        <w:spacing w:line="360" w:lineRule="auto"/>
        <w:rPr>
          <w:rFonts w:ascii="宋体" w:hAnsi="宋体" w:cs="宋体"/>
          <w:sz w:val="24"/>
          <w:highlight w:val="none"/>
        </w:rPr>
      </w:pPr>
      <w:r>
        <w:rPr>
          <w:rFonts w:hint="eastAsia" w:ascii="宋体" w:hAnsi="宋体" w:cs="宋体"/>
          <w:sz w:val="24"/>
          <w:highlight w:val="none"/>
        </w:rPr>
        <w:t xml:space="preserve">日期：    </w:t>
      </w:r>
    </w:p>
    <w:p w14:paraId="206FD5CC">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BFA697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CE23B1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BBCCCF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B6CB9D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0815031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E8EE57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7142527D">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3CE703F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4C71CCDE">
      <w:pPr>
        <w:spacing w:line="360" w:lineRule="auto"/>
        <w:jc w:val="center"/>
        <w:rPr>
          <w:rFonts w:ascii="宋体" w:hAnsi="宋体" w:cs="宋体"/>
          <w:b/>
          <w:sz w:val="24"/>
          <w:highlight w:val="none"/>
        </w:rPr>
      </w:pPr>
    </w:p>
    <w:p w14:paraId="22F0B0A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5E5B66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D6AF178">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DA8215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61200E2">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4FF2C4C">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D7CC5C0">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EEC9988">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5EA63F8C">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3FBCF8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969329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6D54034">
      <w:pPr>
        <w:spacing w:line="360" w:lineRule="auto"/>
        <w:rPr>
          <w:rFonts w:ascii="宋体" w:hAnsi="宋体" w:cs="宋体"/>
          <w:sz w:val="24"/>
          <w:highlight w:val="none"/>
        </w:rPr>
      </w:pPr>
      <w:r>
        <w:rPr>
          <w:rFonts w:hint="eastAsia" w:ascii="宋体" w:hAnsi="宋体" w:cs="宋体"/>
          <w:sz w:val="24"/>
          <w:highlight w:val="none"/>
        </w:rPr>
        <w:t>被投诉人2</w:t>
      </w:r>
    </w:p>
    <w:p w14:paraId="2CB4414D">
      <w:pPr>
        <w:spacing w:line="360" w:lineRule="auto"/>
        <w:rPr>
          <w:rFonts w:ascii="宋体" w:hAnsi="宋体" w:cs="宋体"/>
          <w:sz w:val="24"/>
          <w:highlight w:val="none"/>
          <w:u w:val="dotted"/>
        </w:rPr>
      </w:pPr>
      <w:r>
        <w:rPr>
          <w:rFonts w:hint="eastAsia" w:ascii="宋体" w:hAnsi="宋体" w:cs="宋体"/>
          <w:sz w:val="24"/>
          <w:highlight w:val="none"/>
        </w:rPr>
        <w:t>……</w:t>
      </w:r>
    </w:p>
    <w:p w14:paraId="47634DD5">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9AC576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8ECDFC0">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E1DCA23">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244C520">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9037B1E">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494B49A">
      <w:pPr>
        <w:spacing w:line="360" w:lineRule="auto"/>
        <w:rPr>
          <w:rFonts w:ascii="宋体" w:hAnsi="宋体" w:cs="宋体"/>
          <w:sz w:val="24"/>
          <w:highlight w:val="none"/>
        </w:rPr>
      </w:pPr>
      <w:r>
        <w:rPr>
          <w:rFonts w:hint="eastAsia" w:ascii="宋体" w:hAnsi="宋体" w:cs="宋体"/>
          <w:sz w:val="24"/>
          <w:highlight w:val="none"/>
          <w:lang w:eastAsia="zh-CN"/>
        </w:rPr>
        <w:t>采购单位</w:t>
      </w:r>
      <w:r>
        <w:rPr>
          <w:rFonts w:hint="eastAsia" w:ascii="宋体" w:hAnsi="宋体" w:cs="宋体"/>
          <w:sz w:val="24"/>
          <w:highlight w:val="none"/>
        </w:rPr>
        <w:t>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4DADBCF">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AD38232">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4102931">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5F598D2">
      <w:pPr>
        <w:spacing w:line="360" w:lineRule="auto"/>
        <w:rPr>
          <w:rFonts w:ascii="宋体" w:hAnsi="宋体" w:cs="宋体"/>
          <w:sz w:val="24"/>
          <w:highlight w:val="none"/>
        </w:rPr>
      </w:pPr>
      <w:r>
        <w:rPr>
          <w:rFonts w:hint="eastAsia" w:ascii="宋体" w:hAnsi="宋体" w:cs="宋体"/>
          <w:sz w:val="24"/>
          <w:highlight w:val="none"/>
        </w:rPr>
        <w:t>三、质疑基本情况</w:t>
      </w:r>
    </w:p>
    <w:p w14:paraId="6F82C00C">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BC2F43C">
      <w:pPr>
        <w:spacing w:line="360" w:lineRule="auto"/>
        <w:ind w:firstLine="360" w:firstLineChars="150"/>
        <w:rPr>
          <w:rFonts w:ascii="宋体" w:hAnsi="宋体" w:cs="宋体"/>
          <w:sz w:val="24"/>
          <w:highlight w:val="none"/>
        </w:rPr>
      </w:pPr>
      <w:r>
        <w:rPr>
          <w:rFonts w:hint="eastAsia" w:ascii="宋体" w:hAnsi="宋体" w:cs="宋体"/>
          <w:sz w:val="24"/>
          <w:highlight w:val="none"/>
          <w:u w:val="dotted"/>
          <w:lang w:eastAsia="zh-CN"/>
        </w:rPr>
        <w:t>采购单位</w:t>
      </w:r>
      <w:r>
        <w:rPr>
          <w:rFonts w:hint="eastAsia" w:ascii="宋体" w:hAnsi="宋体" w:cs="宋体"/>
          <w:sz w:val="24"/>
          <w:highlight w:val="none"/>
          <w:u w:val="dotted"/>
        </w:rPr>
        <w:t>/代理机构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F68FCE3">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669DE50">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024048A2">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AE760D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CF905CD">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9E67BD9">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315AB10">
      <w:pPr>
        <w:spacing w:line="360" w:lineRule="auto"/>
        <w:rPr>
          <w:rFonts w:ascii="宋体" w:hAnsi="宋体" w:cs="宋体"/>
          <w:sz w:val="24"/>
          <w:highlight w:val="none"/>
          <w:u w:val="dotted"/>
        </w:rPr>
      </w:pPr>
      <w:r>
        <w:rPr>
          <w:rFonts w:hint="eastAsia" w:ascii="宋体" w:hAnsi="宋体" w:cs="宋体"/>
          <w:sz w:val="24"/>
          <w:highlight w:val="none"/>
        </w:rPr>
        <w:t>投诉事项2</w:t>
      </w:r>
      <w:r>
        <w:rPr>
          <w:rFonts w:hint="eastAsia" w:ascii="宋体" w:hAnsi="宋体" w:cs="宋体"/>
          <w:sz w:val="24"/>
          <w:highlight w:val="none"/>
          <w:lang w:eastAsia="zh-CN"/>
        </w:rPr>
        <w:t>：</w:t>
      </w:r>
      <w:r>
        <w:rPr>
          <w:rFonts w:hint="eastAsia" w:ascii="宋体" w:hAnsi="宋体" w:cs="宋体"/>
          <w:sz w:val="24"/>
          <w:highlight w:val="none"/>
        </w:rPr>
        <w:t>……</w:t>
      </w:r>
    </w:p>
    <w:p w14:paraId="4E5D46A6">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27E07C0">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29EFDA9">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F6E97C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79D2273">
      <w:pPr>
        <w:spacing w:line="360" w:lineRule="auto"/>
        <w:rPr>
          <w:rFonts w:ascii="宋体" w:hAnsi="宋体" w:cs="宋体"/>
          <w:b/>
          <w:sz w:val="24"/>
          <w:highlight w:val="none"/>
        </w:rPr>
      </w:pPr>
      <w:r>
        <w:rPr>
          <w:rFonts w:hint="eastAsia" w:ascii="宋体" w:hAnsi="宋体" w:cs="宋体"/>
          <w:sz w:val="24"/>
          <w:highlight w:val="none"/>
        </w:rPr>
        <w:t xml:space="preserve">日期：    </w:t>
      </w:r>
    </w:p>
    <w:p w14:paraId="5D07426B">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B212AF8">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B72EA71">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3AB0744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3845102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3FABC8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6AB54E9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B612AB2">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A05618B">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5B87826B">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99D4DE2">
      <w:pPr>
        <w:spacing w:line="360" w:lineRule="auto"/>
        <w:rPr>
          <w:rFonts w:ascii="宋体" w:hAnsi="宋体" w:cs="宋体"/>
          <w:sz w:val="24"/>
          <w:highlight w:val="none"/>
          <w:u w:val="single"/>
        </w:rPr>
      </w:pPr>
    </w:p>
    <w:p w14:paraId="7AAF17CF">
      <w:pPr>
        <w:spacing w:line="360" w:lineRule="auto"/>
        <w:rPr>
          <w:rFonts w:ascii="宋体" w:hAnsi="宋体" w:cs="宋体"/>
          <w:sz w:val="24"/>
          <w:highlight w:val="none"/>
        </w:rPr>
      </w:pPr>
      <w:r>
        <w:rPr>
          <w:rFonts w:hint="eastAsia" w:ascii="宋体" w:hAnsi="宋体" w:cs="宋体"/>
          <w:sz w:val="24"/>
          <w:highlight w:val="none"/>
          <w:u w:val="single"/>
        </w:rPr>
        <w:t>（</w:t>
      </w:r>
      <w:r>
        <w:rPr>
          <w:rFonts w:hint="eastAsia" w:ascii="宋体" w:hAnsi="宋体" w:cs="宋体"/>
          <w:sz w:val="24"/>
          <w:highlight w:val="none"/>
          <w:u w:val="single"/>
          <w:lang w:eastAsia="zh-CN"/>
        </w:rPr>
        <w:t>采购单位</w:t>
      </w:r>
      <w:r>
        <w:rPr>
          <w:rFonts w:hint="eastAsia" w:ascii="宋体" w:hAnsi="宋体" w:cs="宋体"/>
          <w:sz w:val="24"/>
          <w:highlight w:val="none"/>
          <w:u w:val="single"/>
        </w:rPr>
        <w:t>）、（采购代理机构）：</w:t>
      </w:r>
    </w:p>
    <w:p w14:paraId="591F6102">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3BEBCC7">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05E83E7">
      <w:pPr>
        <w:spacing w:line="360" w:lineRule="auto"/>
        <w:ind w:firstLine="494"/>
        <w:rPr>
          <w:rFonts w:ascii="宋体" w:hAnsi="宋体" w:cs="宋体"/>
          <w:sz w:val="24"/>
          <w:highlight w:val="none"/>
        </w:rPr>
      </w:pPr>
    </w:p>
    <w:p w14:paraId="22B9EF43">
      <w:pPr>
        <w:spacing w:line="360" w:lineRule="auto"/>
        <w:ind w:firstLine="494"/>
        <w:rPr>
          <w:rFonts w:ascii="宋体" w:hAnsi="宋体" w:cs="宋体"/>
          <w:sz w:val="24"/>
          <w:highlight w:val="none"/>
        </w:rPr>
      </w:pPr>
    </w:p>
    <w:p w14:paraId="6A5F362D">
      <w:pPr>
        <w:spacing w:line="360" w:lineRule="auto"/>
        <w:rPr>
          <w:rFonts w:ascii="宋体" w:hAnsi="宋体" w:cs="宋体"/>
          <w:sz w:val="24"/>
          <w:highlight w:val="none"/>
        </w:rPr>
      </w:pPr>
    </w:p>
    <w:p w14:paraId="68E9F7C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5E1C6EB4">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6FB0C93">
      <w:pPr>
        <w:rPr>
          <w:rFonts w:ascii="宋体" w:hAnsi="宋体" w:cs="宋体"/>
          <w:sz w:val="24"/>
          <w:highlight w:val="none"/>
        </w:rPr>
      </w:pPr>
      <w:r>
        <w:rPr>
          <w:rFonts w:hint="eastAsia" w:ascii="宋体" w:hAnsi="宋体" w:cs="宋体"/>
          <w:b/>
          <w:bCs/>
          <w:sz w:val="24"/>
          <w:highlight w:val="none"/>
        </w:rPr>
        <w:t>附：</w:t>
      </w:r>
    </w:p>
    <w:p w14:paraId="3090C411">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6F61B068">
      <w:pPr>
        <w:autoSpaceDE w:val="0"/>
        <w:autoSpaceDN w:val="0"/>
        <w:jc w:val="center"/>
        <w:rPr>
          <w:rFonts w:ascii="宋体" w:hAnsi="宋体" w:cs="宋体"/>
          <w:b/>
          <w:spacing w:val="6"/>
          <w:sz w:val="32"/>
          <w:szCs w:val="32"/>
          <w:highlight w:val="none"/>
        </w:rPr>
      </w:pPr>
    </w:p>
    <w:p w14:paraId="778AE00C">
      <w:pPr>
        <w:autoSpaceDE w:val="0"/>
        <w:autoSpaceDN w:val="0"/>
        <w:jc w:val="center"/>
        <w:rPr>
          <w:rFonts w:ascii="宋体" w:hAnsi="宋体" w:cs="宋体"/>
          <w:b/>
          <w:spacing w:val="6"/>
          <w:sz w:val="32"/>
          <w:szCs w:val="32"/>
          <w:highlight w:val="none"/>
        </w:rPr>
      </w:pPr>
    </w:p>
    <w:p w14:paraId="407B195B">
      <w:pPr>
        <w:autoSpaceDE w:val="0"/>
        <w:autoSpaceDN w:val="0"/>
        <w:jc w:val="center"/>
        <w:rPr>
          <w:rFonts w:ascii="宋体" w:hAnsi="宋体" w:cs="宋体"/>
          <w:b/>
          <w:spacing w:val="6"/>
          <w:sz w:val="32"/>
          <w:szCs w:val="32"/>
          <w:highlight w:val="none"/>
        </w:rPr>
      </w:pPr>
    </w:p>
    <w:p w14:paraId="1DE1CE17">
      <w:pPr>
        <w:autoSpaceDE w:val="0"/>
        <w:autoSpaceDN w:val="0"/>
        <w:jc w:val="center"/>
        <w:rPr>
          <w:rFonts w:ascii="宋体" w:hAnsi="宋体" w:cs="宋体"/>
          <w:b/>
          <w:spacing w:val="6"/>
          <w:sz w:val="32"/>
          <w:szCs w:val="32"/>
          <w:highlight w:val="none"/>
        </w:rPr>
      </w:pPr>
    </w:p>
    <w:p w14:paraId="6241E5C3">
      <w:pPr>
        <w:autoSpaceDE w:val="0"/>
        <w:autoSpaceDN w:val="0"/>
        <w:jc w:val="center"/>
        <w:rPr>
          <w:rFonts w:ascii="宋体" w:hAnsi="宋体" w:cs="宋体"/>
          <w:b/>
          <w:spacing w:val="6"/>
          <w:sz w:val="32"/>
          <w:szCs w:val="32"/>
          <w:highlight w:val="none"/>
        </w:rPr>
      </w:pPr>
    </w:p>
    <w:p w14:paraId="4A46250D">
      <w:pPr>
        <w:autoSpaceDE w:val="0"/>
        <w:autoSpaceDN w:val="0"/>
        <w:jc w:val="center"/>
        <w:rPr>
          <w:rFonts w:ascii="宋体" w:hAnsi="宋体" w:cs="宋体"/>
          <w:b/>
          <w:spacing w:val="6"/>
          <w:sz w:val="32"/>
          <w:szCs w:val="32"/>
          <w:highlight w:val="none"/>
        </w:rPr>
      </w:pPr>
    </w:p>
    <w:p w14:paraId="31CC0600">
      <w:pPr>
        <w:autoSpaceDE w:val="0"/>
        <w:autoSpaceDN w:val="0"/>
        <w:jc w:val="center"/>
        <w:rPr>
          <w:rFonts w:ascii="宋体" w:hAnsi="宋体" w:cs="宋体"/>
          <w:b/>
          <w:spacing w:val="6"/>
          <w:sz w:val="32"/>
          <w:szCs w:val="32"/>
          <w:highlight w:val="none"/>
        </w:rPr>
      </w:pPr>
    </w:p>
    <w:p w14:paraId="7A953C4B">
      <w:pPr>
        <w:autoSpaceDE w:val="0"/>
        <w:autoSpaceDN w:val="0"/>
        <w:jc w:val="center"/>
        <w:rPr>
          <w:rFonts w:ascii="宋体" w:hAnsi="宋体" w:cs="宋体"/>
          <w:b/>
          <w:spacing w:val="6"/>
          <w:sz w:val="32"/>
          <w:szCs w:val="32"/>
          <w:highlight w:val="none"/>
        </w:rPr>
      </w:pPr>
    </w:p>
    <w:p w14:paraId="3159C2BE">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42C5A403">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425AD16B">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781496F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4C97269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2A6AB8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授权代表根据招标文件规定及投标内容而对采购单位、采购代理机构所作的任何合法承诺，包括书面澄清及相应等均对联合投标各方产生约束力。</w:t>
      </w:r>
    </w:p>
    <w:p w14:paraId="66C435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0C6B6D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A4611C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FCA858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7DD7CAB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5042E15">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00"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00"/>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01"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01"/>
      <w:r>
        <w:rPr>
          <w:rFonts w:hint="eastAsia" w:ascii="宋体" w:hAnsi="宋体" w:cs="宋体"/>
          <w:b/>
          <w:kern w:val="0"/>
          <w:sz w:val="24"/>
          <w:highlight w:val="none"/>
          <w:lang w:val="zh-CN"/>
        </w:rPr>
        <w:t>）</w:t>
      </w:r>
    </w:p>
    <w:p w14:paraId="4184411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02"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02"/>
    </w:p>
    <w:p w14:paraId="45DBE2B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w:t>
      </w:r>
      <w:r>
        <w:rPr>
          <w:rFonts w:hint="eastAsia" w:ascii="宋体" w:hAnsi="宋体" w:cs="宋体"/>
          <w:sz w:val="24"/>
          <w:highlight w:val="none"/>
          <w:lang w:eastAsia="zh-CN"/>
        </w:rPr>
        <w:t>采购单位</w:t>
      </w:r>
      <w:r>
        <w:rPr>
          <w:rFonts w:hint="eastAsia" w:ascii="宋体" w:hAnsi="宋体" w:cs="宋体"/>
          <w:sz w:val="24"/>
          <w:highlight w:val="none"/>
        </w:rPr>
        <w:t>签订合同，并就采购合同约定的事项对</w:t>
      </w:r>
      <w:r>
        <w:rPr>
          <w:rFonts w:hint="eastAsia" w:ascii="宋体" w:hAnsi="宋体" w:cs="宋体"/>
          <w:sz w:val="24"/>
          <w:highlight w:val="none"/>
          <w:lang w:eastAsia="zh-CN"/>
        </w:rPr>
        <w:t>采购单位</w:t>
      </w:r>
      <w:r>
        <w:rPr>
          <w:rFonts w:hint="eastAsia" w:ascii="宋体" w:hAnsi="宋体" w:cs="宋体"/>
          <w:sz w:val="24"/>
          <w:highlight w:val="none"/>
        </w:rPr>
        <w:t>承担连带责任。</w:t>
      </w:r>
    </w:p>
    <w:p w14:paraId="69A768D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32D68A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4CA95B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128F4A2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3、本协议提交采购单位、采购代理机构后，联合体各方不得以任何形式对上述内容进行修改或撤销。</w:t>
      </w:r>
    </w:p>
    <w:p w14:paraId="2673FE6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A32895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4C5547B">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B95CD2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300C9CB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494F451">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2F9C3649">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4E321F39">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w:t>
      </w:r>
      <w:r>
        <w:rPr>
          <w:rFonts w:hint="eastAsia" w:ascii="宋体" w:hAnsi="宋体" w:cs="宋体"/>
          <w:b/>
          <w:sz w:val="24"/>
          <w:highlight w:val="none"/>
          <w:lang w:eastAsia="zh-CN"/>
        </w:rPr>
        <w:t>采购单位</w:t>
      </w:r>
      <w:r>
        <w:rPr>
          <w:rFonts w:hint="eastAsia" w:ascii="宋体" w:hAnsi="宋体" w:cs="宋体"/>
          <w:b/>
          <w:sz w:val="24"/>
          <w:highlight w:val="none"/>
        </w:rPr>
        <w:t>不同意分包或者投标人中标后不以分包方式履行合同的，则不需要提供。</w:t>
      </w:r>
      <w:r>
        <w:rPr>
          <w:rFonts w:hint="eastAsia" w:ascii="宋体" w:hAnsi="宋体" w:cs="宋体"/>
          <w:sz w:val="24"/>
          <w:highlight w:val="none"/>
        </w:rPr>
        <w:t>）</w:t>
      </w:r>
    </w:p>
    <w:p w14:paraId="7BEC1B1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90269E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603C10C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7D5D902">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26EACD3E">
      <w:pPr>
        <w:rPr>
          <w:highlight w:val="none"/>
        </w:rPr>
      </w:pPr>
      <w:r>
        <w:rPr>
          <w:rFonts w:hint="eastAsia"/>
          <w:highlight w:val="none"/>
          <w:lang w:val="zh-CN"/>
        </w:rPr>
        <w:t xml:space="preserve"> </w:t>
      </w:r>
    </w:p>
    <w:p w14:paraId="261ADB6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C0C3B55">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4FB7C93">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46D15C5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3A60C0AD">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BE21E1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27DEBCE7">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3FDC84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CA11AE4">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06EDDAA2">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7A927663">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818722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60A455F1">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702CC5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4226DDE6">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347AF388">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986C3AF">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735FBF3">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6E0FE7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6B8E49B">
      <w:pPr>
        <w:rPr>
          <w:rFonts w:ascii="宋体" w:hAnsi="宋体" w:cs="宋体"/>
          <w:b/>
          <w:sz w:val="36"/>
          <w:szCs w:val="20"/>
          <w:highlight w:val="none"/>
        </w:rPr>
      </w:pPr>
      <w:r>
        <w:rPr>
          <w:rFonts w:hint="eastAsia" w:ascii="宋体" w:hAnsi="宋体" w:cs="宋体"/>
          <w:b/>
          <w:sz w:val="36"/>
          <w:szCs w:val="20"/>
          <w:highlight w:val="none"/>
        </w:rPr>
        <w:br w:type="page"/>
      </w:r>
    </w:p>
    <w:p w14:paraId="19EC0A20">
      <w:pPr>
        <w:spacing w:line="360" w:lineRule="auto"/>
        <w:jc w:val="left"/>
        <w:outlineLvl w:val="0"/>
        <w:rPr>
          <w:rFonts w:ascii="宋体" w:hAnsi="宋体" w:cs="宋体"/>
          <w:b/>
          <w:sz w:val="32"/>
          <w:szCs w:val="18"/>
          <w:highlight w:val="none"/>
        </w:rPr>
      </w:pPr>
      <w:r>
        <w:rPr>
          <w:rFonts w:hint="eastAsia" w:ascii="宋体" w:hAnsi="宋体" w:cs="宋体"/>
          <w:b/>
          <w:sz w:val="32"/>
          <w:szCs w:val="18"/>
          <w:highlight w:val="none"/>
        </w:rPr>
        <w:t>附件</w:t>
      </w:r>
      <w:r>
        <w:rPr>
          <w:rFonts w:ascii="宋体" w:hAnsi="宋体" w:cs="宋体"/>
          <w:b/>
          <w:sz w:val="32"/>
          <w:szCs w:val="18"/>
          <w:highlight w:val="none"/>
        </w:rPr>
        <w:t>7</w:t>
      </w:r>
      <w:r>
        <w:rPr>
          <w:rFonts w:hint="eastAsia" w:ascii="宋体" w:hAnsi="宋体" w:cs="宋体"/>
          <w:b/>
          <w:sz w:val="32"/>
          <w:szCs w:val="18"/>
          <w:highlight w:val="none"/>
        </w:rPr>
        <w:t>：中小企业声明函</w:t>
      </w:r>
    </w:p>
    <w:p w14:paraId="5EFEB82C">
      <w:pPr>
        <w:spacing w:line="360" w:lineRule="auto"/>
        <w:jc w:val="center"/>
        <w:rPr>
          <w:rFonts w:ascii="宋体" w:hAnsi="宋体" w:cs="宋体"/>
          <w:sz w:val="24"/>
          <w:highlight w:val="none"/>
          <w:u w:val="single"/>
        </w:rPr>
      </w:pPr>
    </w:p>
    <w:p w14:paraId="139C3FB4">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7CC919CE">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w:t>
      </w:r>
      <w:r>
        <w:rPr>
          <w:rFonts w:hint="eastAsia" w:ascii="宋体" w:hAnsi="宋体" w:cs="宋体"/>
          <w:sz w:val="24"/>
          <w:highlight w:val="none"/>
          <w:u w:val="single"/>
          <w:lang w:eastAsia="zh-CN"/>
        </w:rPr>
        <w:t>采购单位</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13844E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B49F4B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0494B3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69F0F1B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A59D38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195FCC8">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6F93155A">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30E9438B">
      <w:pPr>
        <w:spacing w:line="360" w:lineRule="auto"/>
        <w:ind w:firstLine="310"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684B5D98">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6FBB1B2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highlight w:val="none"/>
          <w:lang w:eastAsia="zh-CN"/>
        </w:rPr>
        <w:t>。</w:t>
      </w:r>
    </w:p>
    <w:p w14:paraId="19EC3D31">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F17D69">
      <w:pPr>
        <w:rPr>
          <w:highlight w:val="none"/>
        </w:rPr>
      </w:pPr>
      <w:r>
        <w:rPr>
          <w:rFonts w:hint="eastAsia"/>
          <w:highlight w:val="none"/>
        </w:rPr>
        <w:br w:type="page"/>
      </w:r>
    </w:p>
    <w:p w14:paraId="085620AD">
      <w:pPr>
        <w:pStyle w:val="3"/>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highlight w:val="none"/>
        </w:rPr>
        <w:t>附件</w:t>
      </w:r>
      <w:r>
        <w:rPr>
          <w:rFonts w:hint="eastAsia" w:asciiTheme="minorEastAsia" w:hAnsiTheme="minorEastAsia" w:eastAsiaTheme="minorEastAsia" w:cstheme="minorEastAsia"/>
          <w:highlight w:val="none"/>
          <w:lang w:val="en-US"/>
        </w:rPr>
        <w:t>8</w:t>
      </w:r>
      <w:r>
        <w:rPr>
          <w:rFonts w:hint="eastAsia" w:asciiTheme="minorEastAsia" w:hAnsiTheme="minorEastAsia" w:eastAsiaTheme="minorEastAsia" w:cstheme="minorEastAsia"/>
          <w:highlight w:val="none"/>
        </w:rPr>
        <w:t>样品（演示）授权委托书</w:t>
      </w:r>
    </w:p>
    <w:p w14:paraId="6EA91F9F">
      <w:pPr>
        <w:jc w:val="center"/>
        <w:rPr>
          <w:sz w:val="40"/>
          <w:highlight w:val="none"/>
        </w:rPr>
      </w:pPr>
      <w:r>
        <w:rPr>
          <w:rFonts w:hint="eastAsia"/>
          <w:sz w:val="40"/>
          <w:highlight w:val="none"/>
        </w:rPr>
        <w:t>样品（演示）授权委托书</w:t>
      </w:r>
    </w:p>
    <w:p w14:paraId="20A3815A">
      <w:pPr>
        <w:jc w:val="center"/>
        <w:rPr>
          <w:sz w:val="40"/>
          <w:highlight w:val="none"/>
        </w:rPr>
      </w:pPr>
    </w:p>
    <w:p w14:paraId="766FBF15">
      <w:pPr>
        <w:snapToGrid w:val="0"/>
        <w:spacing w:line="360" w:lineRule="auto"/>
        <w:rPr>
          <w:rFonts w:cs="仿宋"/>
          <w:highlight w:val="none"/>
        </w:rPr>
      </w:pPr>
      <w:r>
        <w:rPr>
          <w:rFonts w:hint="eastAsia" w:cs="仿宋_GB2312"/>
          <w:highlight w:val="none"/>
        </w:rPr>
        <w:t>XXX（单位名称或采购机构名称）</w:t>
      </w:r>
      <w:r>
        <w:rPr>
          <w:rFonts w:hint="eastAsia" w:cs="仿宋"/>
          <w:highlight w:val="none"/>
          <w:lang w:val="zh-CN"/>
        </w:rPr>
        <w:t>：</w:t>
      </w:r>
    </w:p>
    <w:p w14:paraId="0F7AB936">
      <w:pPr>
        <w:snapToGrid w:val="0"/>
        <w:spacing w:line="360" w:lineRule="auto"/>
        <w:ind w:left="254" w:leftChars="121" w:firstLine="420" w:firstLineChars="200"/>
        <w:rPr>
          <w:rFonts w:cs="仿宋"/>
          <w:highlight w:val="none"/>
          <w:u w:val="single"/>
          <w:lang w:val="zh-CN"/>
        </w:rPr>
      </w:pPr>
      <w:r>
        <w:rPr>
          <w:rFonts w:hint="eastAsia" w:cs="仿宋"/>
          <w:highlight w:val="none"/>
          <w:lang w:val="zh-CN"/>
        </w:rPr>
        <w:t>兹委派</w:t>
      </w:r>
      <w:r>
        <w:rPr>
          <w:rFonts w:hint="eastAsia" w:cs="仿宋"/>
          <w:highlight w:val="none"/>
          <w:u w:val="single"/>
          <w:lang w:val="zh-CN"/>
        </w:rPr>
        <w:t xml:space="preserve">                </w:t>
      </w:r>
      <w:r>
        <w:rPr>
          <w:rFonts w:hint="eastAsia" w:cs="仿宋"/>
          <w:highlight w:val="none"/>
          <w:lang w:val="zh-CN"/>
        </w:rPr>
        <w:t>先生/女士，身份证号：</w:t>
      </w:r>
      <w:r>
        <w:rPr>
          <w:rFonts w:hint="eastAsia" w:cs="仿宋"/>
          <w:highlight w:val="none"/>
          <w:u w:val="single"/>
          <w:lang w:val="zh-CN"/>
        </w:rPr>
        <w:t xml:space="preserve"> </w:t>
      </w:r>
      <w:r>
        <w:rPr>
          <w:rFonts w:cs="仿宋"/>
          <w:highlight w:val="none"/>
          <w:u w:val="single"/>
          <w:lang w:val="zh-CN"/>
        </w:rPr>
        <w:t xml:space="preserve">                  </w:t>
      </w:r>
    </w:p>
    <w:p w14:paraId="6A5A45E8">
      <w:pPr>
        <w:snapToGrid w:val="0"/>
        <w:spacing w:line="360" w:lineRule="auto"/>
        <w:ind w:left="254" w:leftChars="121" w:firstLine="420" w:firstLineChars="200"/>
        <w:rPr>
          <w:rFonts w:cs="仿宋"/>
          <w:highlight w:val="none"/>
        </w:rPr>
      </w:pPr>
      <w:r>
        <w:rPr>
          <w:rFonts w:hint="eastAsia" w:cs="仿宋"/>
          <w:highlight w:val="none"/>
          <w:lang w:val="zh-CN"/>
        </w:rPr>
        <w:t>手机：</w:t>
      </w:r>
      <w:r>
        <w:rPr>
          <w:rFonts w:hint="eastAsia" w:cs="仿宋"/>
          <w:highlight w:val="none"/>
          <w:u w:val="single"/>
          <w:lang w:val="zh-CN"/>
        </w:rPr>
        <w:t xml:space="preserve">      </w:t>
      </w:r>
      <w:r>
        <w:rPr>
          <w:rFonts w:cs="仿宋"/>
          <w:highlight w:val="none"/>
          <w:u w:val="single"/>
          <w:lang w:val="zh-CN"/>
        </w:rPr>
        <w:t xml:space="preserve">     </w:t>
      </w:r>
      <w:r>
        <w:rPr>
          <w:rFonts w:hint="eastAsia" w:cs="仿宋"/>
          <w:highlight w:val="none"/>
          <w:u w:val="single"/>
          <w:lang w:val="zh-CN"/>
        </w:rPr>
        <w:t xml:space="preserve">  </w:t>
      </w:r>
      <w:r>
        <w:rPr>
          <w:rFonts w:hint="eastAsia" w:cs="仿宋"/>
          <w:highlight w:val="none"/>
          <w:lang w:val="zh-CN"/>
        </w:rPr>
        <w:t>，代表我公司前来递交</w:t>
      </w:r>
      <w:r>
        <w:rPr>
          <w:rFonts w:cs="仿宋"/>
          <w:highlight w:val="none"/>
          <w:u w:val="single"/>
          <w:lang w:val="zh-CN"/>
        </w:rPr>
        <w:t xml:space="preserve">                           </w:t>
      </w:r>
      <w:r>
        <w:rPr>
          <w:rFonts w:hint="eastAsia" w:cs="仿宋"/>
          <w:highlight w:val="none"/>
          <w:u w:val="single"/>
          <w:lang w:val="zh-CN"/>
        </w:rPr>
        <w:t>采购项目</w:t>
      </w:r>
      <w:r>
        <w:rPr>
          <w:rFonts w:hint="eastAsia" w:cs="仿宋"/>
          <w:highlight w:val="none"/>
          <w:lang w:val="zh-CN"/>
        </w:rPr>
        <w:t>【项目编号：</w:t>
      </w:r>
      <w:r>
        <w:rPr>
          <w:rFonts w:cs="仿宋"/>
          <w:highlight w:val="none"/>
          <w:lang w:val="zh-CN"/>
        </w:rPr>
        <w:t xml:space="preserve">              </w:t>
      </w:r>
      <w:r>
        <w:rPr>
          <w:rFonts w:hint="eastAsia" w:cs="仿宋"/>
          <w:highlight w:val="none"/>
          <w:lang w:val="zh-CN"/>
        </w:rPr>
        <w:t xml:space="preserve">】（标项号： </w:t>
      </w:r>
      <w:r>
        <w:rPr>
          <w:rFonts w:cs="仿宋"/>
          <w:highlight w:val="none"/>
          <w:lang w:val="zh-CN"/>
        </w:rPr>
        <w:t xml:space="preserve"> </w:t>
      </w:r>
      <w:r>
        <w:rPr>
          <w:rFonts w:hint="eastAsia" w:cs="仿宋"/>
          <w:highlight w:val="none"/>
          <w:lang w:val="zh-CN"/>
        </w:rPr>
        <w:t>）投标样品或参加演示，并全权负责标后取回样品等其他处理事宜。</w:t>
      </w:r>
    </w:p>
    <w:p w14:paraId="78091712">
      <w:pPr>
        <w:snapToGrid w:val="0"/>
        <w:spacing w:line="360" w:lineRule="auto"/>
        <w:rPr>
          <w:rFonts w:cs="仿宋"/>
          <w:highlight w:val="none"/>
          <w:lang w:val="zh-CN"/>
        </w:rPr>
      </w:pPr>
      <w:r>
        <w:rPr>
          <w:rFonts w:hint="eastAsia" w:cs="仿宋"/>
          <w:highlight w:val="none"/>
          <w:lang w:val="zh-CN"/>
        </w:rPr>
        <w:t xml:space="preserve">  </w:t>
      </w:r>
    </w:p>
    <w:p w14:paraId="4BFA163E">
      <w:pPr>
        <w:snapToGrid w:val="0"/>
        <w:spacing w:line="360" w:lineRule="auto"/>
        <w:rPr>
          <w:rFonts w:cs="仿宋"/>
          <w:highlight w:val="none"/>
        </w:rPr>
      </w:pPr>
      <w:r>
        <w:rPr>
          <w:rFonts w:hint="eastAsia" w:cs="仿宋"/>
          <w:highlight w:val="none"/>
          <w:lang w:val="zh-CN"/>
        </w:rPr>
        <w:t xml:space="preserve">    特此告知。</w:t>
      </w:r>
    </w:p>
    <w:p w14:paraId="57210B8A">
      <w:pPr>
        <w:snapToGrid w:val="0"/>
        <w:spacing w:line="360" w:lineRule="auto"/>
        <w:rPr>
          <w:rFonts w:cs="仿宋"/>
          <w:highlight w:val="none"/>
        </w:rPr>
      </w:pPr>
      <w:r>
        <w:rPr>
          <w:rFonts w:hint="eastAsia" w:cs="仿宋"/>
          <w:highlight w:val="none"/>
          <w:lang w:val="zh-CN"/>
        </w:rPr>
        <w:t xml:space="preserve">                                                  投标人名称(公章)：</w:t>
      </w:r>
    </w:p>
    <w:p w14:paraId="2299061F">
      <w:pPr>
        <w:snapToGrid w:val="0"/>
        <w:spacing w:line="360" w:lineRule="auto"/>
        <w:rPr>
          <w:rFonts w:cs="仿宋"/>
          <w:highlight w:val="none"/>
        </w:rPr>
      </w:pPr>
      <w:r>
        <w:rPr>
          <w:rFonts w:hint="eastAsia" w:cs="仿宋"/>
          <w:highlight w:val="none"/>
          <w:lang w:val="zh-CN"/>
        </w:rPr>
        <w:t xml:space="preserve">                                                  </w:t>
      </w:r>
    </w:p>
    <w:p w14:paraId="4060D1DF">
      <w:pPr>
        <w:snapToGrid w:val="0"/>
        <w:spacing w:line="360" w:lineRule="auto"/>
        <w:ind w:right="240"/>
        <w:jc w:val="right"/>
        <w:rPr>
          <w:rFonts w:cs="仿宋"/>
          <w:highlight w:val="none"/>
          <w:lang w:val="zh-CN"/>
        </w:rPr>
      </w:pPr>
      <w:r>
        <w:rPr>
          <w:rFonts w:hint="eastAsia" w:cs="仿宋"/>
          <w:highlight w:val="none"/>
          <w:lang w:val="zh-CN"/>
        </w:rPr>
        <w:t>签发日期：  年  月   日</w:t>
      </w:r>
    </w:p>
    <w:p w14:paraId="28612E1E">
      <w:pPr>
        <w:snapToGrid w:val="0"/>
        <w:spacing w:line="360" w:lineRule="auto"/>
        <w:ind w:right="240"/>
        <w:jc w:val="right"/>
        <w:rPr>
          <w:rFonts w:cs="仿宋"/>
          <w:highlight w:val="none"/>
          <w:lang w:val="zh-CN"/>
        </w:rPr>
      </w:pPr>
    </w:p>
    <w:p w14:paraId="3BEF508A">
      <w:pPr>
        <w:snapToGrid w:val="0"/>
        <w:spacing w:line="360" w:lineRule="auto"/>
        <w:ind w:right="1920"/>
        <w:rPr>
          <w:rFonts w:cs="仿宋"/>
          <w:highlight w:val="none"/>
          <w:lang w:val="zh-CN"/>
        </w:rPr>
      </w:pPr>
    </w:p>
    <w:p w14:paraId="34752D64">
      <w:pPr>
        <w:snapToGrid w:val="0"/>
        <w:spacing w:line="360" w:lineRule="auto"/>
        <w:ind w:right="240"/>
        <w:jc w:val="right"/>
        <w:rPr>
          <w:rFonts w:cs="仿宋"/>
          <w:highlight w:val="none"/>
          <w:lang w:val="zh-CN"/>
        </w:rPr>
      </w:pPr>
    </w:p>
    <w:p w14:paraId="7C5D8446">
      <w:pPr>
        <w:snapToGrid w:val="0"/>
        <w:spacing w:line="360" w:lineRule="auto"/>
        <w:ind w:right="240"/>
        <w:rPr>
          <w:rFonts w:cs="仿宋"/>
          <w:highlight w:val="none"/>
          <w:lang w:val="zh-CN"/>
        </w:rPr>
      </w:pPr>
      <w:r>
        <w:rPr>
          <w:rFonts w:hint="eastAsia" w:cs="仿宋"/>
          <w:highlight w:val="none"/>
        </w:rPr>
        <w:t>受委托人</w:t>
      </w:r>
      <w:r>
        <w:rPr>
          <w:rFonts w:hint="eastAsia" w:cs="仿宋"/>
          <w:highlight w:val="none"/>
          <w:lang w:val="zh-CN"/>
        </w:rPr>
        <w:t>身份证复印件：</w:t>
      </w:r>
    </w:p>
    <w:p w14:paraId="5F53AEC5">
      <w:pPr>
        <w:snapToGrid w:val="0"/>
        <w:spacing w:line="360" w:lineRule="auto"/>
        <w:ind w:right="240"/>
        <w:rPr>
          <w:rFonts w:cs="仿宋"/>
          <w:highlight w:val="none"/>
          <w:lang w:val="zh-CN"/>
        </w:rPr>
      </w:pPr>
    </w:p>
    <w:p w14:paraId="4BA95FAA">
      <w:pPr>
        <w:snapToGrid w:val="0"/>
        <w:spacing w:line="360" w:lineRule="auto"/>
        <w:ind w:right="240"/>
        <w:rPr>
          <w:rFonts w:cs="仿宋"/>
          <w:highlight w:val="none"/>
          <w:lang w:val="zh-CN"/>
        </w:rPr>
      </w:pPr>
      <w:r>
        <w:rPr>
          <w:rFonts w:hint="eastAsia" w:cs="仿宋"/>
          <w:highlight w:val="none"/>
          <w:lang w:val="zh-CN"/>
        </w:rPr>
        <w:t>说明：本委托书在有样品或演示时由受委托人携带至指定地点。</w:t>
      </w:r>
    </w:p>
    <w:p w14:paraId="6153E1E4">
      <w:pPr>
        <w:spacing w:line="360" w:lineRule="auto"/>
        <w:rPr>
          <w:rFonts w:ascii="宋体" w:hAnsi="宋体" w:cs="宋体"/>
          <w:bCs/>
          <w:sz w:val="24"/>
          <w:highlight w:val="none"/>
        </w:rPr>
      </w:pPr>
      <w:r>
        <w:rPr>
          <w:rFonts w:cs="仿宋_GB2312"/>
          <w:b/>
          <w:highlight w:val="none"/>
        </w:rPr>
        <w:t>同时有样品和演示的</w:t>
      </w:r>
      <w:r>
        <w:rPr>
          <w:rFonts w:hint="eastAsia" w:cs="仿宋_GB2312"/>
          <w:b/>
          <w:highlight w:val="none"/>
        </w:rPr>
        <w:t>，</w:t>
      </w:r>
      <w:r>
        <w:rPr>
          <w:rFonts w:cs="仿宋_GB2312"/>
          <w:b/>
          <w:highlight w:val="none"/>
        </w:rPr>
        <w:t>可委托不同人员</w:t>
      </w:r>
      <w:r>
        <w:rPr>
          <w:rFonts w:hint="eastAsia" w:cs="仿宋_GB2312"/>
          <w:b/>
          <w:highlight w:val="none"/>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Noto Serif SC">
    <w:altName w:val="宋体"/>
    <w:panose1 w:val="02020200000000000000"/>
    <w:charset w:val="86"/>
    <w:family w:val="auto"/>
    <w:pitch w:val="default"/>
    <w:sig w:usb0="00000000" w:usb1="0000000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A234">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304E">
    <w:pPr>
      <w:pStyle w:val="43"/>
      <w:framePr w:wrap="around" w:vAnchor="text" w:hAnchor="margin" w:xAlign="right" w:y="1"/>
      <w:rPr>
        <w:rStyle w:val="76"/>
      </w:rPr>
    </w:pPr>
    <w:r>
      <w:fldChar w:fldCharType="begin"/>
    </w:r>
    <w:r>
      <w:rPr>
        <w:rStyle w:val="76"/>
      </w:rPr>
      <w:instrText xml:space="preserve">PAGE  </w:instrText>
    </w:r>
    <w:r>
      <w:fldChar w:fldCharType="end"/>
    </w:r>
  </w:p>
  <w:p w14:paraId="03BC46DE">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D2CB1">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3" w:name="_Toc164085800"/>
    <w:bookmarkStart w:id="504" w:name="_Toc91899912"/>
    <w:bookmarkStart w:id="505" w:name="_Toc36110187"/>
    <w:bookmarkStart w:id="506" w:name="_Toc131845147"/>
    <w:r>
      <w:rPr>
        <w:rFonts w:hint="eastAsia" w:ascii="仿宋_GB2312" w:eastAsia="仿宋_GB2312"/>
        <w:kern w:val="0"/>
        <w:szCs w:val="21"/>
      </w:rPr>
      <w:t xml:space="preserve"> 页</w:t>
    </w:r>
    <w:bookmarkEnd w:id="503"/>
    <w:bookmarkEnd w:id="504"/>
    <w:bookmarkEnd w:id="505"/>
    <w:bookmarkEnd w:id="5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1F8C">
    <w:pPr>
      <w:pStyle w:val="44"/>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D453">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2"/>
      <w:numFmt w:val="decimal"/>
      <w:suff w:val="nothing"/>
      <w:lvlText w:val="（%1）"/>
      <w:lvlJc w:val="left"/>
    </w:lvl>
  </w:abstractNum>
  <w:abstractNum w:abstractNumId="1">
    <w:nsid w:val="99CF4C88"/>
    <w:multiLevelType w:val="singleLevel"/>
    <w:tmpl w:val="99CF4C88"/>
    <w:lvl w:ilvl="0" w:tentative="0">
      <w:start w:val="1"/>
      <w:numFmt w:val="decimal"/>
      <w:suff w:val="nothing"/>
      <w:lvlText w:val="%1、"/>
      <w:lvlJc w:val="left"/>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948B23F"/>
    <w:multiLevelType w:val="singleLevel"/>
    <w:tmpl w:val="D948B23F"/>
    <w:lvl w:ilvl="0" w:tentative="0">
      <w:start w:val="2"/>
      <w:numFmt w:val="decimal"/>
      <w:lvlText w:val="%1."/>
      <w:lvlJc w:val="left"/>
      <w:pPr>
        <w:tabs>
          <w:tab w:val="left" w:pos="312"/>
        </w:tabs>
      </w:pPr>
    </w:lvl>
  </w:abstractNum>
  <w:abstractNum w:abstractNumId="5">
    <w:nsid w:val="DF7B5DEF"/>
    <w:multiLevelType w:val="singleLevel"/>
    <w:tmpl w:val="DF7B5DEF"/>
    <w:lvl w:ilvl="0" w:tentative="0">
      <w:start w:val="5"/>
      <w:numFmt w:val="chineseCounting"/>
      <w:suff w:val="space"/>
      <w:lvlText w:val="第%1部分"/>
      <w:lvlJc w:val="left"/>
      <w:rPr>
        <w:rFonts w:hint="eastAsia"/>
      </w:r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3"/>
  </w:num>
  <w:num w:numId="2">
    <w:abstractNumId w:val="8"/>
  </w:num>
  <w:num w:numId="3">
    <w:abstractNumId w:val="7"/>
  </w:num>
  <w:num w:numId="4">
    <w:abstractNumId w:val="10"/>
  </w:num>
  <w:num w:numId="5">
    <w:abstractNumId w:val="6"/>
  </w:num>
  <w:num w:numId="6">
    <w:abstractNumId w:val="2"/>
  </w:num>
  <w:num w:numId="7">
    <w:abstractNumId w:val="1"/>
  </w:num>
  <w:num w:numId="8">
    <w:abstractNumId w:val="9"/>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483060"/>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669ED"/>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F0019"/>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10BD5"/>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8AF2287"/>
    <w:rsid w:val="19932372"/>
    <w:rsid w:val="19A20DD5"/>
    <w:rsid w:val="19AE03F1"/>
    <w:rsid w:val="1A071A03"/>
    <w:rsid w:val="1A1F16AE"/>
    <w:rsid w:val="1A3B5C77"/>
    <w:rsid w:val="1A984BAD"/>
    <w:rsid w:val="1AB8220E"/>
    <w:rsid w:val="1AD25654"/>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78481E"/>
    <w:rsid w:val="258B00E2"/>
    <w:rsid w:val="25A917A6"/>
    <w:rsid w:val="25BE27CC"/>
    <w:rsid w:val="25F74A5C"/>
    <w:rsid w:val="2628662C"/>
    <w:rsid w:val="262D45DE"/>
    <w:rsid w:val="26871DC8"/>
    <w:rsid w:val="26A53EF9"/>
    <w:rsid w:val="26A94201"/>
    <w:rsid w:val="26AC274F"/>
    <w:rsid w:val="27044A29"/>
    <w:rsid w:val="271D34C8"/>
    <w:rsid w:val="276142BF"/>
    <w:rsid w:val="27783712"/>
    <w:rsid w:val="277F117F"/>
    <w:rsid w:val="27907362"/>
    <w:rsid w:val="28333E1D"/>
    <w:rsid w:val="28454BD6"/>
    <w:rsid w:val="28455253"/>
    <w:rsid w:val="28551971"/>
    <w:rsid w:val="285B1C53"/>
    <w:rsid w:val="289F7086"/>
    <w:rsid w:val="28C32028"/>
    <w:rsid w:val="28CC490F"/>
    <w:rsid w:val="28DE40AA"/>
    <w:rsid w:val="28F7233C"/>
    <w:rsid w:val="29345E77"/>
    <w:rsid w:val="294C65AD"/>
    <w:rsid w:val="29806583"/>
    <w:rsid w:val="298B3C4C"/>
    <w:rsid w:val="29F26D24"/>
    <w:rsid w:val="2A15033F"/>
    <w:rsid w:val="2A1662C1"/>
    <w:rsid w:val="2A1C7367"/>
    <w:rsid w:val="2A2815FA"/>
    <w:rsid w:val="2A6D6092"/>
    <w:rsid w:val="2A7D76B4"/>
    <w:rsid w:val="2B437463"/>
    <w:rsid w:val="2B5D2C79"/>
    <w:rsid w:val="2B7807EE"/>
    <w:rsid w:val="2B8D5E01"/>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EE4C5B"/>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7B44E"/>
    <w:rsid w:val="34986E94"/>
    <w:rsid w:val="34AF62C9"/>
    <w:rsid w:val="34CB4388"/>
    <w:rsid w:val="34FA6E12"/>
    <w:rsid w:val="354D7158"/>
    <w:rsid w:val="358D5588"/>
    <w:rsid w:val="36331F7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5AA7E"/>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DFC3A9"/>
    <w:rsid w:val="3DE041CB"/>
    <w:rsid w:val="3E0D48F6"/>
    <w:rsid w:val="3E1868B4"/>
    <w:rsid w:val="3E377251"/>
    <w:rsid w:val="3E42664B"/>
    <w:rsid w:val="3E5A7334"/>
    <w:rsid w:val="3E7B5D6B"/>
    <w:rsid w:val="3E843E66"/>
    <w:rsid w:val="3E8F51FE"/>
    <w:rsid w:val="3E926F87"/>
    <w:rsid w:val="3E9A59DE"/>
    <w:rsid w:val="3EAF4836"/>
    <w:rsid w:val="3EC33DFA"/>
    <w:rsid w:val="3EF76B36"/>
    <w:rsid w:val="3EF9DF22"/>
    <w:rsid w:val="3F060E16"/>
    <w:rsid w:val="3F1D1096"/>
    <w:rsid w:val="3F1F0523"/>
    <w:rsid w:val="3F2F0234"/>
    <w:rsid w:val="3F6363FE"/>
    <w:rsid w:val="3F756B8F"/>
    <w:rsid w:val="3F77BA1B"/>
    <w:rsid w:val="3F95482B"/>
    <w:rsid w:val="3FDD8BEE"/>
    <w:rsid w:val="4019356B"/>
    <w:rsid w:val="40592157"/>
    <w:rsid w:val="406E1CAE"/>
    <w:rsid w:val="40A0133A"/>
    <w:rsid w:val="40C31A53"/>
    <w:rsid w:val="40F167F2"/>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E8D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87EC9"/>
    <w:rsid w:val="4AB82D0F"/>
    <w:rsid w:val="4AEB7664"/>
    <w:rsid w:val="4AFD7C19"/>
    <w:rsid w:val="4B0567D1"/>
    <w:rsid w:val="4B236AAE"/>
    <w:rsid w:val="4B363761"/>
    <w:rsid w:val="4B707271"/>
    <w:rsid w:val="4B9739F7"/>
    <w:rsid w:val="4BBE0E50"/>
    <w:rsid w:val="4BEE2503"/>
    <w:rsid w:val="4C245A30"/>
    <w:rsid w:val="4C687687"/>
    <w:rsid w:val="4CB6685F"/>
    <w:rsid w:val="4CC367FE"/>
    <w:rsid w:val="4CE1040F"/>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0FF5413"/>
    <w:rsid w:val="510D65B7"/>
    <w:rsid w:val="511157AB"/>
    <w:rsid w:val="5142540C"/>
    <w:rsid w:val="518832C8"/>
    <w:rsid w:val="519D3C50"/>
    <w:rsid w:val="51A0432A"/>
    <w:rsid w:val="51A86090"/>
    <w:rsid w:val="51B7396D"/>
    <w:rsid w:val="51BA04A8"/>
    <w:rsid w:val="51C56C81"/>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7995C"/>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C4453"/>
    <w:rsid w:val="5DAD38EE"/>
    <w:rsid w:val="5DDDF534"/>
    <w:rsid w:val="5DFF4E2C"/>
    <w:rsid w:val="5E006862"/>
    <w:rsid w:val="5E0207B9"/>
    <w:rsid w:val="5E1834A1"/>
    <w:rsid w:val="5E261785"/>
    <w:rsid w:val="5E4A7017"/>
    <w:rsid w:val="5E552BBA"/>
    <w:rsid w:val="5E5BBE29"/>
    <w:rsid w:val="5E5EE878"/>
    <w:rsid w:val="5E611C10"/>
    <w:rsid w:val="5E7A0F3F"/>
    <w:rsid w:val="5EFC7377"/>
    <w:rsid w:val="5F06174D"/>
    <w:rsid w:val="5F3A3602"/>
    <w:rsid w:val="5F45733B"/>
    <w:rsid w:val="5F6277C6"/>
    <w:rsid w:val="5F6D0B1D"/>
    <w:rsid w:val="5F7FE197"/>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0E163C"/>
    <w:rsid w:val="66195831"/>
    <w:rsid w:val="66201508"/>
    <w:rsid w:val="662E75B1"/>
    <w:rsid w:val="66342C2E"/>
    <w:rsid w:val="663E784C"/>
    <w:rsid w:val="668B6A45"/>
    <w:rsid w:val="67011F07"/>
    <w:rsid w:val="671E381A"/>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F3DE7"/>
    <w:rsid w:val="6BDBAC02"/>
    <w:rsid w:val="6BFB7BD7"/>
    <w:rsid w:val="6C196F71"/>
    <w:rsid w:val="6C226FCB"/>
    <w:rsid w:val="6C31226F"/>
    <w:rsid w:val="6C552F0B"/>
    <w:rsid w:val="6C7F73FB"/>
    <w:rsid w:val="6C8C67B7"/>
    <w:rsid w:val="6C9D744C"/>
    <w:rsid w:val="6D167928"/>
    <w:rsid w:val="6D26299B"/>
    <w:rsid w:val="6D4772EC"/>
    <w:rsid w:val="6D9078AF"/>
    <w:rsid w:val="6DAA3FEF"/>
    <w:rsid w:val="6DB70E45"/>
    <w:rsid w:val="6DC0172B"/>
    <w:rsid w:val="6DCB690C"/>
    <w:rsid w:val="6DD41A5B"/>
    <w:rsid w:val="6DF43C2E"/>
    <w:rsid w:val="6DF51CA3"/>
    <w:rsid w:val="6E637A09"/>
    <w:rsid w:val="6E8335BD"/>
    <w:rsid w:val="6E8E12EF"/>
    <w:rsid w:val="6E972936"/>
    <w:rsid w:val="6ED446C5"/>
    <w:rsid w:val="6F2A7D94"/>
    <w:rsid w:val="6F8331F1"/>
    <w:rsid w:val="6F8833D3"/>
    <w:rsid w:val="6FAE1A09"/>
    <w:rsid w:val="6FD75BF8"/>
    <w:rsid w:val="6FEF3390"/>
    <w:rsid w:val="6FFD17C8"/>
    <w:rsid w:val="6FFF64E7"/>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AC532B"/>
    <w:rsid w:val="74F55FD8"/>
    <w:rsid w:val="75067759"/>
    <w:rsid w:val="752E6DCD"/>
    <w:rsid w:val="7551380D"/>
    <w:rsid w:val="75600BE5"/>
    <w:rsid w:val="7564475C"/>
    <w:rsid w:val="7583797F"/>
    <w:rsid w:val="75D20F1D"/>
    <w:rsid w:val="75DA2C18"/>
    <w:rsid w:val="75F54412"/>
    <w:rsid w:val="75FF5EAF"/>
    <w:rsid w:val="761D08E0"/>
    <w:rsid w:val="765D347C"/>
    <w:rsid w:val="76826699"/>
    <w:rsid w:val="76AC76C7"/>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80487"/>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64FDC"/>
    <w:rsid w:val="7B257FFD"/>
    <w:rsid w:val="7B273D20"/>
    <w:rsid w:val="7B343476"/>
    <w:rsid w:val="7B5A2978"/>
    <w:rsid w:val="7B5A7E4C"/>
    <w:rsid w:val="7B667AF9"/>
    <w:rsid w:val="7B7468F8"/>
    <w:rsid w:val="7BBFDD06"/>
    <w:rsid w:val="7BDEF6E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7E8E7A"/>
    <w:rsid w:val="7DB57A34"/>
    <w:rsid w:val="7DE60973"/>
    <w:rsid w:val="7DEF0916"/>
    <w:rsid w:val="7E1E5218"/>
    <w:rsid w:val="7E7B42A6"/>
    <w:rsid w:val="7E9A4E1F"/>
    <w:rsid w:val="7EA7723A"/>
    <w:rsid w:val="7EF56FBB"/>
    <w:rsid w:val="7F0768EB"/>
    <w:rsid w:val="7F143BEC"/>
    <w:rsid w:val="7F37DCF5"/>
    <w:rsid w:val="7F576FAB"/>
    <w:rsid w:val="7F6D163E"/>
    <w:rsid w:val="7F715AF2"/>
    <w:rsid w:val="7F886E69"/>
    <w:rsid w:val="7F97B74F"/>
    <w:rsid w:val="7FD741D8"/>
    <w:rsid w:val="9BDE5002"/>
    <w:rsid w:val="AFDF3D28"/>
    <w:rsid w:val="B0AF4287"/>
    <w:rsid w:val="B7DF22BB"/>
    <w:rsid w:val="B8F60908"/>
    <w:rsid w:val="BB7FA927"/>
    <w:rsid w:val="BE0F2857"/>
    <w:rsid w:val="BEBF311E"/>
    <w:rsid w:val="BF2FAD32"/>
    <w:rsid w:val="C543CA59"/>
    <w:rsid w:val="CBFFA3DF"/>
    <w:rsid w:val="CEBF54DA"/>
    <w:rsid w:val="CFAFAAE9"/>
    <w:rsid w:val="D6FFE47A"/>
    <w:rsid w:val="D9FF5421"/>
    <w:rsid w:val="DDFDF59C"/>
    <w:rsid w:val="DF3F4D9B"/>
    <w:rsid w:val="DF6F3E08"/>
    <w:rsid w:val="DFEB9272"/>
    <w:rsid w:val="DFF6FDF2"/>
    <w:rsid w:val="E7BBCDBD"/>
    <w:rsid w:val="EBFEEDD7"/>
    <w:rsid w:val="ED772B5B"/>
    <w:rsid w:val="EEDF459F"/>
    <w:rsid w:val="EF7F4D6A"/>
    <w:rsid w:val="EFFE7506"/>
    <w:rsid w:val="F1FFBFF6"/>
    <w:rsid w:val="F27FF48C"/>
    <w:rsid w:val="F2DFFEB4"/>
    <w:rsid w:val="F3FD7809"/>
    <w:rsid w:val="F3FE54A2"/>
    <w:rsid w:val="F3FF9110"/>
    <w:rsid w:val="F5FFD31F"/>
    <w:rsid w:val="F77570A8"/>
    <w:rsid w:val="FABD8FF3"/>
    <w:rsid w:val="FB5F814E"/>
    <w:rsid w:val="FBDD923A"/>
    <w:rsid w:val="FBFFD752"/>
    <w:rsid w:val="FCF3511A"/>
    <w:rsid w:val="FDA76847"/>
    <w:rsid w:val="FDF0B6B9"/>
    <w:rsid w:val="FE7C51FA"/>
    <w:rsid w:val="FEBA9B71"/>
    <w:rsid w:val="FED70BA0"/>
    <w:rsid w:val="FEEF3922"/>
    <w:rsid w:val="FF7E5C00"/>
    <w:rsid w:val="FF7F66A9"/>
    <w:rsid w:val="FF9B2B49"/>
    <w:rsid w:val="FFA58880"/>
    <w:rsid w:val="FFF34B72"/>
    <w:rsid w:val="FFFB4159"/>
    <w:rsid w:val="FFFF87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一级条标题"/>
    <w:basedOn w:val="25"/>
    <w:next w:val="26"/>
    <w:qFormat/>
    <w:uiPriority w:val="0"/>
    <w:pPr>
      <w:tabs>
        <w:tab w:val="left" w:pos="1260"/>
        <w:tab w:val="left" w:pos="1680"/>
      </w:tabs>
      <w:spacing w:before="0" w:beforeLines="0" w:after="0" w:afterLines="0"/>
      <w:ind w:left="1680"/>
      <w:outlineLvl w:val="2"/>
    </w:pPr>
  </w:style>
  <w:style w:type="paragraph" w:customStyle="1" w:styleId="25">
    <w:name w:val="章标题"/>
    <w:next w:val="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7">
    <w:name w:val="Body Text Indent"/>
    <w:basedOn w:val="1"/>
    <w:next w:val="28"/>
    <w:link w:val="266"/>
    <w:qFormat/>
    <w:uiPriority w:val="0"/>
    <w:pPr>
      <w:spacing w:line="480" w:lineRule="exact"/>
      <w:ind w:firstLine="480" w:firstLineChars="200"/>
    </w:pPr>
    <w:rPr>
      <w:rFonts w:ascii="宋体" w:hAnsi="宋体"/>
      <w:sz w:val="24"/>
    </w:rPr>
  </w:style>
  <w:style w:type="paragraph" w:customStyle="1" w:styleId="28">
    <w:name w:val="公文标题 3"/>
    <w:autoRedefine/>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7"/>
    <w:qFormat/>
    <w:uiPriority w:val="0"/>
    <w:rPr>
      <w:b/>
      <w:bCs/>
    </w:rPr>
  </w:style>
  <w:style w:type="paragraph" w:styleId="64">
    <w:name w:val="Body Text First Indent"/>
    <w:basedOn w:val="23"/>
    <w:next w:val="1"/>
    <w:link w:val="322"/>
    <w:qFormat/>
    <w:uiPriority w:val="0"/>
    <w:pPr>
      <w:ind w:firstLine="420"/>
    </w:pPr>
    <w:rPr>
      <w:rFonts w:hAnsi="Calibri" w:cs="Times New Roman"/>
      <w:snapToGrid/>
      <w:szCs w:val="20"/>
    </w:rPr>
  </w:style>
  <w:style w:type="paragraph" w:styleId="65">
    <w:name w:val="Body Text First Indent 2"/>
    <w:basedOn w:val="27"/>
    <w:link w:val="122"/>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字符"/>
    <w:link w:val="65"/>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3"/>
    <w:qFormat/>
    <w:uiPriority w:val="0"/>
    <w:rPr>
      <w:rFonts w:ascii="Arial" w:hAnsi="Arial" w:eastAsia="黑体" w:cs="Arial"/>
      <w:snapToGrid w:val="0"/>
      <w:kern w:val="0"/>
      <w:szCs w:val="21"/>
    </w:rPr>
  </w:style>
  <w:style w:type="character" w:customStyle="1" w:styleId="126">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9"/>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60"/>
    <w:qFormat/>
    <w:uiPriority w:val="0"/>
    <w:rPr>
      <w:rFonts w:ascii="黑体" w:hAnsi="Courier New" w:eastAsia="黑体"/>
    </w:rPr>
  </w:style>
  <w:style w:type="character" w:customStyle="1" w:styleId="303">
    <w:name w:val="正文文本 2 字符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6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3"/>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3"/>
    <w:qFormat/>
    <w:uiPriority w:val="0"/>
    <w:rPr>
      <w:rFonts w:ascii="Arial" w:hAnsi="Arial" w:eastAsia="黑体" w:cs="Arial"/>
      <w:snapToGrid w:val="0"/>
      <w:kern w:val="0"/>
      <w:szCs w:val="21"/>
    </w:rPr>
  </w:style>
  <w:style w:type="character" w:customStyle="1" w:styleId="433">
    <w:name w:val="hui"/>
    <w:basedOn w:val="7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1"/>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26"/>
    <w:qFormat/>
    <w:uiPriority w:val="0"/>
    <w:pPr>
      <w:tabs>
        <w:tab w:val="left" w:pos="1260"/>
        <w:tab w:val="left" w:pos="1680"/>
        <w:tab w:val="left" w:pos="2100"/>
        <w:tab w:val="left" w:pos="2520"/>
      </w:tabs>
      <w:ind w:left="2520"/>
      <w:outlineLvl w:val="4"/>
    </w:pPr>
  </w:style>
  <w:style w:type="paragraph" w:customStyle="1" w:styleId="656">
    <w:name w:val="二级条标题"/>
    <w:basedOn w:val="24"/>
    <w:next w:val="26"/>
    <w:qFormat/>
    <w:uiPriority w:val="0"/>
    <w:pPr>
      <w:tabs>
        <w:tab w:val="left" w:pos="2100"/>
      </w:tabs>
      <w:ind w:left="0"/>
      <w:outlineLvl w:val="3"/>
    </w:p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26"/>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5"/>
    <w:next w:val="26"/>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5"/>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9"/>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3"/>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1"/>
    <w:qFormat/>
    <w:uiPriority w:val="0"/>
    <w:rPr>
      <w:kern w:val="2"/>
      <w:sz w:val="21"/>
      <w:szCs w:val="24"/>
      <w:lang w:val="zh-CN"/>
    </w:rPr>
  </w:style>
  <w:style w:type="character" w:customStyle="1" w:styleId="931">
    <w:name w:val="无间隔 字符"/>
    <w:link w:val="484"/>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3"/>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Normal]"/>
    <w:qFormat/>
    <w:uiPriority w:val="0"/>
    <w:rPr>
      <w:rFonts w:ascii="宋体" w:hAnsi="宋体" w:eastAsia="宋体" w:cs="Times New Roman"/>
      <w:sz w:val="24"/>
      <w:szCs w:val="22"/>
      <w:lang w:val="zh-CN"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365</Words>
  <Characters>398</Characters>
  <Lines>295</Lines>
  <Paragraphs>83</Paragraphs>
  <TotalTime>62</TotalTime>
  <ScaleCrop>false</ScaleCrop>
  <LinksUpToDate>false</LinksUpToDate>
  <CharactersWithSpaces>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北极熊不吃鱼</cp:lastModifiedBy>
  <cp:lastPrinted>2025-02-13T14:52:00Z</cp:lastPrinted>
  <dcterms:modified xsi:type="dcterms:W3CDTF">2025-06-27T14:05:28Z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384442902C534D20AE3FB4DF3B2027BC_13</vt:lpwstr>
  </property>
  <property fmtid="{D5CDD505-2E9C-101B-9397-08002B2CF9AE}" pid="5" name="KSOTemplateDocerSaveRecord">
    <vt:lpwstr>eyJoZGlkIjoiYzY5ZTZjNGMwYTE1OTM4NzljZGQ2YzFhZGY0ZDg2NTkiLCJ1c2VySWQiOiIzNTYxMDIxMDMifQ==</vt:lpwstr>
  </property>
</Properties>
</file>