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eastAsia="宋体" w:cs="宋体"/>
          <w:sz w:val="48"/>
          <w:szCs w:val="48"/>
          <w:lang w:val="en-US" w:eastAsia="zh-CN"/>
        </w:rPr>
      </w:pPr>
      <w:r>
        <w:rPr>
          <w:rFonts w:hint="eastAsia" w:ascii="宋体" w:hAnsi="宋体" w:cs="宋体"/>
          <w:sz w:val="48"/>
          <w:szCs w:val="48"/>
          <w:lang w:eastAsia="zh-CN"/>
        </w:rPr>
        <w:t>余杭区无人机防御系统建设项目</w:t>
      </w: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编号:HZHSCG2023-010</w:t>
      </w:r>
      <w:r>
        <w:rPr>
          <w:rFonts w:hint="eastAsia" w:ascii="宋体" w:hAnsi="宋体" w:cs="宋体"/>
          <w:sz w:val="30"/>
          <w:szCs w:val="30"/>
          <w:lang w:val="en-US" w:eastAsia="zh-CN"/>
        </w:rPr>
        <w:t xml:space="preserve">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color w:val="0000FF"/>
          <w:sz w:val="32"/>
          <w:szCs w:val="32"/>
        </w:rPr>
      </w:pPr>
    </w:p>
    <w:p>
      <w:pPr>
        <w:snapToGrid w:val="0"/>
        <w:spacing w:line="360" w:lineRule="auto"/>
        <w:jc w:val="center"/>
        <w:rPr>
          <w:rFonts w:hint="eastAsia" w:ascii="宋体" w:hAnsi="宋体" w:cs="宋体"/>
          <w:color w:val="0000FF"/>
          <w:sz w:val="32"/>
          <w:szCs w:val="32"/>
        </w:rPr>
      </w:pPr>
    </w:p>
    <w:p>
      <w:pPr>
        <w:snapToGrid w:val="0"/>
        <w:spacing w:line="360" w:lineRule="auto"/>
        <w:jc w:val="center"/>
        <w:rPr>
          <w:rFonts w:hint="eastAsia" w:ascii="宋体" w:hAnsi="宋体" w:cs="宋体"/>
          <w:color w:val="0000FF"/>
          <w:sz w:val="32"/>
          <w:szCs w:val="32"/>
        </w:rPr>
      </w:pPr>
    </w:p>
    <w:p>
      <w:pPr>
        <w:spacing w:line="360" w:lineRule="auto"/>
        <w:jc w:val="center"/>
        <w:rPr>
          <w:rFonts w:hint="eastAsia" w:ascii="宋体" w:hAnsi="宋体" w:cs="宋体"/>
          <w:bCs/>
          <w:sz w:val="32"/>
          <w:szCs w:val="32"/>
        </w:rPr>
      </w:pPr>
      <w:r>
        <w:rPr>
          <w:rFonts w:hint="eastAsia" w:ascii="宋体" w:hAnsi="宋体" w:cs="宋体"/>
          <w:bCs/>
          <w:sz w:val="32"/>
          <w:szCs w:val="32"/>
        </w:rPr>
        <w:t xml:space="preserve"> 杭州市公安局余杭区分局</w:t>
      </w:r>
    </w:p>
    <w:p>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杭州华厦建筑咨询有限公司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0000FF"/>
          <w:sz w:val="24"/>
          <w:u w:val="single"/>
        </w:rPr>
        <w:t>（</w:t>
      </w:r>
      <w:r>
        <w:rPr>
          <w:rFonts w:hint="eastAsia" w:cs="仿宋_GB2312" w:asciiTheme="minorEastAsia" w:hAnsiTheme="minorEastAsia" w:eastAsiaTheme="minorEastAsia"/>
          <w:color w:val="0000FF"/>
          <w:sz w:val="24"/>
          <w:u w:val="single"/>
          <w:lang w:eastAsia="zh-CN"/>
        </w:rPr>
        <w:t>余杭区无人机防御系统建设项目</w:t>
      </w:r>
      <w:r>
        <w:rPr>
          <w:rFonts w:hint="eastAsia" w:cs="仿宋_GB2312" w:asciiTheme="minorEastAsia" w:hAnsiTheme="minorEastAsia" w:eastAsiaTheme="minorEastAsia"/>
          <w:color w:val="0000FF"/>
          <w:sz w:val="24"/>
          <w:u w:val="single"/>
        </w:rPr>
        <w:t>）</w:t>
      </w:r>
      <w:r>
        <w:rPr>
          <w:rFonts w:hint="eastAsia" w:asciiTheme="minorEastAsia" w:hAnsiTheme="minorEastAsia" w:eastAsiaTheme="minorEastAsia"/>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8</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3</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45</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rPr>
      </w:pPr>
      <w:r>
        <w:rPr>
          <w:rFonts w:hint="eastAsia" w:ascii="宋体" w:hAnsi="宋体" w:cs="宋体"/>
          <w:b/>
          <w:sz w:val="24"/>
        </w:rPr>
        <w:t>项目编号：HZHSCG2023-010</w:t>
      </w:r>
    </w:p>
    <w:p>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
          <w:sz w:val="24"/>
          <w:lang w:eastAsia="zh-CN"/>
        </w:rPr>
        <w:t>余杭区无人机防御系统建设项目</w:t>
      </w:r>
    </w:p>
    <w:p>
      <w:pPr>
        <w:spacing w:line="360" w:lineRule="auto"/>
        <w:rPr>
          <w:rFonts w:hint="default" w:ascii="宋体" w:hAnsi="宋体" w:cs="宋体"/>
          <w:color w:val="auto"/>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color w:val="auto"/>
          <w:sz w:val="24"/>
          <w:lang w:val="en-US" w:eastAsia="zh-CN"/>
        </w:rPr>
        <w:t>2141900</w:t>
      </w:r>
    </w:p>
    <w:p>
      <w:pPr>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最高限价（元）：2058199</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余杭区无人机防御系统建设项目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highlight w:val="yellow"/>
          <w:lang w:val="en-US" w:eastAsia="zh-CN"/>
        </w:rPr>
        <w:t>采购无人机防御系统</w:t>
      </w:r>
      <w:r>
        <w:rPr>
          <w:rFonts w:hint="eastAsia" w:hAnsi="宋体" w:cs="宋体"/>
          <w:bCs/>
          <w:snapToGrid/>
          <w:color w:val="0000FF"/>
          <w:kern w:val="2"/>
          <w:sz w:val="24"/>
          <w:szCs w:val="24"/>
          <w:highlight w:val="yellow"/>
        </w:rPr>
        <w:t>。</w:t>
      </w:r>
      <w:r>
        <w:rPr>
          <w:rFonts w:hint="eastAsia" w:asciiTheme="minorEastAsia" w:hAnsiTheme="minorEastAsia" w:eastAsiaTheme="minorEastAsia"/>
          <w:snapToGrid/>
          <w:color w:val="auto"/>
          <w:kern w:val="2"/>
          <w:sz w:val="24"/>
          <w:szCs w:val="24"/>
        </w:rPr>
        <w:t>具体以招标文件第三部分采购需求为准。</w:t>
      </w:r>
    </w:p>
    <w:p>
      <w:pPr>
        <w:pStyle w:val="134"/>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color w:val="0000FF"/>
        </w:rPr>
        <w:t xml:space="preserve"> </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sz w:val="24"/>
        </w:rPr>
        <w:t>货物全部由符合政策要求的中小企业制造，提供中小企业声明函；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lang w:val="en-US" w:eastAsia="zh-CN"/>
        </w:rPr>
        <w:t>50</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w:t>
      </w:r>
      <w:r>
        <w:rPr>
          <w:rFonts w:hint="eastAsia" w:ascii="宋体" w:hAnsi="宋体" w:cs="宋体"/>
          <w:b/>
          <w:color w:val="auto"/>
          <w:sz w:val="24"/>
        </w:rPr>
        <w:t xml:space="preserve">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45</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45</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hint="eastAsia" w:ascii="宋体" w:hAnsi="宋体" w:cs="宋体"/>
          <w:color w:val="auto"/>
          <w:sz w:val="24"/>
        </w:rPr>
      </w:pPr>
      <w:r>
        <w:rPr>
          <w:rFonts w:hint="eastAsia" w:ascii="宋体" w:hAnsi="宋体" w:cs="宋体"/>
          <w:color w:val="auto"/>
          <w:sz w:val="24"/>
        </w:rPr>
        <w:t>名    称：杭州市公安局余杭区分局</w:t>
      </w:r>
    </w:p>
    <w:p>
      <w:pPr>
        <w:spacing w:line="360" w:lineRule="auto"/>
        <w:ind w:firstLine="480"/>
        <w:rPr>
          <w:rFonts w:ascii="宋体" w:hAnsi="宋体" w:cs="宋体"/>
          <w:color w:val="auto"/>
          <w:sz w:val="24"/>
        </w:rPr>
      </w:pPr>
      <w:r>
        <w:rPr>
          <w:rFonts w:hint="eastAsia" w:ascii="宋体" w:hAnsi="宋体" w:cs="宋体"/>
          <w:color w:val="auto"/>
          <w:sz w:val="24"/>
        </w:rPr>
        <w:t xml:space="preserve">地    址： 五常街道西贝路52-8号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hint="default" w:ascii="宋体" w:hAnsi="宋体" w:cs="宋体"/>
          <w:color w:val="auto"/>
          <w:sz w:val="24"/>
          <w:lang w:val="en-US"/>
        </w:rPr>
      </w:pPr>
      <w:r>
        <w:rPr>
          <w:rFonts w:hint="eastAsia" w:ascii="宋体" w:hAnsi="宋体" w:cs="宋体"/>
          <w:color w:val="auto"/>
          <w:sz w:val="24"/>
        </w:rPr>
        <w:t>项目联系人（询问）：</w:t>
      </w:r>
      <w:r>
        <w:rPr>
          <w:rFonts w:hint="eastAsia" w:ascii="宋体" w:hAnsi="宋体" w:cs="宋体"/>
          <w:color w:val="auto"/>
          <w:sz w:val="24"/>
          <w:lang w:val="en-US" w:eastAsia="zh-CN"/>
        </w:rPr>
        <w:t xml:space="preserve">  朱程敏</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 xml:space="preserve">0571-88728177  </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 xml:space="preserve"> 蔡征宇</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eastAsia="宋体" w:cs="宋体"/>
          <w:color w:val="auto"/>
          <w:sz w:val="24"/>
          <w:szCs w:val="24"/>
          <w:lang w:val="en-US" w:eastAsia="zh-CN"/>
        </w:rPr>
        <w:t>0571-87285526</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杭州华厦建筑咨询有限公司</w:t>
      </w:r>
    </w:p>
    <w:p>
      <w:pPr>
        <w:spacing w:line="360" w:lineRule="auto"/>
        <w:ind w:firstLine="480"/>
        <w:rPr>
          <w:rFonts w:hint="default" w:ascii="宋体" w:hAnsi="宋体" w:eastAsia="宋体" w:cs="宋体"/>
          <w:sz w:val="24"/>
          <w:highlight w:val="yellow"/>
          <w:lang w:val="en-US" w:eastAsia="zh-CN"/>
        </w:rPr>
      </w:pPr>
      <w:r>
        <w:rPr>
          <w:rFonts w:hint="eastAsia" w:ascii="宋体" w:hAnsi="宋体" w:cs="宋体"/>
          <w:sz w:val="24"/>
        </w:rPr>
        <w:t>地    址：</w:t>
      </w:r>
      <w:r>
        <w:rPr>
          <w:rFonts w:hint="eastAsia" w:ascii="宋体" w:hAnsi="宋体" w:cs="宋体"/>
          <w:sz w:val="24"/>
          <w:highlight w:val="yellow"/>
        </w:rPr>
        <w:t>杭州市余杭区瓶窑镇瓶仓大道966号2幢506</w:t>
      </w:r>
      <w:r>
        <w:rPr>
          <w:rFonts w:hint="eastAsia" w:ascii="宋体" w:hAnsi="宋体" w:cs="宋体"/>
          <w:sz w:val="24"/>
          <w:highlight w:val="yellow"/>
          <w:lang w:val="en-US" w:eastAsia="zh-CN"/>
        </w:rPr>
        <w:t>-2</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梁雨清</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13616517085</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何工</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0571-89089909</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    称：余杭区政府采购办公室</w:t>
      </w:r>
    </w:p>
    <w:p>
      <w:pPr>
        <w:spacing w:line="360" w:lineRule="auto"/>
        <w:rPr>
          <w:rFonts w:ascii="宋体" w:hAnsi="宋体" w:cs="宋体"/>
          <w:sz w:val="24"/>
        </w:rPr>
      </w:pPr>
      <w:r>
        <w:rPr>
          <w:rFonts w:hint="eastAsia" w:ascii="宋体" w:hAnsi="宋体" w:cs="宋体"/>
          <w:sz w:val="24"/>
        </w:rPr>
        <w:t xml:space="preserve">    地    址：</w:t>
      </w:r>
      <w:r>
        <w:rPr>
          <w:rFonts w:hint="eastAsia"/>
          <w:sz w:val="24"/>
          <w:highlight w:val="none"/>
          <w:lang w:val="en-US" w:eastAsia="zh-CN"/>
        </w:rPr>
        <w:t>杭州市余杭区文一西路1500号</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ind w:firstLine="787" w:firstLineChars="328"/>
        <w:rPr>
          <w:rFonts w:hint="eastAsia" w:ascii="宋体" w:hAnsi="宋体" w:cs="宋体"/>
          <w:sz w:val="24"/>
        </w:rPr>
      </w:pPr>
      <w:r>
        <w:rPr>
          <w:rFonts w:hint="eastAsia" w:ascii="宋体" w:hAnsi="宋体" w:cs="宋体"/>
          <w:sz w:val="24"/>
        </w:rPr>
        <w:t>联系人 ：杜国强</w:t>
      </w:r>
    </w:p>
    <w:p>
      <w:pPr>
        <w:spacing w:line="360" w:lineRule="auto"/>
        <w:ind w:firstLine="480"/>
        <w:rPr>
          <w:rFonts w:hint="eastAsia" w:ascii="宋体" w:hAnsi="宋体" w:cs="宋体"/>
          <w:sz w:val="24"/>
        </w:rPr>
      </w:pPr>
      <w:r>
        <w:rPr>
          <w:rFonts w:hint="eastAsia" w:ascii="宋体" w:hAnsi="宋体" w:cs="宋体"/>
          <w:sz w:val="24"/>
        </w:rPr>
        <w:t>监督投诉电话：0571-</w:t>
      </w:r>
      <w:r>
        <w:rPr>
          <w:rFonts w:hint="eastAsia" w:ascii="宋体" w:hAnsi="宋体" w:cs="宋体"/>
          <w:sz w:val="24"/>
          <w:lang w:val="en-US" w:eastAsia="zh-CN"/>
        </w:rPr>
        <w:t>88728858</w:t>
      </w:r>
      <w:r>
        <w:rPr>
          <w:rFonts w:hint="eastAsia" w:ascii="宋体" w:hAnsi="宋体" w:cs="宋体"/>
          <w:sz w:val="24"/>
        </w:rPr>
        <w:t xml:space="preserve">   </w:t>
      </w:r>
    </w:p>
    <w:p>
      <w:pPr>
        <w:spacing w:line="360" w:lineRule="auto"/>
        <w:ind w:firstLine="480"/>
        <w:rPr>
          <w:rFonts w:ascii="宋体" w:hAnsi="宋体" w:cs="宋体"/>
          <w:sz w:val="24"/>
        </w:rPr>
      </w:pPr>
    </w:p>
    <w:p>
      <w:pPr>
        <w:pStyle w:val="24"/>
      </w:pPr>
    </w:p>
    <w:p/>
    <w:p>
      <w:pPr>
        <w:pStyle w:val="24"/>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lang w:eastAsia="zh-CN"/>
              </w:rPr>
              <w:t>余杭区无人机防御系统建设项目</w:t>
            </w:r>
            <w:r>
              <w:rPr>
                <w:rFonts w:hint="eastAsia" w:ascii="宋体" w:hAnsi="宋体" w:cs="宋体"/>
                <w:color w:val="auto"/>
                <w:kern w:val="0"/>
                <w:sz w:val="24"/>
              </w:rPr>
              <w:t>，属于其他未列明行业；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相关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lang w:val="en-US" w:eastAsia="zh-CN"/>
              </w:rPr>
              <w:t>2023年  月  日</w:t>
            </w:r>
            <w:r>
              <w:rPr>
                <w:rFonts w:hint="eastAsia" w:ascii="宋体" w:hAnsi="宋体" w:cs="宋体"/>
                <w:color w:val="auto"/>
                <w:sz w:val="24"/>
              </w:rPr>
              <w:t>,地点：</w:t>
            </w:r>
            <w:r>
              <w:rPr>
                <w:rFonts w:hint="eastAsia" w:ascii="宋体" w:hAnsi="宋体" w:cs="宋体"/>
                <w:color w:val="auto"/>
                <w:sz w:val="24"/>
                <w:u w:val="single"/>
                <w:lang w:val="en-US" w:eastAsia="zh-CN"/>
              </w:rPr>
              <w:t xml:space="preserve">  </w:t>
            </w:r>
            <w:r>
              <w:rPr>
                <w:rFonts w:hint="eastAsia" w:ascii="宋体" w:hAnsi="宋体" w:cs="宋体"/>
                <w:color w:val="auto"/>
                <w:sz w:val="24"/>
              </w:rPr>
              <w:t>，联系人：</w:t>
            </w:r>
            <w:r>
              <w:rPr>
                <w:rFonts w:hint="eastAsia" w:ascii="宋体" w:hAnsi="宋体" w:cs="宋体"/>
                <w:color w:val="auto"/>
                <w:sz w:val="24"/>
                <w:u w:val="single"/>
                <w:lang w:val="en-US" w:eastAsia="zh-CN"/>
              </w:rPr>
              <w:t xml:space="preserve">  </w:t>
            </w:r>
            <w:r>
              <w:rPr>
                <w:rFonts w:hint="eastAsia" w:ascii="宋体" w:hAnsi="宋体" w:cs="宋体"/>
                <w:color w:val="auto"/>
                <w:sz w:val="24"/>
              </w:rPr>
              <w:t>，联系方式：</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rPr>
              <w:t>。</w:t>
            </w:r>
          </w:p>
          <w:p>
            <w:pPr>
              <w:spacing w:line="360" w:lineRule="auto"/>
              <w:rPr>
                <w:rFonts w:hint="default" w:ascii="宋体" w:hAnsi="宋体" w:eastAsia="宋体" w:cs="宋体"/>
                <w:color w:val="auto"/>
                <w:sz w:val="24"/>
                <w:szCs w:val="20"/>
                <w:lang w:val="en-US" w:eastAsia="zh-CN"/>
              </w:rPr>
            </w:pPr>
            <w:r>
              <w:rPr>
                <w:rFonts w:hint="eastAsia" w:ascii="宋体" w:hAnsi="宋体" w:cs="宋体"/>
                <w:color w:val="auto"/>
                <w:sz w:val="24"/>
                <w:szCs w:val="20"/>
                <w:lang w:val="en-US" w:eastAsia="zh-CN"/>
              </w:rPr>
              <w:t>备注：如需现场考察的可根据该时间进行联系项目联系人。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p>
            <w:pPr>
              <w:spacing w:line="360" w:lineRule="auto"/>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lang w:val="en-US" w:eastAsia="zh-CN"/>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lang w:val="en-US" w:eastAsia="zh-CN"/>
              </w:rPr>
              <w:t>详见采购需求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color w:val="auto"/>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是，检测机</w:t>
            </w:r>
            <w:r>
              <w:rPr>
                <w:rFonts w:hint="eastAsia" w:ascii="宋体" w:hAnsi="宋体" w:cs="宋体"/>
                <w:color w:val="auto"/>
                <w:kern w:val="0"/>
                <w:sz w:val="24"/>
              </w:rPr>
              <w:t>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sz w:val="24"/>
              </w:rPr>
            </w:pPr>
            <w:r>
              <w:rPr>
                <w:rFonts w:hint="eastAsia" w:ascii="宋体" w:hAnsi="宋体" w:cs="宋体"/>
                <w:color w:val="auto"/>
                <w:sz w:val="24"/>
              </w:rPr>
              <w:t>（5）提供样品的时间：</w:t>
            </w:r>
            <w:r>
              <w:rPr>
                <w:rFonts w:hint="eastAsia" w:ascii="宋体" w:hAnsi="宋体" w:cs="宋体"/>
                <w:color w:val="auto"/>
                <w:sz w:val="24"/>
                <w:u w:val="single"/>
                <w:lang w:val="en-US" w:eastAsia="zh-CN"/>
              </w:rPr>
              <w:t>2023年  月  日9:00-16:00</w:t>
            </w:r>
            <w:r>
              <w:rPr>
                <w:rFonts w:hint="eastAsia" w:ascii="宋体" w:hAnsi="宋体" w:cs="宋体"/>
                <w:color w:val="auto"/>
                <w:kern w:val="0"/>
                <w:sz w:val="24"/>
              </w:rPr>
              <w:t>；地点：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lang w:val="en-US" w:eastAsia="zh-CN"/>
              </w:rPr>
              <w:t xml:space="preserve">  </w:t>
            </w:r>
            <w:r>
              <w:rPr>
                <w:rFonts w:hint="eastAsia" w:ascii="宋体" w:hAnsi="宋体" w:cs="宋体"/>
                <w:color w:val="auto"/>
                <w:sz w:val="24"/>
              </w:rPr>
              <w:t>。请投</w:t>
            </w:r>
            <w:r>
              <w:rPr>
                <w:rFonts w:hint="eastAsia" w:ascii="宋体" w:hAnsi="宋体" w:cs="宋体"/>
                <w:sz w:val="24"/>
              </w:rPr>
              <w:t>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color w:val="auto"/>
                <w:kern w:val="0"/>
                <w:sz w:val="24"/>
              </w:rPr>
            </w:pPr>
            <w:r>
              <w:rPr>
                <w:rFonts w:hint="eastAsia" w:ascii="宋体" w:hAnsi="宋体" w:cs="宋体"/>
                <w:kern w:val="0"/>
                <w:sz w:val="24"/>
              </w:rPr>
              <w:t>（1）</w:t>
            </w:r>
            <w:r>
              <w:rPr>
                <w:rFonts w:hint="eastAsia" w:ascii="宋体" w:hAnsi="宋体" w:cs="宋体"/>
                <w:color w:val="auto"/>
                <w:kern w:val="0"/>
                <w:sz w:val="24"/>
              </w:rPr>
              <w:t>在评标时安排每个投标人进行方案讲解演示。每个投标人时间不超过</w:t>
            </w:r>
            <w:r>
              <w:rPr>
                <w:rFonts w:hint="eastAsia" w:ascii="宋体" w:hAnsi="宋体" w:cs="宋体"/>
                <w:color w:val="auto"/>
                <w:kern w:val="0"/>
                <w:sz w:val="24"/>
                <w:lang w:val="en-US" w:eastAsia="zh-CN"/>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2</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color w:val="auto"/>
                <w:kern w:val="0"/>
                <w:sz w:val="24"/>
              </w:rPr>
              <w:t>现场讲解演示。现场讲解地点为</w:t>
            </w:r>
            <w:r>
              <w:rPr>
                <w:rFonts w:hint="eastAsia" w:ascii="宋体" w:hAnsi="宋体" w:cs="宋体"/>
                <w:color w:val="auto"/>
                <w:kern w:val="0"/>
                <w:sz w:val="24"/>
                <w:u w:val="single"/>
              </w:rPr>
              <w:t>杭州市余杭区瓶窑镇瓶仓大道966号2幢506—2室</w:t>
            </w:r>
            <w:r>
              <w:rPr>
                <w:rFonts w:hint="eastAsia" w:ascii="宋体" w:hAnsi="宋体" w:cs="宋体"/>
                <w:color w:val="auto"/>
                <w:kern w:val="0"/>
                <w:sz w:val="24"/>
              </w:rPr>
              <w:t>，讲</w:t>
            </w:r>
            <w:r>
              <w:rPr>
                <w:rFonts w:hint="eastAsia" w:ascii="宋体" w:hAnsi="宋体" w:cs="宋体"/>
                <w:kern w:val="0"/>
                <w:sz w:val="24"/>
              </w:rPr>
              <w:t>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9"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备份投标文件送达地点：杭州市余杭区瓶窑镇瓶仓大道966号2幢506；备份投标文件签收人员联系电话：</w:t>
            </w:r>
            <w:r>
              <w:rPr>
                <w:rFonts w:hint="eastAsia" w:hAnsi="宋体" w:cs="宋体"/>
                <w:sz w:val="24"/>
                <w:u w:val="single"/>
                <w:lang w:val="en-US" w:eastAsia="zh-CN"/>
              </w:rPr>
              <w:t>梁雨清、13616517085</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9"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rPr>
            </w:pP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代理费支付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本次代理服务费由中标单位支付，代理费用付款方式参考《关于进一步放开建设项目专业服务价格的通知》（发改价格〔2015〕299号）文件，由中标单位支付给分散采购招标代理单位，投标人在报价时应综合考虑该笔费用。</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w:t>
      </w:r>
      <w:r>
        <w:rPr>
          <w:rFonts w:hint="eastAsia" w:ascii="宋体" w:hAnsi="宋体" w:cs="宋体"/>
          <w:color w:val="auto"/>
          <w:sz w:val="24"/>
        </w:rPr>
        <w:t>项目，以及预留份额政府采购货物项目中的非预留部分标项，对小型和微型企业的投标报价给予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w:t>
      </w:r>
      <w:r>
        <w:rPr>
          <w:rFonts w:hint="eastAsia" w:ascii="宋体" w:hAnsi="宋体" w:cs="宋体"/>
          <w:sz w:val="24"/>
        </w:rPr>
        <w:t>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4"/>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4"/>
        <w:spacing w:before="0"/>
        <w:ind w:firstLine="0" w:firstLineChars="0"/>
        <w:rPr>
          <w:rFonts w:ascii="宋体" w:hAnsi="宋体" w:cs="宋体"/>
          <w:b/>
          <w:szCs w:val="24"/>
        </w:rPr>
      </w:pPr>
      <w:r>
        <w:rPr>
          <w:rFonts w:hint="eastAsia" w:ascii="宋体" w:hAnsi="宋体" w:cs="宋体"/>
          <w:b/>
          <w:szCs w:val="24"/>
        </w:rPr>
        <w:t>20、信用信息查询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4"/>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w:t>
      </w:r>
      <w:r>
        <w:rPr>
          <w:rFonts w:ascii="宋体" w:hAnsi="宋体" w:cs="Times New Roman"/>
          <w:kern w:val="2"/>
          <w:sz w:val="24"/>
          <w:highlight w:val="none"/>
        </w:rPr>
        <w:t>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4"/>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72998"/>
      <w:bookmarkEnd w:id="19"/>
      <w:bookmarkStart w:id="20" w:name="_Hlt75236011"/>
      <w:bookmarkEnd w:id="20"/>
      <w:bookmarkStart w:id="21" w:name="_Hlt68403820"/>
      <w:bookmarkEnd w:id="21"/>
      <w:bookmarkStart w:id="22" w:name="_Hlt74730295"/>
      <w:bookmarkEnd w:id="22"/>
      <w:bookmarkStart w:id="23" w:name="_Hlt75236290"/>
      <w:bookmarkEnd w:id="23"/>
      <w:bookmarkStart w:id="24" w:name="_Hlt74729768"/>
      <w:bookmarkEnd w:id="24"/>
      <w:bookmarkStart w:id="25" w:name="_Hlt75236101"/>
      <w:bookmarkEnd w:id="25"/>
      <w:bookmarkStart w:id="26" w:name="_Hlt74714665"/>
      <w:bookmarkEnd w:id="26"/>
      <w:bookmarkStart w:id="27" w:name="_Hlt68057669"/>
      <w:bookmarkEnd w:id="27"/>
      <w:bookmarkStart w:id="28" w:name="_Hlt74707468"/>
      <w:bookmarkEnd w:id="28"/>
      <w:bookmarkStart w:id="29" w:name="_Hlt68073093"/>
      <w:bookmarkEnd w:id="29"/>
      <w:bookmarkStart w:id="30" w:name="_Hlt68072990"/>
      <w:bookmarkEnd w:id="30"/>
    </w:p>
    <w:bookmarkEnd w:id="13"/>
    <w:bookmarkEnd w:id="14"/>
    <w:p>
      <w:pPr>
        <w:numPr>
          <w:ilvl w:val="0"/>
          <w:numId w:val="1"/>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pPr>
        <w:pStyle w:val="23"/>
        <w:numPr>
          <w:ilvl w:val="0"/>
          <w:numId w:val="0"/>
        </w:numPr>
      </w:pPr>
    </w:p>
    <w:p/>
    <w:p>
      <w:pPr>
        <w:pStyle w:val="2"/>
        <w:tabs>
          <w:tab w:val="left" w:pos="1110"/>
        </w:tabs>
        <w:ind w:left="0" w:firstLine="0"/>
        <w:rPr>
          <w:rFonts w:hint="eastAsia" w:ascii="宋体" w:hAnsi="宋体" w:eastAsia="宋体" w:cs="宋体"/>
          <w:sz w:val="24"/>
          <w:szCs w:val="24"/>
          <w:highlight w:val="none"/>
        </w:rPr>
      </w:pPr>
      <w:r>
        <w:rPr>
          <w:rFonts w:hint="eastAsia" w:ascii="宋体" w:hAnsi="宋体" w:eastAsia="宋体" w:cs="宋体"/>
          <w:sz w:val="24"/>
          <w:szCs w:val="24"/>
          <w:lang w:val="en-US" w:eastAsia="zh-CN"/>
        </w:rPr>
        <w:t>一</w:t>
      </w:r>
      <w:r>
        <w:rPr>
          <w:rFonts w:hint="eastAsia" w:ascii="宋体" w:hAnsi="宋体" w:eastAsia="宋体" w:cs="宋体"/>
          <w:sz w:val="24"/>
          <w:szCs w:val="24"/>
          <w:highlight w:val="none"/>
        </w:rPr>
        <w:t>、采购内容及要求</w:t>
      </w:r>
    </w:p>
    <w:p>
      <w:pPr>
        <w:bidi w:val="0"/>
        <w:spacing w:line="360" w:lineRule="auto"/>
        <w:ind w:firstLine="960" w:firstLineChars="400"/>
        <w:rPr>
          <w:rFonts w:hint="eastAsia" w:eastAsia="宋体"/>
          <w:sz w:val="24"/>
          <w:szCs w:val="24"/>
          <w:highlight w:val="none"/>
          <w:lang w:eastAsia="zh-CN"/>
        </w:rPr>
      </w:pPr>
      <w:r>
        <w:rPr>
          <w:rFonts w:hint="eastAsia"/>
          <w:sz w:val="24"/>
          <w:szCs w:val="24"/>
          <w:highlight w:val="none"/>
          <w:lang w:val="en-US" w:eastAsia="zh-CN"/>
        </w:rPr>
        <w:t>根据上级部门要求及业务本身需求，分局计划采购无人机防御系统，</w:t>
      </w:r>
      <w:r>
        <w:rPr>
          <w:rFonts w:hint="eastAsia"/>
          <w:sz w:val="24"/>
          <w:szCs w:val="24"/>
          <w:highlight w:val="none"/>
          <w:lang w:eastAsia="zh-CN"/>
        </w:rPr>
        <w:t>围绕杭州市余杭区亚运场馆</w:t>
      </w:r>
      <w:r>
        <w:rPr>
          <w:rFonts w:hint="eastAsia"/>
          <w:sz w:val="24"/>
          <w:szCs w:val="24"/>
          <w:highlight w:val="none"/>
          <w:lang w:val="en-US" w:eastAsia="zh-CN"/>
        </w:rPr>
        <w:t>周边等8个区域（</w:t>
      </w:r>
      <w:r>
        <w:rPr>
          <w:rFonts w:hint="eastAsia"/>
          <w:sz w:val="24"/>
          <w:szCs w:val="24"/>
          <w:highlight w:val="none"/>
          <w:u w:val="none"/>
          <w:lang w:val="en-US" w:eastAsia="zh-CN"/>
        </w:rPr>
        <w:t>杭州师范大学、杭师大亚运场馆、欧美金融城、杭州未来科技城学术交流中心、杭州西站、会展中心、省委党校、杭州梦想小镇</w:t>
      </w:r>
      <w:r>
        <w:rPr>
          <w:rFonts w:hint="eastAsia"/>
          <w:sz w:val="24"/>
          <w:szCs w:val="24"/>
          <w:highlight w:val="none"/>
          <w:lang w:val="en-US" w:eastAsia="zh-CN"/>
        </w:rPr>
        <w:t>）开展</w:t>
      </w:r>
      <w:r>
        <w:rPr>
          <w:rFonts w:hint="eastAsia"/>
          <w:sz w:val="24"/>
          <w:szCs w:val="24"/>
          <w:highlight w:val="none"/>
          <w:lang w:eastAsia="zh-CN"/>
        </w:rPr>
        <w:t>无人机防御工作。</w:t>
      </w:r>
    </w:p>
    <w:p>
      <w:pPr>
        <w:pStyle w:val="237"/>
        <w:spacing w:line="360" w:lineRule="auto"/>
        <w:ind w:firstLine="440" w:firstLineChars="200"/>
        <w:rPr>
          <w:rFonts w:hint="eastAsia" w:ascii="宋体" w:hAnsi="宋体" w:eastAsia="宋体" w:cs="宋体"/>
          <w:color w:val="auto"/>
          <w:sz w:val="22"/>
          <w:szCs w:val="22"/>
        </w:rPr>
      </w:pPr>
    </w:p>
    <w:p>
      <w:pPr>
        <w:pStyle w:val="2"/>
        <w:numPr>
          <w:ilvl w:val="0"/>
          <w:numId w:val="0"/>
        </w:numPr>
        <w:tabs>
          <w:tab w:val="left" w:pos="1110"/>
        </w:tabs>
        <w:adjustRightInd/>
        <w:snapToGrid w:val="0"/>
        <w:spacing w:line="360" w:lineRule="auto"/>
        <w:ind w:leftChars="0"/>
        <w:jc w:val="left"/>
        <w:rPr>
          <w:rFonts w:hint="eastAsia" w:ascii="宋体" w:hAnsi="宋体" w:eastAsia="宋体" w:cs="宋体"/>
          <w:b/>
          <w:sz w:val="24"/>
          <w:szCs w:val="24"/>
          <w:lang w:val="en-US"/>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val="en-US"/>
        </w:rPr>
        <w:t>主要设备、软件技术参数</w:t>
      </w:r>
    </w:p>
    <w:tbl>
      <w:tblPr>
        <w:tblStyle w:val="63"/>
        <w:tblW w:w="8017" w:type="dxa"/>
        <w:tblInd w:w="0" w:type="dxa"/>
        <w:tblLayout w:type="fixed"/>
        <w:tblCellMar>
          <w:top w:w="0" w:type="dxa"/>
          <w:left w:w="108" w:type="dxa"/>
          <w:bottom w:w="0" w:type="dxa"/>
          <w:right w:w="108" w:type="dxa"/>
        </w:tblCellMar>
      </w:tblPr>
      <w:tblGrid>
        <w:gridCol w:w="445"/>
        <w:gridCol w:w="1142"/>
        <w:gridCol w:w="5305"/>
        <w:gridCol w:w="575"/>
        <w:gridCol w:w="550"/>
      </w:tblGrid>
      <w:tr>
        <w:tblPrEx>
          <w:tblCellMar>
            <w:top w:w="0" w:type="dxa"/>
            <w:left w:w="108" w:type="dxa"/>
            <w:bottom w:w="0" w:type="dxa"/>
            <w:right w:w="108" w:type="dxa"/>
          </w:tblCellMar>
        </w:tblPrEx>
        <w:trPr>
          <w:trHeight w:val="459" w:hRule="atLeast"/>
          <w:tblHeader/>
        </w:trPr>
        <w:tc>
          <w:tcPr>
            <w:tcW w:w="4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设备名称</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技术指标</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55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单位</w:t>
            </w:r>
          </w:p>
        </w:tc>
      </w:tr>
      <w:tr>
        <w:tblPrEx>
          <w:tblCellMar>
            <w:top w:w="0" w:type="dxa"/>
            <w:left w:w="108" w:type="dxa"/>
            <w:bottom w:w="0" w:type="dxa"/>
            <w:right w:w="108" w:type="dxa"/>
          </w:tblCellMar>
        </w:tblPrEx>
        <w:trPr>
          <w:trHeight w:val="5778" w:hRule="atLeast"/>
        </w:trPr>
        <w:tc>
          <w:tcPr>
            <w:tcW w:w="4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rPr>
                <w:rFonts w:hint="eastAsia" w:ascii="宋体" w:hAnsi="宋体" w:eastAsia="宋体" w:cs="宋体"/>
                <w:szCs w:val="21"/>
                <w:highlight w:val="none"/>
              </w:rPr>
            </w:pPr>
            <w:r>
              <w:rPr>
                <w:rFonts w:hint="eastAsia" w:ascii="宋体" w:hAnsi="宋体" w:eastAsia="宋体" w:cs="宋体"/>
                <w:szCs w:val="21"/>
                <w:highlight w:val="none"/>
              </w:rPr>
              <w:t>无线电定位侦测设备</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*1.采用无源探测技术，被动接收信号。</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*2.可定位系统附近的无人机遥控器。</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*3.快速探测及复杂航迹探测性能：≥7km。</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4.无人机识别距离：≥6KM。</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5.探测距离精度：≤20米。</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6.探测方位精度：≤1°。</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7.无人机识别时间：≤5s。</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8.多架次探测能力：≥6架。</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9.探测频率范围应覆盖所有主流消费级无人机使用频段，具体包括：902~928MHz、1550~1625MHz、2390~2510MHz、5720~5880MHz。</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10.探测角度：水平360°</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11.最低探测高度: 0 米。</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12.供电：设备支持交流（市电）和直流两种供电模式。</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13.环境适应性：-40℃~+60℃。</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14.外壳防护等级：不低于IP66。</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15.符合《GB/T 17626.3中严酷等级3级》的射频电磁场辐射抗扰度试验要求。</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16.符合《GB/T17626.2中严酷等级3》进行静电放电抗扰度试验要求。</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17.具备系统组网通信功能，可对接无人机侦测反制设备管控平台。</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18.应满足有线与无线两种局域网组成方式。有线组网接口，应为标准接口，使用无线传输方式时，应使用4G卡或5G与管控平台远程对接。</w:t>
            </w:r>
          </w:p>
          <w:p>
            <w:pPr>
              <w:pStyle w:val="23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5G物联网/MSTP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低延时无线/有线连接，信道安全加密。</w:t>
            </w:r>
            <w:r>
              <w:rPr>
                <w:rFonts w:hint="eastAsia" w:ascii="宋体" w:hAnsi="宋体" w:eastAsia="宋体" w:cs="宋体"/>
                <w:color w:val="auto"/>
                <w:sz w:val="21"/>
                <w:szCs w:val="21"/>
                <w:highlight w:val="none"/>
                <w:lang w:val="en-US" w:eastAsia="zh-CN"/>
              </w:rPr>
              <w:t>保障设备与平台正常通信</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5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rPr>
              <w:t>台</w:t>
            </w:r>
          </w:p>
        </w:tc>
      </w:tr>
      <w:tr>
        <w:tblPrEx>
          <w:tblCellMar>
            <w:top w:w="0" w:type="dxa"/>
            <w:left w:w="108" w:type="dxa"/>
            <w:bottom w:w="0" w:type="dxa"/>
            <w:right w:w="108" w:type="dxa"/>
          </w:tblCellMar>
        </w:tblPrEx>
        <w:trPr>
          <w:trHeight w:val="6075" w:hRule="atLeast"/>
        </w:trPr>
        <w:tc>
          <w:tcPr>
            <w:tcW w:w="4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rPr>
                <w:rFonts w:hint="eastAsia" w:ascii="宋体" w:hAnsi="宋体" w:eastAsia="宋体" w:cs="宋体"/>
                <w:kern w:val="0"/>
                <w:szCs w:val="21"/>
                <w:highlight w:val="none"/>
              </w:rPr>
            </w:pPr>
            <w:r>
              <w:rPr>
                <w:rFonts w:hint="eastAsia" w:ascii="宋体" w:hAnsi="宋体" w:eastAsia="宋体" w:cs="宋体"/>
                <w:szCs w:val="21"/>
                <w:highlight w:val="none"/>
              </w:rPr>
              <w:t>无线电干扰设备</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*1.可根据系统频谱探测设备给出的无人机位置信息对无人机图像进行全自动跟踪和锁定。</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*2.小型多旋翼无人机（≤40cm*40cm）跟踪锁定距离≥1.5km。</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3.光学影像跟踪速度：≥10m/s。</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*4.实现无人执守系统功能。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*5.无人机干扰频段覆盖主流无人机应用频段：902~928MHz、1550~1625MHz、2390~2510MHz、5720~5880MHz。</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*6.拦截距离：≥</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米。</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7.拦截响应：≤5秒。</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8.拦截角度：水平360°。</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9.环境适应性：-40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10.外壳防护等级：不低于IP66。</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11.供电：设备支持交流（市电）和直流两种供电模式。</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12.符合《GB/T 17626.3中严酷等级3级》的射频电磁场辐射抗扰度试验要求。</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13.符合《GB/T17626.2中严酷等级3》进行静电放电抗扰度试验要求。</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14.电磁波容许辐射强度:设备发射工作时，设备正前方5.0m，正后方1.5m，左、右侧1.5m辐射强度应符合GB8702-2014《电磁环境控制限值》中规定的≤12V/m的要求。</w:t>
            </w:r>
          </w:p>
          <w:p>
            <w:pPr>
              <w:pStyle w:val="23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5G物联网/MSTP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低延时无线/有线连接，信道安全加密。</w:t>
            </w:r>
            <w:r>
              <w:rPr>
                <w:rFonts w:hint="eastAsia" w:ascii="宋体" w:hAnsi="宋体" w:eastAsia="宋体" w:cs="宋体"/>
                <w:color w:val="auto"/>
                <w:sz w:val="21"/>
                <w:szCs w:val="21"/>
                <w:highlight w:val="none"/>
                <w:lang w:val="en-US" w:eastAsia="zh-CN"/>
              </w:rPr>
              <w:t>保障设备与平台正常通信</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5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rPr>
              <w:t>台</w:t>
            </w:r>
          </w:p>
        </w:tc>
      </w:tr>
      <w:tr>
        <w:tblPrEx>
          <w:tblCellMar>
            <w:top w:w="0" w:type="dxa"/>
            <w:left w:w="108" w:type="dxa"/>
            <w:bottom w:w="0" w:type="dxa"/>
            <w:right w:w="108" w:type="dxa"/>
          </w:tblCellMar>
        </w:tblPrEx>
        <w:trPr>
          <w:trHeight w:val="7427" w:hRule="atLeast"/>
        </w:trPr>
        <w:tc>
          <w:tcPr>
            <w:tcW w:w="4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hint="eastAsia" w:ascii="宋体" w:hAnsi="宋体" w:eastAsia="宋体" w:cs="宋体"/>
                <w:szCs w:val="21"/>
                <w:highlight w:val="none"/>
              </w:rPr>
            </w:pPr>
            <w:r>
              <w:rPr>
                <w:rFonts w:hint="eastAsia" w:ascii="宋体" w:hAnsi="宋体" w:eastAsia="宋体" w:cs="宋体"/>
                <w:szCs w:val="21"/>
                <w:highlight w:val="none"/>
              </w:rPr>
              <w:t>无人机监管平台</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*1.可实现无人机无线频谱侦测定位设备、光电干扰一体化设备，无线电全向干扰设备等设备联网联动。</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2.系统能够接收侦测信息，查看设备运行状态。</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3.可通过无人机管控平台系统控制组网设备运行，下达指令等功能等。</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4.平台软件具备以下无人机入侵报警功能：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声音和灯光报警；</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通过发送</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rPr>
              <w:t>报警；</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*5.无人值守功能：系统具备自动侦测与防御入侵功能。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6.平台软件能实时显示频谱侦测情况。</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7.系统各设备应具备GPS功能，并自动在地图上标注位置。</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8.系统应具有自动校北功能。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*9.系统应具备黑白名单功能。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*10.系统具备在飞无人机实时轨迹描绘，包括经度和纬度。</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*11.能提供无人机入侵时间、报警时间、遥控频率和干扰开关的统计，数据回放。</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12.平台软件能显示设备工作状态。</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13.无人机信号提取与添加功能：管理应用平台能支持持续深度学习,不断完善无人机各维度的特征数据，能将采集到的无人机信息，自动提取参数并通过人工确认添加到无人机特征库中。</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14.具备加载卫星地图功能。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15监管平台涉及市级平台、区县级平台、属地***级平台、重点目标单位级平台。</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16.支持有线及无线（4G/5G）等多种接入方式，首选各运营商的有线政企专网。</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17.支持云服务器布署</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18.系统实现黑飞排查、飞行备案、临时安保任务、重大安保任务、亚运场馆专题、警用无人机管理、无人值守防御、无人机航线管理等功能。</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*19.系统具备行业无人机监管功能：具备警用、物流等相关行业接口，可查看无人机航线完整信息（所属单位、起点、终点和高度），并显示已报备的行业无人机航线和无人机实时飞行轨迹；                                                 *20.系统具备统一指挥调度、发放电子身份证、侦测、取证、驱离、打击、精准定位监视以及警戒防控任务管理等功能，能对目标区域无人机飞行进行有效管控；                                                          </w:t>
            </w:r>
          </w:p>
          <w:p>
            <w:pPr>
              <w:pStyle w:val="2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*21.系统具备手机端操作APP，用户可在手机端查看无人机入侵信息，如入侵区域、飞行轨迹、飞手位置等信息，并可在手机端开启或关闭反制功能；</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3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szCs w:val="21"/>
                <w:highlight w:val="none"/>
              </w:rPr>
            </w:pPr>
            <w:r>
              <w:rPr>
                <w:rFonts w:hint="eastAsia" w:ascii="宋体" w:hAnsi="宋体" w:eastAsia="宋体" w:cs="宋体"/>
                <w:szCs w:val="21"/>
                <w:highlight w:val="none"/>
              </w:rPr>
              <w:t>项</w:t>
            </w:r>
          </w:p>
        </w:tc>
      </w:tr>
    </w:tbl>
    <w:p>
      <w:pPr>
        <w:bidi w:val="0"/>
      </w:pPr>
    </w:p>
    <w:p>
      <w:pPr>
        <w:bidi w:val="0"/>
        <w:ind w:firstLine="422" w:firstLineChars="200"/>
        <w:rPr>
          <w:rFonts w:hint="eastAsia" w:ascii="宋体" w:hAnsi="宋体" w:cs="宋体"/>
          <w:b/>
          <w:bCs/>
          <w:kern w:val="0"/>
          <w:sz w:val="21"/>
          <w:szCs w:val="21"/>
        </w:rPr>
      </w:pPr>
      <w:r>
        <w:rPr>
          <w:rFonts w:hint="eastAsia" w:ascii="宋体" w:hAnsi="宋体" w:cs="宋体"/>
          <w:b/>
          <w:bCs/>
          <w:kern w:val="0"/>
          <w:sz w:val="21"/>
          <w:szCs w:val="21"/>
          <w:lang w:val="en-US" w:eastAsia="zh-CN"/>
        </w:rPr>
        <w:t>备注：投标人报价</w:t>
      </w:r>
      <w:r>
        <w:rPr>
          <w:rFonts w:hint="eastAsia" w:ascii="宋体" w:hAnsi="宋体" w:cs="宋体"/>
          <w:b/>
          <w:bCs/>
          <w:kern w:val="0"/>
          <w:sz w:val="21"/>
          <w:szCs w:val="21"/>
        </w:rPr>
        <w:t>为含税包干价格，包括</w:t>
      </w:r>
      <w:r>
        <w:rPr>
          <w:rFonts w:hint="eastAsia" w:ascii="宋体" w:hAnsi="宋体" w:cs="宋体"/>
          <w:b/>
          <w:bCs/>
          <w:kern w:val="0"/>
          <w:sz w:val="21"/>
          <w:szCs w:val="21"/>
          <w:lang w:val="en-US" w:eastAsia="zh-CN"/>
        </w:rPr>
        <w:t>但不仅限于</w:t>
      </w:r>
      <w:r>
        <w:rPr>
          <w:rFonts w:hint="eastAsia" w:ascii="宋体" w:hAnsi="宋体" w:cs="宋体"/>
          <w:b/>
          <w:bCs/>
          <w:kern w:val="0"/>
          <w:sz w:val="21"/>
          <w:szCs w:val="21"/>
        </w:rPr>
        <w:t>设备费、安装调试费、</w:t>
      </w:r>
      <w:r>
        <w:rPr>
          <w:rFonts w:hint="eastAsia" w:ascii="宋体" w:hAnsi="宋体" w:cs="宋体"/>
          <w:b/>
          <w:bCs/>
          <w:kern w:val="0"/>
          <w:sz w:val="21"/>
          <w:szCs w:val="21"/>
          <w:lang w:val="en-US"/>
        </w:rPr>
        <w:t>所需第三方检测费用、</w:t>
      </w:r>
      <w:r>
        <w:rPr>
          <w:rFonts w:hint="eastAsia" w:ascii="宋体" w:hAnsi="宋体" w:cs="宋体"/>
          <w:b/>
          <w:bCs/>
          <w:kern w:val="0"/>
          <w:sz w:val="21"/>
          <w:szCs w:val="21"/>
          <w:lang w:val="en-US" w:eastAsia="zh-CN"/>
        </w:rPr>
        <w:t>等保、信创适配、</w:t>
      </w:r>
      <w:r>
        <w:rPr>
          <w:rFonts w:hint="eastAsia" w:ascii="宋体" w:hAnsi="宋体" w:cs="宋体"/>
          <w:b/>
          <w:bCs/>
          <w:kern w:val="0"/>
          <w:sz w:val="21"/>
          <w:szCs w:val="21"/>
          <w:lang w:val="en-US"/>
        </w:rPr>
        <w:t>后端存储部分及配套服务（二次拆装）的全部费用，以及税金、人工、管理、合理利润、投标费用、采购代理费等成本及费用</w:t>
      </w:r>
      <w:r>
        <w:rPr>
          <w:rFonts w:hint="eastAsia" w:ascii="宋体" w:hAnsi="宋体" w:cs="宋体"/>
          <w:b/>
          <w:bCs/>
          <w:kern w:val="0"/>
          <w:sz w:val="21"/>
          <w:szCs w:val="21"/>
        </w:rPr>
        <w:t>。</w:t>
      </w:r>
    </w:p>
    <w:p>
      <w:pPr>
        <w:pStyle w:val="2"/>
        <w:tabs>
          <w:tab w:val="left" w:pos="1110"/>
        </w:tabs>
        <w:ind w:left="0" w:firstLine="0"/>
        <w:rPr>
          <w:rFonts w:hint="eastAsia" w:ascii="宋体" w:hAnsi="宋体" w:eastAsia="宋体" w:cs="宋体"/>
          <w:sz w:val="24"/>
          <w:szCs w:val="24"/>
        </w:rPr>
      </w:pPr>
      <w:bookmarkStart w:id="32" w:name="_Toc82338547"/>
      <w:r>
        <w:rPr>
          <w:rFonts w:hint="eastAsia" w:ascii="宋体" w:hAnsi="宋体" w:eastAsia="宋体" w:cs="宋体"/>
          <w:sz w:val="24"/>
          <w:szCs w:val="24"/>
          <w:lang w:val="en-US" w:eastAsia="zh-CN"/>
        </w:rPr>
        <w:t>三</w:t>
      </w:r>
      <w:r>
        <w:rPr>
          <w:rFonts w:hint="eastAsia" w:ascii="宋体" w:hAnsi="宋体" w:eastAsia="宋体" w:cs="宋体"/>
          <w:sz w:val="24"/>
          <w:szCs w:val="24"/>
        </w:rPr>
        <w:t>、技术要求</w:t>
      </w:r>
      <w:bookmarkEnd w:id="32"/>
    </w:p>
    <w:p>
      <w:pPr>
        <w:pStyle w:val="4"/>
        <w:spacing w:before="0" w:after="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一</w:t>
      </w:r>
      <w:r>
        <w:rPr>
          <w:rFonts w:hint="eastAsia" w:ascii="宋体" w:hAnsi="宋体" w:eastAsia="宋体" w:cs="宋体"/>
          <w:sz w:val="24"/>
        </w:rPr>
        <w:t>）质量、质保要求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（1）成交人拟供</w:t>
      </w:r>
      <w:r>
        <w:rPr>
          <w:rFonts w:hint="eastAsia" w:ascii="宋体" w:hAnsi="宋体" w:eastAsia="宋体" w:cs="宋体"/>
          <w:sz w:val="24"/>
          <w:highlight w:val="none"/>
        </w:rPr>
        <w:t>设备整机和所有部件均为设备原厂正品，系统建设须符合国家、地方**部门、安全生产、环境保护等方面法律法规及行业标准规范的要求。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（2）成交人所供设备自最终验收合格之日起</w:t>
      </w:r>
      <w:r>
        <w:rPr>
          <w:rFonts w:hint="eastAsia" w:ascii="宋体" w:hAnsi="宋体" w:cs="宋体"/>
          <w:sz w:val="24"/>
          <w:highlight w:val="none"/>
          <w:lang w:val="en-US" w:eastAsia="zh-CN"/>
        </w:rPr>
        <w:t>计算</w:t>
      </w:r>
      <w:r>
        <w:rPr>
          <w:rFonts w:hint="eastAsia" w:ascii="宋体" w:hAnsi="宋体" w:eastAsia="宋体" w:cs="宋体"/>
          <w:sz w:val="24"/>
          <w:highlight w:val="none"/>
        </w:rPr>
        <w:t>质保期</w:t>
      </w:r>
      <w:r>
        <w:rPr>
          <w:rFonts w:hint="eastAsia" w:ascii="宋体" w:hAnsi="宋体" w:cs="宋体"/>
          <w:sz w:val="24"/>
          <w:highlight w:val="none"/>
          <w:lang w:eastAsia="zh-CN"/>
        </w:rPr>
        <w:t>：</w:t>
      </w:r>
      <w:r>
        <w:rPr>
          <w:rFonts w:hint="eastAsia" w:ascii="宋体" w:hAnsi="宋体" w:cs="宋体"/>
          <w:sz w:val="24"/>
          <w:highlight w:val="none"/>
          <w:lang w:val="en-US" w:eastAsia="zh-CN"/>
        </w:rPr>
        <w:t>硬件三年，软件一年</w:t>
      </w:r>
      <w:r>
        <w:rPr>
          <w:rFonts w:hint="eastAsia" w:ascii="宋体" w:hAnsi="宋体" w:eastAsia="宋体" w:cs="宋体"/>
          <w:sz w:val="24"/>
          <w:highlight w:val="none"/>
        </w:rPr>
        <w:t>。在质量保证期内免费实行“三包”服务，如果设备发生故障，成交人要调查故障原因并免费修复直至满足设备性能的要求，或者更换整机或部分有缺陷的组件和材料，如设备经过维修更换部件，则该部件质量保证期应 以维修后正常工作之日起（以维修记录日期为准）重新计算。质量保证期期满后，成交人应提供有偿维修、技术支持、设备升级等服务。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（3）成交人所供产品出现严重质量问题，经维修后仍然造成无法使用，采购人有权立即终止合同，因所供产品造成安全等重大责任事故的，由成交人赔偿采购人一切损失并承担所有法律责任。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（4）在质保期内，设备出现故障时，成交人须在1小时内响应，2小时内到达项目现场，对现场短期无法处理的故障，成交人须在24小时内提供备件更换，承诺更换备件为新件。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）在质保期内，</w:t>
      </w:r>
      <w:r>
        <w:rPr>
          <w:rFonts w:hint="eastAsia" w:ascii="宋体" w:hAnsi="宋体" w:cs="宋体"/>
          <w:sz w:val="24"/>
          <w:highlight w:val="none"/>
          <w:lang w:val="en-US" w:eastAsia="zh-CN"/>
        </w:rPr>
        <w:t>负责设备的移位工作</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6</w:t>
      </w:r>
      <w:r>
        <w:rPr>
          <w:rFonts w:hint="eastAsia" w:ascii="宋体" w:hAnsi="宋体" w:eastAsia="宋体" w:cs="宋体"/>
          <w:sz w:val="24"/>
          <w:highlight w:val="none"/>
        </w:rPr>
        <w:t>）成交人应提供承担本项目售后维护的人员资料，包括有关人员的姓名、职务、职称、主要资历、经验及承担过的项目。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）成交人维护须做到：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投标单位在质保期内承诺在重大安保活动期间，安排不少于1人常驻现场，在甲方指定</w:t>
      </w:r>
      <w:r>
        <w:rPr>
          <w:rFonts w:hint="eastAsia" w:ascii="宋体" w:hAnsi="宋体" w:eastAsia="宋体" w:cs="宋体"/>
          <w:sz w:val="24"/>
          <w:highlight w:val="none"/>
          <w:lang w:val="en-US" w:eastAsia="zh-CN"/>
        </w:rPr>
        <w:t>时间与地点，</w:t>
      </w:r>
      <w:r>
        <w:rPr>
          <w:rFonts w:hint="eastAsia" w:ascii="宋体" w:hAnsi="宋体" w:eastAsia="宋体" w:cs="宋体"/>
          <w:sz w:val="24"/>
          <w:highlight w:val="none"/>
        </w:rPr>
        <w:t>进行现场维护与应急处置。</w:t>
      </w:r>
    </w:p>
    <w:p>
      <w:pPr>
        <w:pStyle w:val="4"/>
        <w:spacing w:before="0" w:after="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）设备安装、测试、培训等要求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安装实施成交人负责全部设备的安装、调试。具体工作程序、工作内容、调试方法、调试结果及验收标准，成交人在调试前必须书面提出并征得采购人同意之后按计划实施；未征得采购人同意的，成交人无权私自更改作业计划及内容，否则调试无效。</w:t>
      </w:r>
      <w:r>
        <w:rPr>
          <w:rFonts w:hint="eastAsia" w:ascii="宋体" w:hAnsi="宋体" w:eastAsia="宋体" w:cs="宋体"/>
          <w:sz w:val="24"/>
          <w:highlight w:val="none"/>
          <w:lang w:val="en-US" w:eastAsia="zh-CN"/>
        </w:rPr>
        <w:t>提供</w:t>
      </w:r>
      <w:r>
        <w:rPr>
          <w:rFonts w:hint="eastAsia" w:ascii="宋体" w:hAnsi="宋体" w:eastAsia="宋体" w:cs="宋体"/>
          <w:sz w:val="24"/>
          <w:highlight w:val="none"/>
        </w:rPr>
        <w:t>针对本项目的具体技术方案。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2、设备测试：本项目建设的系统须按照相关规定的测试办法及要求进行，制定一个测试方案，每一项测试须有详细的测试记录，须有双方代表签字确认，并附有详细的分析报告。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3、培训要求：项目实施完毕，成交人须免费对采购人技术人员进行培训，确保能够正确使用所投设备，及处理简单的故障问题。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4、项目相关资料</w:t>
      </w:r>
    </w:p>
    <w:p>
      <w:pPr>
        <w:spacing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最终验收之前，成交人必须将所有相关技术资料（包含并不仅限于：产品技术说明书、操作手册等）交采购人留存备案。</w:t>
      </w:r>
    </w:p>
    <w:p>
      <w:pPr>
        <w:pStyle w:val="2"/>
        <w:tabs>
          <w:tab w:val="left" w:pos="1110"/>
        </w:tabs>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b/>
          <w:color w:val="000000"/>
          <w:sz w:val="24"/>
          <w:szCs w:val="24"/>
          <w:highlight w:val="none"/>
          <w:lang w:val="en-US" w:eastAsia="zh-CN"/>
        </w:rPr>
        <w:t>其他要求</w:t>
      </w:r>
      <w:r>
        <w:rPr>
          <w:rFonts w:hint="eastAsia" w:ascii="宋体" w:hAnsi="宋体" w:eastAsia="宋体" w:cs="宋体"/>
          <w:b/>
          <w:color w:val="000000"/>
          <w:sz w:val="24"/>
          <w:szCs w:val="24"/>
          <w:highlight w:val="none"/>
        </w:rPr>
        <w:t>：</w:t>
      </w:r>
    </w:p>
    <w:p>
      <w:pPr>
        <w:pStyle w:val="4"/>
        <w:spacing w:before="0" w:after="0"/>
        <w:rPr>
          <w:rFonts w:hint="eastAsia" w:ascii="宋体" w:hAnsi="宋体" w:eastAsia="宋体" w:cs="宋体"/>
          <w:sz w:val="24"/>
          <w:highlight w:val="none"/>
        </w:rPr>
      </w:pPr>
      <w:r>
        <w:rPr>
          <w:rFonts w:hint="eastAsia" w:ascii="宋体" w:hAnsi="宋体" w:eastAsia="宋体" w:cs="宋体"/>
          <w:sz w:val="24"/>
          <w:highlight w:val="none"/>
        </w:rPr>
        <w:t>（一）交付（实施）的时间（期限）及相关要求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日历天内完成交货且安装、调试（测试）完成</w:t>
      </w:r>
      <w:r>
        <w:rPr>
          <w:rFonts w:hint="eastAsia" w:ascii="宋体" w:hAnsi="宋体" w:cs="宋体"/>
          <w:sz w:val="24"/>
          <w:highlight w:val="none"/>
          <w:lang w:val="en-US" w:eastAsia="zh-CN"/>
        </w:rPr>
        <w:t>进行初验</w:t>
      </w:r>
      <w:r>
        <w:rPr>
          <w:rFonts w:hint="eastAsia" w:ascii="宋体" w:hAnsi="宋体" w:cs="宋体"/>
          <w:sz w:val="24"/>
          <w:highlight w:val="none"/>
          <w:lang w:eastAsia="zh-CN"/>
        </w:rPr>
        <w:t>，</w:t>
      </w:r>
      <w:r>
        <w:rPr>
          <w:rFonts w:hint="eastAsia" w:ascii="宋体" w:hAnsi="宋体" w:cs="宋体"/>
          <w:sz w:val="24"/>
          <w:highlight w:val="none"/>
          <w:lang w:val="en-US" w:eastAsia="zh-CN"/>
        </w:rPr>
        <w:t>初验后试运行1个月后可进行项目终验</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（2）本项目为“交钥匙”工程，成交人负责将设备运抵安装现场、负责设备安装调试，系统软件运行等须满足采购人需求，直至验收合格。</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eastAsia="zh-CN"/>
        </w:rPr>
        <w:t>3</w:t>
      </w:r>
      <w:r>
        <w:rPr>
          <w:rFonts w:hint="eastAsia" w:ascii="宋体" w:hAnsi="宋体" w:eastAsia="宋体" w:cs="宋体"/>
          <w:sz w:val="24"/>
          <w:highlight w:val="none"/>
        </w:rPr>
        <w:t>）项目全部完成并通过验收后支付至合同金</w:t>
      </w:r>
      <w:r>
        <w:rPr>
          <w:rFonts w:hint="eastAsia" w:ascii="宋体" w:hAnsi="宋体" w:eastAsia="宋体" w:cs="宋体"/>
          <w:color w:val="auto"/>
          <w:sz w:val="24"/>
          <w:highlight w:val="none"/>
        </w:rPr>
        <w:t>额的100%；中</w:t>
      </w:r>
      <w:r>
        <w:rPr>
          <w:rFonts w:hint="eastAsia" w:ascii="宋体" w:hAnsi="宋体" w:eastAsia="宋体" w:cs="宋体"/>
          <w:sz w:val="24"/>
          <w:highlight w:val="none"/>
        </w:rPr>
        <w:t>标人须凭到货核验单、产品拍照图片、产品说明书、产品合格证、质量保证书原件、培训教材、应用资料、三包凭证、原厂质保承诺函、采购人与中标人双方签字盖章的验收意见及验收小组签字的验收报告及各种文档资料等进行结算。</w:t>
      </w:r>
    </w:p>
    <w:p>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eastAsia="宋体" w:cs="宋体"/>
          <w:sz w:val="24"/>
          <w:highlight w:val="none"/>
        </w:rPr>
        <w:t>投标报价应涵盖完成本项目合同内容所需的全部费用，包含但不仅限于所有所需货物的货款、设计、制造、包装、运输、装卸、验收配合、售后服务以及其他伴随服务等全部工作所需的一切费用，以及保险、税金、人工费、管理费、合理利润、风险费、投标费用等一切成本及费用。</w:t>
      </w:r>
    </w:p>
    <w:p>
      <w:pPr>
        <w:spacing w:line="360" w:lineRule="auto"/>
        <w:ind w:firstLine="241" w:firstLineChars="100"/>
        <w:rPr>
          <w:rFonts w:hint="eastAsia" w:ascii="宋体" w:hAnsi="宋体" w:eastAsia="宋体" w:cs="宋体"/>
          <w:b/>
          <w:bCs/>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b/>
          <w:bCs/>
          <w:sz w:val="24"/>
          <w:highlight w:val="none"/>
        </w:rPr>
        <w:t>该项目系统必须无缝接入《杭州市民用无人机公共安全监管平台》，可实现远程调度与指令下达。（投标文件中提供满足上述要求的对接承诺或对接证明。</w:t>
      </w:r>
    </w:p>
    <w:p>
      <w:pPr>
        <w:pStyle w:val="4"/>
        <w:spacing w:before="0" w:after="0"/>
        <w:rPr>
          <w:rFonts w:hint="eastAsia" w:ascii="宋体" w:hAnsi="宋体" w:eastAsia="宋体" w:cs="宋体"/>
          <w:sz w:val="24"/>
          <w:highlight w:val="none"/>
        </w:rPr>
      </w:pPr>
      <w:r>
        <w:rPr>
          <w:rFonts w:hint="eastAsia" w:ascii="宋体" w:hAnsi="宋体" w:eastAsia="宋体" w:cs="宋体"/>
          <w:sz w:val="24"/>
          <w:highlight w:val="none"/>
        </w:rPr>
        <w:t>（二）地点（范围）要求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采购人指定地点。</w:t>
      </w:r>
    </w:p>
    <w:p>
      <w:pPr>
        <w:pStyle w:val="4"/>
        <w:spacing w:before="0" w:after="0"/>
        <w:rPr>
          <w:rFonts w:hint="eastAsia" w:ascii="宋体" w:hAnsi="宋体" w:eastAsia="宋体" w:cs="宋体"/>
          <w:sz w:val="24"/>
          <w:highlight w:val="none"/>
        </w:rPr>
      </w:pPr>
      <w:r>
        <w:rPr>
          <w:rFonts w:hint="eastAsia" w:ascii="宋体" w:hAnsi="宋体" w:eastAsia="宋体" w:cs="宋体"/>
          <w:sz w:val="24"/>
          <w:highlight w:val="none"/>
        </w:rPr>
        <w:t>（三）付款</w:t>
      </w:r>
      <w:r>
        <w:rPr>
          <w:rFonts w:hint="eastAsia" w:ascii="宋体" w:hAnsi="宋体" w:eastAsia="宋体" w:cs="宋体"/>
          <w:b/>
          <w:bCs/>
          <w:sz w:val="24"/>
          <w:highlight w:val="none"/>
        </w:rPr>
        <w:t>方式</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合同签订且支付履约保证金后15个工作日内，支付</w:t>
      </w:r>
      <w:r>
        <w:rPr>
          <w:rFonts w:hint="eastAsia" w:ascii="宋体" w:hAnsi="宋体" w:cs="宋体"/>
          <w:sz w:val="24"/>
          <w:lang w:val="en-US" w:eastAsia="zh-CN"/>
        </w:rPr>
        <w:t>预付款</w:t>
      </w:r>
      <w:r>
        <w:rPr>
          <w:rFonts w:hint="eastAsia" w:ascii="宋体" w:hAnsi="宋体" w:eastAsia="宋体" w:cs="宋体"/>
          <w:sz w:val="24"/>
        </w:rPr>
        <w:t>合同总金额的50%；项目通过初验后15个工作日内，支付合同总金额的30%；项目通过终验后15个工作日内，支付合同总金额的20%。；</w:t>
      </w:r>
    </w:p>
    <w:p>
      <w:pPr>
        <w:pStyle w:val="23"/>
        <w:numPr>
          <w:ilvl w:val="0"/>
          <w:numId w:val="0"/>
        </w:numPr>
        <w:ind w:firstLine="241" w:firstLineChars="100"/>
        <w:rPr>
          <w:rFonts w:hint="eastAsia" w:eastAsia="宋体"/>
          <w:b/>
          <w:bCs/>
          <w:lang w:val="en-US" w:eastAsia="zh-CN"/>
        </w:rPr>
      </w:pPr>
      <w:r>
        <w:rPr>
          <w:rFonts w:hint="eastAsia" w:ascii="宋体" w:hAnsi="Arial" w:eastAsia="宋体" w:cs="Arial"/>
          <w:b/>
          <w:bCs/>
          <w:snapToGrid w:val="0"/>
          <w:kern w:val="2"/>
          <w:sz w:val="24"/>
          <w:szCs w:val="21"/>
          <w:lang w:val="en-US" w:eastAsia="zh-CN" w:bidi="ar-SA"/>
        </w:rPr>
        <w:t>（四）</w:t>
      </w:r>
      <w:r>
        <w:rPr>
          <w:rFonts w:hint="eastAsia" w:eastAsia="宋体"/>
          <w:b/>
          <w:bCs/>
          <w:lang w:val="en-US" w:eastAsia="zh-CN"/>
        </w:rPr>
        <w:t>履约保证</w:t>
      </w:r>
    </w:p>
    <w:p>
      <w:pPr>
        <w:pStyle w:val="24"/>
        <w:numPr>
          <w:ilvl w:val="0"/>
          <w:numId w:val="0"/>
        </w:numPr>
        <w:ind w:firstLine="480" w:firstLineChars="200"/>
        <w:rPr>
          <w:rFonts w:hint="eastAsia" w:ascii="宋体" w:hAnsi="宋体" w:cs="宋体"/>
          <w:b/>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default"/>
          <w:lang w:val="en-US" w:eastAsia="zh-CN"/>
        </w:rPr>
        <w:t>在合同签订以前供应商向采购人缴纳中标总额1%的履约保证金，验收合格后履约保证金</w:t>
      </w:r>
      <w:r>
        <w:rPr>
          <w:rFonts w:hint="eastAsia"/>
          <w:lang w:val="en-US" w:eastAsia="zh-CN"/>
        </w:rPr>
        <w:t>无息退回</w:t>
      </w:r>
      <w:r>
        <w:rPr>
          <w:rFonts w:hint="default"/>
          <w:lang w:val="en-US" w:eastAsia="zh-CN"/>
        </w:rPr>
        <w:t>。</w:t>
      </w:r>
      <w:r>
        <w:rPr>
          <w:rFonts w:hint="eastAsia" w:ascii="宋体" w:hAnsi="宋体" w:cs="宋体"/>
          <w:b/>
          <w:sz w:val="24"/>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4424"/>
      <w:bookmarkEnd w:id="33"/>
      <w:bookmarkStart w:id="34" w:name="_Toc184314448"/>
      <w:bookmarkEnd w:id="34"/>
      <w:bookmarkStart w:id="35" w:name="_Toc184312131"/>
      <w:bookmarkEnd w:id="35"/>
      <w:bookmarkStart w:id="36" w:name="_Toc184308063"/>
      <w:bookmarkEnd w:id="36"/>
      <w:bookmarkStart w:id="37" w:name="_Toc184313242"/>
      <w:bookmarkEnd w:id="37"/>
      <w:bookmarkStart w:id="38" w:name="_Toc184310289"/>
      <w:bookmarkEnd w:id="38"/>
      <w:bookmarkStart w:id="39" w:name="_Toc184308047"/>
      <w:bookmarkEnd w:id="39"/>
      <w:bookmarkStart w:id="40" w:name="_Toc184312071"/>
      <w:bookmarkEnd w:id="40"/>
      <w:bookmarkStart w:id="41" w:name="_Toc184313244"/>
      <w:bookmarkEnd w:id="41"/>
      <w:bookmarkStart w:id="42" w:name="_Toc184308039"/>
      <w:bookmarkEnd w:id="42"/>
      <w:bookmarkStart w:id="43" w:name="_Toc184312128"/>
      <w:bookmarkEnd w:id="43"/>
      <w:bookmarkStart w:id="44" w:name="_Toc184312137"/>
      <w:bookmarkEnd w:id="44"/>
      <w:bookmarkStart w:id="45" w:name="_Toc184313292"/>
      <w:bookmarkEnd w:id="45"/>
      <w:bookmarkStart w:id="46" w:name="_Toc184313278"/>
      <w:bookmarkEnd w:id="46"/>
      <w:bookmarkStart w:id="47" w:name="_Toc184310312"/>
      <w:bookmarkEnd w:id="47"/>
      <w:bookmarkStart w:id="48" w:name="_Toc184314435"/>
      <w:bookmarkEnd w:id="48"/>
      <w:bookmarkStart w:id="49" w:name="_Toc184312127"/>
      <w:bookmarkEnd w:id="49"/>
      <w:bookmarkStart w:id="50" w:name="_Toc184314455"/>
      <w:bookmarkEnd w:id="50"/>
      <w:bookmarkStart w:id="51" w:name="_Toc184310339"/>
      <w:bookmarkEnd w:id="51"/>
      <w:bookmarkStart w:id="52" w:name="_Toc184314423"/>
      <w:bookmarkEnd w:id="52"/>
      <w:bookmarkStart w:id="53" w:name="_Toc184310324"/>
      <w:bookmarkEnd w:id="53"/>
      <w:bookmarkStart w:id="54" w:name="_Toc184312113"/>
      <w:bookmarkEnd w:id="54"/>
      <w:bookmarkStart w:id="55" w:name="_Toc184308095"/>
      <w:bookmarkEnd w:id="55"/>
      <w:bookmarkStart w:id="56" w:name="_Toc184312091"/>
      <w:bookmarkEnd w:id="56"/>
      <w:bookmarkStart w:id="57" w:name="_Toc184312109"/>
      <w:bookmarkEnd w:id="57"/>
      <w:bookmarkStart w:id="58" w:name="_Toc184310286"/>
      <w:bookmarkEnd w:id="58"/>
      <w:bookmarkStart w:id="59" w:name="_Toc184312093"/>
      <w:bookmarkEnd w:id="59"/>
      <w:bookmarkStart w:id="60" w:name="_Toc184308067"/>
      <w:bookmarkEnd w:id="60"/>
      <w:bookmarkStart w:id="61" w:name="_Toc184308098"/>
      <w:bookmarkEnd w:id="61"/>
      <w:bookmarkStart w:id="62" w:name="_Toc184312103"/>
      <w:bookmarkEnd w:id="62"/>
      <w:bookmarkStart w:id="63" w:name="_Toc184308078"/>
      <w:bookmarkEnd w:id="63"/>
      <w:bookmarkStart w:id="64" w:name="_Toc184308099"/>
      <w:bookmarkEnd w:id="64"/>
      <w:bookmarkStart w:id="65" w:name="_Toc184314478"/>
      <w:bookmarkEnd w:id="65"/>
      <w:bookmarkStart w:id="66" w:name="_Toc184308088"/>
      <w:bookmarkEnd w:id="66"/>
      <w:bookmarkStart w:id="67" w:name="_Toc184313305"/>
      <w:bookmarkEnd w:id="67"/>
      <w:bookmarkStart w:id="68" w:name="_Toc184312132"/>
      <w:bookmarkEnd w:id="68"/>
      <w:bookmarkStart w:id="69" w:name="_Toc184310276"/>
      <w:bookmarkEnd w:id="69"/>
      <w:bookmarkStart w:id="70" w:name="_Toc184313303"/>
      <w:bookmarkEnd w:id="70"/>
      <w:bookmarkStart w:id="71" w:name="_Toc184308079"/>
      <w:bookmarkEnd w:id="71"/>
      <w:bookmarkStart w:id="72" w:name="_Toc184314459"/>
      <w:bookmarkEnd w:id="72"/>
      <w:bookmarkStart w:id="73" w:name="_Toc184314431"/>
      <w:bookmarkEnd w:id="73"/>
      <w:bookmarkStart w:id="74" w:name="_Toc184314430"/>
      <w:bookmarkEnd w:id="74"/>
      <w:bookmarkStart w:id="75" w:name="_Toc184308066"/>
      <w:bookmarkEnd w:id="75"/>
      <w:bookmarkStart w:id="76" w:name="_Toc184314454"/>
      <w:bookmarkEnd w:id="76"/>
      <w:bookmarkStart w:id="77" w:name="_Toc184312102"/>
      <w:bookmarkEnd w:id="77"/>
      <w:bookmarkStart w:id="78" w:name="_Toc184310294"/>
      <w:bookmarkEnd w:id="78"/>
      <w:bookmarkStart w:id="79" w:name="_Toc184313283"/>
      <w:bookmarkEnd w:id="79"/>
      <w:bookmarkStart w:id="80" w:name="_Toc184310335"/>
      <w:bookmarkEnd w:id="80"/>
      <w:bookmarkStart w:id="81" w:name="_Toc184313264"/>
      <w:bookmarkEnd w:id="81"/>
      <w:bookmarkStart w:id="82" w:name="_Toc184314457"/>
      <w:bookmarkEnd w:id="82"/>
      <w:bookmarkStart w:id="83" w:name="_Toc184308070"/>
      <w:bookmarkEnd w:id="83"/>
      <w:bookmarkStart w:id="84" w:name="_Toc184314428"/>
      <w:bookmarkEnd w:id="84"/>
      <w:bookmarkStart w:id="85" w:name="_Toc184312090"/>
      <w:bookmarkEnd w:id="85"/>
      <w:bookmarkStart w:id="86" w:name="_Toc184308056"/>
      <w:bookmarkEnd w:id="86"/>
      <w:bookmarkStart w:id="87" w:name="_Toc184310316"/>
      <w:bookmarkEnd w:id="87"/>
      <w:bookmarkStart w:id="88" w:name="_Toc184312107"/>
      <w:bookmarkEnd w:id="88"/>
      <w:bookmarkStart w:id="89" w:name="_Toc184314450"/>
      <w:bookmarkEnd w:id="89"/>
      <w:bookmarkStart w:id="90" w:name="_Toc184310326"/>
      <w:bookmarkEnd w:id="90"/>
      <w:bookmarkStart w:id="91" w:name="_Toc184308086"/>
      <w:bookmarkEnd w:id="91"/>
      <w:bookmarkStart w:id="92" w:name="_Toc184308107"/>
      <w:bookmarkEnd w:id="92"/>
      <w:bookmarkStart w:id="93" w:name="_Toc184312084"/>
      <w:bookmarkEnd w:id="93"/>
      <w:bookmarkStart w:id="94" w:name="_Toc184308053"/>
      <w:bookmarkEnd w:id="94"/>
      <w:bookmarkStart w:id="95" w:name="_Toc184310337"/>
      <w:bookmarkEnd w:id="95"/>
      <w:bookmarkStart w:id="96" w:name="_Toc184313248"/>
      <w:bookmarkEnd w:id="96"/>
      <w:bookmarkStart w:id="97" w:name="_Toc184310288"/>
      <w:bookmarkEnd w:id="97"/>
      <w:bookmarkStart w:id="98" w:name="_Toc184313290"/>
      <w:bookmarkEnd w:id="98"/>
      <w:bookmarkStart w:id="99" w:name="_Toc184308108"/>
      <w:bookmarkEnd w:id="99"/>
      <w:bookmarkStart w:id="100" w:name="_Toc184312089"/>
      <w:bookmarkEnd w:id="100"/>
      <w:bookmarkStart w:id="101" w:name="_Toc184314414"/>
      <w:bookmarkEnd w:id="101"/>
      <w:bookmarkStart w:id="102" w:name="_Toc184308051"/>
      <w:bookmarkEnd w:id="102"/>
      <w:bookmarkStart w:id="103" w:name="_Toc184313298"/>
      <w:bookmarkEnd w:id="103"/>
      <w:bookmarkStart w:id="104" w:name="_Toc184314421"/>
      <w:bookmarkEnd w:id="104"/>
      <w:bookmarkStart w:id="105" w:name="_Toc184308103"/>
      <w:bookmarkEnd w:id="105"/>
      <w:bookmarkStart w:id="106" w:name="_Toc184313310"/>
      <w:bookmarkEnd w:id="106"/>
      <w:bookmarkStart w:id="107" w:name="_Toc184310303"/>
      <w:bookmarkEnd w:id="107"/>
      <w:bookmarkStart w:id="108" w:name="_Toc184314436"/>
      <w:bookmarkEnd w:id="108"/>
      <w:bookmarkStart w:id="109" w:name="_Toc184312083"/>
      <w:bookmarkEnd w:id="109"/>
      <w:bookmarkStart w:id="110" w:name="_Toc184312097"/>
      <w:bookmarkEnd w:id="110"/>
      <w:bookmarkStart w:id="111" w:name="_Toc184308068"/>
      <w:bookmarkEnd w:id="111"/>
      <w:bookmarkStart w:id="112" w:name="_Toc184313281"/>
      <w:bookmarkEnd w:id="112"/>
      <w:bookmarkStart w:id="113" w:name="_Toc184310344"/>
      <w:bookmarkEnd w:id="113"/>
      <w:bookmarkStart w:id="114" w:name="_Toc184310320"/>
      <w:bookmarkEnd w:id="114"/>
      <w:bookmarkStart w:id="115" w:name="_Toc184314417"/>
      <w:bookmarkEnd w:id="115"/>
      <w:bookmarkStart w:id="116" w:name="_Toc184314476"/>
      <w:bookmarkEnd w:id="116"/>
      <w:bookmarkStart w:id="117" w:name="_Toc184314445"/>
      <w:bookmarkEnd w:id="117"/>
      <w:bookmarkStart w:id="118" w:name="_Toc184310306"/>
      <w:bookmarkEnd w:id="118"/>
      <w:bookmarkStart w:id="119" w:name="_Toc184312125"/>
      <w:bookmarkEnd w:id="119"/>
      <w:bookmarkStart w:id="120" w:name="_Toc184312087"/>
      <w:bookmarkEnd w:id="120"/>
      <w:bookmarkStart w:id="121" w:name="_Toc184313276"/>
      <w:bookmarkEnd w:id="121"/>
      <w:bookmarkStart w:id="122" w:name="_Toc184314412"/>
      <w:bookmarkEnd w:id="122"/>
      <w:bookmarkStart w:id="123" w:name="_Toc184312088"/>
      <w:bookmarkEnd w:id="123"/>
      <w:bookmarkStart w:id="124" w:name="_Toc184312123"/>
      <w:bookmarkEnd w:id="124"/>
      <w:bookmarkStart w:id="125" w:name="_Toc184313279"/>
      <w:bookmarkEnd w:id="125"/>
      <w:bookmarkStart w:id="126" w:name="_Toc184314481"/>
      <w:bookmarkEnd w:id="126"/>
      <w:bookmarkStart w:id="127" w:name="_Toc184310317"/>
      <w:bookmarkEnd w:id="127"/>
      <w:bookmarkStart w:id="128" w:name="_Toc184313256"/>
      <w:bookmarkEnd w:id="128"/>
      <w:bookmarkStart w:id="129" w:name="_Toc184312136"/>
      <w:bookmarkEnd w:id="129"/>
      <w:bookmarkStart w:id="130" w:name="_Toc184312119"/>
      <w:bookmarkEnd w:id="130"/>
      <w:bookmarkStart w:id="131" w:name="_Toc184308036"/>
      <w:bookmarkEnd w:id="131"/>
      <w:bookmarkStart w:id="132" w:name="_Toc184313289"/>
      <w:bookmarkEnd w:id="132"/>
      <w:bookmarkStart w:id="133" w:name="_Toc184314411"/>
      <w:bookmarkEnd w:id="133"/>
      <w:bookmarkStart w:id="134" w:name="_Toc184312112"/>
      <w:bookmarkEnd w:id="134"/>
      <w:bookmarkStart w:id="135" w:name="_Toc184313265"/>
      <w:bookmarkEnd w:id="135"/>
      <w:bookmarkStart w:id="136" w:name="_Toc184313241"/>
      <w:bookmarkEnd w:id="136"/>
      <w:bookmarkStart w:id="137" w:name="_Toc184312122"/>
      <w:bookmarkEnd w:id="137"/>
      <w:bookmarkStart w:id="138" w:name="_Toc184312121"/>
      <w:bookmarkEnd w:id="138"/>
      <w:bookmarkStart w:id="139" w:name="_Toc184313297"/>
      <w:bookmarkEnd w:id="139"/>
      <w:bookmarkStart w:id="140" w:name="_Toc184310277"/>
      <w:bookmarkEnd w:id="140"/>
      <w:bookmarkStart w:id="141" w:name="_Toc184313251"/>
      <w:bookmarkEnd w:id="141"/>
      <w:bookmarkStart w:id="142" w:name="_Toc184314425"/>
      <w:bookmarkEnd w:id="142"/>
      <w:bookmarkStart w:id="143" w:name="_Toc184314464"/>
      <w:bookmarkEnd w:id="143"/>
      <w:bookmarkStart w:id="144" w:name="_Toc184313270"/>
      <w:bookmarkEnd w:id="144"/>
      <w:bookmarkStart w:id="145" w:name="_Toc184313301"/>
      <w:bookmarkEnd w:id="145"/>
      <w:bookmarkStart w:id="146" w:name="_Toc184308065"/>
      <w:bookmarkEnd w:id="146"/>
      <w:bookmarkStart w:id="147" w:name="_Toc184313263"/>
      <w:bookmarkEnd w:id="147"/>
      <w:bookmarkStart w:id="148" w:name="_Toc184308069"/>
      <w:bookmarkEnd w:id="148"/>
      <w:bookmarkStart w:id="149" w:name="_Toc184313247"/>
      <w:bookmarkEnd w:id="149"/>
      <w:bookmarkStart w:id="150" w:name="_Toc184308060"/>
      <w:bookmarkEnd w:id="150"/>
      <w:bookmarkStart w:id="151" w:name="_Toc184308072"/>
      <w:bookmarkEnd w:id="151"/>
      <w:bookmarkStart w:id="152" w:name="_Toc184308100"/>
      <w:bookmarkEnd w:id="152"/>
      <w:bookmarkStart w:id="153" w:name="_Toc184313255"/>
      <w:bookmarkEnd w:id="153"/>
      <w:bookmarkStart w:id="154" w:name="_Toc184313294"/>
      <w:bookmarkEnd w:id="154"/>
      <w:bookmarkStart w:id="155" w:name="_Toc184312108"/>
      <w:bookmarkEnd w:id="155"/>
      <w:bookmarkStart w:id="156" w:name="_Toc184308044"/>
      <w:bookmarkEnd w:id="156"/>
      <w:bookmarkStart w:id="157" w:name="_Toc184313252"/>
      <w:bookmarkEnd w:id="157"/>
      <w:bookmarkStart w:id="158" w:name="_Toc184308062"/>
      <w:bookmarkEnd w:id="158"/>
      <w:bookmarkStart w:id="159" w:name="_Toc184310321"/>
      <w:bookmarkEnd w:id="159"/>
      <w:bookmarkStart w:id="160" w:name="_Toc184313271"/>
      <w:bookmarkEnd w:id="160"/>
      <w:bookmarkStart w:id="161" w:name="_Toc184313307"/>
      <w:bookmarkEnd w:id="161"/>
      <w:bookmarkStart w:id="162" w:name="_Toc184310325"/>
      <w:bookmarkEnd w:id="162"/>
      <w:bookmarkStart w:id="163" w:name="_Toc184314475"/>
      <w:bookmarkEnd w:id="163"/>
      <w:bookmarkStart w:id="164" w:name="_Toc184313288"/>
      <w:bookmarkEnd w:id="164"/>
      <w:bookmarkStart w:id="165" w:name="_Toc184310327"/>
      <w:bookmarkEnd w:id="165"/>
      <w:bookmarkStart w:id="166" w:name="_Toc184310333"/>
      <w:bookmarkEnd w:id="166"/>
      <w:bookmarkStart w:id="167" w:name="_Toc184310343"/>
      <w:bookmarkEnd w:id="167"/>
      <w:bookmarkStart w:id="168" w:name="_Toc184313280"/>
      <w:bookmarkEnd w:id="168"/>
      <w:bookmarkStart w:id="169" w:name="_Toc184308081"/>
      <w:bookmarkEnd w:id="169"/>
      <w:bookmarkStart w:id="170" w:name="_Toc184310305"/>
      <w:bookmarkEnd w:id="170"/>
      <w:bookmarkStart w:id="171" w:name="_Toc184308104"/>
      <w:bookmarkEnd w:id="171"/>
      <w:bookmarkStart w:id="172" w:name="_Toc184314416"/>
      <w:bookmarkEnd w:id="172"/>
      <w:bookmarkStart w:id="173" w:name="_Toc184310330"/>
      <w:bookmarkEnd w:id="173"/>
      <w:bookmarkStart w:id="174" w:name="_Toc184310322"/>
      <w:bookmarkEnd w:id="174"/>
      <w:bookmarkStart w:id="175" w:name="_Toc184314427"/>
      <w:bookmarkEnd w:id="175"/>
      <w:bookmarkStart w:id="176" w:name="_Toc184310280"/>
      <w:bookmarkEnd w:id="176"/>
      <w:bookmarkStart w:id="177" w:name="_Toc184310309"/>
      <w:bookmarkEnd w:id="177"/>
      <w:bookmarkStart w:id="178" w:name="_Toc184310334"/>
      <w:bookmarkEnd w:id="178"/>
      <w:bookmarkStart w:id="179" w:name="_Toc184308037"/>
      <w:bookmarkEnd w:id="179"/>
      <w:bookmarkStart w:id="180" w:name="_Toc184310328"/>
      <w:bookmarkEnd w:id="180"/>
      <w:bookmarkStart w:id="181" w:name="_Toc184310302"/>
      <w:bookmarkEnd w:id="181"/>
      <w:bookmarkStart w:id="182" w:name="_Toc184312130"/>
      <w:bookmarkEnd w:id="182"/>
      <w:bookmarkStart w:id="183" w:name="_Toc184314438"/>
      <w:bookmarkEnd w:id="183"/>
      <w:bookmarkStart w:id="184" w:name="_Toc184308074"/>
      <w:bookmarkEnd w:id="184"/>
      <w:bookmarkStart w:id="185" w:name="_Toc184314443"/>
      <w:bookmarkEnd w:id="185"/>
      <w:bookmarkStart w:id="186" w:name="_Toc184308097"/>
      <w:bookmarkEnd w:id="186"/>
      <w:bookmarkStart w:id="187" w:name="_Toc184313285"/>
      <w:bookmarkEnd w:id="187"/>
      <w:bookmarkStart w:id="188" w:name="_Toc184312080"/>
      <w:bookmarkEnd w:id="188"/>
      <w:bookmarkStart w:id="189" w:name="_Toc184308061"/>
      <w:bookmarkEnd w:id="189"/>
      <w:bookmarkStart w:id="190" w:name="_Toc184308049"/>
      <w:bookmarkEnd w:id="190"/>
      <w:bookmarkStart w:id="191" w:name="_Toc184314433"/>
      <w:bookmarkEnd w:id="191"/>
      <w:bookmarkStart w:id="192" w:name="_Toc184314422"/>
      <w:bookmarkEnd w:id="192"/>
      <w:bookmarkStart w:id="193" w:name="_Toc184310332"/>
      <w:bookmarkEnd w:id="193"/>
      <w:bookmarkStart w:id="194" w:name="_Toc184313258"/>
      <w:bookmarkEnd w:id="194"/>
      <w:bookmarkStart w:id="195" w:name="_Toc184314467"/>
      <w:bookmarkEnd w:id="195"/>
      <w:bookmarkStart w:id="196" w:name="_Toc184314479"/>
      <w:bookmarkEnd w:id="196"/>
      <w:bookmarkStart w:id="197" w:name="_Toc184312110"/>
      <w:bookmarkEnd w:id="197"/>
      <w:bookmarkStart w:id="198" w:name="_Toc184310307"/>
      <w:bookmarkEnd w:id="198"/>
      <w:bookmarkStart w:id="199" w:name="_Toc184314469"/>
      <w:bookmarkEnd w:id="199"/>
      <w:bookmarkStart w:id="200" w:name="_Toc184313260"/>
      <w:bookmarkEnd w:id="200"/>
      <w:bookmarkStart w:id="201" w:name="_Toc184310281"/>
      <w:bookmarkEnd w:id="201"/>
      <w:bookmarkStart w:id="202" w:name="_Toc184313243"/>
      <w:bookmarkEnd w:id="202"/>
      <w:bookmarkStart w:id="203" w:name="_Toc184308077"/>
      <w:bookmarkEnd w:id="203"/>
      <w:bookmarkStart w:id="204" w:name="_Toc184314452"/>
      <w:bookmarkEnd w:id="204"/>
      <w:bookmarkStart w:id="205" w:name="_Toc184312133"/>
      <w:bookmarkEnd w:id="205"/>
      <w:bookmarkStart w:id="206" w:name="_Toc184312100"/>
      <w:bookmarkEnd w:id="206"/>
      <w:bookmarkStart w:id="207" w:name="_Toc184314460"/>
      <w:bookmarkEnd w:id="207"/>
      <w:bookmarkStart w:id="208" w:name="_Toc184308059"/>
      <w:bookmarkEnd w:id="208"/>
      <w:bookmarkStart w:id="209" w:name="_Toc184313253"/>
      <w:bookmarkEnd w:id="209"/>
      <w:bookmarkStart w:id="210" w:name="_Toc184314451"/>
      <w:bookmarkEnd w:id="210"/>
      <w:bookmarkStart w:id="211" w:name="_Toc184312078"/>
      <w:bookmarkEnd w:id="211"/>
      <w:bookmarkStart w:id="212" w:name="_Toc184314458"/>
      <w:bookmarkEnd w:id="212"/>
      <w:bookmarkStart w:id="213" w:name="_Toc184312126"/>
      <w:bookmarkEnd w:id="213"/>
      <w:bookmarkStart w:id="214" w:name="_Toc184310295"/>
      <w:bookmarkEnd w:id="214"/>
      <w:bookmarkStart w:id="215" w:name="_Toc184312116"/>
      <w:bookmarkEnd w:id="215"/>
      <w:bookmarkStart w:id="216" w:name="_Toc184313291"/>
      <w:bookmarkEnd w:id="216"/>
      <w:bookmarkStart w:id="217" w:name="_Toc184308087"/>
      <w:bookmarkEnd w:id="217"/>
      <w:bookmarkStart w:id="218" w:name="_Toc184310272"/>
      <w:bookmarkEnd w:id="218"/>
      <w:bookmarkStart w:id="219" w:name="_Toc184308054"/>
      <w:bookmarkEnd w:id="219"/>
      <w:bookmarkStart w:id="220" w:name="_Toc184313249"/>
      <w:bookmarkEnd w:id="220"/>
      <w:bookmarkStart w:id="221" w:name="_Toc184308082"/>
      <w:bookmarkEnd w:id="221"/>
      <w:bookmarkStart w:id="222" w:name="_Toc184313269"/>
      <w:bookmarkEnd w:id="222"/>
      <w:bookmarkStart w:id="223" w:name="_Toc184310300"/>
      <w:bookmarkEnd w:id="223"/>
      <w:bookmarkStart w:id="224" w:name="_Toc184314410"/>
      <w:bookmarkEnd w:id="224"/>
      <w:bookmarkStart w:id="225" w:name="_Toc184310336"/>
      <w:bookmarkEnd w:id="225"/>
      <w:bookmarkStart w:id="226" w:name="_Toc184310298"/>
      <w:bookmarkEnd w:id="226"/>
      <w:bookmarkStart w:id="227" w:name="_Toc184313299"/>
      <w:bookmarkEnd w:id="227"/>
      <w:bookmarkStart w:id="228" w:name="_Toc184314474"/>
      <w:bookmarkEnd w:id="228"/>
      <w:bookmarkStart w:id="229" w:name="_Toc184308080"/>
      <w:bookmarkEnd w:id="229"/>
      <w:bookmarkStart w:id="230" w:name="_Toc184313240"/>
      <w:bookmarkEnd w:id="230"/>
      <w:bookmarkStart w:id="231" w:name="_Toc184313284"/>
      <w:bookmarkEnd w:id="231"/>
      <w:bookmarkStart w:id="232" w:name="_Toc184312118"/>
      <w:bookmarkEnd w:id="232"/>
      <w:bookmarkStart w:id="233" w:name="_Toc184308101"/>
      <w:bookmarkEnd w:id="233"/>
      <w:bookmarkStart w:id="234" w:name="_Toc184313295"/>
      <w:bookmarkEnd w:id="234"/>
      <w:bookmarkStart w:id="235" w:name="_Toc184313275"/>
      <w:bookmarkEnd w:id="235"/>
      <w:bookmarkStart w:id="236" w:name="_Toc184313293"/>
      <w:bookmarkEnd w:id="236"/>
      <w:bookmarkStart w:id="237" w:name="_Toc184308041"/>
      <w:bookmarkEnd w:id="237"/>
      <w:bookmarkStart w:id="238" w:name="_Toc184310313"/>
      <w:bookmarkEnd w:id="238"/>
      <w:bookmarkStart w:id="239" w:name="_Toc184308052"/>
      <w:bookmarkEnd w:id="239"/>
      <w:bookmarkStart w:id="240" w:name="_Toc184312114"/>
      <w:bookmarkEnd w:id="240"/>
      <w:bookmarkStart w:id="241" w:name="_Toc184314439"/>
      <w:bookmarkEnd w:id="241"/>
      <w:bookmarkStart w:id="242" w:name="_Toc184313262"/>
      <w:bookmarkEnd w:id="242"/>
      <w:bookmarkStart w:id="243" w:name="_Toc184310341"/>
      <w:bookmarkEnd w:id="243"/>
      <w:bookmarkStart w:id="244" w:name="_Toc184310323"/>
      <w:bookmarkEnd w:id="244"/>
      <w:bookmarkStart w:id="245" w:name="_Toc184314434"/>
      <w:bookmarkEnd w:id="245"/>
      <w:bookmarkStart w:id="246" w:name="_Toc184308050"/>
      <w:bookmarkEnd w:id="246"/>
      <w:bookmarkStart w:id="247" w:name="_Toc184313268"/>
      <w:bookmarkEnd w:id="247"/>
      <w:bookmarkStart w:id="248" w:name="_Toc184312096"/>
      <w:bookmarkEnd w:id="248"/>
      <w:bookmarkStart w:id="249" w:name="_Toc184314426"/>
      <w:bookmarkEnd w:id="249"/>
      <w:bookmarkStart w:id="250" w:name="_Toc184313296"/>
      <w:bookmarkEnd w:id="250"/>
      <w:bookmarkStart w:id="251" w:name="_Toc184310292"/>
      <w:bookmarkEnd w:id="251"/>
      <w:bookmarkStart w:id="252" w:name="_Toc184313274"/>
      <w:bookmarkEnd w:id="252"/>
      <w:bookmarkStart w:id="253" w:name="_Toc184312099"/>
      <w:bookmarkEnd w:id="253"/>
      <w:bookmarkStart w:id="254" w:name="_Toc184314437"/>
      <w:bookmarkEnd w:id="254"/>
      <w:bookmarkStart w:id="255" w:name="_Toc184310318"/>
      <w:bookmarkEnd w:id="255"/>
      <w:bookmarkStart w:id="256" w:name="_Toc184312072"/>
      <w:bookmarkEnd w:id="256"/>
      <w:bookmarkStart w:id="257" w:name="_Toc184314418"/>
      <w:bookmarkEnd w:id="257"/>
      <w:bookmarkStart w:id="258" w:name="_Toc184314441"/>
      <w:bookmarkEnd w:id="258"/>
      <w:bookmarkStart w:id="259" w:name="_Toc184312067"/>
      <w:bookmarkEnd w:id="259"/>
      <w:bookmarkStart w:id="260" w:name="_Toc184308076"/>
      <w:bookmarkEnd w:id="260"/>
      <w:bookmarkStart w:id="261" w:name="_Toc184310315"/>
      <w:bookmarkEnd w:id="261"/>
      <w:bookmarkStart w:id="262" w:name="_Toc184312073"/>
      <w:bookmarkEnd w:id="262"/>
      <w:bookmarkStart w:id="263" w:name="_Toc184314442"/>
      <w:bookmarkEnd w:id="263"/>
      <w:bookmarkStart w:id="264" w:name="_Toc184313309"/>
      <w:bookmarkEnd w:id="264"/>
      <w:bookmarkStart w:id="265" w:name="_Toc184308089"/>
      <w:bookmarkEnd w:id="265"/>
      <w:bookmarkStart w:id="266" w:name="_Toc184310275"/>
      <w:bookmarkEnd w:id="266"/>
      <w:bookmarkStart w:id="267" w:name="_Toc184310279"/>
      <w:bookmarkEnd w:id="267"/>
      <w:bookmarkStart w:id="268" w:name="_Toc184314471"/>
      <w:bookmarkEnd w:id="268"/>
      <w:bookmarkStart w:id="269" w:name="_Toc184310340"/>
      <w:bookmarkEnd w:id="269"/>
      <w:bookmarkStart w:id="270" w:name="_Toc184308106"/>
      <w:bookmarkEnd w:id="270"/>
      <w:bookmarkStart w:id="271" w:name="_Toc184314429"/>
      <w:bookmarkEnd w:id="271"/>
      <w:bookmarkStart w:id="272" w:name="_Toc184313238"/>
      <w:bookmarkEnd w:id="272"/>
      <w:bookmarkStart w:id="273" w:name="_Toc184310311"/>
      <w:bookmarkEnd w:id="273"/>
      <w:bookmarkStart w:id="274" w:name="_Toc184308105"/>
      <w:bookmarkEnd w:id="274"/>
      <w:bookmarkStart w:id="275" w:name="_Toc184314440"/>
      <w:bookmarkEnd w:id="275"/>
      <w:bookmarkStart w:id="276" w:name="_Toc184308091"/>
      <w:bookmarkEnd w:id="276"/>
      <w:bookmarkStart w:id="277" w:name="_Toc184312092"/>
      <w:bookmarkEnd w:id="277"/>
      <w:bookmarkStart w:id="278" w:name="_Toc184308045"/>
      <w:bookmarkEnd w:id="278"/>
      <w:bookmarkStart w:id="279" w:name="_Toc184313286"/>
      <w:bookmarkEnd w:id="279"/>
      <w:bookmarkStart w:id="280" w:name="_Toc184308094"/>
      <w:bookmarkEnd w:id="280"/>
      <w:bookmarkStart w:id="281" w:name="_Toc184310314"/>
      <w:bookmarkEnd w:id="281"/>
      <w:bookmarkStart w:id="282" w:name="_Toc184314447"/>
      <w:bookmarkEnd w:id="282"/>
      <w:bookmarkStart w:id="283" w:name="_Toc184312079"/>
      <w:bookmarkEnd w:id="283"/>
      <w:bookmarkStart w:id="284" w:name="_Toc184313261"/>
      <w:bookmarkEnd w:id="284"/>
      <w:bookmarkStart w:id="285" w:name="_Toc184314449"/>
      <w:bookmarkEnd w:id="285"/>
      <w:bookmarkStart w:id="286" w:name="_Toc184310310"/>
      <w:bookmarkEnd w:id="286"/>
      <w:bookmarkStart w:id="287" w:name="_Toc184313304"/>
      <w:bookmarkEnd w:id="287"/>
      <w:bookmarkStart w:id="288" w:name="_Toc184308071"/>
      <w:bookmarkEnd w:id="288"/>
      <w:bookmarkStart w:id="289" w:name="_Toc184308083"/>
      <w:bookmarkEnd w:id="289"/>
      <w:bookmarkStart w:id="290" w:name="_Toc184310284"/>
      <w:bookmarkEnd w:id="290"/>
      <w:bookmarkStart w:id="291" w:name="_Toc184308092"/>
      <w:bookmarkEnd w:id="291"/>
      <w:bookmarkStart w:id="292" w:name="_Toc184313277"/>
      <w:bookmarkEnd w:id="292"/>
      <w:bookmarkStart w:id="293" w:name="_Toc184314473"/>
      <w:bookmarkEnd w:id="293"/>
      <w:bookmarkStart w:id="294" w:name="_Toc184312074"/>
      <w:bookmarkEnd w:id="294"/>
      <w:bookmarkStart w:id="295" w:name="_Toc184312105"/>
      <w:bookmarkEnd w:id="295"/>
      <w:bookmarkStart w:id="296" w:name="_Toc184312081"/>
      <w:bookmarkEnd w:id="296"/>
      <w:bookmarkStart w:id="297" w:name="_Toc184312139"/>
      <w:bookmarkEnd w:id="297"/>
      <w:bookmarkStart w:id="298" w:name="_Toc184312101"/>
      <w:bookmarkEnd w:id="298"/>
      <w:bookmarkStart w:id="299" w:name="_Toc184312070"/>
      <w:bookmarkEnd w:id="299"/>
      <w:bookmarkStart w:id="300" w:name="_Toc184310299"/>
      <w:bookmarkEnd w:id="300"/>
      <w:bookmarkStart w:id="301" w:name="_Toc184312069"/>
      <w:bookmarkEnd w:id="301"/>
      <w:bookmarkStart w:id="302" w:name="_Toc184310301"/>
      <w:bookmarkEnd w:id="302"/>
      <w:bookmarkStart w:id="303" w:name="_Toc184308038"/>
      <w:bookmarkEnd w:id="303"/>
      <w:bookmarkStart w:id="304" w:name="_Toc184310319"/>
      <w:bookmarkEnd w:id="304"/>
      <w:bookmarkStart w:id="305" w:name="_Toc184310329"/>
      <w:bookmarkEnd w:id="305"/>
      <w:bookmarkStart w:id="306" w:name="_Toc184313266"/>
      <w:bookmarkEnd w:id="306"/>
      <w:bookmarkStart w:id="307" w:name="_Toc184312075"/>
      <w:bookmarkEnd w:id="307"/>
      <w:bookmarkStart w:id="308" w:name="_Toc184314468"/>
      <w:bookmarkEnd w:id="308"/>
      <w:bookmarkStart w:id="309" w:name="_Toc184313306"/>
      <w:bookmarkEnd w:id="309"/>
      <w:bookmarkStart w:id="310" w:name="_Toc184310296"/>
      <w:bookmarkEnd w:id="310"/>
      <w:bookmarkStart w:id="311" w:name="_Toc184310273"/>
      <w:bookmarkEnd w:id="311"/>
      <w:bookmarkStart w:id="312" w:name="_Toc184314420"/>
      <w:bookmarkEnd w:id="312"/>
      <w:bookmarkStart w:id="313" w:name="_Toc184313239"/>
      <w:bookmarkEnd w:id="313"/>
      <w:bookmarkStart w:id="314" w:name="_Toc184310287"/>
      <w:bookmarkEnd w:id="314"/>
      <w:bookmarkStart w:id="315" w:name="_Toc184313300"/>
      <w:bookmarkEnd w:id="315"/>
      <w:bookmarkStart w:id="316" w:name="_Toc184310283"/>
      <w:bookmarkEnd w:id="316"/>
      <w:bookmarkStart w:id="317" w:name="_Toc184308102"/>
      <w:bookmarkEnd w:id="317"/>
      <w:bookmarkStart w:id="318" w:name="_Toc184312077"/>
      <w:bookmarkEnd w:id="318"/>
      <w:bookmarkStart w:id="319" w:name="_Toc184308064"/>
      <w:bookmarkEnd w:id="319"/>
      <w:bookmarkStart w:id="320" w:name="_Toc184310274"/>
      <w:bookmarkEnd w:id="320"/>
      <w:bookmarkStart w:id="321" w:name="_Toc184310297"/>
      <w:bookmarkEnd w:id="321"/>
      <w:bookmarkStart w:id="322" w:name="_Toc184308042"/>
      <w:bookmarkEnd w:id="322"/>
      <w:bookmarkStart w:id="323" w:name="_Toc184312095"/>
      <w:bookmarkEnd w:id="323"/>
      <w:bookmarkStart w:id="324" w:name="_Toc184314446"/>
      <w:bookmarkEnd w:id="324"/>
      <w:bookmarkStart w:id="325" w:name="_Toc184313246"/>
      <w:bookmarkEnd w:id="325"/>
      <w:bookmarkStart w:id="326" w:name="_Toc184313245"/>
      <w:bookmarkEnd w:id="326"/>
      <w:bookmarkStart w:id="327" w:name="_Toc184313287"/>
      <w:bookmarkEnd w:id="327"/>
      <w:bookmarkStart w:id="328" w:name="_Toc184312076"/>
      <w:bookmarkEnd w:id="328"/>
      <w:bookmarkStart w:id="329" w:name="_Toc184314456"/>
      <w:bookmarkEnd w:id="329"/>
      <w:bookmarkStart w:id="330" w:name="_Toc184308093"/>
      <w:bookmarkEnd w:id="330"/>
      <w:bookmarkStart w:id="331" w:name="_Toc184312098"/>
      <w:bookmarkEnd w:id="331"/>
      <w:bookmarkStart w:id="332" w:name="_Toc184312104"/>
      <w:bookmarkEnd w:id="332"/>
      <w:bookmarkStart w:id="333" w:name="_Toc184312106"/>
      <w:bookmarkEnd w:id="333"/>
      <w:bookmarkStart w:id="334" w:name="_Toc184314482"/>
      <w:bookmarkEnd w:id="334"/>
      <w:bookmarkStart w:id="335" w:name="_Toc184312138"/>
      <w:bookmarkEnd w:id="335"/>
      <w:bookmarkStart w:id="336" w:name="_Toc184312082"/>
      <w:bookmarkEnd w:id="336"/>
      <w:bookmarkStart w:id="337" w:name="_Toc184312117"/>
      <w:bookmarkEnd w:id="337"/>
      <w:bookmarkStart w:id="338" w:name="_Toc184314472"/>
      <w:bookmarkEnd w:id="338"/>
      <w:bookmarkStart w:id="339" w:name="_Toc184308055"/>
      <w:bookmarkEnd w:id="339"/>
      <w:bookmarkStart w:id="340" w:name="_Toc184314419"/>
      <w:bookmarkEnd w:id="340"/>
      <w:bookmarkStart w:id="341" w:name="_Toc184310342"/>
      <w:bookmarkEnd w:id="341"/>
      <w:bookmarkStart w:id="342" w:name="_Toc184313273"/>
      <w:bookmarkEnd w:id="342"/>
      <w:bookmarkStart w:id="343" w:name="_Toc184313259"/>
      <w:bookmarkEnd w:id="343"/>
      <w:bookmarkStart w:id="344" w:name="_Toc184314470"/>
      <w:bookmarkEnd w:id="344"/>
      <w:bookmarkStart w:id="345" w:name="_Toc184314462"/>
      <w:bookmarkEnd w:id="345"/>
      <w:bookmarkStart w:id="346" w:name="_Toc184314432"/>
      <w:bookmarkEnd w:id="346"/>
      <w:bookmarkStart w:id="347" w:name="_Toc184310285"/>
      <w:bookmarkEnd w:id="347"/>
      <w:bookmarkStart w:id="348" w:name="_Toc184308043"/>
      <w:bookmarkEnd w:id="348"/>
      <w:bookmarkStart w:id="349" w:name="_Toc184312115"/>
      <w:bookmarkEnd w:id="349"/>
      <w:bookmarkStart w:id="350" w:name="_Toc184314480"/>
      <w:bookmarkEnd w:id="350"/>
      <w:bookmarkStart w:id="351" w:name="_Toc184312124"/>
      <w:bookmarkEnd w:id="351"/>
      <w:bookmarkStart w:id="352" w:name="_Toc184313302"/>
      <w:bookmarkEnd w:id="352"/>
      <w:bookmarkStart w:id="353" w:name="_Toc184314453"/>
      <w:bookmarkEnd w:id="353"/>
      <w:bookmarkStart w:id="354" w:name="_Toc184310338"/>
      <w:bookmarkEnd w:id="354"/>
      <w:bookmarkStart w:id="355" w:name="_Toc184314477"/>
      <w:bookmarkEnd w:id="355"/>
      <w:bookmarkStart w:id="356" w:name="_Toc184314415"/>
      <w:bookmarkEnd w:id="356"/>
      <w:bookmarkStart w:id="357" w:name="_Toc184312134"/>
      <w:bookmarkEnd w:id="357"/>
      <w:bookmarkStart w:id="358" w:name="_Toc184314463"/>
      <w:bookmarkEnd w:id="358"/>
      <w:bookmarkStart w:id="359" w:name="_Toc184308096"/>
      <w:bookmarkEnd w:id="359"/>
      <w:bookmarkStart w:id="360" w:name="_Toc184310304"/>
      <w:bookmarkEnd w:id="360"/>
      <w:bookmarkStart w:id="361" w:name="_Toc184308040"/>
      <w:bookmarkEnd w:id="361"/>
      <w:bookmarkStart w:id="362" w:name="_Toc184312085"/>
      <w:bookmarkEnd w:id="362"/>
      <w:bookmarkStart w:id="363" w:name="_Toc184308057"/>
      <w:bookmarkEnd w:id="363"/>
      <w:bookmarkStart w:id="364" w:name="_Toc184310278"/>
      <w:bookmarkEnd w:id="364"/>
      <w:bookmarkStart w:id="365" w:name="_Toc184312068"/>
      <w:bookmarkEnd w:id="365"/>
      <w:bookmarkStart w:id="366" w:name="_Toc184313257"/>
      <w:bookmarkEnd w:id="366"/>
      <w:bookmarkStart w:id="367" w:name="_Toc184313308"/>
      <w:bookmarkEnd w:id="367"/>
      <w:bookmarkStart w:id="368" w:name="_Toc184312111"/>
      <w:bookmarkEnd w:id="368"/>
      <w:bookmarkStart w:id="369" w:name="_Toc184313267"/>
      <w:bookmarkEnd w:id="369"/>
      <w:bookmarkStart w:id="370" w:name="_Toc184314466"/>
      <w:bookmarkEnd w:id="370"/>
      <w:bookmarkStart w:id="371" w:name="_Toc184313272"/>
      <w:bookmarkEnd w:id="371"/>
      <w:bookmarkStart w:id="372" w:name="_Toc184314413"/>
      <w:bookmarkEnd w:id="372"/>
      <w:bookmarkStart w:id="373" w:name="_Toc184313250"/>
      <w:bookmarkEnd w:id="373"/>
      <w:bookmarkStart w:id="374" w:name="_Toc184308084"/>
      <w:bookmarkEnd w:id="374"/>
      <w:bookmarkStart w:id="375" w:name="_Toc184308090"/>
      <w:bookmarkEnd w:id="375"/>
      <w:bookmarkStart w:id="376" w:name="_Toc184312129"/>
      <w:bookmarkEnd w:id="376"/>
      <w:bookmarkStart w:id="377" w:name="_Toc184310308"/>
      <w:bookmarkEnd w:id="377"/>
      <w:bookmarkStart w:id="378" w:name="_Toc184310291"/>
      <w:bookmarkEnd w:id="378"/>
      <w:bookmarkStart w:id="379" w:name="_Toc184314444"/>
      <w:bookmarkEnd w:id="379"/>
      <w:bookmarkStart w:id="380" w:name="_Toc184308073"/>
      <w:bookmarkEnd w:id="380"/>
      <w:bookmarkStart w:id="381" w:name="_Toc184314461"/>
      <w:bookmarkEnd w:id="381"/>
      <w:bookmarkStart w:id="382" w:name="_Toc184308058"/>
      <w:bookmarkEnd w:id="382"/>
      <w:bookmarkStart w:id="383" w:name="_Toc184310331"/>
      <w:bookmarkEnd w:id="383"/>
      <w:bookmarkStart w:id="384" w:name="_Toc184312120"/>
      <w:bookmarkEnd w:id="384"/>
      <w:bookmarkStart w:id="385" w:name="_Toc184312086"/>
      <w:bookmarkEnd w:id="385"/>
      <w:bookmarkStart w:id="386" w:name="_Toc184308075"/>
      <w:bookmarkEnd w:id="386"/>
      <w:bookmarkStart w:id="387" w:name="_Toc184310290"/>
      <w:bookmarkEnd w:id="387"/>
      <w:bookmarkStart w:id="388" w:name="_Toc184312094"/>
      <w:bookmarkEnd w:id="388"/>
      <w:bookmarkStart w:id="389" w:name="_Toc184308048"/>
      <w:bookmarkEnd w:id="389"/>
      <w:bookmarkStart w:id="390" w:name="_Toc184310282"/>
      <w:bookmarkEnd w:id="390"/>
      <w:bookmarkStart w:id="391" w:name="_Toc184308046"/>
      <w:bookmarkEnd w:id="391"/>
      <w:bookmarkStart w:id="392" w:name="_Toc184313254"/>
      <w:bookmarkEnd w:id="392"/>
      <w:bookmarkStart w:id="393" w:name="_Toc184314465"/>
      <w:bookmarkEnd w:id="393"/>
      <w:bookmarkStart w:id="394" w:name="_Toc184312135"/>
      <w:bookmarkEnd w:id="394"/>
      <w:bookmarkStart w:id="395" w:name="_Toc184310293"/>
      <w:bookmarkEnd w:id="395"/>
      <w:bookmarkStart w:id="396" w:name="_Toc184313282"/>
      <w:bookmarkEnd w:id="396"/>
      <w:bookmarkStart w:id="397" w:name="_Toc184308085"/>
      <w:bookmarkEnd w:id="397"/>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4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20"/>
        <w:gridCol w:w="528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3475"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评标要点</w:t>
            </w:r>
          </w:p>
        </w:tc>
        <w:tc>
          <w:tcPr>
            <w:tcW w:w="439"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1" w:type="pct"/>
            <w:vMerge w:val="restar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03" w:type="pct"/>
            <w:vMerge w:val="restar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企业情况</w:t>
            </w:r>
          </w:p>
        </w:tc>
        <w:tc>
          <w:tcPr>
            <w:tcW w:w="3475" w:type="pct"/>
            <w:vAlign w:val="center"/>
          </w:tcPr>
          <w:p>
            <w:pPr>
              <w:pageBreakBefore w:val="0"/>
              <w:widowControl w:val="0"/>
              <w:kinsoku/>
              <w:wordWrap/>
              <w:overflowPunct/>
              <w:topLinePunct/>
              <w:bidi w:val="0"/>
              <w:adjustRightIn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1.投标人具有质量管理体系认证</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rPr>
              <w:t>、环境管理体系认证</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en-US" w:eastAsia="zh-CN"/>
              </w:rPr>
              <w:t>得1分</w:t>
            </w:r>
            <w:r>
              <w:rPr>
                <w:rFonts w:hint="eastAsia" w:ascii="宋体" w:hAnsi="宋体" w:cs="宋体"/>
                <w:color w:val="auto"/>
                <w:sz w:val="21"/>
                <w:szCs w:val="21"/>
                <w:highlight w:val="none"/>
                <w:lang w:val="zh-CN"/>
              </w:rPr>
              <w:t>、信息技术服务管理体系认证的</w:t>
            </w:r>
            <w:r>
              <w:rPr>
                <w:rFonts w:hint="eastAsia" w:ascii="宋体" w:hAnsi="宋体" w:cs="宋体"/>
                <w:color w:val="auto"/>
                <w:sz w:val="21"/>
                <w:szCs w:val="21"/>
                <w:highlight w:val="none"/>
                <w:lang w:val="en-US" w:eastAsia="zh-CN"/>
              </w:rPr>
              <w:t>得1分</w:t>
            </w:r>
            <w:r>
              <w:rPr>
                <w:rFonts w:hint="eastAsia" w:ascii="宋体" w:hAnsi="宋体" w:cs="宋体"/>
                <w:color w:val="auto"/>
                <w:sz w:val="21"/>
                <w:szCs w:val="21"/>
                <w:highlight w:val="none"/>
                <w:lang w:val="zh-CN"/>
              </w:rPr>
              <w:t>、信息安全管理体系认证的</w:t>
            </w:r>
            <w:r>
              <w:rPr>
                <w:rFonts w:hint="eastAsia" w:ascii="宋体" w:hAnsi="宋体" w:cs="宋体"/>
                <w:color w:val="auto"/>
                <w:sz w:val="21"/>
                <w:szCs w:val="21"/>
                <w:highlight w:val="none"/>
                <w:lang w:val="en-US" w:eastAsia="zh-CN"/>
              </w:rPr>
              <w:t>得1分</w:t>
            </w:r>
            <w:r>
              <w:rPr>
                <w:rFonts w:hint="eastAsia" w:ascii="宋体" w:hAnsi="宋体" w:cs="宋体"/>
                <w:color w:val="auto"/>
                <w:sz w:val="21"/>
                <w:szCs w:val="21"/>
                <w:highlight w:val="none"/>
                <w:lang w:val="zh-CN"/>
              </w:rPr>
              <w:t>、企业资信AAA等级证书</w:t>
            </w:r>
            <w:r>
              <w:rPr>
                <w:rFonts w:hint="eastAsia" w:ascii="宋体" w:hAnsi="宋体" w:eastAsia="宋体" w:cs="宋体"/>
                <w:color w:val="auto"/>
                <w:sz w:val="21"/>
                <w:szCs w:val="21"/>
                <w:highlight w:val="none"/>
                <w:lang w:val="zh-CN"/>
              </w:rPr>
              <w:t>且在有效期内</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lang w:val="en-US" w:eastAsia="zh-CN"/>
              </w:rPr>
              <w:t>得1分</w:t>
            </w:r>
            <w:r>
              <w:rPr>
                <w:rFonts w:hint="eastAsia" w:ascii="宋体" w:hAnsi="宋体" w:eastAsia="宋体" w:cs="宋体"/>
                <w:color w:val="auto"/>
                <w:sz w:val="21"/>
                <w:szCs w:val="21"/>
                <w:highlight w:val="none"/>
                <w:lang w:val="zh-CN"/>
              </w:rPr>
              <w:t>，最高得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c>
          <w:tcPr>
            <w:tcW w:w="439" w:type="pct"/>
            <w:vMerge w:val="restart"/>
            <w:vAlign w:val="center"/>
          </w:tcPr>
          <w:p>
            <w:pPr>
              <w:pageBreakBefore w:val="0"/>
              <w:widowControl w:val="0"/>
              <w:tabs>
                <w:tab w:val="left" w:pos="312"/>
              </w:tabs>
              <w:kinsoku/>
              <w:wordWrap/>
              <w:overflowPunct/>
              <w:topLinePunct/>
              <w:bidi w:val="0"/>
              <w:adjustRightIn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1" w:type="pct"/>
            <w:vMerge w:val="continue"/>
            <w:vAlign w:val="center"/>
          </w:tcPr>
          <w:p>
            <w:pPr>
              <w:pageBreakBefore w:val="0"/>
              <w:widowControl w:val="0"/>
              <w:kinsoku/>
              <w:wordWrap/>
              <w:overflowPunct/>
              <w:topLinePunct/>
              <w:bidi w:val="0"/>
              <w:adjustRightInd/>
              <w:spacing w:line="240" w:lineRule="auto"/>
              <w:textAlignment w:val="auto"/>
            </w:pPr>
          </w:p>
        </w:tc>
        <w:tc>
          <w:tcPr>
            <w:tcW w:w="803" w:type="pct"/>
            <w:vMerge w:val="continue"/>
            <w:vAlign w:val="center"/>
          </w:tcPr>
          <w:p>
            <w:pPr>
              <w:pageBreakBefore w:val="0"/>
              <w:widowControl w:val="0"/>
              <w:kinsoku/>
              <w:wordWrap/>
              <w:overflowPunct/>
              <w:topLinePunct/>
              <w:bidi w:val="0"/>
              <w:adjustRightInd/>
              <w:spacing w:line="240" w:lineRule="auto"/>
              <w:textAlignment w:val="auto"/>
            </w:pPr>
          </w:p>
        </w:tc>
        <w:tc>
          <w:tcPr>
            <w:tcW w:w="3475" w:type="pct"/>
            <w:vAlign w:val="center"/>
          </w:tcPr>
          <w:p>
            <w:pPr>
              <w:pageBreakBefore w:val="0"/>
              <w:widowControl w:val="0"/>
              <w:kinsoku/>
              <w:wordWrap/>
              <w:overflowPunct/>
              <w:topLinePunct/>
              <w:bidi w:val="0"/>
              <w:adjustRightInd/>
              <w:spacing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kern w:val="2"/>
                <w:sz w:val="21"/>
                <w:szCs w:val="21"/>
                <w:highlight w:val="none"/>
                <w:lang w:val="zh-CN" w:eastAsia="zh-CN" w:bidi="ar-SA"/>
              </w:rPr>
              <w:t>.投标人同时具有CCRC信息安全服务认证，ITSS信息技术服务运行维护标准符合性证书，CMMI-3软件成熟度认证证书（三级及以上）且在有效期内的得</w:t>
            </w: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zh-CN" w:eastAsia="zh-CN" w:bidi="ar-SA"/>
              </w:rPr>
              <w:t>分，</w:t>
            </w:r>
            <w:r>
              <w:rPr>
                <w:rFonts w:hint="eastAsia" w:ascii="宋体" w:hAnsi="宋体" w:eastAsia="宋体" w:cs="宋体"/>
                <w:b w:val="0"/>
                <w:bCs w:val="0"/>
                <w:color w:val="auto"/>
                <w:kern w:val="2"/>
                <w:sz w:val="21"/>
                <w:szCs w:val="21"/>
                <w:highlight w:val="none"/>
                <w:lang w:val="en-US" w:eastAsia="zh-CN" w:bidi="ar-SA"/>
              </w:rPr>
              <w:t>部分满足不得分。</w:t>
            </w:r>
          </w:p>
          <w:p>
            <w:pPr>
              <w:pageBreakBefore w:val="0"/>
              <w:widowControl w:val="0"/>
              <w:kinsoku/>
              <w:wordWrap/>
              <w:overflowPunct/>
              <w:topLinePunct/>
              <w:bidi w:val="0"/>
              <w:adjustRightIn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（须提供</w:t>
            </w:r>
            <w:r>
              <w:rPr>
                <w:rFonts w:hint="eastAsia" w:ascii="宋体" w:hAnsi="宋体" w:cs="宋体"/>
                <w:color w:val="auto"/>
                <w:sz w:val="21"/>
                <w:szCs w:val="21"/>
                <w:highlight w:val="none"/>
                <w:lang w:val="zh-CN"/>
              </w:rPr>
              <w:t>有效证明材料</w:t>
            </w:r>
            <w:r>
              <w:rPr>
                <w:rFonts w:hint="eastAsia" w:ascii="宋体" w:hAnsi="宋体" w:eastAsia="宋体" w:cs="宋体"/>
                <w:color w:val="auto"/>
                <w:sz w:val="21"/>
                <w:szCs w:val="21"/>
                <w:highlight w:val="none"/>
                <w:lang w:val="zh-CN"/>
              </w:rPr>
              <w:t>，未提供不得分）</w:t>
            </w:r>
          </w:p>
        </w:tc>
        <w:tc>
          <w:tcPr>
            <w:tcW w:w="439" w:type="pct"/>
            <w:vMerge w:val="continue"/>
            <w:vAlign w:val="center"/>
          </w:tcPr>
          <w:p>
            <w:pPr>
              <w:pageBreakBefore w:val="0"/>
              <w:widowControl w:val="0"/>
              <w:kinsoku/>
              <w:wordWrap/>
              <w:overflowPunct/>
              <w:topLinePunct/>
              <w:bidi w:val="0"/>
              <w:adjustRightInd/>
              <w:spacing w:line="240" w:lineRule="auto"/>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803"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投标软件情况</w:t>
            </w:r>
          </w:p>
        </w:tc>
        <w:tc>
          <w:tcPr>
            <w:tcW w:w="3475" w:type="pct"/>
            <w:vAlign w:val="center"/>
          </w:tcPr>
          <w:p>
            <w:pPr>
              <w:pageBreakBefore w:val="0"/>
              <w:widowControl w:val="0"/>
              <w:kinsoku/>
              <w:wordWrap/>
              <w:overflowPunct/>
              <w:topLine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w:t>
            </w:r>
            <w:r>
              <w:rPr>
                <w:rFonts w:hint="eastAsia" w:ascii="宋体" w:hAnsi="宋体" w:cs="宋体"/>
                <w:color w:val="auto"/>
                <w:sz w:val="21"/>
                <w:szCs w:val="21"/>
                <w:highlight w:val="none"/>
                <w:lang w:val="en-US" w:eastAsia="zh-CN"/>
              </w:rPr>
              <w:t>厂</w:t>
            </w:r>
            <w:r>
              <w:rPr>
                <w:rFonts w:hint="eastAsia" w:ascii="宋体" w:hAnsi="宋体" w:eastAsia="宋体" w:cs="宋体"/>
                <w:color w:val="auto"/>
                <w:sz w:val="21"/>
                <w:szCs w:val="21"/>
                <w:highlight w:val="none"/>
              </w:rPr>
              <w:t>商具有公安部安全与警用电子产品质量检测中心出具的《无人机监管平台》软件的测试报告的得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分。（须提供测试报告原件的扫描件，未提供不得分）</w:t>
            </w:r>
          </w:p>
          <w:p>
            <w:pPr>
              <w:pageBreakBefore w:val="0"/>
              <w:widowControl w:val="0"/>
              <w:kinsoku/>
              <w:wordWrap/>
              <w:overflowPunct/>
              <w:topLine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w:t>
            </w:r>
            <w:r>
              <w:rPr>
                <w:rFonts w:hint="eastAsia" w:ascii="宋体" w:hAnsi="宋体" w:cs="宋体"/>
                <w:color w:val="auto"/>
                <w:sz w:val="21"/>
                <w:szCs w:val="21"/>
                <w:highlight w:val="none"/>
                <w:lang w:val="en-US" w:eastAsia="zh-CN"/>
              </w:rPr>
              <w:t>厂</w:t>
            </w:r>
            <w:r>
              <w:rPr>
                <w:rFonts w:hint="eastAsia" w:ascii="宋体" w:hAnsi="宋体" w:eastAsia="宋体" w:cs="宋体"/>
                <w:color w:val="auto"/>
                <w:sz w:val="21"/>
                <w:szCs w:val="21"/>
                <w:highlight w:val="none"/>
              </w:rPr>
              <w:t>商具有《无人机监管平台》软件，并取得中华人民共和国国家版权局的计算机软件著作权登记证书的得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分。（须提供证书原件扫描件，未提供不得分）</w:t>
            </w:r>
          </w:p>
          <w:p>
            <w:pPr>
              <w:pageBreakBefore w:val="0"/>
              <w:widowControl w:val="0"/>
              <w:kinsoku/>
              <w:wordWrap/>
              <w:overflowPunct/>
              <w:topLinePunct/>
              <w:bidi w:val="0"/>
              <w:spacing w:line="240" w:lineRule="auto"/>
              <w:ind w:lef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3.投标产品</w:t>
            </w:r>
            <w:r>
              <w:rPr>
                <w:rFonts w:hint="eastAsia" w:ascii="宋体" w:hAnsi="宋体" w:cs="宋体"/>
                <w:color w:val="auto"/>
                <w:sz w:val="21"/>
                <w:szCs w:val="21"/>
                <w:highlight w:val="none"/>
                <w:lang w:val="en-US" w:eastAsia="zh-CN"/>
              </w:rPr>
              <w:t>厂</w:t>
            </w:r>
            <w:r>
              <w:rPr>
                <w:rFonts w:hint="eastAsia" w:ascii="宋体" w:hAnsi="宋体" w:eastAsia="宋体" w:cs="宋体"/>
                <w:color w:val="auto"/>
                <w:sz w:val="21"/>
                <w:szCs w:val="21"/>
                <w:highlight w:val="none"/>
              </w:rPr>
              <w:t>商具有《无人机监管平台》信息系统安全等级保护备案证明（二级及以上）的得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分。（须提供证明材料原件扫描件，未提供不得分）</w:t>
            </w:r>
          </w:p>
          <w:p>
            <w:pPr>
              <w:pageBreakBefore w:val="0"/>
              <w:widowControl w:val="0"/>
              <w:kinsoku/>
              <w:wordWrap/>
              <w:overflowPunct/>
              <w:topLinePunct/>
              <w:bidi w:val="0"/>
              <w:spacing w:line="240" w:lineRule="auto"/>
              <w:ind w:left="0" w:firstLine="0"/>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注：《无人机监管平台》软件为采购需求中的名称，投标产品制造商提供的相关测试报告、著作权登记证书、安全等级保护备案证明等相关证明资料中的软件名称与采购需求中的名称可以不完全相同，但必须确保提供相关的资料的软件性质与《无人机监管平台》软件完全相同，并为本次投标软件的相关资料</w:t>
            </w:r>
            <w:r>
              <w:rPr>
                <w:rFonts w:hint="eastAsia" w:ascii="宋体" w:hAnsi="宋体" w:cs="宋体"/>
                <w:b/>
                <w:bCs/>
                <w:color w:val="auto"/>
                <w:sz w:val="21"/>
                <w:szCs w:val="21"/>
                <w:highlight w:val="none"/>
                <w:lang w:val="en-US" w:eastAsia="zh-CN"/>
              </w:rPr>
              <w:t>，投标文件中提供厂家授权书</w:t>
            </w:r>
            <w:r>
              <w:rPr>
                <w:rFonts w:hint="eastAsia" w:ascii="宋体" w:hAnsi="宋体" w:eastAsia="宋体" w:cs="宋体"/>
                <w:b/>
                <w:bCs/>
                <w:color w:val="auto"/>
                <w:sz w:val="21"/>
                <w:szCs w:val="21"/>
                <w:highlight w:val="none"/>
                <w:lang w:val="en-US"/>
              </w:rPr>
              <w:t>。</w:t>
            </w:r>
          </w:p>
        </w:tc>
        <w:tc>
          <w:tcPr>
            <w:tcW w:w="439" w:type="pct"/>
            <w:vAlign w:val="center"/>
          </w:tcPr>
          <w:p>
            <w:pPr>
              <w:pageBreakBefore w:val="0"/>
              <w:widowControl w:val="0"/>
              <w:tabs>
                <w:tab w:val="left" w:pos="312"/>
              </w:tabs>
              <w:kinsoku/>
              <w:wordWrap/>
              <w:overflowPunct/>
              <w:topLinePunct/>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03"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475" w:type="pct"/>
            <w:vAlign w:val="center"/>
          </w:tcPr>
          <w:p>
            <w:pPr>
              <w:pageBreakBefore w:val="0"/>
              <w:widowControl w:val="0"/>
              <w:kinsoku/>
              <w:wordWrap/>
              <w:overflowPunct/>
              <w:topLine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投标人自2019年1月1日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sz w:val="21"/>
                <w:szCs w:val="21"/>
                <w:highlight w:val="none"/>
              </w:rPr>
              <w:t>（以合同签订时间为准）</w:t>
            </w:r>
            <w:r>
              <w:rPr>
                <w:rFonts w:hint="eastAsia" w:ascii="宋体" w:hAnsi="宋体" w:cs="宋体"/>
                <w:color w:val="auto"/>
                <w:sz w:val="21"/>
                <w:szCs w:val="21"/>
                <w:highlight w:val="none"/>
                <w:lang w:val="en-US" w:eastAsia="zh-CN"/>
              </w:rPr>
              <w:t>签署</w:t>
            </w:r>
            <w:r>
              <w:rPr>
                <w:rFonts w:hint="eastAsia" w:ascii="宋体" w:hAnsi="宋体" w:eastAsia="宋体" w:cs="宋体"/>
                <w:color w:val="auto"/>
                <w:sz w:val="21"/>
                <w:szCs w:val="21"/>
                <w:highlight w:val="none"/>
              </w:rPr>
              <w:t>类似项目业绩的每个得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ageBreakBefore w:val="0"/>
              <w:widowControl w:val="0"/>
              <w:kinsoku/>
              <w:wordWrap/>
              <w:overflowPunct/>
              <w:topLine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（须提供合同扫描件，未提供不得分）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803" w:type="pct"/>
            <w:vMerge w:val="restart"/>
            <w:vAlign w:val="center"/>
          </w:tcPr>
          <w:p>
            <w:pPr>
              <w:pageBreakBefore w:val="0"/>
              <w:widowControl w:val="0"/>
              <w:kinsoku/>
              <w:wordWrap/>
              <w:overflowPunct/>
              <w:bidi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总体方案设计</w:t>
            </w:r>
          </w:p>
        </w:tc>
        <w:tc>
          <w:tcPr>
            <w:tcW w:w="3475" w:type="pct"/>
            <w:vAlign w:val="center"/>
          </w:tcPr>
          <w:p>
            <w:pPr>
              <w:pStyle w:val="143"/>
              <w:pageBreakBefore w:val="0"/>
              <w:widowControl w:val="0"/>
              <w:kinsoku/>
              <w:wordWrap/>
              <w:overflowPunct/>
              <w:bidi w:val="0"/>
              <w:spacing w:line="240" w:lineRule="auto"/>
              <w:textAlignment w:val="auto"/>
              <w:rPr>
                <w:rFonts w:hint="default" w:eastAsia="宋体"/>
                <w:color w:val="auto"/>
                <w:sz w:val="21"/>
                <w:szCs w:val="21"/>
                <w:lang w:val="en-US" w:eastAsia="zh-CN"/>
              </w:rPr>
            </w:pPr>
            <w:r>
              <w:rPr>
                <w:rFonts w:hint="eastAsia" w:ascii="宋体" w:hAnsi="宋体" w:cs="宋体"/>
                <w:color w:val="auto"/>
                <w:sz w:val="21"/>
                <w:szCs w:val="21"/>
                <w:highlight w:val="none"/>
                <w:lang w:val="en-US" w:eastAsia="zh-CN"/>
              </w:rPr>
              <w:t>项目需求与理解：</w:t>
            </w:r>
            <w:r>
              <w:rPr>
                <w:rFonts w:hint="eastAsia" w:ascii="宋体" w:hAnsi="宋体" w:eastAsia="宋体" w:cs="宋体"/>
                <w:b w:val="0"/>
                <w:bCs w:val="0"/>
                <w:color w:val="auto"/>
                <w:sz w:val="21"/>
                <w:szCs w:val="21"/>
                <w:highlight w:val="none"/>
                <w:lang w:val="en-US" w:eastAsia="zh-CN"/>
              </w:rPr>
              <w:t>对项目有全面分析，包括</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en-US" w:eastAsia="zh-CN"/>
              </w:rPr>
              <w:t>背景</w:t>
            </w:r>
            <w:r>
              <w:rPr>
                <w:rFonts w:hint="eastAsia" w:ascii="宋体" w:hAnsi="宋体" w:cs="宋体"/>
                <w:b w:val="0"/>
                <w:bCs w:val="0"/>
                <w:color w:val="auto"/>
                <w:sz w:val="21"/>
                <w:szCs w:val="21"/>
                <w:highlight w:val="none"/>
                <w:lang w:val="en-US" w:eastAsia="zh-CN"/>
              </w:rPr>
              <w:t>情况</w:t>
            </w:r>
            <w:r>
              <w:rPr>
                <w:rFonts w:hint="eastAsia" w:ascii="宋体" w:hAnsi="宋体" w:eastAsia="宋体" w:cs="宋体"/>
                <w:b w:val="0"/>
                <w:bCs w:val="0"/>
                <w:color w:val="auto"/>
                <w:sz w:val="21"/>
                <w:szCs w:val="21"/>
                <w:highlight w:val="none"/>
                <w:lang w:val="en-US" w:eastAsia="zh-CN"/>
              </w:rPr>
              <w:t>、项目目标、总体需求；分析项目难点及给出对策建议等，提供的方案准确、合理、全面得4分；方案部分准确、合理、基本符合得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eastAsia="宋体" w:cs="宋体"/>
                <w:b w:val="0"/>
                <w:bCs w:val="0"/>
                <w:color w:val="auto"/>
                <w:sz w:val="21"/>
                <w:szCs w:val="21"/>
                <w:highlight w:val="none"/>
                <w:lang w:val="en-US" w:eastAsia="zh-CN"/>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803" w:type="pct"/>
            <w:vMerge w:val="continue"/>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sz w:val="21"/>
                <w:szCs w:val="21"/>
                <w:highlight w:val="none"/>
              </w:rPr>
            </w:pPr>
          </w:p>
        </w:tc>
        <w:tc>
          <w:tcPr>
            <w:tcW w:w="3475" w:type="pct"/>
            <w:vAlign w:val="center"/>
          </w:tcPr>
          <w:p>
            <w:pPr>
              <w:pStyle w:val="143"/>
              <w:pageBreakBefore w:val="0"/>
              <w:widowControl w:val="0"/>
              <w:kinsoku/>
              <w:wordWrap/>
              <w:overflowPunct/>
              <w:bidi w:val="0"/>
              <w:spacing w:line="240" w:lineRule="auto"/>
              <w:textAlignment w:val="auto"/>
              <w:rPr>
                <w:rFonts w:hint="eastAsia"/>
                <w:color w:val="auto"/>
                <w:sz w:val="21"/>
                <w:szCs w:val="21"/>
                <w:lang w:eastAsia="zh-CN"/>
              </w:rPr>
            </w:pPr>
            <w:r>
              <w:rPr>
                <w:rFonts w:hint="eastAsia" w:ascii="宋体" w:hAnsi="宋体" w:eastAsia="宋体" w:cs="宋体"/>
                <w:b w:val="0"/>
                <w:bCs w:val="0"/>
                <w:color w:val="auto"/>
                <w:kern w:val="2"/>
                <w:sz w:val="21"/>
                <w:szCs w:val="21"/>
                <w:highlight w:val="none"/>
                <w:lang w:val="en-US" w:eastAsia="zh-CN" w:bidi="ar-SA"/>
              </w:rPr>
              <w:t>总体设计方案</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根据现状及</w:t>
            </w:r>
            <w:r>
              <w:rPr>
                <w:rFonts w:hint="eastAsia" w:ascii="宋体" w:hAnsi="宋体" w:cs="宋体"/>
                <w:b w:val="0"/>
                <w:bCs w:val="0"/>
                <w:color w:val="auto"/>
                <w:kern w:val="2"/>
                <w:sz w:val="21"/>
                <w:szCs w:val="21"/>
                <w:highlight w:val="none"/>
                <w:lang w:val="en-US" w:eastAsia="zh-CN" w:bidi="ar-SA"/>
              </w:rPr>
              <w:t>项目实际</w:t>
            </w:r>
            <w:r>
              <w:rPr>
                <w:rFonts w:hint="eastAsia" w:ascii="宋体" w:hAnsi="宋体" w:eastAsia="宋体" w:cs="宋体"/>
                <w:b w:val="0"/>
                <w:bCs w:val="0"/>
                <w:color w:val="auto"/>
                <w:kern w:val="2"/>
                <w:sz w:val="21"/>
                <w:szCs w:val="21"/>
                <w:highlight w:val="none"/>
                <w:lang w:val="en-US" w:eastAsia="zh-CN" w:bidi="ar-SA"/>
              </w:rPr>
              <w:t>需求，提出总体方案，包括但不限于项目总体规划思路</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结合项目的实际情况规划方案</w:t>
            </w:r>
            <w:r>
              <w:rPr>
                <w:rFonts w:hint="eastAsia" w:ascii="宋体" w:hAnsi="宋体" w:cs="宋体"/>
                <w:color w:val="auto"/>
                <w:kern w:val="2"/>
                <w:sz w:val="21"/>
                <w:szCs w:val="21"/>
                <w:highlight w:val="none"/>
                <w:lang w:val="en-US" w:eastAsia="zh-CN" w:bidi="ar-SA"/>
              </w:rPr>
              <w:t>，提供的方案准确、合理、全面得4分；方案部分准确、合理、基本符合得2分；</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宋体"/>
                <w:color w:val="auto"/>
                <w:kern w:val="2"/>
                <w:sz w:val="21"/>
                <w:szCs w:val="21"/>
                <w:highlight w:val="none"/>
                <w:lang w:val="en-US" w:eastAsia="zh-CN" w:bidi="ar-SA"/>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803" w:type="pct"/>
            <w:vMerge w:val="continue"/>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sz w:val="21"/>
                <w:szCs w:val="21"/>
                <w:highlight w:val="none"/>
              </w:rPr>
            </w:pPr>
          </w:p>
        </w:tc>
        <w:tc>
          <w:tcPr>
            <w:tcW w:w="3475" w:type="pct"/>
            <w:vAlign w:val="center"/>
          </w:tcPr>
          <w:p>
            <w:pPr>
              <w:pStyle w:val="143"/>
              <w:pageBreakBefore w:val="0"/>
              <w:widowControl w:val="0"/>
              <w:kinsoku/>
              <w:wordWrap/>
              <w:overflowPunct/>
              <w:bidi w:val="0"/>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仿宋_GB2312"/>
                <w:color w:val="auto"/>
                <w:sz w:val="21"/>
                <w:szCs w:val="21"/>
              </w:rPr>
              <w:t>详细设计方案包括不限于：平台</w:t>
            </w:r>
            <w:r>
              <w:rPr>
                <w:rFonts w:hint="eastAsia" w:ascii="宋体" w:hAnsi="宋体" w:eastAsia="宋体" w:cs="仿宋_GB2312"/>
                <w:color w:val="auto"/>
                <w:sz w:val="21"/>
                <w:szCs w:val="21"/>
                <w:lang w:val="en-US" w:eastAsia="zh-CN"/>
              </w:rPr>
              <w:t>建设</w:t>
            </w:r>
            <w:r>
              <w:rPr>
                <w:rFonts w:hint="eastAsia" w:ascii="宋体" w:hAnsi="宋体" w:eastAsia="宋体" w:cs="仿宋_GB2312"/>
                <w:color w:val="auto"/>
                <w:sz w:val="21"/>
                <w:szCs w:val="21"/>
                <w:lang w:eastAsia="zh-CN"/>
              </w:rPr>
              <w:t>、</w:t>
            </w:r>
            <w:r>
              <w:rPr>
                <w:rFonts w:hint="eastAsia" w:ascii="宋体" w:hAnsi="宋体" w:cs="仿宋_GB2312"/>
                <w:color w:val="auto"/>
                <w:sz w:val="21"/>
                <w:szCs w:val="21"/>
                <w:lang w:val="en-US" w:eastAsia="zh-CN"/>
              </w:rPr>
              <w:t>安装部署的</w:t>
            </w:r>
            <w:r>
              <w:rPr>
                <w:rFonts w:hint="eastAsia" w:ascii="宋体" w:hAnsi="宋体" w:eastAsia="宋体" w:cs="仿宋_GB2312"/>
                <w:color w:val="auto"/>
                <w:sz w:val="21"/>
                <w:szCs w:val="21"/>
                <w:lang w:eastAsia="zh-CN"/>
              </w:rPr>
              <w:t>详细方案。</w:t>
            </w:r>
            <w:r>
              <w:rPr>
                <w:rFonts w:hint="eastAsia" w:ascii="宋体" w:hAnsi="宋体" w:eastAsia="宋体" w:cs="仿宋_GB2312"/>
                <w:color w:val="auto"/>
                <w:sz w:val="21"/>
                <w:szCs w:val="21"/>
                <w:lang w:val="en-US" w:eastAsia="zh-CN"/>
              </w:rPr>
              <w:t>提供的</w:t>
            </w:r>
            <w:r>
              <w:rPr>
                <w:rFonts w:hint="eastAsia" w:ascii="宋体" w:hAnsi="宋体" w:cs="仿宋_GB2312"/>
                <w:color w:val="auto"/>
                <w:sz w:val="21"/>
                <w:szCs w:val="21"/>
              </w:rPr>
              <w:t>方案准确、合理、</w:t>
            </w:r>
            <w:r>
              <w:rPr>
                <w:rFonts w:hint="eastAsia" w:ascii="宋体" w:hAnsi="宋体" w:eastAsia="宋体" w:cs="仿宋_GB2312"/>
                <w:color w:val="auto"/>
                <w:sz w:val="21"/>
                <w:szCs w:val="21"/>
                <w:lang w:val="en-US" w:eastAsia="zh-CN"/>
              </w:rPr>
              <w:t>功能全面</w:t>
            </w:r>
            <w:r>
              <w:rPr>
                <w:rFonts w:hint="eastAsia" w:ascii="宋体" w:hAnsi="宋体" w:cs="仿宋_GB2312"/>
                <w:color w:val="auto"/>
                <w:sz w:val="21"/>
                <w:szCs w:val="21"/>
              </w:rPr>
              <w:t>得</w:t>
            </w:r>
            <w:r>
              <w:rPr>
                <w:rFonts w:hint="eastAsia" w:ascii="宋体" w:hAnsi="宋体" w:cs="仿宋_GB2312"/>
                <w:color w:val="auto"/>
                <w:sz w:val="21"/>
                <w:szCs w:val="21"/>
                <w:lang w:val="en-US" w:eastAsia="zh-CN"/>
              </w:rPr>
              <w:t>4</w:t>
            </w:r>
            <w:r>
              <w:rPr>
                <w:rFonts w:hint="eastAsia" w:ascii="宋体" w:hAnsi="宋体" w:cs="仿宋_GB2312"/>
                <w:color w:val="auto"/>
                <w:sz w:val="21"/>
                <w:szCs w:val="21"/>
              </w:rPr>
              <w:t>分；方案部分准确、合理、基本符合得</w:t>
            </w:r>
            <w:r>
              <w:rPr>
                <w:rFonts w:hint="eastAsia" w:ascii="宋体" w:hAnsi="宋体" w:cs="仿宋_GB2312"/>
                <w:color w:val="auto"/>
                <w:sz w:val="21"/>
                <w:szCs w:val="21"/>
                <w:lang w:val="en-US" w:eastAsia="zh-CN"/>
              </w:rPr>
              <w:t>2</w:t>
            </w:r>
            <w:r>
              <w:rPr>
                <w:rFonts w:hint="eastAsia" w:ascii="宋体" w:hAnsi="宋体" w:cs="仿宋_GB2312"/>
                <w:color w:val="auto"/>
                <w:sz w:val="21"/>
                <w:szCs w:val="21"/>
              </w:rPr>
              <w:t>分</w:t>
            </w:r>
            <w:r>
              <w:rPr>
                <w:rFonts w:hint="eastAsia" w:ascii="宋体" w:hAnsi="宋体" w:cs="仿宋_GB2312"/>
                <w:color w:val="auto"/>
                <w:sz w:val="21"/>
                <w:szCs w:val="21"/>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仿宋_GB2312"/>
                <w:color w:val="auto"/>
                <w:sz w:val="21"/>
                <w:szCs w:val="21"/>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项目实施方案</w:t>
            </w:r>
          </w:p>
        </w:tc>
        <w:tc>
          <w:tcPr>
            <w:tcW w:w="3475" w:type="pct"/>
            <w:vAlign w:val="center"/>
          </w:tcPr>
          <w:p>
            <w:pPr>
              <w:pStyle w:val="143"/>
              <w:pageBreakBefore w:val="0"/>
              <w:widowControl w:val="0"/>
              <w:kinsoku/>
              <w:wordWrap/>
              <w:overflowPunct/>
              <w:bidi w:val="0"/>
              <w:spacing w:line="240" w:lineRule="auto"/>
              <w:textAlignment w:val="auto"/>
              <w:rPr>
                <w:rFonts w:hint="eastAsia"/>
                <w:color w:val="auto"/>
                <w:sz w:val="21"/>
                <w:szCs w:val="21"/>
              </w:rPr>
            </w:pP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val="en-GB"/>
              </w:rPr>
              <w:t>合理性：投标方案的合理性、科学性、全面性（根据对投标项目的组织实施、</w:t>
            </w:r>
            <w:r>
              <w:rPr>
                <w:rFonts w:hint="eastAsia" w:ascii="宋体" w:hAnsi="宋体" w:eastAsia="宋体" w:cs="宋体"/>
                <w:color w:val="auto"/>
                <w:sz w:val="21"/>
                <w:szCs w:val="21"/>
                <w:highlight w:val="none"/>
              </w:rPr>
              <w:t>项目施工计划、进度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对应的保障措施方案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与市级平台详细对接方案</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lang w:val="en-GB"/>
              </w:rPr>
              <w:t>独到优势等情况综合评定）</w:t>
            </w:r>
            <w:r>
              <w:rPr>
                <w:rFonts w:hint="eastAsia" w:ascii="宋体" w:hAnsi="宋体" w:cs="宋体"/>
                <w:color w:val="auto"/>
                <w:sz w:val="21"/>
                <w:szCs w:val="21"/>
                <w:highlight w:val="none"/>
                <w:lang w:val="en-US" w:eastAsia="zh-CN"/>
              </w:rPr>
              <w:t>方案合理详细，提供的方案准确、合理、全面得6分；方案部分准确、合理、基本符合得3分；</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宋体"/>
                <w:color w:val="auto"/>
                <w:sz w:val="21"/>
                <w:szCs w:val="21"/>
                <w:highlight w:val="none"/>
                <w:lang w:val="en-US" w:eastAsia="zh-CN"/>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验收方案</w:t>
            </w:r>
          </w:p>
        </w:tc>
        <w:tc>
          <w:tcPr>
            <w:tcW w:w="3475" w:type="pct"/>
            <w:vAlign w:val="center"/>
          </w:tcPr>
          <w:p>
            <w:pPr>
              <w:pStyle w:val="143"/>
              <w:pageBreakBefore w:val="0"/>
              <w:widowControl w:val="0"/>
              <w:kinsoku/>
              <w:wordWrap/>
              <w:overflowPunct/>
              <w:bidi w:val="0"/>
              <w:spacing w:line="240" w:lineRule="auto"/>
              <w:textAlignment w:val="auto"/>
              <w:rPr>
                <w:rFonts w:hint="eastAsia"/>
                <w:color w:val="auto"/>
                <w:sz w:val="21"/>
                <w:szCs w:val="21"/>
              </w:rPr>
            </w:pPr>
            <w:r>
              <w:rPr>
                <w:rFonts w:hint="eastAsia" w:ascii="宋体" w:hAnsi="宋体" w:eastAsia="宋体" w:cs="宋体"/>
                <w:color w:val="auto"/>
                <w:sz w:val="21"/>
                <w:szCs w:val="21"/>
                <w:highlight w:val="none"/>
              </w:rPr>
              <w:t>验收方案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根据投标人提供的安装、调试、验收的方案和相应措施的合理性、针对性等情况进行评价打分</w:t>
            </w:r>
            <w:r>
              <w:rPr>
                <w:rFonts w:hint="eastAsia" w:ascii="宋体" w:hAnsi="宋体" w:cs="宋体"/>
                <w:color w:val="auto"/>
                <w:sz w:val="21"/>
                <w:szCs w:val="21"/>
                <w:highlight w:val="none"/>
                <w:lang w:eastAsia="zh-CN"/>
              </w:rPr>
              <w:t>，</w:t>
            </w:r>
            <w:r>
              <w:rPr>
                <w:rFonts w:hint="eastAsia" w:ascii="宋体" w:hAnsi="宋体" w:cs="宋体"/>
                <w:color w:val="auto"/>
                <w:kern w:val="2"/>
                <w:sz w:val="21"/>
                <w:szCs w:val="21"/>
                <w:highlight w:val="none"/>
                <w:lang w:val="en-US" w:eastAsia="zh-CN" w:bidi="ar-SA"/>
              </w:rPr>
              <w:t>提供的方案准确、合理、全面得3分；方案部分准确、合理、基本符合得2分；</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宋体"/>
                <w:color w:val="auto"/>
                <w:kern w:val="2"/>
                <w:sz w:val="21"/>
                <w:szCs w:val="21"/>
                <w:highlight w:val="none"/>
                <w:lang w:val="en-US" w:eastAsia="zh-CN" w:bidi="ar-SA"/>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应急响应方案</w:t>
            </w:r>
          </w:p>
        </w:tc>
        <w:tc>
          <w:tcPr>
            <w:tcW w:w="3475" w:type="pct"/>
            <w:vAlign w:val="center"/>
          </w:tcPr>
          <w:p>
            <w:pPr>
              <w:pStyle w:val="143"/>
              <w:pageBreakBefore w:val="0"/>
              <w:widowControl w:val="0"/>
              <w:kinsoku/>
              <w:wordWrap/>
              <w:overflowPunct/>
              <w:bidi w:val="0"/>
              <w:spacing w:line="240" w:lineRule="auto"/>
              <w:textAlignment w:val="auto"/>
              <w:rPr>
                <w:rFonts w:hint="eastAsia" w:eastAsia="宋体"/>
                <w:color w:val="auto"/>
                <w:sz w:val="21"/>
                <w:szCs w:val="21"/>
                <w:lang w:val="en-US" w:eastAsia="zh-CN"/>
              </w:rPr>
            </w:pPr>
            <w:r>
              <w:rPr>
                <w:rFonts w:hint="eastAsia" w:ascii="宋体" w:hAnsi="宋体" w:eastAsia="宋体" w:cs="宋体"/>
                <w:color w:val="auto"/>
                <w:sz w:val="21"/>
                <w:szCs w:val="21"/>
              </w:rPr>
              <w:t>投标人是否建立完善的应急响应方案，故障处理流程、保障应急预案的启动及后期处理是否合理，技术支撑保障、应急队伍保障、物资条件保障、供电保障是否合理</w:t>
            </w:r>
            <w:r>
              <w:rPr>
                <w:rFonts w:hint="eastAsia" w:ascii="宋体" w:hAnsi="宋体" w:cs="宋体"/>
                <w:color w:val="auto"/>
                <w:sz w:val="21"/>
                <w:szCs w:val="21"/>
                <w:lang w:eastAsia="zh-CN"/>
              </w:rPr>
              <w:t>，</w:t>
            </w:r>
            <w:r>
              <w:rPr>
                <w:rFonts w:hint="eastAsia" w:ascii="宋体" w:hAnsi="宋体" w:cs="宋体"/>
                <w:color w:val="auto"/>
                <w:kern w:val="2"/>
                <w:sz w:val="21"/>
                <w:szCs w:val="21"/>
                <w:highlight w:val="none"/>
                <w:lang w:val="en-US" w:eastAsia="zh-CN" w:bidi="ar-SA"/>
              </w:rPr>
              <w:t>提供的方案准确、合理、全面得3分；方案部分准确、合理、基本符合得2分；</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宋体"/>
                <w:color w:val="auto"/>
                <w:kern w:val="2"/>
                <w:sz w:val="21"/>
                <w:szCs w:val="21"/>
                <w:highlight w:val="none"/>
                <w:lang w:val="en-US" w:eastAsia="zh-CN" w:bidi="ar-SA"/>
              </w:rPr>
              <w:t>未提供不得分。</w:t>
            </w:r>
          </w:p>
        </w:tc>
        <w:tc>
          <w:tcPr>
            <w:tcW w:w="439" w:type="pct"/>
            <w:vAlign w:val="center"/>
          </w:tcPr>
          <w:p>
            <w:pPr>
              <w:pStyle w:val="237"/>
              <w:pageBreakBefore w:val="0"/>
              <w:widowControl w:val="0"/>
              <w:kinsoku/>
              <w:wordWrap/>
              <w:overflowPunct/>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w:t>
            </w:r>
            <w:r>
              <w:rPr>
                <w:rFonts w:hint="eastAsia" w:ascii="宋体" w:hAnsi="宋体" w:eastAsia="宋体" w:cs="宋体"/>
                <w:color w:val="auto"/>
                <w:sz w:val="21"/>
                <w:szCs w:val="21"/>
                <w:highlight w:val="none"/>
                <w:lang w:val="en-US" w:eastAsia="zh-CN"/>
              </w:rPr>
              <w:t>标响应情况</w:t>
            </w:r>
          </w:p>
        </w:tc>
        <w:tc>
          <w:tcPr>
            <w:tcW w:w="3475" w:type="pct"/>
            <w:vAlign w:val="center"/>
          </w:tcPr>
          <w:p>
            <w:pPr>
              <w:pageBreakBefore w:val="0"/>
              <w:widowControl w:val="0"/>
              <w:kinsoku/>
              <w:wordWrap/>
              <w:overflowPunct/>
              <w:topLinePunct/>
              <w:bidi w:val="0"/>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根据投标人对招标文件系统设计功能指标的响应程度打分，系统设计功能指标全部满足招标要求的为</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分。其中带“*”的参数为重要参数，如出现负偏离的每项扣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。其中重要参数需要提供由</w:t>
            </w:r>
            <w:r>
              <w:rPr>
                <w:rFonts w:hint="eastAsia" w:ascii="宋体" w:hAnsi="宋体" w:cs="宋体"/>
                <w:color w:val="auto"/>
                <w:sz w:val="21"/>
                <w:szCs w:val="21"/>
                <w:highlight w:val="none"/>
                <w:lang w:val="en-US" w:eastAsia="zh-CN"/>
              </w:rPr>
              <w:t>公安部或其他国家认可的检测机构出具的检测报告和测试报告复印件并加盖原厂公章</w:t>
            </w:r>
            <w:r>
              <w:rPr>
                <w:rFonts w:hint="eastAsia" w:ascii="宋体" w:hAnsi="宋体" w:eastAsia="宋体" w:cs="宋体"/>
                <w:color w:val="auto"/>
                <w:sz w:val="21"/>
                <w:szCs w:val="21"/>
                <w:highlight w:val="none"/>
                <w:lang w:val="en-US" w:eastAsia="zh-CN"/>
              </w:rPr>
              <w:t>进行佐证</w:t>
            </w:r>
            <w:r>
              <w:rPr>
                <w:rFonts w:hint="eastAsia" w:ascii="宋体" w:hAnsi="宋体" w:cs="宋体"/>
                <w:color w:val="auto"/>
                <w:sz w:val="21"/>
                <w:szCs w:val="21"/>
                <w:highlight w:val="none"/>
                <w:lang w:val="en-US" w:eastAsia="zh-CN"/>
              </w:rPr>
              <w:t>，否则按负偏离扣分</w:t>
            </w:r>
            <w:r>
              <w:rPr>
                <w:rFonts w:hint="eastAsia" w:ascii="宋体" w:hAnsi="宋体" w:eastAsia="宋体" w:cs="宋体"/>
                <w:color w:val="auto"/>
                <w:sz w:val="21"/>
                <w:szCs w:val="21"/>
                <w:highlight w:val="none"/>
                <w:lang w:val="en-US" w:eastAsia="zh-CN"/>
              </w:rPr>
              <w:t>。</w:t>
            </w:r>
          </w:p>
        </w:tc>
        <w:tc>
          <w:tcPr>
            <w:tcW w:w="439" w:type="pct"/>
            <w:vAlign w:val="center"/>
          </w:tcPr>
          <w:p>
            <w:pPr>
              <w:pageBreakBefore w:val="0"/>
              <w:widowControl w:val="0"/>
              <w:kinsoku/>
              <w:wordWrap/>
              <w:overflowPunct/>
              <w:topLinePunct/>
              <w:bidi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售后服务</w:t>
            </w:r>
          </w:p>
        </w:tc>
        <w:tc>
          <w:tcPr>
            <w:tcW w:w="3475" w:type="pct"/>
            <w:vAlign w:val="center"/>
          </w:tcPr>
          <w:p>
            <w:pPr>
              <w:pageBreakBefore w:val="0"/>
              <w:widowControl w:val="0"/>
              <w:kinsoku/>
              <w:wordWrap/>
              <w:overflowPunct/>
              <w:topLinePunct/>
              <w:bidi w:val="0"/>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根据投标人提供的售后服务方案进行评价打分，从以下5方面进行评价：（1）服务标准；（2）服务内容；（3）服务人员安排；（4）服务响应时间；（5）技术人员力量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提供的方案准确、合理、全面得5分；方案部分准确、合理、基本符合得3分；</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内容欠缺且不合理的得1分；</w:t>
            </w:r>
            <w:r>
              <w:rPr>
                <w:rFonts w:hint="eastAsia" w:ascii="宋体" w:hAnsi="宋体" w:cs="宋体"/>
                <w:color w:val="auto"/>
                <w:sz w:val="21"/>
                <w:szCs w:val="21"/>
                <w:highlight w:val="none"/>
                <w:lang w:val="en-US" w:eastAsia="zh-CN"/>
              </w:rPr>
              <w:t>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3475" w:type="pct"/>
            <w:vAlign w:val="center"/>
          </w:tcPr>
          <w:p>
            <w:pPr>
              <w:topLinePunct/>
              <w:rPr>
                <w:rFonts w:hint="eastAsia"/>
                <w:color w:val="auto"/>
                <w:lang w:eastAsia="zh-CN"/>
              </w:rPr>
            </w:pPr>
            <w:r>
              <w:rPr>
                <w:rFonts w:hint="eastAsia"/>
                <w:color w:val="auto"/>
              </w:rPr>
              <w:t>根据投标人提供的针对本项目提供的培训方案进行评价打分</w:t>
            </w:r>
            <w:r>
              <w:rPr>
                <w:rFonts w:hint="eastAsia"/>
                <w:color w:val="auto"/>
                <w:lang w:eastAsia="zh-CN"/>
              </w:rPr>
              <w:t>。</w:t>
            </w:r>
            <w:r>
              <w:rPr>
                <w:rFonts w:hint="eastAsia" w:ascii="宋体" w:hAnsi="宋体" w:eastAsia="宋体" w:cs="宋体"/>
                <w:color w:val="auto"/>
                <w:kern w:val="2"/>
                <w:sz w:val="21"/>
                <w:szCs w:val="21"/>
                <w:highlight w:val="none"/>
                <w:lang w:val="en-US" w:eastAsia="zh-CN" w:bidi="ar-SA"/>
              </w:rPr>
              <w:t>提供的方案科学合理、符合实际项目需求</w:t>
            </w:r>
            <w:r>
              <w:rPr>
                <w:rFonts w:hint="eastAsia" w:ascii="宋体" w:hAnsi="宋体" w:cs="宋体"/>
                <w:color w:val="auto"/>
                <w:kern w:val="2"/>
                <w:sz w:val="21"/>
                <w:szCs w:val="21"/>
                <w:highlight w:val="none"/>
                <w:lang w:val="en-US" w:eastAsia="zh-CN" w:bidi="ar-SA"/>
              </w:rPr>
              <w:t>，提供的方案准确、合理、全面得2分；方案部分准确、合理、基本符合得1分。方案不合理或未提供不得分。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Calibri"/>
                <w:color w:val="auto"/>
                <w:sz w:val="21"/>
                <w:szCs w:val="21"/>
                <w:highlight w:val="none"/>
              </w:rPr>
              <w:t>团队实力</w:t>
            </w:r>
          </w:p>
        </w:tc>
        <w:tc>
          <w:tcPr>
            <w:tcW w:w="3475" w:type="pct"/>
            <w:vAlign w:val="center"/>
          </w:tcPr>
          <w:p>
            <w:pPr>
              <w:pageBreakBefore w:val="0"/>
              <w:widowControl w:val="0"/>
              <w:kinsoku/>
              <w:wordWrap/>
              <w:overflowPunct/>
              <w:topLinePunct/>
              <w:bidi w:val="0"/>
              <w:spacing w:line="240" w:lineRule="auto"/>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1、本项目的项目经理同时具备信息系统项目管理师证书、PMP认证、ACP敏捷认证的得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分，不具备或部分具备不得分</w:t>
            </w:r>
            <w:r>
              <w:rPr>
                <w:rFonts w:hint="eastAsia" w:ascii="宋体" w:hAnsi="宋体"/>
                <w:color w:val="auto"/>
                <w:sz w:val="21"/>
                <w:szCs w:val="21"/>
                <w:highlight w:val="none"/>
                <w:lang w:eastAsia="zh-CN"/>
              </w:rPr>
              <w:t>；</w:t>
            </w:r>
          </w:p>
          <w:p>
            <w:pPr>
              <w:pageBreakBefore w:val="0"/>
              <w:widowControl w:val="0"/>
              <w:kinsoku/>
              <w:wordWrap/>
              <w:overflowPunct/>
              <w:topLinePunct/>
              <w:bidi w:val="0"/>
              <w:spacing w:line="24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2、本项目的技术负责人同时具备IT服务项目经理、 ITIL证书、CISP证书及网络工程师证书的得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分，不具备或部分具备不得分；</w:t>
            </w:r>
          </w:p>
          <w:p>
            <w:pPr>
              <w:pStyle w:val="143"/>
              <w:pageBreakBefore w:val="0"/>
              <w:widowControl w:val="0"/>
              <w:kinsoku/>
              <w:wordWrap/>
              <w:overflowPunct/>
              <w:bidi w:val="0"/>
              <w:spacing w:line="240" w:lineRule="auto"/>
              <w:textAlignment w:val="auto"/>
              <w:rPr>
                <w:rFonts w:hint="default" w:eastAsia="宋体"/>
                <w:color w:val="auto"/>
                <w:sz w:val="21"/>
                <w:szCs w:val="21"/>
                <w:lang w:val="en-US" w:eastAsia="zh-CN"/>
              </w:rPr>
            </w:pPr>
            <w:r>
              <w:rPr>
                <w:rFonts w:hint="eastAsia" w:ascii="宋体" w:hAnsi="宋体"/>
                <w:color w:val="auto"/>
                <w:sz w:val="21"/>
                <w:szCs w:val="21"/>
                <w:highlight w:val="none"/>
                <w:lang w:val="en-US" w:eastAsia="zh-CN"/>
              </w:rPr>
              <w:t>3、项目组成员具有信息系统项目管理师证书的，</w:t>
            </w:r>
            <w:r>
              <w:rPr>
                <w:rFonts w:hint="eastAsia" w:ascii="宋体" w:hAnsi="宋体"/>
                <w:color w:val="auto"/>
                <w:sz w:val="21"/>
                <w:szCs w:val="21"/>
                <w:highlight w:val="none"/>
              </w:rPr>
              <w:t>按满足要求的成员每位得</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pPr>
              <w:pageBreakBefore w:val="0"/>
              <w:widowControl w:val="0"/>
              <w:kinsoku/>
              <w:wordWrap/>
              <w:overflowPunct/>
              <w:topLine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b/>
                <w:bCs/>
                <w:color w:val="auto"/>
                <w:sz w:val="21"/>
                <w:szCs w:val="21"/>
                <w:highlight w:val="none"/>
              </w:rPr>
              <w:t>（以上需提供相关证书证明，</w:t>
            </w:r>
            <w:r>
              <w:rPr>
                <w:rFonts w:hint="eastAsia" w:ascii="宋体" w:hAnsi="宋体"/>
                <w:b/>
                <w:bCs/>
                <w:color w:val="auto"/>
                <w:sz w:val="21"/>
                <w:szCs w:val="21"/>
                <w:highlight w:val="none"/>
                <w:lang w:val="en-US" w:eastAsia="zh-CN"/>
              </w:rPr>
              <w:t>项目组</w:t>
            </w:r>
            <w:r>
              <w:rPr>
                <w:rFonts w:hint="eastAsia" w:ascii="宋体" w:hAnsi="宋体"/>
                <w:b/>
                <w:bCs/>
                <w:color w:val="auto"/>
                <w:sz w:val="21"/>
                <w:szCs w:val="21"/>
                <w:highlight w:val="none"/>
              </w:rPr>
              <w:t>人员需提供近</w:t>
            </w: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rPr>
              <w:t>个月的社保证明，否则不得分。）</w:t>
            </w:r>
          </w:p>
        </w:tc>
        <w:tc>
          <w:tcPr>
            <w:tcW w:w="439" w:type="pct"/>
            <w:vAlign w:val="center"/>
          </w:tcPr>
          <w:p>
            <w:pPr>
              <w:pageBreakBefore w:val="0"/>
              <w:widowControl w:val="0"/>
              <w:kinsoku/>
              <w:wordWrap/>
              <w:overflowPunct/>
              <w:topLinePunct/>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Align w:val="center"/>
          </w:tcPr>
          <w:p>
            <w:pPr>
              <w:pageBreakBefore w:val="0"/>
              <w:widowControl w:val="0"/>
              <w:kinsoku/>
              <w:wordWrap/>
              <w:overflowPunct/>
              <w:bidi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803" w:type="pct"/>
            <w:vAlign w:val="center"/>
          </w:tcPr>
          <w:p>
            <w:pPr>
              <w:pageBreakBefore w:val="0"/>
              <w:widowControl w:val="0"/>
              <w:kinsoku/>
              <w:wordWrap/>
              <w:overflowPunct/>
              <w:bidi w:val="0"/>
              <w:snapToGrid w:val="0"/>
              <w:spacing w:line="240" w:lineRule="auto"/>
              <w:jc w:val="center"/>
              <w:textAlignment w:val="auto"/>
              <w:rPr>
                <w:rFonts w:hint="eastAsia" w:ascii="宋体" w:hAnsi="Calibri" w:eastAsia="宋体"/>
                <w:color w:val="auto"/>
                <w:sz w:val="21"/>
                <w:szCs w:val="21"/>
                <w:highlight w:val="none"/>
                <w:lang w:val="en-US" w:eastAsia="zh-CN"/>
              </w:rPr>
            </w:pPr>
            <w:r>
              <w:rPr>
                <w:rFonts w:hint="eastAsia" w:ascii="宋体" w:hAnsi="Calibri"/>
                <w:color w:val="auto"/>
                <w:sz w:val="21"/>
                <w:szCs w:val="21"/>
                <w:highlight w:val="none"/>
                <w:lang w:val="en-US" w:eastAsia="zh-CN"/>
              </w:rPr>
              <w:t>演示</w:t>
            </w:r>
          </w:p>
        </w:tc>
        <w:tc>
          <w:tcPr>
            <w:tcW w:w="3475" w:type="pct"/>
            <w:vAlign w:val="center"/>
          </w:tcPr>
          <w:p>
            <w:pPr>
              <w:keepNext w:val="0"/>
              <w:keepLines w:val="0"/>
              <w:pageBreakBefore w:val="0"/>
              <w:widowControl/>
              <w:numPr>
                <w:ilvl w:val="0"/>
                <w:numId w:val="0"/>
              </w:numPr>
              <w:suppressLineNumbers w:val="0"/>
              <w:kinsoku/>
              <w:wordWrap/>
              <w:overflowPunct/>
              <w:autoSpaceDE/>
              <w:autoSpaceDN/>
              <w:bidi w:val="0"/>
              <w:adjustRightInd w:val="0"/>
              <w:snapToGrid/>
              <w:spacing w:line="240" w:lineRule="auto"/>
              <w:jc w:val="both"/>
              <w:textAlignment w:val="auto"/>
              <w:rPr>
                <w:rFonts w:hint="eastAsia" w:ascii="宋体" w:hAnsi="宋体" w:eastAsia="宋体" w:cs="Calibri"/>
                <w:color w:val="auto"/>
                <w:sz w:val="21"/>
                <w:szCs w:val="21"/>
                <w:highlight w:val="none"/>
                <w:lang w:val="en-US" w:eastAsia="zh-CN"/>
              </w:rPr>
            </w:pPr>
            <w:r>
              <w:rPr>
                <w:rFonts w:hint="eastAsia" w:ascii="宋体" w:hAnsi="宋体" w:eastAsia="宋体" w:cs="Calibri"/>
                <w:color w:val="auto"/>
                <w:sz w:val="21"/>
                <w:szCs w:val="21"/>
                <w:highlight w:val="none"/>
                <w:lang w:val="en-US" w:eastAsia="zh-CN"/>
              </w:rPr>
              <w:t>根据投标人</w:t>
            </w:r>
            <w:r>
              <w:rPr>
                <w:rFonts w:hint="eastAsia" w:ascii="宋体" w:hAnsi="宋体" w:cs="Calibri"/>
                <w:color w:val="auto"/>
                <w:sz w:val="21"/>
                <w:szCs w:val="21"/>
                <w:highlight w:val="none"/>
                <w:lang w:val="en-US" w:eastAsia="zh-CN"/>
              </w:rPr>
              <w:t>软件</w:t>
            </w:r>
            <w:r>
              <w:rPr>
                <w:rFonts w:hint="eastAsia" w:ascii="宋体" w:hAnsi="宋体" w:eastAsia="宋体" w:cs="Calibri"/>
                <w:color w:val="auto"/>
                <w:sz w:val="21"/>
                <w:szCs w:val="21"/>
                <w:highlight w:val="none"/>
                <w:lang w:val="en-US" w:eastAsia="zh-CN"/>
              </w:rPr>
              <w:t>演示与讲解进行打分，不接受PPT或图片演示，演示内容包括：</w:t>
            </w:r>
          </w:p>
          <w:p>
            <w:pPr>
              <w:keepNext w:val="0"/>
              <w:keepLines w:val="0"/>
              <w:pageBreakBefore w:val="0"/>
              <w:widowControl/>
              <w:numPr>
                <w:ilvl w:val="0"/>
                <w:numId w:val="2"/>
              </w:numPr>
              <w:suppressLineNumbers w:val="0"/>
              <w:kinsoku/>
              <w:wordWrap/>
              <w:overflowPunct/>
              <w:autoSpaceDE/>
              <w:autoSpaceDN/>
              <w:bidi w:val="0"/>
              <w:adjustRightInd w:val="0"/>
              <w:snapToGrid/>
              <w:spacing w:line="240" w:lineRule="auto"/>
              <w:jc w:val="both"/>
              <w:textAlignment w:val="auto"/>
              <w:rPr>
                <w:rFonts w:hint="eastAsia" w:ascii="宋体" w:hAnsi="宋体" w:eastAsia="宋体" w:cs="Calibri"/>
                <w:color w:val="auto"/>
                <w:sz w:val="21"/>
                <w:szCs w:val="21"/>
                <w:highlight w:val="none"/>
                <w:lang w:val="en-US" w:eastAsia="zh-CN"/>
              </w:rPr>
            </w:pPr>
            <w:r>
              <w:rPr>
                <w:rFonts w:hint="eastAsia" w:ascii="宋体" w:hAnsi="宋体" w:eastAsia="宋体" w:cs="Calibri"/>
                <w:color w:val="auto"/>
                <w:sz w:val="21"/>
                <w:szCs w:val="21"/>
                <w:highlight w:val="none"/>
                <w:lang w:val="en-US" w:eastAsia="zh-CN"/>
              </w:rPr>
              <w:t>黑飞飞手定位信息、信息推送、黑飞排查、飞行备案、临时安保任务、重大安保任务、亚运场馆专题、警用无人机管理、无人值守防御、无人机航线管理等功能演示</w:t>
            </w:r>
            <w:r>
              <w:rPr>
                <w:rFonts w:hint="eastAsia" w:ascii="宋体" w:hAnsi="宋体" w:cs="Calibri"/>
                <w:color w:val="auto"/>
                <w:sz w:val="21"/>
                <w:szCs w:val="21"/>
                <w:highlight w:val="none"/>
                <w:lang w:val="en-US" w:eastAsia="zh-CN"/>
              </w:rPr>
              <w:t>；</w:t>
            </w:r>
          </w:p>
          <w:p>
            <w:pPr>
              <w:keepNext w:val="0"/>
              <w:keepLines w:val="0"/>
              <w:pageBreakBefore w:val="0"/>
              <w:widowControl/>
              <w:numPr>
                <w:ilvl w:val="0"/>
                <w:numId w:val="2"/>
              </w:numPr>
              <w:suppressLineNumbers w:val="0"/>
              <w:kinsoku/>
              <w:wordWrap/>
              <w:overflowPunct/>
              <w:autoSpaceDE/>
              <w:autoSpaceDN/>
              <w:bidi w:val="0"/>
              <w:adjustRightInd w:val="0"/>
              <w:snapToGrid/>
              <w:spacing w:line="240" w:lineRule="auto"/>
              <w:jc w:val="both"/>
              <w:textAlignment w:val="auto"/>
              <w:rPr>
                <w:rFonts w:hint="eastAsia" w:ascii="宋体" w:hAnsi="宋体" w:eastAsia="宋体" w:cs="Calibri"/>
                <w:color w:val="auto"/>
                <w:sz w:val="21"/>
                <w:szCs w:val="21"/>
                <w:highlight w:val="none"/>
                <w:lang w:val="en-US" w:eastAsia="zh-CN"/>
              </w:rPr>
            </w:pPr>
            <w:r>
              <w:rPr>
                <w:rFonts w:hint="eastAsia" w:ascii="宋体" w:hAnsi="宋体" w:eastAsia="宋体" w:cs="Calibri"/>
                <w:color w:val="auto"/>
                <w:sz w:val="21"/>
                <w:szCs w:val="21"/>
                <w:highlight w:val="none"/>
                <w:lang w:val="en-US" w:eastAsia="zh-CN"/>
              </w:rPr>
              <w:t>黑飞数据经纬度高度统计；</w:t>
            </w:r>
          </w:p>
          <w:p>
            <w:pPr>
              <w:keepNext w:val="0"/>
              <w:keepLines w:val="0"/>
              <w:pageBreakBefore w:val="0"/>
              <w:widowControl/>
              <w:numPr>
                <w:ilvl w:val="0"/>
                <w:numId w:val="2"/>
              </w:numPr>
              <w:suppressLineNumbers w:val="0"/>
              <w:kinsoku/>
              <w:wordWrap/>
              <w:overflowPunct/>
              <w:autoSpaceDE/>
              <w:autoSpaceDN/>
              <w:bidi w:val="0"/>
              <w:adjustRightInd w:val="0"/>
              <w:snapToGrid/>
              <w:spacing w:line="240" w:lineRule="auto"/>
              <w:jc w:val="both"/>
              <w:textAlignment w:val="auto"/>
              <w:rPr>
                <w:rFonts w:hint="eastAsia" w:ascii="宋体" w:hAnsi="宋体" w:eastAsia="宋体" w:cs="Calibri"/>
                <w:color w:val="auto"/>
                <w:sz w:val="21"/>
                <w:szCs w:val="21"/>
                <w:highlight w:val="none"/>
                <w:lang w:val="en-US" w:eastAsia="zh-CN"/>
              </w:rPr>
            </w:pPr>
            <w:r>
              <w:rPr>
                <w:rFonts w:hint="eastAsia" w:ascii="宋体" w:hAnsi="宋体" w:eastAsia="宋体" w:cs="Calibri"/>
                <w:color w:val="auto"/>
                <w:sz w:val="21"/>
                <w:szCs w:val="21"/>
                <w:highlight w:val="none"/>
                <w:lang w:val="en-US" w:eastAsia="zh-CN"/>
              </w:rPr>
              <w:t>实时告警及三级防御圈划分。</w:t>
            </w:r>
          </w:p>
          <w:p>
            <w:pPr>
              <w:keepNext w:val="0"/>
              <w:keepLines w:val="0"/>
              <w:pageBreakBefore w:val="0"/>
              <w:widowControl/>
              <w:numPr>
                <w:ilvl w:val="0"/>
                <w:numId w:val="2"/>
              </w:numPr>
              <w:suppressLineNumbers w:val="0"/>
              <w:kinsoku/>
              <w:wordWrap/>
              <w:overflowPunct/>
              <w:autoSpaceDE/>
              <w:autoSpaceDN/>
              <w:bidi w:val="0"/>
              <w:adjustRightInd w:val="0"/>
              <w:snapToGrid/>
              <w:spacing w:line="240" w:lineRule="auto"/>
              <w:jc w:val="both"/>
              <w:textAlignment w:val="auto"/>
              <w:rPr>
                <w:rFonts w:hint="eastAsia" w:ascii="宋体" w:hAnsi="宋体" w:eastAsia="宋体" w:cs="Calibri"/>
                <w:color w:val="auto"/>
                <w:sz w:val="21"/>
                <w:szCs w:val="21"/>
                <w:highlight w:val="none"/>
                <w:lang w:val="en-US" w:eastAsia="zh-CN"/>
              </w:rPr>
            </w:pPr>
            <w:r>
              <w:rPr>
                <w:rFonts w:hint="eastAsia" w:ascii="宋体" w:hAnsi="宋体" w:eastAsia="宋体" w:cs="Calibri"/>
                <w:color w:val="auto"/>
                <w:sz w:val="21"/>
                <w:szCs w:val="21"/>
                <w:highlight w:val="none"/>
                <w:lang w:val="en-US" w:eastAsia="zh-CN"/>
              </w:rPr>
              <w:t>实时轨迹的回放查询；可查看无人机航线完整信息（所属单位、起点、终点和高度），并显示已报备的行业无人机航线和无人机实时飞行轨迹；</w:t>
            </w:r>
          </w:p>
          <w:p>
            <w:pPr>
              <w:keepNext w:val="0"/>
              <w:keepLines w:val="0"/>
              <w:pageBreakBefore w:val="0"/>
              <w:widowControl w:val="0"/>
              <w:kinsoku/>
              <w:wordWrap/>
              <w:overflowPunct/>
              <w:topLinePunct/>
              <w:autoSpaceDE/>
              <w:autoSpaceDN/>
              <w:bidi w:val="0"/>
              <w:adjustRightInd w:val="0"/>
              <w:snapToGrid/>
              <w:spacing w:line="240" w:lineRule="auto"/>
              <w:textAlignment w:val="auto"/>
              <w:rPr>
                <w:rFonts w:hint="eastAsia" w:ascii="宋体" w:hAnsi="宋体" w:eastAsia="宋体" w:cs="Calibri"/>
                <w:color w:val="auto"/>
                <w:sz w:val="21"/>
                <w:szCs w:val="21"/>
                <w:highlight w:val="none"/>
                <w:lang w:val="en-US" w:eastAsia="zh-CN"/>
              </w:rPr>
            </w:pPr>
            <w:r>
              <w:rPr>
                <w:rFonts w:hint="eastAsia" w:ascii="宋体" w:hAnsi="宋体" w:cs="Calibri"/>
                <w:color w:val="auto"/>
                <w:sz w:val="21"/>
                <w:szCs w:val="21"/>
                <w:highlight w:val="none"/>
                <w:lang w:val="en-US" w:eastAsia="zh-CN"/>
              </w:rPr>
              <w:t>5、</w:t>
            </w:r>
            <w:r>
              <w:rPr>
                <w:rFonts w:hint="eastAsia" w:ascii="宋体" w:hAnsi="宋体" w:eastAsia="宋体" w:cs="Calibri"/>
                <w:color w:val="auto"/>
                <w:sz w:val="21"/>
                <w:szCs w:val="21"/>
                <w:highlight w:val="none"/>
                <w:lang w:val="en-US" w:eastAsia="zh-CN"/>
              </w:rPr>
              <w:t>发放电子身份证、侦测、取证、驱离、打击、精准定位监视以及警戒防控任务管理等功能，能对目标区域无人机飞行进行有效管控</w:t>
            </w:r>
          </w:p>
          <w:p>
            <w:pPr>
              <w:pageBreakBefore w:val="0"/>
              <w:widowControl w:val="0"/>
              <w:kinsoku/>
              <w:wordWrap/>
              <w:overflowPunct/>
              <w:topLinePunct/>
              <w:bidi w:val="0"/>
              <w:spacing w:line="240" w:lineRule="auto"/>
              <w:textAlignment w:val="auto"/>
              <w:rPr>
                <w:rFonts w:hint="eastAsia" w:ascii="宋体" w:hAnsi="宋体" w:eastAsia="宋体" w:cs="Calibri"/>
                <w:i w:val="0"/>
                <w:iCs w:val="0"/>
                <w:color w:val="auto"/>
                <w:kern w:val="2"/>
                <w:sz w:val="21"/>
                <w:szCs w:val="21"/>
                <w:highlight w:val="none"/>
                <w:u w:val="none"/>
                <w:lang w:val="en-US" w:eastAsia="zh-CN" w:bidi="ar-SA"/>
              </w:rPr>
            </w:pPr>
            <w:r>
              <w:rPr>
                <w:rFonts w:hint="eastAsia" w:ascii="宋体" w:hAnsi="宋体" w:cs="Calibri"/>
                <w:i w:val="0"/>
                <w:iCs w:val="0"/>
                <w:color w:val="auto"/>
                <w:kern w:val="2"/>
                <w:sz w:val="21"/>
                <w:szCs w:val="21"/>
                <w:highlight w:val="none"/>
                <w:u w:val="none"/>
                <w:lang w:val="en-US" w:eastAsia="zh-CN" w:bidi="ar-SA"/>
              </w:rPr>
              <w:t>以</w:t>
            </w:r>
            <w:r>
              <w:rPr>
                <w:rFonts w:hint="eastAsia" w:ascii="宋体" w:hAnsi="宋体" w:eastAsia="宋体" w:cs="Calibri"/>
                <w:i w:val="0"/>
                <w:iCs w:val="0"/>
                <w:color w:val="auto"/>
                <w:kern w:val="2"/>
                <w:sz w:val="21"/>
                <w:szCs w:val="21"/>
                <w:highlight w:val="none"/>
                <w:u w:val="none"/>
                <w:lang w:val="en-US" w:eastAsia="zh-CN" w:bidi="ar-SA"/>
              </w:rPr>
              <w:t>上演示内容功能完整的每项得</w:t>
            </w:r>
            <w:r>
              <w:rPr>
                <w:rFonts w:hint="eastAsia" w:ascii="宋体" w:hAnsi="宋体" w:cs="Calibri"/>
                <w:i w:val="0"/>
                <w:iCs w:val="0"/>
                <w:color w:val="auto"/>
                <w:kern w:val="2"/>
                <w:sz w:val="21"/>
                <w:szCs w:val="21"/>
                <w:highlight w:val="none"/>
                <w:u w:val="none"/>
                <w:lang w:val="en-US" w:eastAsia="zh-CN" w:bidi="ar-SA"/>
              </w:rPr>
              <w:t>2</w:t>
            </w:r>
            <w:r>
              <w:rPr>
                <w:rFonts w:hint="eastAsia" w:ascii="宋体" w:hAnsi="宋体" w:eastAsia="宋体" w:cs="Calibri"/>
                <w:i w:val="0"/>
                <w:iCs w:val="0"/>
                <w:color w:val="auto"/>
                <w:kern w:val="2"/>
                <w:sz w:val="21"/>
                <w:szCs w:val="21"/>
                <w:highlight w:val="none"/>
                <w:u w:val="none"/>
                <w:lang w:val="en-US" w:eastAsia="zh-CN" w:bidi="ar-SA"/>
              </w:rPr>
              <w:t>分，功能有瑕疵功能不完整的每项得</w:t>
            </w:r>
            <w:r>
              <w:rPr>
                <w:rFonts w:hint="eastAsia" w:ascii="宋体" w:hAnsi="宋体" w:cs="Calibri"/>
                <w:i w:val="0"/>
                <w:iCs w:val="0"/>
                <w:color w:val="auto"/>
                <w:kern w:val="2"/>
                <w:sz w:val="21"/>
                <w:szCs w:val="21"/>
                <w:highlight w:val="none"/>
                <w:u w:val="none"/>
                <w:lang w:val="en-US" w:eastAsia="zh-CN" w:bidi="ar-SA"/>
              </w:rPr>
              <w:t>1</w:t>
            </w:r>
            <w:r>
              <w:rPr>
                <w:rFonts w:hint="eastAsia" w:ascii="宋体" w:hAnsi="宋体" w:eastAsia="宋体" w:cs="Calibri"/>
                <w:i w:val="0"/>
                <w:iCs w:val="0"/>
                <w:color w:val="auto"/>
                <w:kern w:val="2"/>
                <w:sz w:val="21"/>
                <w:szCs w:val="21"/>
                <w:highlight w:val="none"/>
                <w:u w:val="none"/>
                <w:lang w:val="en-US" w:eastAsia="zh-CN" w:bidi="ar-SA"/>
              </w:rPr>
              <w:t>分，功能无法实现或无演示的每项得0分；共5项内容最高</w:t>
            </w:r>
            <w:r>
              <w:rPr>
                <w:rFonts w:hint="eastAsia" w:ascii="宋体" w:hAnsi="宋体" w:cs="Calibri"/>
                <w:i w:val="0"/>
                <w:iCs w:val="0"/>
                <w:color w:val="auto"/>
                <w:kern w:val="2"/>
                <w:sz w:val="21"/>
                <w:szCs w:val="21"/>
                <w:highlight w:val="none"/>
                <w:u w:val="none"/>
                <w:lang w:val="en-US" w:eastAsia="zh-CN" w:bidi="ar-SA"/>
              </w:rPr>
              <w:t>10</w:t>
            </w:r>
            <w:r>
              <w:rPr>
                <w:rFonts w:hint="eastAsia" w:ascii="宋体" w:hAnsi="宋体" w:eastAsia="宋体" w:cs="Calibri"/>
                <w:i w:val="0"/>
                <w:iCs w:val="0"/>
                <w:color w:val="auto"/>
                <w:kern w:val="2"/>
                <w:sz w:val="21"/>
                <w:szCs w:val="21"/>
                <w:highlight w:val="none"/>
                <w:u w:val="none"/>
                <w:lang w:val="en-US" w:eastAsia="zh-CN" w:bidi="ar-SA"/>
              </w:rPr>
              <w:t>分。</w:t>
            </w:r>
          </w:p>
          <w:p>
            <w:pPr>
              <w:pageBreakBefore w:val="0"/>
              <w:widowControl w:val="0"/>
              <w:kinsoku/>
              <w:wordWrap/>
              <w:overflowPunct/>
              <w:topLinePunct/>
              <w:bidi w:val="0"/>
              <w:spacing w:line="240" w:lineRule="auto"/>
              <w:textAlignment w:val="auto"/>
              <w:rPr>
                <w:rFonts w:hint="default" w:ascii="宋体" w:hAnsi="宋体" w:eastAsia="宋体"/>
                <w:b/>
                <w:bCs/>
                <w:color w:val="auto"/>
                <w:sz w:val="21"/>
                <w:szCs w:val="21"/>
                <w:highlight w:val="none"/>
                <w:lang w:val="en-US" w:eastAsia="zh-CN"/>
              </w:rPr>
            </w:pPr>
            <w:r>
              <w:rPr>
                <w:rFonts w:hint="eastAsia" w:ascii="宋体" w:hAnsi="宋体" w:eastAsia="宋体" w:cs="Calibri"/>
                <w:i w:val="0"/>
                <w:iCs w:val="0"/>
                <w:color w:val="auto"/>
                <w:kern w:val="2"/>
                <w:sz w:val="21"/>
                <w:szCs w:val="21"/>
                <w:highlight w:val="none"/>
                <w:u w:val="none"/>
                <w:lang w:val="en-US" w:eastAsia="zh-CN" w:bidi="ar-SA"/>
              </w:rPr>
              <w:t>（演示时间为10分钟内）</w:t>
            </w:r>
          </w:p>
        </w:tc>
        <w:tc>
          <w:tcPr>
            <w:tcW w:w="439" w:type="pct"/>
            <w:vAlign w:val="center"/>
          </w:tcPr>
          <w:p>
            <w:pPr>
              <w:pageBreakBefore w:val="0"/>
              <w:widowControl w:val="0"/>
              <w:kinsoku/>
              <w:wordWrap/>
              <w:overflowPunct/>
              <w:topLinePunct/>
              <w:bidi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1" w:type="pct"/>
            <w:vAlign w:val="center"/>
          </w:tcPr>
          <w:p>
            <w:pPr>
              <w:pageBreakBefore w:val="0"/>
              <w:widowControl w:val="0"/>
              <w:kinsoku/>
              <w:wordWrap/>
              <w:overflowPunct/>
              <w:topLinePunct/>
              <w:bidi w:val="0"/>
              <w:adjustRightIn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6</w:t>
            </w:r>
          </w:p>
        </w:tc>
        <w:tc>
          <w:tcPr>
            <w:tcW w:w="803" w:type="pct"/>
            <w:vAlign w:val="center"/>
          </w:tcPr>
          <w:p>
            <w:pPr>
              <w:pageBreakBefore w:val="0"/>
              <w:widowControl w:val="0"/>
              <w:kinsoku/>
              <w:wordWrap/>
              <w:overflowPunct/>
              <w:topLinePunct/>
              <w:bidi w:val="0"/>
              <w:adjustRightInd/>
              <w:spacing w:line="240" w:lineRule="auto"/>
              <w:textAlignment w:val="auto"/>
              <w:rPr>
                <w:rFonts w:hint="eastAsia" w:ascii="宋体" w:hAnsi="Calibri"/>
                <w:color w:val="auto"/>
                <w:sz w:val="21"/>
                <w:szCs w:val="21"/>
                <w:highlight w:val="none"/>
                <w:lang w:val="en-US" w:eastAsia="zh-CN"/>
              </w:rPr>
            </w:pPr>
            <w:r>
              <w:rPr>
                <w:rFonts w:hint="eastAsia" w:ascii="宋体" w:hAnsi="宋体" w:eastAsia="宋体" w:cs="宋体"/>
                <w:color w:val="auto"/>
                <w:sz w:val="21"/>
                <w:szCs w:val="21"/>
                <w:highlight w:val="none"/>
                <w:lang w:val="zh-CN"/>
              </w:rPr>
              <w:t>价格分</w:t>
            </w:r>
          </w:p>
        </w:tc>
        <w:tc>
          <w:tcPr>
            <w:tcW w:w="3475" w:type="pct"/>
            <w:vAlign w:val="center"/>
          </w:tcPr>
          <w:p>
            <w:pPr>
              <w:pageBreakBefore w:val="0"/>
              <w:widowControl w:val="0"/>
              <w:kinsoku/>
              <w:wordWrap/>
              <w:overflowPunct/>
              <w:topLinePunct/>
              <w:bidi w:val="0"/>
              <w:adjustRightIn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有效投标报价的最低价作为评标基准价，其最低报价为满分；按［投标报价得分=（评标基准价/投标报价）*30］的计算公式计算。</w:t>
            </w:r>
          </w:p>
          <w:p>
            <w:pPr>
              <w:pageBreakBefore w:val="0"/>
              <w:widowControl w:val="0"/>
              <w:kinsoku/>
              <w:wordWrap/>
              <w:overflowPunct/>
              <w:topLinePunct/>
              <w:bidi w:val="0"/>
              <w:adjustRightIn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评标过程中，不得去掉报价中的最高报价和最低报价。</w:t>
            </w:r>
          </w:p>
          <w:p>
            <w:pPr>
              <w:pageBreakBefore w:val="0"/>
              <w:widowControl w:val="0"/>
              <w:kinsoku/>
              <w:wordWrap/>
              <w:overflowPunct/>
              <w:topLinePunct/>
              <w:bidi w:val="0"/>
              <w:adjustRightInd/>
              <w:spacing w:line="240" w:lineRule="auto"/>
              <w:textAlignment w:val="auto"/>
              <w:rPr>
                <w:rFonts w:hint="eastAsia" w:ascii="宋体" w:hAnsi="宋体" w:cs="Calibri"/>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zh-CN" w:eastAsia="zh-CN"/>
              </w:rPr>
              <w:t>因落实政府采购政策需要进行价格调整的，以调整后的价格计算评标基准价和投标报价。</w:t>
            </w:r>
          </w:p>
        </w:tc>
        <w:tc>
          <w:tcPr>
            <w:tcW w:w="439" w:type="pct"/>
            <w:vAlign w:val="center"/>
          </w:tcPr>
          <w:p>
            <w:pPr>
              <w:pageBreakBefore w:val="0"/>
              <w:widowControl w:val="0"/>
              <w:kinsoku/>
              <w:wordWrap/>
              <w:overflowPunct/>
              <w:topLinePunct/>
              <w:bidi w:val="0"/>
              <w:adjustRightIn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kern w:val="0"/>
          <w:szCs w:val="24"/>
        </w:rPr>
      </w:pPr>
      <w:r>
        <w:rPr>
          <w:rFonts w:hint="eastAsia" w:ascii="宋体" w:hAnsi="宋体" w:cs="宋体"/>
          <w:kern w:val="0"/>
          <w:szCs w:val="24"/>
        </w:rPr>
        <w:t>3.4.5对</w:t>
      </w:r>
      <w:r>
        <w:rPr>
          <w:rFonts w:hint="eastAsia" w:ascii="宋体" w:hAnsi="宋体" w:cs="宋体"/>
          <w:color w:val="auto"/>
          <w:kern w:val="0"/>
          <w:szCs w:val="24"/>
        </w:rPr>
        <w:t>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w:t>
      </w:r>
      <w:r>
        <w:rPr>
          <w:rFonts w:hint="eastAsia" w:ascii="宋体" w:hAnsi="宋体" w:cs="宋体"/>
          <w:kern w:val="0"/>
          <w:szCs w:val="24"/>
        </w:rPr>
        <w:t>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8" w:name="第五部分"/>
      <w:bookmarkStart w:id="399" w:name="_Toc86217003"/>
    </w:p>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both"/>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2"/>
        <w:jc w:val="center"/>
        <w:rPr>
          <w:rFonts w:ascii="宋体" w:hAnsi="宋体" w:cs="宋体"/>
          <w:szCs w:val="24"/>
        </w:rPr>
      </w:pPr>
    </w:p>
    <w:p>
      <w:pPr>
        <w:pStyle w:val="702"/>
        <w:ind w:firstLine="2843" w:firstLineChars="1180"/>
        <w:rPr>
          <w:rFonts w:ascii="宋体" w:hAnsi="宋体" w:cs="宋体"/>
          <w:b/>
          <w:szCs w:val="24"/>
        </w:rPr>
      </w:pPr>
      <w:r>
        <w:rPr>
          <w:rFonts w:hint="eastAsia" w:ascii="宋体" w:hAnsi="宋体" w:cs="宋体"/>
          <w:b/>
          <w:szCs w:val="24"/>
        </w:rPr>
        <w:t>第一部分 合同书</w:t>
      </w:r>
    </w:p>
    <w:p>
      <w:pPr>
        <w:pStyle w:val="702"/>
        <w:ind w:left="0" w:leftChars="0" w:firstLine="0" w:firstLineChars="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24059"/>
      <w:bookmarkStart w:id="401" w:name="_Toc3029"/>
      <w:bookmarkStart w:id="402" w:name="_Toc2232"/>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1295"/>
      <w:bookmarkStart w:id="404" w:name="_Toc27126"/>
      <w:bookmarkStart w:id="405" w:name="_Toc24300"/>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bl>
    <w:p>
      <w:pPr>
        <w:pStyle w:val="959"/>
        <w:spacing w:before="0" w:beforeAutospacing="0" w:after="0" w:afterAutospacing="0" w:line="360" w:lineRule="auto"/>
        <w:ind w:firstLine="480"/>
        <w:rPr>
          <w:b/>
        </w:rPr>
      </w:pPr>
      <w:bookmarkStart w:id="409" w:name="_Toc10340"/>
      <w:bookmarkStart w:id="410" w:name="_Toc22618"/>
      <w:bookmarkStart w:id="411" w:name="_Toc1814"/>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2" w:name="_Toc32071"/>
      <w:bookmarkStart w:id="413" w:name="_Toc19304"/>
      <w:bookmarkStart w:id="414" w:name="_Toc2846"/>
      <w:r>
        <w:rPr>
          <w:rFonts w:hint="eastAsia" w:ascii="宋体" w:hAnsi="宋体" w:cs="宋体"/>
          <w:b/>
          <w:sz w:val="24"/>
        </w:rPr>
        <w:t>1.7货物交付期限、地点和方式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7250"/>
      <w:bookmarkStart w:id="416" w:name="_Toc21423"/>
      <w:bookmarkStart w:id="417" w:name="_Toc19554"/>
      <w:r>
        <w:rPr>
          <w:rFonts w:hint="eastAsia" w:ascii="宋体" w:hAnsi="宋体" w:cs="宋体"/>
          <w:b/>
          <w:sz w:val="24"/>
        </w:rPr>
        <w:t>1.8违约责任</w:t>
      </w:r>
      <w:bookmarkEnd w:id="415"/>
      <w:bookmarkEnd w:id="416"/>
      <w:bookmarkEnd w:id="417"/>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8" w:name="_Toc28375"/>
      <w:bookmarkStart w:id="419" w:name="_Toc16021"/>
      <w:bookmarkStart w:id="420" w:name="_Toc15583"/>
      <w:r>
        <w:rPr>
          <w:rFonts w:hint="eastAsia" w:ascii="宋体" w:hAnsi="宋体" w:cs="宋体"/>
          <w:b/>
          <w:sz w:val="24"/>
        </w:rPr>
        <w:t>1.9合同争议的解决</w:t>
      </w:r>
      <w:bookmarkEnd w:id="418"/>
      <w:bookmarkEnd w:id="419"/>
      <w:bookmarkEnd w:id="42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1" w:name="_Toc11173"/>
      <w:bookmarkStart w:id="422" w:name="_Toc15322"/>
      <w:bookmarkStart w:id="423" w:name="_Toc7245"/>
      <w:r>
        <w:rPr>
          <w:rFonts w:hint="eastAsia" w:ascii="宋体" w:hAnsi="宋体" w:cs="宋体"/>
          <w:b/>
          <w:sz w:val="24"/>
        </w:rPr>
        <w:t>2.0 合同生效</w:t>
      </w:r>
      <w:bookmarkEnd w:id="421"/>
      <w:bookmarkEnd w:id="422"/>
      <w:bookmarkEnd w:id="423"/>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4" w:name="_Toc487900349"/>
      <w:bookmarkStart w:id="425" w:name="_Toc279701240"/>
      <w:bookmarkStart w:id="426" w:name="_Toc28763"/>
      <w:bookmarkStart w:id="427" w:name="_Toc19614"/>
      <w:bookmarkStart w:id="428" w:name="_Ref467379214"/>
      <w:bookmarkStart w:id="429" w:name="_Ref467379225"/>
      <w:bookmarkStart w:id="430" w:name="_Toc16917"/>
      <w:bookmarkStart w:id="431" w:name="_Ref467379195"/>
      <w:bookmarkStart w:id="432" w:name="_Ref467379109"/>
      <w:bookmarkStart w:id="433" w:name="_Ref467379094"/>
      <w:bookmarkStart w:id="434" w:name="_Ref467378499"/>
      <w:bookmarkStart w:id="435" w:name="_Ref467378463"/>
      <w:bookmarkStart w:id="436" w:name="_Ref467378404"/>
      <w:bookmarkStart w:id="437" w:name="_Toc259093669"/>
      <w:bookmarkStart w:id="438" w:name="_Ref467379101"/>
      <w:bookmarkStart w:id="439" w:name="_Ref46737920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pPr>
        <w:spacing w:line="560" w:lineRule="exact"/>
        <w:ind w:firstLine="482" w:firstLineChars="200"/>
        <w:outlineLvl w:val="0"/>
        <w:rPr>
          <w:rFonts w:ascii="宋体" w:hAnsi="宋体" w:cs="宋体"/>
          <w:b/>
          <w:sz w:val="24"/>
        </w:rPr>
      </w:pPr>
      <w:bookmarkStart w:id="443" w:name="_Toc32504"/>
      <w:bookmarkStart w:id="444" w:name="_Toc487900350"/>
      <w:bookmarkStart w:id="445" w:name="_Toc259093670"/>
      <w:bookmarkStart w:id="446" w:name="_Toc279701241"/>
      <w:bookmarkStart w:id="447" w:name="_Toc27635"/>
      <w:bookmarkStart w:id="448" w:name="_Toc13336"/>
      <w:r>
        <w:rPr>
          <w:rFonts w:hint="eastAsia" w:ascii="宋体" w:hAnsi="宋体" w:cs="宋体"/>
          <w:b/>
          <w:sz w:val="24"/>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9" w:name="_Toc259093671"/>
      <w:bookmarkStart w:id="450" w:name="_Toc27853"/>
      <w:bookmarkStart w:id="451" w:name="_Toc487900351"/>
      <w:bookmarkStart w:id="452" w:name="_Toc279701242"/>
      <w:bookmarkStart w:id="453" w:name="_Toc31634"/>
      <w:bookmarkStart w:id="454" w:name="_Toc9829"/>
      <w:r>
        <w:rPr>
          <w:rFonts w:hint="eastAsia" w:ascii="宋体" w:hAnsi="宋体" w:cs="宋体"/>
          <w:b/>
          <w:sz w:val="24"/>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5" w:name="_Toc11932"/>
      <w:bookmarkStart w:id="456" w:name="_Toc29149"/>
      <w:bookmarkStart w:id="457" w:name="_Toc4194"/>
      <w:r>
        <w:rPr>
          <w:rFonts w:hint="eastAsia" w:ascii="宋体" w:hAnsi="宋体" w:cs="宋体"/>
          <w:b/>
          <w:sz w:val="24"/>
        </w:rPr>
        <w:t>2.4 包装和装运</w:t>
      </w:r>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8" w:name="_Toc487900354"/>
      <w:bookmarkStart w:id="459" w:name="_Ref467378541"/>
      <w:bookmarkStart w:id="460" w:name="_Ref467379527"/>
      <w:bookmarkStart w:id="461" w:name="_Ref467379536"/>
      <w:bookmarkStart w:id="462" w:name="_Toc259093674"/>
      <w:bookmarkStart w:id="463" w:name="_Ref467379542"/>
      <w:bookmarkStart w:id="464" w:name="_Ref467378591"/>
      <w:bookmarkStart w:id="465" w:name="_Toc279701245"/>
      <w:bookmarkStart w:id="466" w:name="_Toc19074"/>
      <w:bookmarkStart w:id="467" w:name="_Toc30272"/>
      <w:bookmarkStart w:id="468" w:name="_Toc2618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79701247"/>
      <w:bookmarkStart w:id="472" w:name="_Ref467379807"/>
      <w:bookmarkStart w:id="473" w:name="_Toc487900357"/>
      <w:bookmarkStart w:id="474" w:name="_Ref467379793"/>
      <w:bookmarkStart w:id="47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sz w:val="24"/>
        </w:rPr>
      </w:pPr>
      <w:bookmarkStart w:id="477" w:name="_Ref467379923"/>
      <w:bookmarkStart w:id="478" w:name="_Ref467379863"/>
      <w:bookmarkStart w:id="479" w:name="_Toc259093677"/>
      <w:bookmarkStart w:id="480" w:name="_Toc279701248"/>
      <w:bookmarkStart w:id="481" w:name="_Ref467379852"/>
      <w:bookmarkStart w:id="482" w:name="_Toc487900358"/>
      <w:bookmarkStart w:id="483" w:name="_Toc3225"/>
      <w:bookmarkStart w:id="484" w:name="_Toc774"/>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7" w:name="_Toc17244"/>
      <w:bookmarkStart w:id="488" w:name="_Toc279701252"/>
      <w:bookmarkStart w:id="489" w:name="_Toc259093681"/>
      <w:bookmarkStart w:id="490" w:name="_Toc487900362"/>
      <w:r>
        <w:rPr>
          <w:rFonts w:hint="eastAsia" w:ascii="宋体" w:hAnsi="宋体" w:cs="宋体"/>
          <w:b/>
          <w:sz w:val="24"/>
        </w:rPr>
        <w:t>2.8 货物的风险负担</w:t>
      </w:r>
      <w:bookmarkEnd w:id="487"/>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2" w:name="_Toc7502"/>
      <w:bookmarkStart w:id="493" w:name="_Toc259093683"/>
      <w:bookmarkStart w:id="494" w:name="_Ref467378121"/>
      <w:bookmarkStart w:id="495" w:name="_Toc487900364"/>
      <w:bookmarkStart w:id="496" w:name="_Toc279701254"/>
      <w:r>
        <w:rPr>
          <w:rFonts w:hint="eastAsia" w:ascii="宋体" w:hAnsi="宋体" w:cs="宋体"/>
          <w:b/>
          <w:sz w:val="24"/>
        </w:rPr>
        <w:t>2.10 合同变更</w:t>
      </w:r>
      <w:bookmarkEnd w:id="492"/>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pPr>
        <w:spacing w:line="560" w:lineRule="exact"/>
        <w:ind w:firstLine="482" w:firstLineChars="200"/>
        <w:outlineLvl w:val="0"/>
        <w:rPr>
          <w:rFonts w:ascii="宋体" w:hAnsi="宋体" w:cs="宋体"/>
          <w:b/>
          <w:sz w:val="24"/>
        </w:rPr>
      </w:pPr>
      <w:bookmarkStart w:id="500" w:name="_Toc15237"/>
      <w:bookmarkStart w:id="501" w:name="_Toc22955"/>
      <w:bookmarkStart w:id="502" w:name="_Toc10366"/>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3" w:name="_Toc14066"/>
      <w:bookmarkStart w:id="504" w:name="_Toc13566"/>
      <w:bookmarkStart w:id="505" w:name="_Toc16508"/>
      <w:r>
        <w:rPr>
          <w:rFonts w:hint="eastAsia" w:ascii="宋体" w:hAnsi="宋体" w:cs="宋体"/>
          <w:b/>
          <w:sz w:val="24"/>
        </w:rPr>
        <w:t>2.12 不可抗力</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6" w:name="_Toc259093684"/>
      <w:bookmarkStart w:id="507" w:name="_Toc279701255"/>
      <w:bookmarkStart w:id="508" w:name="_Toc689"/>
      <w:bookmarkStart w:id="509" w:name="_Toc487900365"/>
      <w:bookmarkStart w:id="510" w:name="_Toc30676"/>
      <w:bookmarkStart w:id="511" w:name="_Toc6969"/>
      <w:r>
        <w:rPr>
          <w:rFonts w:hint="eastAsia" w:ascii="宋体" w:hAnsi="宋体" w:cs="宋体"/>
          <w:b/>
          <w:sz w:val="24"/>
        </w:rPr>
        <w:t>2.13 税费</w:t>
      </w:r>
      <w:bookmarkEnd w:id="506"/>
      <w:bookmarkEnd w:id="507"/>
      <w:bookmarkEnd w:id="508"/>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2" w:name="_Toc8298"/>
      <w:bookmarkStart w:id="513" w:name="_Toc259093687"/>
      <w:bookmarkStart w:id="514" w:name="_Toc487900368"/>
      <w:bookmarkStart w:id="515" w:name="_Toc279701258"/>
      <w:bookmarkStart w:id="516" w:name="_Toc7102"/>
      <w:bookmarkStart w:id="517" w:name="_Toc16959"/>
      <w:r>
        <w:rPr>
          <w:rFonts w:hint="eastAsia" w:ascii="宋体" w:hAnsi="宋体" w:cs="宋体"/>
          <w:b/>
          <w:sz w:val="24"/>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8" w:name="_Toc6134"/>
      <w:bookmarkStart w:id="519" w:name="_Toc15387"/>
      <w:bookmarkStart w:id="520" w:name="_Toc29333"/>
      <w:r>
        <w:rPr>
          <w:rFonts w:hint="eastAsia" w:ascii="宋体" w:hAnsi="宋体" w:cs="宋体"/>
          <w:b/>
          <w:sz w:val="24"/>
        </w:rPr>
        <w:t>2.15 合同中止、终止</w:t>
      </w:r>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1" w:name="_Toc1125"/>
      <w:bookmarkStart w:id="522" w:name="_Toc14563"/>
      <w:bookmarkStart w:id="523" w:name="_Toc6596"/>
      <w:r>
        <w:rPr>
          <w:rFonts w:hint="eastAsia" w:ascii="宋体" w:hAnsi="宋体" w:cs="宋体"/>
          <w:b/>
          <w:sz w:val="24"/>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25182"/>
      <w:bookmarkStart w:id="528" w:name="_Toc19604"/>
      <w:bookmarkStart w:id="529" w:name="_Toc1128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pPr>
        <w:spacing w:line="560" w:lineRule="exact"/>
        <w:ind w:firstLine="480" w:firstLineChars="200"/>
        <w:rPr>
          <w:rFonts w:ascii="宋体" w:hAnsi="宋体" w:cs="宋体"/>
          <w:sz w:val="24"/>
        </w:rPr>
      </w:pPr>
      <w:bookmarkStart w:id="530" w:name="_Toc6698"/>
      <w:bookmarkStart w:id="531" w:name="_Toc3135"/>
      <w:bookmarkStart w:id="532" w:name="_Toc487900372"/>
      <w:bookmarkStart w:id="533" w:name="_Toc259093691"/>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sz w:val="24"/>
        </w:rPr>
      </w:pPr>
      <w:bookmarkStart w:id="535" w:name="_Toc23294"/>
      <w:bookmarkStart w:id="53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sz w:val="24"/>
        </w:rPr>
      </w:pPr>
      <w:bookmarkStart w:id="537" w:name="_Toc4355"/>
      <w:bookmarkStart w:id="538" w:name="_Toc30599"/>
      <w:bookmarkStart w:id="539" w:name="_Toc18540"/>
      <w:r>
        <w:rPr>
          <w:rFonts w:hint="eastAsia" w:ascii="宋体" w:hAnsi="宋体" w:cs="宋体"/>
          <w:b/>
          <w:sz w:val="24"/>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0" w:name="_Toc12773"/>
      <w:bookmarkStart w:id="541" w:name="_Toc487900373"/>
      <w:bookmarkStart w:id="542" w:name="_Toc10330"/>
      <w:bookmarkStart w:id="543" w:name="_Toc279701263"/>
      <w:bookmarkStart w:id="544" w:name="_Toc259093692"/>
      <w:bookmarkStart w:id="545" w:name="_Toc18567"/>
      <w:r>
        <w:rPr>
          <w:rFonts w:hint="eastAsia" w:ascii="宋体" w:hAnsi="宋体" w:cs="宋体"/>
          <w:b/>
          <w:sz w:val="24"/>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6" w:name="_Toc14001"/>
      <w:bookmarkStart w:id="547" w:name="_Toc19890"/>
      <w:bookmarkStart w:id="548" w:name="_Toc6885"/>
      <w:r>
        <w:rPr>
          <w:rFonts w:hint="eastAsia" w:ascii="宋体" w:hAnsi="宋体" w:cs="宋体"/>
          <w:b/>
          <w:sz w:val="24"/>
        </w:rPr>
        <w:t>2.20 合同份数</w:t>
      </w:r>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9"/>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0" w:name="_Hlk101259491"/>
      <w:r>
        <w:rPr>
          <w:rFonts w:hint="eastAsia" w:ascii="宋体" w:hAnsi="宋体" w:eastAsia="宋体" w:cs="宋体"/>
          <w:color w:val="FF0000"/>
          <w:sz w:val="32"/>
          <w:szCs w:val="32"/>
        </w:rPr>
        <w:t>（如果有）</w:t>
      </w:r>
      <w:bookmarkEnd w:id="550"/>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2" w:name="OLE_LINK13"/>
      <w:bookmarkStart w:id="553" w:name="OLE_LINK14"/>
      <w:r>
        <w:rPr>
          <w:rFonts w:hint="eastAsia" w:ascii="宋体" w:hAnsi="宋体" w:cs="宋体"/>
          <w:b/>
          <w:spacing w:val="6"/>
          <w:sz w:val="32"/>
          <w:szCs w:val="32"/>
        </w:rPr>
        <w:t>残疾人福利性单位声明函</w:t>
      </w:r>
    </w:p>
    <w:bookmarkEnd w:id="552"/>
    <w:bookmarkEnd w:id="55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36110187"/>
    <w:bookmarkStart w:id="558" w:name="_Toc164085800"/>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E9AD8"/>
    <w:multiLevelType w:val="singleLevel"/>
    <w:tmpl w:val="AC3E9AD8"/>
    <w:lvl w:ilvl="0" w:tentative="0">
      <w:start w:val="3"/>
      <w:numFmt w:val="chineseCounting"/>
      <w:suff w:val="space"/>
      <w:lvlText w:val="第%1部分"/>
      <w:lvlJc w:val="left"/>
      <w:rPr>
        <w:rFonts w:hint="eastAsia"/>
      </w:rPr>
    </w:lvl>
  </w:abstractNum>
  <w:abstractNum w:abstractNumId="1">
    <w:nsid w:val="4121D29A"/>
    <w:multiLevelType w:val="singleLevel"/>
    <w:tmpl w:val="4121D2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6C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1549A"/>
    <w:rsid w:val="036634D2"/>
    <w:rsid w:val="03DD35E4"/>
    <w:rsid w:val="03F11C32"/>
    <w:rsid w:val="04076900"/>
    <w:rsid w:val="041A5A3B"/>
    <w:rsid w:val="042311BA"/>
    <w:rsid w:val="042B157A"/>
    <w:rsid w:val="047563B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1929B8"/>
    <w:rsid w:val="08452D77"/>
    <w:rsid w:val="086401F8"/>
    <w:rsid w:val="08751CAA"/>
    <w:rsid w:val="087E4C40"/>
    <w:rsid w:val="08A871D0"/>
    <w:rsid w:val="08BA6A9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81F3C"/>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F51C2"/>
    <w:rsid w:val="0CE618DF"/>
    <w:rsid w:val="0CFE707A"/>
    <w:rsid w:val="0D063BDA"/>
    <w:rsid w:val="0D08375F"/>
    <w:rsid w:val="0D184CFB"/>
    <w:rsid w:val="0D4A7419"/>
    <w:rsid w:val="0D827401"/>
    <w:rsid w:val="0D84094E"/>
    <w:rsid w:val="0D8A00E9"/>
    <w:rsid w:val="0D8D589E"/>
    <w:rsid w:val="0DA01C73"/>
    <w:rsid w:val="0DA675E9"/>
    <w:rsid w:val="0DD63300"/>
    <w:rsid w:val="0DF50604"/>
    <w:rsid w:val="0DF702FE"/>
    <w:rsid w:val="0E060E51"/>
    <w:rsid w:val="0E5604B2"/>
    <w:rsid w:val="0E6D5D79"/>
    <w:rsid w:val="0E9D0089"/>
    <w:rsid w:val="0EB803EE"/>
    <w:rsid w:val="0EE3661B"/>
    <w:rsid w:val="0EF94D4B"/>
    <w:rsid w:val="0F4958DC"/>
    <w:rsid w:val="0F515DF7"/>
    <w:rsid w:val="0F596BA8"/>
    <w:rsid w:val="0F6248D2"/>
    <w:rsid w:val="0F693536"/>
    <w:rsid w:val="0F7B0511"/>
    <w:rsid w:val="0F7B76D9"/>
    <w:rsid w:val="0F816ACD"/>
    <w:rsid w:val="0F9832DB"/>
    <w:rsid w:val="0FBF3FD2"/>
    <w:rsid w:val="0FBF7FF3"/>
    <w:rsid w:val="10464C1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B69CA"/>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B18BA"/>
    <w:rsid w:val="15762120"/>
    <w:rsid w:val="15D5787B"/>
    <w:rsid w:val="15FA1B19"/>
    <w:rsid w:val="16307A49"/>
    <w:rsid w:val="16A8729C"/>
    <w:rsid w:val="16B33777"/>
    <w:rsid w:val="16BC70A7"/>
    <w:rsid w:val="16C6339E"/>
    <w:rsid w:val="172F2D79"/>
    <w:rsid w:val="17557BEF"/>
    <w:rsid w:val="17D349C1"/>
    <w:rsid w:val="18244F26"/>
    <w:rsid w:val="1830729E"/>
    <w:rsid w:val="1870062C"/>
    <w:rsid w:val="18817102"/>
    <w:rsid w:val="18830A15"/>
    <w:rsid w:val="18852B28"/>
    <w:rsid w:val="1885330A"/>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F4BD4"/>
    <w:rsid w:val="1C88086E"/>
    <w:rsid w:val="1CF739BD"/>
    <w:rsid w:val="1D266CE1"/>
    <w:rsid w:val="1D2F75FB"/>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CD64C8"/>
    <w:rsid w:val="211116EB"/>
    <w:rsid w:val="216133FC"/>
    <w:rsid w:val="218D48F0"/>
    <w:rsid w:val="21D56769"/>
    <w:rsid w:val="21E52EF3"/>
    <w:rsid w:val="21FB5D7B"/>
    <w:rsid w:val="22015E94"/>
    <w:rsid w:val="220B1C3D"/>
    <w:rsid w:val="220F7EC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96302"/>
    <w:rsid w:val="24BE24DA"/>
    <w:rsid w:val="24CF5825"/>
    <w:rsid w:val="24D663E6"/>
    <w:rsid w:val="24D77F2B"/>
    <w:rsid w:val="252512E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60276"/>
    <w:rsid w:val="27C77F83"/>
    <w:rsid w:val="28333E1D"/>
    <w:rsid w:val="28454BD6"/>
    <w:rsid w:val="28455253"/>
    <w:rsid w:val="28551971"/>
    <w:rsid w:val="285B1C53"/>
    <w:rsid w:val="289F7086"/>
    <w:rsid w:val="28C32028"/>
    <w:rsid w:val="28CC490F"/>
    <w:rsid w:val="28DE40AA"/>
    <w:rsid w:val="28F74FF8"/>
    <w:rsid w:val="29345E77"/>
    <w:rsid w:val="294C65AD"/>
    <w:rsid w:val="297D1D83"/>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87631"/>
    <w:rsid w:val="2CE82D6F"/>
    <w:rsid w:val="2D343236"/>
    <w:rsid w:val="2D575011"/>
    <w:rsid w:val="2DD15014"/>
    <w:rsid w:val="2DF72DE4"/>
    <w:rsid w:val="2E0220AF"/>
    <w:rsid w:val="2E4B082A"/>
    <w:rsid w:val="2E5D4E86"/>
    <w:rsid w:val="2E5D790B"/>
    <w:rsid w:val="2E9A3C18"/>
    <w:rsid w:val="2EBB0FEE"/>
    <w:rsid w:val="2EC63002"/>
    <w:rsid w:val="2F0A6B38"/>
    <w:rsid w:val="2F5B602D"/>
    <w:rsid w:val="2F8D6403"/>
    <w:rsid w:val="2F946CCB"/>
    <w:rsid w:val="2FD25781"/>
    <w:rsid w:val="2FDC745C"/>
    <w:rsid w:val="2FFD7934"/>
    <w:rsid w:val="30733ACD"/>
    <w:rsid w:val="308C3862"/>
    <w:rsid w:val="309379D8"/>
    <w:rsid w:val="309A110F"/>
    <w:rsid w:val="30A270F7"/>
    <w:rsid w:val="30AB78D2"/>
    <w:rsid w:val="30DF1478"/>
    <w:rsid w:val="30EC586F"/>
    <w:rsid w:val="319C6071"/>
    <w:rsid w:val="31AC537E"/>
    <w:rsid w:val="31E3679B"/>
    <w:rsid w:val="31E732FD"/>
    <w:rsid w:val="32517576"/>
    <w:rsid w:val="32BE5C2C"/>
    <w:rsid w:val="32FB6478"/>
    <w:rsid w:val="33263B3F"/>
    <w:rsid w:val="336963EB"/>
    <w:rsid w:val="33816EEB"/>
    <w:rsid w:val="33A15FD9"/>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B1C1C"/>
    <w:rsid w:val="36A74ADA"/>
    <w:rsid w:val="36AD60D5"/>
    <w:rsid w:val="36B224F9"/>
    <w:rsid w:val="36EC0CC9"/>
    <w:rsid w:val="37023232"/>
    <w:rsid w:val="373F410B"/>
    <w:rsid w:val="37EE7094"/>
    <w:rsid w:val="38086A4C"/>
    <w:rsid w:val="38296C89"/>
    <w:rsid w:val="383002EB"/>
    <w:rsid w:val="38586797"/>
    <w:rsid w:val="385D15DF"/>
    <w:rsid w:val="388A7983"/>
    <w:rsid w:val="38BC0149"/>
    <w:rsid w:val="38D87D1C"/>
    <w:rsid w:val="39636459"/>
    <w:rsid w:val="396B7F6C"/>
    <w:rsid w:val="39B417A9"/>
    <w:rsid w:val="39FC5695"/>
    <w:rsid w:val="3A006D8E"/>
    <w:rsid w:val="3A3651E5"/>
    <w:rsid w:val="3A744481"/>
    <w:rsid w:val="3A8C7BEF"/>
    <w:rsid w:val="3A906246"/>
    <w:rsid w:val="3B037579"/>
    <w:rsid w:val="3B2349B7"/>
    <w:rsid w:val="3B24105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562F9"/>
    <w:rsid w:val="449101DD"/>
    <w:rsid w:val="44DE1391"/>
    <w:rsid w:val="451B225C"/>
    <w:rsid w:val="452410C9"/>
    <w:rsid w:val="45317DFB"/>
    <w:rsid w:val="456D3CE4"/>
    <w:rsid w:val="4579042C"/>
    <w:rsid w:val="457F0571"/>
    <w:rsid w:val="45851176"/>
    <w:rsid w:val="45C63B94"/>
    <w:rsid w:val="45E05087"/>
    <w:rsid w:val="460E7DA5"/>
    <w:rsid w:val="46422483"/>
    <w:rsid w:val="4659254A"/>
    <w:rsid w:val="465B0637"/>
    <w:rsid w:val="465E3F0D"/>
    <w:rsid w:val="466A16E6"/>
    <w:rsid w:val="46893F2B"/>
    <w:rsid w:val="46C4686E"/>
    <w:rsid w:val="475140C4"/>
    <w:rsid w:val="477B5067"/>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B2C69"/>
    <w:rsid w:val="49B64211"/>
    <w:rsid w:val="49F6167F"/>
    <w:rsid w:val="4A064FA0"/>
    <w:rsid w:val="4A16615C"/>
    <w:rsid w:val="4A4424D7"/>
    <w:rsid w:val="4AB82D0F"/>
    <w:rsid w:val="4AEB7664"/>
    <w:rsid w:val="4AFD7C19"/>
    <w:rsid w:val="4B0567D1"/>
    <w:rsid w:val="4B236AAE"/>
    <w:rsid w:val="4B415A6A"/>
    <w:rsid w:val="4B707271"/>
    <w:rsid w:val="4B9739F7"/>
    <w:rsid w:val="4BEE2503"/>
    <w:rsid w:val="4C245A30"/>
    <w:rsid w:val="4CB6685F"/>
    <w:rsid w:val="4CC367FE"/>
    <w:rsid w:val="4D077F3C"/>
    <w:rsid w:val="4D123355"/>
    <w:rsid w:val="4D1F7EB7"/>
    <w:rsid w:val="4D2A3B31"/>
    <w:rsid w:val="4D312C52"/>
    <w:rsid w:val="4D905305"/>
    <w:rsid w:val="4D964A72"/>
    <w:rsid w:val="4D9C1254"/>
    <w:rsid w:val="4DC70853"/>
    <w:rsid w:val="4DD76C11"/>
    <w:rsid w:val="4E793892"/>
    <w:rsid w:val="4E800872"/>
    <w:rsid w:val="4EC569ED"/>
    <w:rsid w:val="4ED50EA1"/>
    <w:rsid w:val="4EEC050C"/>
    <w:rsid w:val="4F104EC3"/>
    <w:rsid w:val="4F47354A"/>
    <w:rsid w:val="4F654D1C"/>
    <w:rsid w:val="4F911C54"/>
    <w:rsid w:val="4FE625E0"/>
    <w:rsid w:val="5021480F"/>
    <w:rsid w:val="508868D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267F6"/>
    <w:rsid w:val="53544462"/>
    <w:rsid w:val="5397158E"/>
    <w:rsid w:val="5400572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B234B"/>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C4144"/>
    <w:rsid w:val="5A6D33BA"/>
    <w:rsid w:val="5A792B1F"/>
    <w:rsid w:val="5A874767"/>
    <w:rsid w:val="5A8A0DD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35044"/>
    <w:rsid w:val="5E4A7017"/>
    <w:rsid w:val="5E552BBA"/>
    <w:rsid w:val="5E611C10"/>
    <w:rsid w:val="5E7A0F3F"/>
    <w:rsid w:val="5EFC7377"/>
    <w:rsid w:val="5F06174D"/>
    <w:rsid w:val="5F3A3602"/>
    <w:rsid w:val="5F45733B"/>
    <w:rsid w:val="5F575D49"/>
    <w:rsid w:val="5F6277C6"/>
    <w:rsid w:val="5F6D0B1D"/>
    <w:rsid w:val="5F8D0B82"/>
    <w:rsid w:val="5FCC5339"/>
    <w:rsid w:val="5FE34A5B"/>
    <w:rsid w:val="5FFE1E36"/>
    <w:rsid w:val="60097D62"/>
    <w:rsid w:val="60232584"/>
    <w:rsid w:val="6039180B"/>
    <w:rsid w:val="607330CE"/>
    <w:rsid w:val="60825176"/>
    <w:rsid w:val="609F2AC4"/>
    <w:rsid w:val="609F7ADD"/>
    <w:rsid w:val="60FA2EE8"/>
    <w:rsid w:val="61054A27"/>
    <w:rsid w:val="610A52BC"/>
    <w:rsid w:val="611D2366"/>
    <w:rsid w:val="61421856"/>
    <w:rsid w:val="615227C4"/>
    <w:rsid w:val="61654E3F"/>
    <w:rsid w:val="617050B9"/>
    <w:rsid w:val="6182292A"/>
    <w:rsid w:val="619C7C5C"/>
    <w:rsid w:val="619F7F92"/>
    <w:rsid w:val="61B67834"/>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46C6E"/>
    <w:rsid w:val="648B6EEF"/>
    <w:rsid w:val="64C158BF"/>
    <w:rsid w:val="64CE2EAA"/>
    <w:rsid w:val="653C3090"/>
    <w:rsid w:val="65854376"/>
    <w:rsid w:val="658767BE"/>
    <w:rsid w:val="65892531"/>
    <w:rsid w:val="659E6C3B"/>
    <w:rsid w:val="66195831"/>
    <w:rsid w:val="662E75B1"/>
    <w:rsid w:val="66342C2E"/>
    <w:rsid w:val="663E784C"/>
    <w:rsid w:val="66461CFB"/>
    <w:rsid w:val="666F4242"/>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4DB0"/>
    <w:rsid w:val="69C91F59"/>
    <w:rsid w:val="69CC2BFF"/>
    <w:rsid w:val="69FD55B8"/>
    <w:rsid w:val="6A0B1C62"/>
    <w:rsid w:val="6A2406C8"/>
    <w:rsid w:val="6ACA09A4"/>
    <w:rsid w:val="6ADE0BD1"/>
    <w:rsid w:val="6AE96859"/>
    <w:rsid w:val="6AEA5EDC"/>
    <w:rsid w:val="6B147746"/>
    <w:rsid w:val="6B24787C"/>
    <w:rsid w:val="6B573233"/>
    <w:rsid w:val="6B5B6274"/>
    <w:rsid w:val="6B935D53"/>
    <w:rsid w:val="6C144ACC"/>
    <w:rsid w:val="6C196F71"/>
    <w:rsid w:val="6C226FCB"/>
    <w:rsid w:val="6C31226F"/>
    <w:rsid w:val="6C552F0B"/>
    <w:rsid w:val="6C8C67B7"/>
    <w:rsid w:val="6C9D744C"/>
    <w:rsid w:val="6D167928"/>
    <w:rsid w:val="6D26299B"/>
    <w:rsid w:val="6D4772EC"/>
    <w:rsid w:val="6D817CBB"/>
    <w:rsid w:val="6D9078AF"/>
    <w:rsid w:val="6D9C4731"/>
    <w:rsid w:val="6DAA3FEF"/>
    <w:rsid w:val="6DC0172B"/>
    <w:rsid w:val="6DCB690C"/>
    <w:rsid w:val="6DD41A5B"/>
    <w:rsid w:val="6DF43C2E"/>
    <w:rsid w:val="6DF51CA3"/>
    <w:rsid w:val="6E8335BD"/>
    <w:rsid w:val="6E8E12EF"/>
    <w:rsid w:val="6E942EBF"/>
    <w:rsid w:val="6E972936"/>
    <w:rsid w:val="6ED446C5"/>
    <w:rsid w:val="6F2A7D94"/>
    <w:rsid w:val="6F8331F1"/>
    <w:rsid w:val="6F912DCA"/>
    <w:rsid w:val="6FAE1A09"/>
    <w:rsid w:val="6FD75BF8"/>
    <w:rsid w:val="70271626"/>
    <w:rsid w:val="707723D0"/>
    <w:rsid w:val="70B75966"/>
    <w:rsid w:val="70F5661B"/>
    <w:rsid w:val="71360107"/>
    <w:rsid w:val="713B688E"/>
    <w:rsid w:val="71641E18"/>
    <w:rsid w:val="71D43752"/>
    <w:rsid w:val="71F1796A"/>
    <w:rsid w:val="72154626"/>
    <w:rsid w:val="72262B5D"/>
    <w:rsid w:val="72283FF7"/>
    <w:rsid w:val="722E7212"/>
    <w:rsid w:val="723A0474"/>
    <w:rsid w:val="725923E4"/>
    <w:rsid w:val="72864BF7"/>
    <w:rsid w:val="729023FC"/>
    <w:rsid w:val="729356D6"/>
    <w:rsid w:val="732740AD"/>
    <w:rsid w:val="73C0646E"/>
    <w:rsid w:val="742222F5"/>
    <w:rsid w:val="742E4179"/>
    <w:rsid w:val="74476126"/>
    <w:rsid w:val="74706664"/>
    <w:rsid w:val="747F3682"/>
    <w:rsid w:val="749C4185"/>
    <w:rsid w:val="74AE3837"/>
    <w:rsid w:val="74C50E20"/>
    <w:rsid w:val="75067759"/>
    <w:rsid w:val="751002F7"/>
    <w:rsid w:val="752E6DCD"/>
    <w:rsid w:val="7551380D"/>
    <w:rsid w:val="755D2FF1"/>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F02E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44652"/>
    <w:rsid w:val="7DB57A34"/>
    <w:rsid w:val="7DE60973"/>
    <w:rsid w:val="7DEF0916"/>
    <w:rsid w:val="7E1E5218"/>
    <w:rsid w:val="7E7933A7"/>
    <w:rsid w:val="7E9A4E1F"/>
    <w:rsid w:val="7EA7723A"/>
    <w:rsid w:val="7EC65EC0"/>
    <w:rsid w:val="7EF56FBB"/>
    <w:rsid w:val="7F0768EB"/>
    <w:rsid w:val="7F143BEC"/>
    <w:rsid w:val="7F715AF2"/>
    <w:rsid w:val="7F886E69"/>
    <w:rsid w:val="7FD1086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5"/>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1 Char"/>
    <w:link w:val="3"/>
    <w:qFormat/>
    <w:uiPriority w:val="9"/>
    <w:rPr>
      <w:b/>
      <w:bCs/>
      <w:kern w:val="44"/>
      <w:sz w:val="44"/>
      <w:szCs w:val="44"/>
    </w:rPr>
  </w:style>
  <w:style w:type="character" w:customStyle="1" w:styleId="82">
    <w:name w:val="标题 2 Char"/>
    <w:qFormat/>
    <w:uiPriority w:val="0"/>
    <w:rPr>
      <w:rFonts w:ascii="Arial" w:hAnsi="Arial" w:eastAsia="黑体"/>
      <w:b/>
      <w:kern w:val="2"/>
      <w:sz w:val="32"/>
      <w:lang w:val="en-US" w:eastAsia="zh-CN"/>
    </w:rPr>
  </w:style>
  <w:style w:type="paragraph" w:customStyle="1" w:styleId="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4">
    <w:name w:val="*正文"/>
    <w:basedOn w:val="1"/>
    <w:next w:val="1"/>
    <w:link w:val="88"/>
    <w:qFormat/>
    <w:uiPriority w:val="0"/>
    <w:pPr>
      <w:snapToGrid w:val="0"/>
      <w:spacing w:line="360" w:lineRule="auto"/>
      <w:ind w:firstLine="482"/>
      <w:jc w:val="left"/>
    </w:pPr>
    <w:rPr>
      <w:rFonts w:ascii="宋体" w:hAnsi="宋体"/>
      <w:kern w:val="0"/>
      <w:sz w:val="24"/>
      <w:szCs w:val="20"/>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4"/>
    <w:qFormat/>
    <w:locked/>
    <w:uiPriority w:val="0"/>
    <w:rPr>
      <w:rFonts w:ascii="宋体" w:hAnsi="宋体"/>
      <w:sz w:val="24"/>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21"/>
    <w:basedOn w:val="70"/>
    <w:qFormat/>
    <w:uiPriority w:val="0"/>
    <w:rPr>
      <w:rFonts w:hint="default" w:ascii="Times New Roman" w:hAnsi="Times New Roman" w:cs="Times New Roman"/>
      <w:color w:val="000000"/>
      <w:sz w:val="28"/>
      <w:szCs w:val="28"/>
      <w:u w:val="none"/>
    </w:rPr>
  </w:style>
  <w:style w:type="character" w:customStyle="1" w:styleId="965">
    <w:name w:val="font131"/>
    <w:basedOn w:val="70"/>
    <w:qFormat/>
    <w:uiPriority w:val="0"/>
    <w:rPr>
      <w:rFonts w:ascii="Arial" w:hAnsi="Arial" w:cs="Arial"/>
      <w:color w:val="000000"/>
      <w:sz w:val="28"/>
      <w:szCs w:val="28"/>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36191</Words>
  <Characters>38357</Characters>
  <Lines>279</Lines>
  <Paragraphs>78</Paragraphs>
  <TotalTime>9</TotalTime>
  <ScaleCrop>false</ScaleCrop>
  <LinksUpToDate>false</LinksUpToDate>
  <CharactersWithSpaces>43664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大梁</cp:lastModifiedBy>
  <cp:lastPrinted>2021-12-27T11:06:00Z</cp:lastPrinted>
  <dcterms:modified xsi:type="dcterms:W3CDTF">2023-07-12T08:14:17Z</dcterms:modified>
  <cp:revision>342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046FBC49F793472B8B238035537CB06C</vt:lpwstr>
  </property>
</Properties>
</file>