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adjustRightInd/>
        <w:spacing w:line="360" w:lineRule="auto"/>
        <w:jc w:val="center"/>
        <w:rPr>
          <w:rFonts w:ascii="仿宋" w:hAnsi="仿宋" w:eastAsia="仿宋" w:cs="仿宋_GB2312"/>
          <w:b/>
          <w:color w:val="auto"/>
          <w:sz w:val="44"/>
          <w:szCs w:val="44"/>
          <w:highlight w:val="none"/>
        </w:rPr>
      </w:pPr>
      <w:r>
        <w:rPr>
          <w:rFonts w:hint="eastAsia" w:ascii="仿宋" w:hAnsi="仿宋" w:eastAsia="仿宋" w:cs="仿宋_GB2312"/>
          <w:b/>
          <w:color w:val="auto"/>
          <w:sz w:val="44"/>
          <w:szCs w:val="44"/>
          <w:highlight w:val="none"/>
        </w:rPr>
        <w:t>良渚街道市民客厅四至六楼运营服务项目</w:t>
      </w:r>
    </w:p>
    <w:p>
      <w:pPr>
        <w:spacing w:line="360" w:lineRule="auto"/>
        <w:jc w:val="center"/>
        <w:rPr>
          <w:rFonts w:ascii="仿宋" w:hAnsi="仿宋" w:eastAsia="仿宋" w:cs="仿宋_GB2312"/>
          <w:b/>
          <w:color w:val="auto"/>
          <w:sz w:val="44"/>
          <w:szCs w:val="44"/>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（项目编号：HZHSCG2022-015）</w:t>
      </w:r>
    </w:p>
    <w:p>
      <w:pPr>
        <w:tabs>
          <w:tab w:val="left" w:pos="5553"/>
        </w:tabs>
        <w:snapToGrid w:val="0"/>
        <w:spacing w:line="360" w:lineRule="auto"/>
        <w:jc w:val="left"/>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lang w:eastAsia="zh-CN"/>
        </w:rPr>
        <w:tab/>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adjustRightInd w:val="0"/>
        <w:snapToGrid w:val="0"/>
        <w:spacing w:line="360" w:lineRule="auto"/>
        <w:jc w:val="center"/>
        <w:rPr>
          <w:rFonts w:hint="eastAsia" w:ascii="宋体" w:hAnsi="宋体" w:cs="宋体"/>
          <w:b/>
          <w:color w:val="auto"/>
          <w:sz w:val="36"/>
          <w:szCs w:val="36"/>
          <w:highlight w:val="none"/>
          <w:lang w:eastAsia="zh-CN"/>
        </w:rPr>
      </w:pPr>
      <w:r>
        <w:rPr>
          <w:rFonts w:hint="eastAsia" w:ascii="宋体" w:hAnsi="宋体" w:cs="宋体"/>
          <w:b/>
          <w:color w:val="auto"/>
          <w:sz w:val="36"/>
          <w:szCs w:val="36"/>
          <w:highlight w:val="none"/>
        </w:rPr>
        <w:t>采购人：</w:t>
      </w:r>
      <w:r>
        <w:rPr>
          <w:rFonts w:hint="eastAsia" w:ascii="宋体" w:hAnsi="宋体" w:cs="宋体"/>
          <w:b/>
          <w:color w:val="auto"/>
          <w:sz w:val="36"/>
          <w:szCs w:val="36"/>
          <w:highlight w:val="none"/>
          <w:lang w:eastAsia="zh-CN"/>
        </w:rPr>
        <w:t xml:space="preserve">杭州市余杭区人民政府良渚街道办事处 </w:t>
      </w:r>
    </w:p>
    <w:p>
      <w:pPr>
        <w:adjustRightInd w:val="0"/>
        <w:snapToGrid w:val="0"/>
        <w:spacing w:line="360" w:lineRule="auto"/>
        <w:jc w:val="center"/>
        <w:rPr>
          <w:rFonts w:hint="eastAsia" w:ascii="宋体" w:hAnsi="宋体" w:cs="宋体"/>
          <w:bCs/>
          <w:color w:val="auto"/>
          <w:sz w:val="28"/>
          <w:szCs w:val="28"/>
          <w:highlight w:val="none"/>
        </w:rPr>
      </w:pPr>
      <w:r>
        <w:rPr>
          <w:rFonts w:hint="eastAsia" w:ascii="宋体" w:hAnsi="宋体" w:cs="宋体"/>
          <w:b/>
          <w:color w:val="auto"/>
          <w:sz w:val="36"/>
          <w:szCs w:val="36"/>
          <w:highlight w:val="none"/>
        </w:rPr>
        <w:t>采购代理机构：</w:t>
      </w:r>
      <w:r>
        <w:rPr>
          <w:rFonts w:hint="eastAsia" w:ascii="宋体" w:hAnsi="宋体" w:cs="宋体"/>
          <w:b/>
          <w:color w:val="auto"/>
          <w:sz w:val="36"/>
          <w:szCs w:val="36"/>
          <w:highlight w:val="none"/>
          <w:lang w:eastAsia="zh-CN"/>
        </w:rPr>
        <w:t>杭州华厦建筑咨询有限公司</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仿宋_GB2312" w:hAnsi="仿宋_GB2312" w:eastAsia="仿宋_GB2312" w:cs="仿宋_GB2312"/>
          <w:bCs/>
          <w:color w:val="auto"/>
          <w:sz w:val="32"/>
          <w:szCs w:val="32"/>
          <w:highlight w:val="none"/>
          <w:lang w:val="en-US" w:eastAsia="zh-CN"/>
        </w:rPr>
        <w:t>二</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八</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 xml:space="preserve"> </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lang w:eastAsia="zh-CN"/>
        </w:rPr>
        <w:t>良渚街道市民客厅四至六楼运营服务项目</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HYPERLINK "https://www.zcygov.cn/）获取（下载）招标文件，并于2021年" </w:instrText>
      </w:r>
      <w:r>
        <w:rPr>
          <w:color w:val="auto"/>
          <w:highlight w:val="none"/>
        </w:rPr>
        <w:fldChar w:fldCharType="separate"/>
      </w:r>
      <w:r>
        <w:rPr>
          <w:rStyle w:val="78"/>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 xml:space="preserve">  26</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color w:val="auto"/>
          <w:highlight w:val="non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p>
    <w:p>
      <w:pPr>
        <w:spacing w:line="360" w:lineRule="auto"/>
        <w:rPr>
          <w:rFonts w:hint="eastAsia"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olor w:val="auto"/>
          <w:sz w:val="24"/>
          <w:highlight w:val="none"/>
        </w:rPr>
        <w:t>（采购编号）</w:t>
      </w:r>
      <w:r>
        <w:rPr>
          <w:rFonts w:hint="eastAsia" w:ascii="仿宋_GB2312" w:hAnsi="仿宋" w:eastAsia="仿宋_GB2312"/>
          <w:color w:val="auto"/>
          <w:sz w:val="24"/>
          <w:highlight w:val="none"/>
          <w:lang w:eastAsia="zh-CN"/>
        </w:rPr>
        <w:t>HZHSCG2022-015</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w:t>
      </w:r>
      <w:r>
        <w:rPr>
          <w:rFonts w:hint="eastAsia" w:ascii="仿宋_GB2312" w:hAnsi="仿宋" w:eastAsia="仿宋_GB2312"/>
          <w:b/>
          <w:color w:val="auto"/>
          <w:sz w:val="24"/>
          <w:highlight w:val="none"/>
          <w:lang w:val="en-US" w:eastAsia="zh-CN"/>
        </w:rPr>
        <w:t>项目名称</w:t>
      </w:r>
      <w:r>
        <w:rPr>
          <w:rFonts w:ascii="仿宋_GB2312" w:hAnsi="仿宋" w:eastAsia="仿宋_GB2312"/>
          <w:b/>
          <w:color w:val="auto"/>
          <w:sz w:val="24"/>
          <w:highlight w:val="none"/>
        </w:rPr>
        <w:t>：</w:t>
      </w:r>
      <w:r>
        <w:rPr>
          <w:rFonts w:hint="eastAsia" w:ascii="仿宋_GB2312" w:hAnsi="仿宋" w:eastAsia="仿宋_GB2312" w:cs="仿宋_GB2312"/>
          <w:color w:val="auto"/>
          <w:sz w:val="24"/>
          <w:highlight w:val="none"/>
          <w:lang w:eastAsia="zh-CN"/>
        </w:rPr>
        <w:t>良渚街道市民客厅四至六楼运营服务项目</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ascii="仿宋_GB2312" w:hAnsi="仿宋" w:eastAsia="仿宋_GB2312"/>
          <w:b/>
          <w:color w:val="auto"/>
          <w:sz w:val="24"/>
          <w:highlight w:val="none"/>
        </w:rPr>
        <w:t xml:space="preserve"> 预算金额（元）：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1000000</w:t>
      </w:r>
    </w:p>
    <w:p>
      <w:pPr>
        <w:wordWrap/>
        <w:adjustRightInd w:val="0"/>
        <w:snapToGrid w:val="0"/>
        <w:spacing w:line="360" w:lineRule="auto"/>
        <w:ind w:firstLine="482" w:firstLineChars="200"/>
        <w:textAlignment w:val="auto"/>
        <w:rPr>
          <w:rFonts w:hint="eastAsia"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1000000</w:t>
      </w:r>
    </w:p>
    <w:p>
      <w:pPr>
        <w:wordWrap/>
        <w:adjustRightInd w:val="0"/>
        <w:snapToGrid w:val="0"/>
        <w:spacing w:line="360" w:lineRule="auto"/>
        <w:ind w:firstLine="482" w:firstLineChars="200"/>
        <w:textAlignment w:val="auto"/>
        <w:rPr>
          <w:rFonts w:ascii="仿宋_GB2312" w:hAnsi="仿宋" w:eastAsia="仿宋_GB2312"/>
          <w:bCs/>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color w:val="auto"/>
          <w:kern w:val="2"/>
          <w:sz w:val="24"/>
          <w:szCs w:val="24"/>
          <w:highlight w:val="none"/>
          <w:lang w:eastAsia="zh-CN"/>
        </w:rPr>
        <w:t>良渚街道市民客厅四至六楼运营服务项目</w:t>
      </w:r>
      <w:r>
        <w:rPr>
          <w:rFonts w:ascii="仿宋_GB2312" w:hAnsi="仿宋" w:eastAsia="仿宋_GB2312"/>
          <w:bCs/>
          <w:color w:val="auto"/>
          <w:kern w:val="2"/>
          <w:sz w:val="24"/>
          <w:szCs w:val="24"/>
          <w:highlight w:val="none"/>
        </w:rPr>
        <w:t>。</w:t>
      </w:r>
      <w:r>
        <w:rPr>
          <w:rFonts w:hint="eastAsia" w:ascii="仿宋_GB2312" w:hAnsi="仿宋" w:eastAsia="仿宋_GB2312"/>
          <w:bCs/>
          <w:color w:val="auto"/>
          <w:kern w:val="2"/>
          <w:sz w:val="24"/>
          <w:szCs w:val="24"/>
          <w:highlight w:val="none"/>
        </w:rPr>
        <w:t>详见招标文件第三部分采购需求。</w:t>
      </w:r>
    </w:p>
    <w:p>
      <w:pPr>
        <w:pStyle w:val="88"/>
        <w:ind w:firstLine="482"/>
        <w:outlineLvl w:val="2"/>
        <w:rPr>
          <w:rFonts w:ascii="仿宋_GB2312" w:hAnsi="仿宋" w:eastAsia="仿宋_GB2312"/>
          <w:color w:val="auto"/>
          <w:highlight w:val="none"/>
        </w:rPr>
      </w:pPr>
      <w:r>
        <w:rPr>
          <w:rFonts w:hint="eastAsia" w:ascii="仿宋_GB2312" w:hAnsi="仿宋" w:eastAsia="仿宋_GB2312"/>
          <w:b/>
          <w:color w:val="auto"/>
          <w:highlight w:val="none"/>
        </w:rPr>
        <w:t>合同履约期</w:t>
      </w:r>
      <w:r>
        <w:rPr>
          <w:rFonts w:hint="eastAsia" w:ascii="仿宋_GB2312" w:hAnsi="仿宋" w:eastAsia="仿宋_GB2312"/>
          <w:b/>
          <w:color w:val="auto"/>
          <w:highlight w:val="none"/>
        </w:rPr>
        <w:t>限：</w:t>
      </w:r>
      <w:r>
        <w:rPr>
          <w:rFonts w:hint="eastAsia" w:ascii="仿宋_GB2312" w:hAnsi="仿宋" w:eastAsia="仿宋_GB2312"/>
          <w:b/>
          <w:color w:val="auto"/>
          <w:highlight w:val="none"/>
          <w:lang w:eastAsia="zh-CN"/>
        </w:rPr>
        <w:t>一年</w:t>
      </w:r>
    </w:p>
    <w:p>
      <w:pPr>
        <w:pStyle w:val="5"/>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color w:val="auto"/>
          <w:kern w:val="0"/>
          <w:sz w:val="24"/>
          <w:highlight w:val="none"/>
        </w:rPr>
        <w:sym w:font="Wingdings" w:char="00FE"/>
      </w:r>
      <w:r>
        <w:rPr>
          <w:rFonts w:hint="eastAsia" w:ascii="仿宋_GB2312" w:hAnsi="仿宋" w:eastAsia="仿宋_GB2312"/>
          <w:b/>
          <w:color w:val="auto"/>
          <w:sz w:val="24"/>
          <w:highlight w:val="none"/>
        </w:rPr>
        <w:t>是，</w:t>
      </w:r>
      <w:r>
        <w:rPr>
          <w:rFonts w:ascii="MS Gothic" w:hAnsi="MS Gothic" w:eastAsia="MS Gothic" w:cs="Arial"/>
          <w:color w:val="auto"/>
          <w:kern w:val="0"/>
          <w:sz w:val="24"/>
          <w:highlight w:val="none"/>
        </w:rPr>
        <w:sym w:font="Wingdings" w:char="00A8"/>
      </w:r>
      <w:r>
        <w:rPr>
          <w:rFonts w:hint="eastAsia" w:ascii="仿宋_GB2312" w:hAnsi="仿宋" w:eastAsia="仿宋_GB2312"/>
          <w:b/>
          <w:color w:val="auto"/>
          <w:sz w:val="24"/>
          <w:highlight w:val="none"/>
        </w:rPr>
        <w:t>否</w:t>
      </w:r>
      <w:r>
        <w:rPr>
          <w:rFonts w:hint="eastAsia" w:ascii="宋体" w:hAnsi="宋体" w:eastAsia="宋体" w:cs="Arial"/>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00A8"/>
      </w:r>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F0FE"/>
      </w:r>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rFonts w:ascii="仿宋_GB2312" w:hAnsi="仿宋" w:eastAsia="仿宋_GB2312"/>
          <w:color w:val="auto"/>
          <w:sz w:val="24"/>
          <w:highlight w:val="none"/>
        </w:rPr>
      </w:pPr>
      <w:r>
        <w:rPr>
          <w:rFonts w:ascii="MS Gothic" w:hAnsi="MS Gothic" w:eastAsia="MS Gothic" w:cs="Arial"/>
          <w:color w:val="auto"/>
          <w:kern w:val="0"/>
          <w:sz w:val="24"/>
          <w:highlight w:val="none"/>
        </w:rPr>
        <w:sym w:font="Wingdings" w:char="F0FE"/>
      </w:r>
      <w:r>
        <w:rPr>
          <w:rFonts w:hint="eastAsia" w:ascii="仿宋_GB2312" w:hAnsi="仿宋" w:eastAsia="仿宋_GB2312"/>
          <w:color w:val="auto"/>
          <w:sz w:val="24"/>
          <w:highlight w:val="none"/>
        </w:rPr>
        <w:t>服务全部由符合政策要求的小微企业承接，提供中小企业声明函；</w:t>
      </w:r>
    </w:p>
    <w:p>
      <w:pPr>
        <w:rPr>
          <w:color w:val="auto"/>
          <w:highlight w:val="none"/>
        </w:rPr>
      </w:pPr>
    </w:p>
    <w:p>
      <w:pPr>
        <w:spacing w:line="360" w:lineRule="auto"/>
        <w:ind w:firstLine="480" w:firstLineChars="200"/>
        <w:rPr>
          <w:rFonts w:ascii="仿宋" w:hAnsi="仿宋" w:eastAsia="仿宋"/>
          <w:color w:val="auto"/>
          <w:sz w:val="24"/>
          <w:highlight w:val="none"/>
        </w:rPr>
      </w:pPr>
      <w:r>
        <w:rPr>
          <w:rFonts w:ascii="MS Gothic" w:hAnsi="MS Gothic" w:eastAsia="仿宋_GB2312" w:cs="Arial"/>
          <w:color w:val="auto"/>
          <w:kern w:val="0"/>
          <w:sz w:val="24"/>
          <w:highlight w:val="none"/>
        </w:rPr>
        <w:t>☐</w:t>
      </w:r>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MS Gothic" w:hAnsi="MS Gothic" w:eastAsia="仿宋_GB2312" w:cs="Arial"/>
          <w:color w:val="auto"/>
          <w:kern w:val="0"/>
          <w:sz w:val="24"/>
          <w:highlight w:val="none"/>
        </w:rPr>
        <w:t>☐</w:t>
      </w:r>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3.本项目的特定资格要求</w:t>
      </w:r>
      <w:r>
        <w:rPr>
          <w:rFonts w:hint="eastAsia" w:ascii="仿宋_GB2312" w:hAnsi="仿宋" w:eastAsia="仿宋_GB2312"/>
          <w:color w:val="auto"/>
          <w:sz w:val="24"/>
          <w:highlight w:val="none"/>
          <w:lang w:eastAsia="zh-CN"/>
        </w:rPr>
        <w:t>：无</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4.</w:t>
      </w:r>
      <w:r>
        <w:rPr>
          <w:rFonts w:hint="eastAsia" w:ascii="仿宋_GB2312" w:hAnsi="仿宋" w:eastAsia="仿宋_GB2312"/>
          <w:color w:val="auto"/>
          <w:sz w:val="24"/>
          <w:highlight w:val="none"/>
        </w:rPr>
        <w:t>单位负责人为同一人或者存在直接控股、管理关系的不同供应商，不得参加同一合同项下的政府采购活动；</w:t>
      </w:r>
      <w:r>
        <w:rPr>
          <w:rFonts w:ascii="仿宋_GB2312" w:hAnsi="仿宋" w:eastAsia="仿宋_GB2312" w:cs="仿宋_GB2312"/>
          <w:color w:val="auto"/>
          <w:sz w:val="24"/>
          <w:highlight w:val="none"/>
        </w:rPr>
        <w:t>为采购项目提供整体设计、规范编制或者项目管理、监理、检测等服务后</w:t>
      </w:r>
      <w:r>
        <w:rPr>
          <w:rFonts w:hint="eastAsia" w:ascii="仿宋_GB2312" w:hAnsi="仿宋" w:eastAsia="仿宋_GB2312" w:cs="仿宋_GB2312"/>
          <w:color w:val="auto"/>
          <w:sz w:val="24"/>
          <w:highlight w:val="none"/>
        </w:rPr>
        <w:t>不得</w:t>
      </w:r>
      <w:r>
        <w:rPr>
          <w:rFonts w:ascii="仿宋_GB2312" w:hAnsi="仿宋" w:eastAsia="仿宋_GB2312" w:cs="仿宋_GB2312"/>
          <w:color w:val="auto"/>
          <w:sz w:val="24"/>
          <w:highlight w:val="none"/>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w:t>
      </w:r>
      <w:r>
        <w:rPr>
          <w:rFonts w:hint="eastAsia" w:ascii="仿宋_GB2312" w:hAnsi="仿宋" w:eastAsia="仿宋_GB2312"/>
          <w:b/>
          <w:color w:val="auto"/>
          <w:sz w:val="24"/>
          <w:highlight w:val="none"/>
        </w:rPr>
        <w:t>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lang w:val="en-US" w:eastAsia="zh-CN"/>
        </w:rPr>
        <w:t>2022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26</w:t>
      </w:r>
      <w:r>
        <w:rPr>
          <w:rFonts w:ascii="仿宋_GB2312" w:hAnsi="仿宋" w:eastAsia="仿宋_GB2312"/>
          <w:color w:val="auto"/>
          <w:sz w:val="24"/>
          <w:highlight w:val="none"/>
          <w:u w:val="single"/>
        </w:rPr>
        <w:t>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lang w:val="en-US" w:eastAsia="zh-CN"/>
        </w:rPr>
        <w:t>获取网址</w:t>
      </w:r>
      <w:r>
        <w:rPr>
          <w:rFonts w:hint="eastAsia" w:ascii="仿宋_GB2312" w:hAnsi="仿宋" w:eastAsia="仿宋_GB2312"/>
          <w:b/>
          <w:color w:val="auto"/>
          <w:sz w:val="24"/>
          <w:highlight w:val="none"/>
        </w:rPr>
        <w:t>：</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26</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r>
        <w:rPr>
          <w:rFonts w:hint="eastAsia" w:ascii="仿宋_GB2312" w:hAnsi="仿宋" w:eastAsia="仿宋_GB2312"/>
          <w:color w:val="auto"/>
          <w:sz w:val="24"/>
          <w:highlight w:val="none"/>
        </w:rPr>
        <w:t>（北京时间）</w:t>
      </w:r>
    </w:p>
    <w:p>
      <w:pPr>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lang w:val="en-US" w:eastAsia="zh-CN"/>
        </w:rPr>
        <w:t>投标网址：</w:t>
      </w:r>
      <w:r>
        <w:rPr>
          <w:rFonts w:hint="eastAsia" w:ascii="仿宋_GB2312" w:hAnsi="仿宋" w:eastAsia="仿宋_GB2312"/>
          <w:color w:val="auto"/>
          <w:sz w:val="24"/>
          <w:highlight w:val="none"/>
          <w:lang w:val="en-US"/>
        </w:rPr>
        <w:t>政采云平台</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2</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8</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26</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开标网址：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hint="eastAsia" w:ascii="宋体" w:hAnsi="宋体" w:cs="宋体"/>
          <w:b/>
          <w:bCs/>
          <w:color w:val="auto"/>
          <w:sz w:val="28"/>
          <w:highlight w:val="none"/>
        </w:rPr>
      </w:pPr>
      <w:r>
        <w:rPr>
          <w:rFonts w:hint="eastAsia" w:ascii="仿宋_GB2312" w:hAnsi="仿宋" w:eastAsia="仿宋_GB2312"/>
          <w:b/>
          <w:color w:val="auto"/>
          <w:sz w:val="24"/>
          <w:highlight w:val="none"/>
          <w:lang w:val="en-US" w:eastAsia="zh-CN"/>
        </w:rPr>
        <w:t xml:space="preserve">    注：</w:t>
      </w:r>
      <w:r>
        <w:rPr>
          <w:rFonts w:hint="eastAsia" w:ascii="仿宋_GB2312" w:hAnsi="仿宋" w:eastAsia="仿宋_GB2312" w:cs="Times New Roman"/>
          <w:b w:val="0"/>
          <w:bCs w:val="0"/>
          <w:color w:val="auto"/>
          <w:sz w:val="24"/>
          <w:highlight w:val="none"/>
          <w:lang w:eastAsia="zh-CN"/>
        </w:rPr>
        <w:t>杭州华厦建筑咨询有限公司</w:t>
      </w:r>
      <w:r>
        <w:rPr>
          <w:rFonts w:hint="default" w:ascii="仿宋_GB2312" w:hAnsi="仿宋" w:eastAsia="仿宋_GB2312" w:cs="Times New Roman"/>
          <w:b w:val="0"/>
          <w:bCs w:val="0"/>
          <w:color w:val="auto"/>
          <w:sz w:val="24"/>
          <w:highlight w:val="none"/>
          <w:lang w:eastAsia="zh-CN"/>
        </w:rPr>
        <w:t>（</w:t>
      </w:r>
      <w:r>
        <w:rPr>
          <w:rFonts w:hint="default" w:ascii="仿宋_GB2312" w:hAnsi="仿宋" w:eastAsia="仿宋_GB2312" w:cs="Times New Roman"/>
          <w:color w:val="auto"/>
          <w:sz w:val="24"/>
          <w:highlight w:val="none"/>
        </w:rPr>
        <w:t>杭州市余杭区瓶窑镇瓶仓大道966号2号楼506室</w:t>
      </w:r>
      <w:r>
        <w:rPr>
          <w:rFonts w:hint="default" w:ascii="仿宋_GB2312" w:hAnsi="仿宋" w:eastAsia="仿宋_GB2312" w:cs="Times New Roman"/>
          <w:b w:val="0"/>
          <w:bCs w:val="0"/>
          <w:color w:val="auto"/>
          <w:sz w:val="24"/>
          <w:highlight w:val="none"/>
          <w:lang w:eastAsia="zh-CN"/>
        </w:rPr>
        <w:t>）</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r>
        <w:rPr>
          <w:rFonts w:ascii="仿宋_GB2312" w:hAnsi="仿宋" w:eastAsia="仿宋_GB2312"/>
          <w:b/>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highlight w:val="none"/>
        </w:rPr>
        <w:t>作出答复的，可以在答复期满后十五个工作日内向同级政府采购监督管理部门投诉。质疑函范本、投诉书范本请到浙江政府采购网下载专区下载。</w:t>
      </w:r>
    </w:p>
    <w:p>
      <w:pPr>
        <w:pStyle w:val="3"/>
        <w:tabs>
          <w:tab w:val="left" w:pos="0"/>
          <w:tab w:val="clear" w:pos="432"/>
        </w:tabs>
        <w:ind w:left="12" w:leftChars="0" w:hanging="12" w:firstLineChars="0"/>
        <w:rPr>
          <w:rFonts w:ascii="仿宋" w:hAnsi="仿宋" w:eastAsia="仿宋" w:cs="仿宋_GB2312"/>
          <w:color w:val="auto"/>
          <w:sz w:val="24"/>
          <w:highlight w:val="none"/>
        </w:rPr>
      </w:pPr>
      <w:r>
        <w:rPr>
          <w:rFonts w:hint="eastAsia"/>
          <w:color w:val="auto"/>
          <w:sz w:val="24"/>
          <w:highlight w:val="none"/>
          <w:lang w:val="en-US" w:eastAsia="zh-CN"/>
        </w:rPr>
        <w:t xml:space="preserve">    </w:t>
      </w:r>
      <w:r>
        <w:rPr>
          <w:rFonts w:hint="eastAsia" w:ascii="仿宋_GB2312" w:hAnsi="仿宋" w:eastAsia="仿宋_GB2312"/>
          <w:color w:val="auto"/>
          <w:sz w:val="24"/>
          <w:highlight w:val="none"/>
        </w:rPr>
        <w:t>2.其他事项：（1）需要落实的政府采购政策：包括节约资源、保护环境、支持创新、促进中小企业发展等。详见招标文件的第二部分总则。（2）</w:t>
      </w:r>
      <w:r>
        <w:rPr>
          <w:rFonts w:ascii="仿宋_GB2312" w:hAnsi="仿宋" w:eastAsia="仿宋_GB2312"/>
          <w:color w:val="auto"/>
          <w:sz w:val="24"/>
          <w:highlight w:val="none"/>
        </w:rPr>
        <w:t>电子招投标的说明：</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投标文件的传输递交：投标人在投标截止时间前将加密的投标文件上传至政府采购云平台，还可以在投标截止时间前直接提交备份投标文件1份</w:t>
      </w:r>
      <w:r>
        <w:rPr>
          <w:rFonts w:hint="eastAsia" w:cs="仿宋_GB2312"/>
          <w:color w:val="auto"/>
          <w:sz w:val="24"/>
          <w:highlight w:val="none"/>
          <w:lang w:val="en-US" w:eastAsia="zh-CN"/>
        </w:rPr>
        <w:t>至</w:t>
      </w:r>
      <w:r>
        <w:rPr>
          <w:rFonts w:hint="eastAsia" w:ascii="仿宋_GB2312" w:hAnsi="仿宋" w:eastAsia="仿宋_GB2312" w:cs="仿宋_GB2312"/>
          <w:color w:val="auto"/>
          <w:sz w:val="24"/>
          <w:szCs w:val="24"/>
          <w:highlight w:val="none"/>
          <w:lang w:val="en-US" w:eastAsia="zh-CN"/>
        </w:rPr>
        <w:t>至</w:t>
      </w:r>
      <w:r>
        <w:rPr>
          <w:rFonts w:hint="eastAsia" w:cs="仿宋_GB2312"/>
          <w:color w:val="auto"/>
          <w:sz w:val="24"/>
          <w:szCs w:val="24"/>
          <w:highlight w:val="none"/>
          <w:lang w:val="en-US" w:eastAsia="zh-CN"/>
        </w:rPr>
        <w:t>杭州华厦建筑咨询有限公司</w:t>
      </w:r>
      <w:r>
        <w:rPr>
          <w:rFonts w:ascii="仿宋_GB2312" w:hAnsi="仿宋" w:eastAsia="仿宋_GB2312" w:cs="仿宋_GB2312"/>
          <w:color w:val="auto"/>
          <w:sz w:val="24"/>
          <w:highlight w:val="none"/>
        </w:rPr>
        <w:t>。备份投标文件的制作、存储、密封详见招标文件第二部分第15点—“备份投标文件”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 xml:space="preserve">杭州市余杭区人民政府良渚街道办事处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 w:hAnsi="仿宋" w:eastAsia="仿宋" w:cs="仿宋_GB2312"/>
          <w:color w:val="auto"/>
          <w:sz w:val="24"/>
          <w:highlight w:val="none"/>
          <w:lang w:val="en-US" w:eastAsia="zh-CN"/>
        </w:rPr>
        <w:t xml:space="preserve"> </w:t>
      </w:r>
      <w:r>
        <w:rPr>
          <w:rFonts w:ascii="仿宋_GB2312" w:hAnsi="仿宋" w:eastAsia="仿宋_GB2312"/>
          <w:color w:val="auto"/>
          <w:sz w:val="24"/>
          <w:highlight w:val="none"/>
        </w:rPr>
        <w:t xml:space="preserve">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lang w:eastAsia="zh-CN"/>
        </w:rPr>
        <w:t>徐盼昀</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 xml:space="preserve"> </w:t>
      </w:r>
      <w:r>
        <w:rPr>
          <w:rFonts w:ascii="Chinese Quote" w:hAnsi="Chinese Quote" w:eastAsia="Chinese Quote" w:cs="Chinese Quote"/>
          <w:i w:val="0"/>
          <w:caps w:val="0"/>
          <w:color w:val="595959"/>
          <w:spacing w:val="0"/>
          <w:sz w:val="21"/>
          <w:szCs w:val="21"/>
          <w:shd w:val="clear" w:color="auto" w:fill="FFFFFF"/>
        </w:rPr>
        <w:t> </w:t>
      </w:r>
      <w:r>
        <w:rPr>
          <w:rFonts w:hint="default" w:ascii="仿宋_GB2312" w:hAnsi="仿宋" w:eastAsia="仿宋_GB2312" w:cs="Times New Roman"/>
          <w:i w:val="0"/>
          <w:caps w:val="0"/>
          <w:color w:val="auto"/>
          <w:spacing w:val="0"/>
          <w:sz w:val="24"/>
          <w:szCs w:val="24"/>
          <w:shd w:val="clear" w:color="auto" w:fill="auto"/>
        </w:rPr>
        <w:t>15757176307</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val="en-US" w:eastAsia="zh-CN"/>
        </w:rPr>
        <w:t xml:space="preserve"> </w:t>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lang w:eastAsia="zh-CN"/>
        </w:rPr>
        <w:t>宋继峰</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0571-88778309</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称：</w:t>
      </w:r>
      <w:r>
        <w:rPr>
          <w:rFonts w:hint="eastAsia" w:ascii="仿宋_GB2312" w:hAnsi="仿宋" w:eastAsia="仿宋_GB2312"/>
          <w:color w:val="auto"/>
          <w:sz w:val="24"/>
          <w:highlight w:val="none"/>
          <w:lang w:eastAsia="zh-CN"/>
        </w:rPr>
        <w:t>杭州华厦建筑咨询有限公司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址：杭州市余杭区瓶窑镇瓶仓大道966号2号楼506室</w:t>
      </w:r>
      <w:r>
        <w:rPr>
          <w:rFonts w:hint="eastAsia" w:ascii="仿宋" w:hAnsi="仿宋" w:eastAsia="仿宋"/>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 w:hAnsi="仿宋" w:eastAsia="仿宋"/>
          <w:color w:val="auto"/>
          <w:sz w:val="24"/>
          <w:highlight w:val="none"/>
        </w:rPr>
        <w:t xml:space="preserve"> </w:t>
      </w:r>
      <w:r>
        <w:rPr>
          <w:rFonts w:hint="eastAsia" w:ascii="仿宋_GB2312" w:hAnsi="仿宋" w:eastAsia="仿宋_GB2312"/>
          <w:color w:val="auto"/>
          <w:sz w:val="24"/>
          <w:highlight w:val="none"/>
          <w:lang w:val="en-US" w:eastAsia="zh-CN"/>
        </w:rPr>
        <w:t>梁雨清</w:t>
      </w:r>
      <w:r>
        <w:rPr>
          <w:rFonts w:ascii="仿宋_GB2312" w:hAnsi="仿宋" w:eastAsia="仿宋_GB2312"/>
          <w:color w:val="auto"/>
          <w:sz w:val="24"/>
          <w:highlight w:val="none"/>
        </w:rPr>
        <w:t xml:space="preserve"> </w:t>
      </w:r>
    </w:p>
    <w:p>
      <w:pPr>
        <w:spacing w:line="360" w:lineRule="auto"/>
        <w:rPr>
          <w:rFonts w:hint="default" w:ascii="仿宋_GB2312" w:hAnsi="仿宋" w:eastAsia="仿宋_GB2312"/>
          <w:color w:val="auto"/>
          <w:sz w:val="24"/>
          <w:highlight w:val="none"/>
          <w:lang w:val="en-US"/>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13616517085</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lang w:val="en-US" w:eastAsia="zh-CN"/>
        </w:rPr>
        <w:t>李云婷</w:t>
      </w:r>
      <w:r>
        <w:rPr>
          <w:rFonts w:ascii="仿宋_GB2312" w:hAnsi="仿宋" w:eastAsia="仿宋_GB2312"/>
          <w:color w:val="auto"/>
          <w:sz w:val="24"/>
          <w:highlight w:val="none"/>
        </w:rPr>
        <w:t xml:space="preserve">            </w:t>
      </w:r>
    </w:p>
    <w:p>
      <w:pPr>
        <w:spacing w:line="360" w:lineRule="auto"/>
        <w:rPr>
          <w:rFonts w:hint="default" w:ascii="仿宋" w:hAnsi="仿宋" w:eastAsia="仿宋"/>
          <w:color w:val="auto"/>
          <w:sz w:val="24"/>
          <w:highlight w:val="none"/>
          <w:lang w:val="en-US"/>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lang w:val="en-US" w:eastAsia="zh-CN"/>
        </w:rPr>
        <w:t>0571-89089909</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w:t>
      </w:r>
      <w:r>
        <w:rPr>
          <w:rFonts w:hint="eastAsia" w:ascii="仿宋" w:hAnsi="仿宋" w:eastAsia="仿宋" w:cs="仿宋"/>
          <w:color w:val="auto"/>
          <w:sz w:val="24"/>
          <w:highlight w:val="none"/>
          <w:lang w:eastAsia="zh-CN"/>
        </w:rPr>
        <w:t>余杭</w:t>
      </w:r>
      <w:r>
        <w:rPr>
          <w:rFonts w:hint="eastAsia" w:ascii="仿宋" w:hAnsi="仿宋" w:eastAsia="仿宋" w:cs="仿宋"/>
          <w:color w:val="auto"/>
          <w:sz w:val="24"/>
          <w:highlight w:val="none"/>
        </w:rPr>
        <w:t xml:space="preserve">区财政局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址：杭州市余杭区五常街道溪沁路8号中国电信浙江创新园1号楼</w:t>
      </w:r>
    </w:p>
    <w:p>
      <w:pPr>
        <w:spacing w:line="36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传    真： </w:t>
      </w:r>
      <w:r>
        <w:rPr>
          <w:rFonts w:hint="eastAsia" w:ascii="仿宋" w:hAnsi="仿宋" w:eastAsia="仿宋" w:cs="仿宋"/>
          <w:color w:val="auto"/>
          <w:sz w:val="24"/>
          <w:highlight w:val="none"/>
          <w:lang w:val="en-US" w:eastAsia="zh-CN"/>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w:t>
      </w:r>
      <w:r>
        <w:rPr>
          <w:rFonts w:hint="eastAsia" w:ascii="仿宋" w:hAnsi="仿宋" w:eastAsia="仿宋" w:cs="仿宋"/>
          <w:color w:val="auto"/>
          <w:sz w:val="24"/>
          <w:highlight w:val="none"/>
          <w:lang w:val="en-US" w:eastAsia="zh-CN"/>
        </w:rPr>
        <w:t>杜国强</w:t>
      </w:r>
      <w:r>
        <w:rPr>
          <w:rFonts w:hint="eastAsia" w:ascii="仿宋" w:hAnsi="仿宋" w:eastAsia="仿宋" w:cs="仿宋"/>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 w:hAnsi="仿宋" w:eastAsia="仿宋" w:cs="仿宋"/>
          <w:color w:val="auto"/>
          <w:sz w:val="24"/>
          <w:highlight w:val="none"/>
        </w:rPr>
        <w:t xml:space="preserve">监督投诉电话：0571-88728858    </w:t>
      </w:r>
      <w:r>
        <w:rPr>
          <w:rFonts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pStyle w:val="35"/>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_GB2312" w:hAnsi="仿宋" w:eastAsia="仿宋_GB2312" w:cs="仿宋_GB2312"/>
                <w:color w:val="auto"/>
                <w:kern w:val="0"/>
                <w:sz w:val="24"/>
                <w:szCs w:val="20"/>
                <w:highlight w:val="none"/>
                <w:lang w:val="zh-CN"/>
              </w:rPr>
            </w:pPr>
            <w:r>
              <w:rPr>
                <w:rFonts w:hint="eastAsia" w:ascii="仿宋_GB2312" w:hAnsi="仿宋" w:eastAsia="仿宋_GB2312" w:cs="Times New Roman"/>
                <w:color w:val="auto"/>
                <w:kern w:val="0"/>
                <w:sz w:val="24"/>
                <w:szCs w:val="20"/>
                <w:highlight w:val="none"/>
                <w:lang w:val="zh-CN"/>
              </w:rPr>
              <w:t>有关本项目实施所需的所有费用（含税费）均计入报价。</w:t>
            </w:r>
            <w:r>
              <w:rPr>
                <w:rFonts w:hint="eastAsia" w:ascii="仿宋_GB2312" w:hAnsi="仿宋" w:eastAsia="仿宋_GB2312" w:cs="仿宋_GB2312"/>
                <w:color w:val="auto"/>
                <w:sz w:val="24"/>
                <w:szCs w:val="20"/>
                <w:highlight w:val="none"/>
              </w:rPr>
              <w:t>开标一览表（报价表）</w:t>
            </w:r>
            <w:r>
              <w:rPr>
                <w:rFonts w:hint="eastAsia" w:ascii="仿宋_GB2312" w:hAnsi="仿宋" w:eastAsia="仿宋_GB2312" w:cs="Times New Roman"/>
                <w:color w:val="auto"/>
                <w:sz w:val="24"/>
                <w:szCs w:val="20"/>
                <w:highlight w:val="none"/>
              </w:rPr>
              <w:t>是报价的唯一载体</w:t>
            </w:r>
            <w:r>
              <w:rPr>
                <w:rFonts w:hint="eastAsia" w:ascii="仿宋_GB2312" w:hAnsi="仿宋" w:eastAsia="仿宋_GB2312" w:cs="仿宋_GB2312"/>
                <w:color w:val="auto"/>
                <w:kern w:val="0"/>
                <w:sz w:val="24"/>
                <w:szCs w:val="20"/>
                <w:highlight w:val="none"/>
                <w:lang w:val="zh-CN"/>
              </w:rPr>
              <w:t>。投标文件中价格全部采用人民币报价。招标文件未列明，而投标人认为必需的费用也需列入报价。</w:t>
            </w:r>
          </w:p>
          <w:p>
            <w:pPr>
              <w:spacing w:before="0" w:beforeAutospacing="0" w:after="0" w:afterAutospacing="0" w:line="360" w:lineRule="auto"/>
              <w:ind w:left="0" w:right="0" w:firstLine="241" w:firstLineChars="100"/>
              <w:rPr>
                <w:rFonts w:hint="default" w:ascii="仿宋_GB2312" w:hAnsi="仿宋" w:eastAsia="仿宋_GB2312" w:cs="Times New Roman"/>
                <w:color w:val="auto"/>
                <w:sz w:val="24"/>
                <w:szCs w:val="20"/>
                <w:highlight w:val="none"/>
                <w:lang w:val="en-US" w:eastAsia="zh-CN"/>
              </w:rPr>
            </w:pPr>
            <w:r>
              <w:rPr>
                <w:rFonts w:hint="eastAsia"/>
                <w:b/>
                <w:bCs/>
                <w:color w:val="auto"/>
                <w:sz w:val="24"/>
                <w:szCs w:val="32"/>
              </w:rPr>
              <w:t>报价特别说明：中标人</w:t>
            </w:r>
            <w:r>
              <w:rPr>
                <w:rFonts w:hint="eastAsia"/>
                <w:b/>
                <w:bCs/>
                <w:color w:val="auto"/>
                <w:sz w:val="24"/>
                <w:szCs w:val="32"/>
                <w:lang w:val="en-US" w:eastAsia="zh-CN"/>
              </w:rPr>
              <w:t>报价</w:t>
            </w:r>
            <w:r>
              <w:rPr>
                <w:rFonts w:hint="eastAsia"/>
                <w:b/>
                <w:bCs/>
                <w:color w:val="auto"/>
                <w:sz w:val="24"/>
                <w:szCs w:val="32"/>
              </w:rPr>
              <w:t>统一按</w:t>
            </w:r>
            <w:r>
              <w:rPr>
                <w:rFonts w:hint="eastAsia"/>
                <w:b/>
                <w:bCs/>
                <w:color w:val="auto"/>
                <w:sz w:val="24"/>
                <w:szCs w:val="32"/>
                <w:lang w:eastAsia="zh-CN"/>
              </w:rPr>
              <w:t>1</w:t>
            </w:r>
            <w:r>
              <w:rPr>
                <w:rFonts w:hint="eastAsia"/>
                <w:b/>
                <w:bCs/>
                <w:color w:val="auto"/>
                <w:sz w:val="24"/>
                <w:szCs w:val="32"/>
                <w:lang w:val="en-US" w:eastAsia="zh-CN"/>
              </w:rPr>
              <w:t>00万元</w:t>
            </w:r>
            <w:r>
              <w:rPr>
                <w:rFonts w:hint="eastAsia"/>
                <w:b/>
                <w:bCs/>
                <w:color w:val="auto"/>
                <w:sz w:val="24"/>
                <w:szCs w:val="32"/>
              </w:rPr>
              <w:t>，如投标人报价文件报价未</w:t>
            </w:r>
            <w:r>
              <w:rPr>
                <w:rFonts w:hint="eastAsia"/>
                <w:b/>
                <w:bCs/>
                <w:color w:val="auto"/>
                <w:sz w:val="24"/>
                <w:szCs w:val="32"/>
                <w:lang w:val="en-US" w:eastAsia="zh-CN"/>
              </w:rPr>
              <w:t>按</w:t>
            </w:r>
            <w:r>
              <w:rPr>
                <w:rFonts w:hint="eastAsia"/>
                <w:b/>
                <w:bCs/>
                <w:color w:val="auto"/>
                <w:sz w:val="24"/>
                <w:szCs w:val="32"/>
                <w:lang w:eastAsia="zh-CN"/>
              </w:rPr>
              <w:t>1</w:t>
            </w:r>
            <w:r>
              <w:rPr>
                <w:rFonts w:hint="eastAsia"/>
                <w:b/>
                <w:bCs/>
                <w:color w:val="auto"/>
                <w:sz w:val="24"/>
                <w:szCs w:val="32"/>
                <w:lang w:val="en-US" w:eastAsia="zh-CN"/>
              </w:rPr>
              <w:t>00万元</w:t>
            </w:r>
            <w:r>
              <w:rPr>
                <w:rFonts w:hint="eastAsia"/>
                <w:b/>
                <w:bCs/>
                <w:color w:val="auto"/>
                <w:sz w:val="24"/>
                <w:szCs w:val="32"/>
              </w:rPr>
              <w:t xml:space="preserve">执行的作无效标处理。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仿宋_GB2312"/>
                <w:color w:val="auto"/>
                <w:sz w:val="24"/>
                <w:szCs w:val="20"/>
                <w:highlight w:val="none"/>
              </w:rPr>
            </w:pPr>
            <w:r>
              <w:rPr>
                <w:rFonts w:hint="eastAsia" w:ascii="MS Gothic" w:hAnsi="MS Gothic" w:eastAsia="MS Gothic" w:cs="Arial"/>
                <w:color w:val="auto"/>
                <w:kern w:val="0"/>
                <w:sz w:val="24"/>
                <w:szCs w:val="20"/>
                <w:highlight w:val="none"/>
              </w:rPr>
              <w:t>☐</w:t>
            </w:r>
            <w:r>
              <w:rPr>
                <w:rFonts w:hint="eastAsia" w:ascii="仿宋_GB2312" w:hAnsi="仿宋" w:eastAsia="仿宋_GB2312" w:cs="Arial"/>
                <w:color w:val="auto"/>
                <w:kern w:val="0"/>
                <w:sz w:val="24"/>
                <w:szCs w:val="20"/>
                <w:highlight w:val="none"/>
              </w:rPr>
              <w:t xml:space="preserve"> A</w:t>
            </w:r>
            <w:r>
              <w:rPr>
                <w:rFonts w:hint="eastAsia" w:ascii="仿宋_GB2312" w:hAnsi="仿宋" w:eastAsia="仿宋_GB2312" w:cs="Times New Roman"/>
                <w:color w:val="auto"/>
                <w:sz w:val="24"/>
                <w:szCs w:val="20"/>
                <w:highlight w:val="none"/>
              </w:rPr>
              <w:t>同意将非主体、非关键性的</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工作分包。</w:t>
            </w:r>
            <w:r>
              <w:rPr>
                <w:rFonts w:hint="eastAsia" w:ascii="仿宋_GB2312" w:hAnsi="仿宋" w:eastAsia="仿宋_GB2312" w:cs="Arial"/>
                <w:color w:val="auto"/>
                <w:kern w:val="0"/>
                <w:sz w:val="24"/>
                <w:szCs w:val="20"/>
                <w:highlight w:val="none"/>
              </w:rPr>
              <w:sym w:font="Wingdings" w:char="F0FE"/>
            </w:r>
            <w:r>
              <w:rPr>
                <w:rFonts w:hint="eastAsia" w:ascii="仿宋_GB2312" w:hAnsi="仿宋" w:eastAsia="仿宋_GB2312" w:cs="Arial"/>
                <w:color w:val="auto"/>
                <w:kern w:val="0"/>
                <w:sz w:val="24"/>
                <w:szCs w:val="20"/>
                <w:highlight w:val="none"/>
              </w:rPr>
              <w:t xml:space="preserve"> B</w:t>
            </w:r>
            <w:r>
              <w:rPr>
                <w:rFonts w:hint="eastAsia" w:ascii="仿宋_GB2312" w:hAnsi="仿宋" w:eastAsia="仿宋_GB2312" w:cs="Times New Roman"/>
                <w:color w:val="auto"/>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（1）资格证明文件：见招标文件第二部分11.1。</w:t>
            </w:r>
          </w:p>
          <w:p>
            <w:pPr>
              <w:spacing w:before="0" w:beforeAutospacing="0" w:after="0" w:afterAutospacing="0" w:line="360" w:lineRule="auto"/>
              <w:ind w:left="0" w:right="0"/>
              <w:rPr>
                <w:rFonts w:hint="eastAsia" w:ascii="Arial" w:hAnsi="Arial" w:eastAsia="黑体" w:cs="Arial"/>
                <w:snapToGrid w:val="0"/>
                <w:color w:val="auto"/>
                <w:kern w:val="0"/>
                <w:sz w:val="20"/>
                <w:szCs w:val="21"/>
                <w:highlight w:val="none"/>
              </w:rPr>
            </w:pPr>
            <w:r>
              <w:rPr>
                <w:rFonts w:hint="eastAsia" w:ascii="仿宋_GB2312" w:hAnsi="仿宋" w:eastAsia="仿宋_GB2312" w:cs="Times New Roman"/>
                <w:color w:val="auto"/>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Arial"/>
                <w:color w:val="auto"/>
                <w:kern w:val="0"/>
                <w:sz w:val="24"/>
                <w:szCs w:val="20"/>
                <w:highlight w:val="none"/>
              </w:rPr>
              <w:sym w:font="Wingdings" w:char="F0FE"/>
            </w:r>
            <w:r>
              <w:rPr>
                <w:rFonts w:hint="eastAsia" w:ascii="仿宋_GB2312" w:hAnsi="仿宋" w:eastAsia="仿宋_GB2312" w:cs="Arial"/>
                <w:color w:val="auto"/>
                <w:kern w:val="0"/>
                <w:sz w:val="24"/>
                <w:szCs w:val="20"/>
                <w:highlight w:val="none"/>
              </w:rPr>
              <w:t>A</w:t>
            </w:r>
            <w:r>
              <w:rPr>
                <w:rFonts w:hint="eastAsia" w:ascii="仿宋_GB2312" w:hAnsi="仿宋" w:eastAsia="仿宋_GB2312" w:cs="Times New Roman"/>
                <w:color w:val="auto"/>
                <w:sz w:val="24"/>
                <w:szCs w:val="20"/>
                <w:highlight w:val="none"/>
              </w:rPr>
              <w:t>不组织。</w:t>
            </w:r>
          </w:p>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MS Gothic" w:hAnsi="MS Gothic" w:eastAsia="MS Gothic" w:cs="Arial"/>
                <w:color w:val="auto"/>
                <w:kern w:val="0"/>
                <w:sz w:val="24"/>
                <w:szCs w:val="20"/>
                <w:highlight w:val="none"/>
              </w:rPr>
              <w:t>☐</w:t>
            </w:r>
            <w:r>
              <w:rPr>
                <w:rFonts w:hint="eastAsia" w:ascii="仿宋_GB2312" w:hAnsi="仿宋" w:eastAsia="仿宋_GB2312" w:cs="Times New Roman"/>
                <w:color w:val="auto"/>
                <w:kern w:val="0"/>
                <w:sz w:val="24"/>
                <w:szCs w:val="20"/>
                <w:highlight w:val="none"/>
              </w:rPr>
              <w:t>B组织，</w:t>
            </w:r>
            <w:r>
              <w:rPr>
                <w:rFonts w:hint="eastAsia" w:ascii="仿宋_GB2312" w:hAnsi="仿宋" w:eastAsia="仿宋_GB2312" w:cs="Times New Roman"/>
                <w:color w:val="auto"/>
                <w:sz w:val="24"/>
                <w:szCs w:val="20"/>
                <w:highlight w:val="none"/>
              </w:rPr>
              <w:t>时间：</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,地点：</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，联系人：</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，联系方式：</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MS Gothic" w:hAnsi="MS Gothic" w:eastAsia="MS Gothic" w:cs="Arial"/>
                <w:color w:val="auto"/>
                <w:kern w:val="0"/>
                <w:sz w:val="24"/>
                <w:szCs w:val="20"/>
                <w:highlight w:val="none"/>
              </w:rPr>
              <w:sym w:font="Wingdings" w:char="F0FE"/>
            </w:r>
            <w:r>
              <w:rPr>
                <w:rFonts w:hint="eastAsia" w:ascii="仿宋_GB2312" w:hAnsi="仿宋" w:eastAsia="仿宋_GB2312" w:cs="Arial"/>
                <w:color w:val="auto"/>
                <w:kern w:val="0"/>
                <w:sz w:val="24"/>
                <w:szCs w:val="20"/>
                <w:highlight w:val="none"/>
              </w:rPr>
              <w:t>A</w:t>
            </w:r>
            <w:r>
              <w:rPr>
                <w:rFonts w:hint="eastAsia" w:ascii="仿宋_GB2312" w:hAnsi="仿宋" w:eastAsia="仿宋_GB2312" w:cs="Times New Roman"/>
                <w:color w:val="auto"/>
                <w:sz w:val="24"/>
                <w:szCs w:val="20"/>
                <w:highlight w:val="none"/>
              </w:rPr>
              <w:t>不要求提供。</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MS Gothic" w:hAnsi="MS Gothic" w:eastAsia="MS Gothic" w:cs="Arial"/>
                <w:color w:val="auto"/>
                <w:kern w:val="0"/>
                <w:sz w:val="24"/>
                <w:szCs w:val="20"/>
                <w:highlight w:val="none"/>
              </w:rPr>
              <w:t>☐</w:t>
            </w:r>
            <w:r>
              <w:rPr>
                <w:rFonts w:hint="eastAsia" w:ascii="仿宋_GB2312" w:hAnsi="仿宋" w:eastAsia="仿宋_GB2312" w:cs="Times New Roman"/>
                <w:color w:val="auto"/>
                <w:kern w:val="0"/>
                <w:sz w:val="24"/>
                <w:szCs w:val="20"/>
                <w:highlight w:val="none"/>
              </w:rPr>
              <w:t>B要求提供，</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（1）</w:t>
            </w:r>
            <w:r>
              <w:rPr>
                <w:rFonts w:hint="eastAsia" w:ascii="仿宋" w:hAnsi="仿宋" w:eastAsia="仿宋" w:cs="Times New Roman"/>
                <w:snapToGrid w:val="0"/>
                <w:color w:val="auto"/>
                <w:kern w:val="28"/>
                <w:sz w:val="24"/>
                <w:szCs w:val="20"/>
                <w:highlight w:val="none"/>
              </w:rPr>
              <w:t>样品：</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（2）</w:t>
            </w:r>
            <w:r>
              <w:rPr>
                <w:rFonts w:hint="eastAsia" w:ascii="仿宋" w:hAnsi="仿宋" w:eastAsia="仿宋" w:cs="Times New Roman"/>
                <w:snapToGrid w:val="0"/>
                <w:color w:val="auto"/>
                <w:kern w:val="28"/>
                <w:sz w:val="24"/>
                <w:szCs w:val="20"/>
                <w:highlight w:val="none"/>
              </w:rPr>
              <w:t>样品制作的标准和要求：</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（3）样品的评审方法以及评审标准</w:t>
            </w:r>
            <w:r>
              <w:rPr>
                <w:rFonts w:hint="eastAsia" w:ascii="仿宋" w:hAnsi="仿宋" w:eastAsia="仿宋" w:cs="Times New Roman"/>
                <w:snapToGrid w:val="0"/>
                <w:color w:val="auto"/>
                <w:kern w:val="28"/>
                <w:sz w:val="24"/>
                <w:szCs w:val="20"/>
                <w:highlight w:val="none"/>
              </w:rPr>
              <w:t>：详见</w:t>
            </w:r>
            <w:r>
              <w:rPr>
                <w:rFonts w:hint="eastAsia" w:ascii="仿宋_GB2312" w:hAnsi="仿宋" w:eastAsia="仿宋_GB2312" w:cs="Times New Roman"/>
                <w:color w:val="auto"/>
                <w:sz w:val="24"/>
                <w:szCs w:val="20"/>
                <w:highlight w:val="none"/>
                <w:u w:val="single"/>
              </w:rPr>
              <w:t>评标办法</w:t>
            </w:r>
            <w:r>
              <w:rPr>
                <w:rFonts w:hint="eastAsia" w:ascii="仿宋_GB2312" w:hAnsi="仿宋" w:eastAsia="仿宋_GB2312" w:cs="Times New Roman"/>
                <w:color w:val="auto"/>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（4）是否需要随样品提交检测报告：</w:t>
            </w:r>
            <w:r>
              <w:rPr>
                <w:rFonts w:hint="eastAsia" w:ascii="MS Gothic" w:hAnsi="MS Gothic" w:eastAsia="仿宋_GB2312" w:cs="Arial"/>
                <w:color w:val="auto"/>
                <w:kern w:val="0"/>
                <w:sz w:val="24"/>
                <w:szCs w:val="20"/>
                <w:highlight w:val="none"/>
              </w:rPr>
              <w:sym w:font="Wingdings" w:char="F0FE"/>
            </w:r>
            <w:r>
              <w:rPr>
                <w:rFonts w:hint="eastAsia" w:ascii="仿宋_GB2312" w:hAnsi="仿宋" w:eastAsia="仿宋_GB2312" w:cs="Times New Roman"/>
                <w:color w:val="auto"/>
                <w:kern w:val="0"/>
                <w:sz w:val="24"/>
                <w:szCs w:val="20"/>
                <w:highlight w:val="none"/>
              </w:rPr>
              <w:t>否；</w:t>
            </w:r>
            <w:r>
              <w:rPr>
                <w:rFonts w:hint="eastAsia" w:ascii="MS Gothic" w:hAnsi="MS Gothic" w:eastAsia="仿宋_GB2312" w:cs="Arial"/>
                <w:color w:val="auto"/>
                <w:kern w:val="0"/>
                <w:sz w:val="24"/>
                <w:szCs w:val="20"/>
                <w:highlight w:val="none"/>
              </w:rPr>
              <w:t>☐</w:t>
            </w:r>
            <w:r>
              <w:rPr>
                <w:rFonts w:hint="eastAsia" w:ascii="仿宋_GB2312" w:hAnsi="仿宋" w:eastAsia="仿宋_GB2312" w:cs="Times New Roman"/>
                <w:color w:val="auto"/>
                <w:kern w:val="0"/>
                <w:sz w:val="24"/>
                <w:szCs w:val="20"/>
                <w:highlight w:val="none"/>
              </w:rPr>
              <w:t>是，检测机构的要求</w:t>
            </w: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；检测内容</w:t>
            </w: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（5）提供样品的时间：</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；地点：</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；联系人</w:t>
            </w: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kern w:val="28"/>
                <w:sz w:val="24"/>
                <w:szCs w:val="20"/>
                <w:highlight w:val="none"/>
              </w:rPr>
              <w:t>联系电话：</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sz w:val="24"/>
                <w:szCs w:val="20"/>
                <w:highlight w:val="none"/>
                <w:lang w:val="en-US" w:eastAsia="zh-CN"/>
              </w:rPr>
              <w:t>6</w:t>
            </w:r>
            <w:r>
              <w:rPr>
                <w:rFonts w:hint="eastAsia" w:ascii="仿宋_GB2312" w:hAnsi="仿宋" w:eastAsia="仿宋_GB2312" w:cs="Times New Roman"/>
                <w:color w:val="auto"/>
                <w:sz w:val="24"/>
                <w:szCs w:val="20"/>
                <w:highlight w:val="none"/>
              </w:rPr>
              <w:t>）采购活动结束后，</w:t>
            </w:r>
            <w:r>
              <w:rPr>
                <w:rFonts w:hint="eastAsia" w:ascii="仿宋" w:hAnsi="仿宋" w:eastAsia="仿宋" w:cs="仿宋"/>
                <w:color w:val="auto"/>
                <w:sz w:val="24"/>
                <w:szCs w:val="20"/>
                <w:highlight w:val="none"/>
              </w:rPr>
              <w:t>未中标投标人的“样品”由投标人在中标公告结束后</w:t>
            </w:r>
            <w:r>
              <w:rPr>
                <w:rFonts w:hint="eastAsia" w:ascii="仿宋" w:hAnsi="仿宋" w:eastAsia="仿宋" w:cs="仿宋"/>
                <w:b/>
                <w:color w:val="auto"/>
                <w:sz w:val="24"/>
                <w:szCs w:val="20"/>
                <w:highlight w:val="none"/>
              </w:rPr>
              <w:t>三个工作日</w:t>
            </w:r>
            <w:r>
              <w:rPr>
                <w:rFonts w:hint="eastAsia" w:ascii="仿宋" w:hAnsi="仿宋" w:eastAsia="仿宋" w:cs="仿宋"/>
                <w:color w:val="auto"/>
                <w:sz w:val="24"/>
                <w:szCs w:val="20"/>
                <w:highlight w:val="none"/>
              </w:rPr>
              <w:t>内从采购人处自行领回，逾期采购人将不予保管；</w:t>
            </w:r>
            <w:r>
              <w:rPr>
                <w:rFonts w:hint="eastAsia" w:ascii="仿宋_GB2312" w:hAnsi="仿宋" w:eastAsia="仿宋_GB2312" w:cs="Times New Roman"/>
                <w:color w:val="auto"/>
                <w:sz w:val="24"/>
                <w:szCs w:val="20"/>
                <w:highlight w:val="none"/>
              </w:rPr>
              <w:t>对于中标人提供的样品，采购人将进行保管、封存，并作为履约验收的参考。</w:t>
            </w:r>
          </w:p>
          <w:p>
            <w:pPr>
              <w:spacing w:before="0" w:beforeAutospacing="0" w:after="0" w:afterAutospacing="0" w:line="360" w:lineRule="auto"/>
              <w:ind w:left="0" w:right="0"/>
              <w:rPr>
                <w:rFonts w:hint="eastAsia" w:ascii="仿宋_GB2312" w:hAnsi="仿宋" w:eastAsia="仿宋_GB2312" w:cs="Times New Roman"/>
                <w:b/>
                <w:color w:val="auto"/>
                <w:sz w:val="24"/>
                <w:szCs w:val="20"/>
                <w:highlight w:val="none"/>
              </w:rPr>
            </w:pPr>
            <w:r>
              <w:rPr>
                <w:rFonts w:hint="eastAsia" w:ascii="仿宋_GB2312" w:hAnsi="仿宋" w:eastAsia="仿宋_GB2312" w:cs="Times New Roman"/>
                <w:color w:val="auto"/>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Cs/>
                <w:color w:val="auto"/>
                <w:sz w:val="24"/>
                <w:szCs w:val="20"/>
                <w:highlight w:val="none"/>
              </w:rPr>
            </w:pPr>
            <w:r>
              <w:rPr>
                <w:rFonts w:hint="eastAsia" w:ascii="仿宋_GB2312" w:hAnsi="仿宋" w:eastAsia="仿宋_GB2312" w:cs="仿宋_GB2312"/>
                <w:b/>
                <w:color w:val="auto"/>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MS Gothic" w:hAnsi="MS Gothic" w:eastAsia="MS Gothic" w:cs="Arial"/>
                <w:color w:val="auto"/>
                <w:kern w:val="0"/>
                <w:sz w:val="24"/>
                <w:szCs w:val="20"/>
                <w:highlight w:val="none"/>
              </w:rPr>
              <w:sym w:font="Wingdings" w:char="F0FE"/>
            </w:r>
            <w:r>
              <w:rPr>
                <w:rFonts w:hint="eastAsia" w:ascii="仿宋_GB2312" w:hAnsi="仿宋" w:eastAsia="仿宋_GB2312" w:cs="Arial"/>
                <w:color w:val="auto"/>
                <w:kern w:val="0"/>
                <w:sz w:val="24"/>
                <w:szCs w:val="20"/>
                <w:highlight w:val="none"/>
              </w:rPr>
              <w:t>A</w:t>
            </w:r>
            <w:r>
              <w:rPr>
                <w:rFonts w:hint="eastAsia" w:ascii="仿宋_GB2312" w:hAnsi="仿宋" w:eastAsia="仿宋_GB2312" w:cs="Times New Roman"/>
                <w:color w:val="auto"/>
                <w:sz w:val="24"/>
                <w:szCs w:val="20"/>
                <w:highlight w:val="none"/>
              </w:rPr>
              <w:t>不组织。</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MS Gothic" w:hAnsi="MS Gothic" w:eastAsia="仿宋_GB2312" w:cs="Arial"/>
                <w:color w:val="auto"/>
                <w:kern w:val="0"/>
                <w:sz w:val="24"/>
                <w:szCs w:val="20"/>
                <w:highlight w:val="none"/>
              </w:rPr>
              <w:t>☐</w:t>
            </w:r>
            <w:r>
              <w:rPr>
                <w:rFonts w:hint="eastAsia" w:ascii="仿宋_GB2312" w:hAnsi="仿宋" w:eastAsia="仿宋_GB2312" w:cs="Times New Roman"/>
                <w:color w:val="auto"/>
                <w:kern w:val="0"/>
                <w:sz w:val="24"/>
                <w:szCs w:val="20"/>
                <w:highlight w:val="none"/>
              </w:rPr>
              <w:t>B组织。</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（1）在评标时安排每个投标人进行方案讲解演示。每个投标人时间不超过20分钟，讲解次序以</w:t>
            </w:r>
            <w:r>
              <w:rPr>
                <w:rFonts w:hint="eastAsia" w:ascii="仿宋_GB2312" w:hAnsi="仿宋" w:eastAsia="仿宋_GB2312" w:cs="Times New Roman"/>
                <w:color w:val="auto"/>
                <w:kern w:val="0"/>
                <w:sz w:val="24"/>
                <w:szCs w:val="20"/>
                <w:highlight w:val="none"/>
                <w:lang w:val="en-US" w:eastAsia="zh-CN"/>
              </w:rPr>
              <w:t>投标人现场抽签</w:t>
            </w:r>
            <w:r>
              <w:rPr>
                <w:rFonts w:hint="eastAsia" w:ascii="仿宋_GB2312" w:hAnsi="仿宋" w:eastAsia="仿宋_GB2312" w:cs="Times New Roman"/>
                <w:color w:val="auto"/>
                <w:kern w:val="0"/>
                <w:sz w:val="24"/>
                <w:szCs w:val="20"/>
                <w:highlight w:val="none"/>
              </w:rPr>
              <w:t>为准，讲解演示人员不超过3人。讲解演示结束后按要求解答评标委员会提问。</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（2）方案讲解演示方式：</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lang w:val="en-US" w:eastAsia="zh-CN"/>
              </w:rPr>
              <w:t xml:space="preserve">    </w:t>
            </w:r>
            <w:r>
              <w:rPr>
                <w:rFonts w:hint="eastAsia" w:ascii="仿宋_GB2312" w:hAnsi="仿宋" w:eastAsia="仿宋_GB2312" w:cs="Times New Roman"/>
                <w:color w:val="auto"/>
                <w:kern w:val="0"/>
                <w:sz w:val="24"/>
                <w:szCs w:val="20"/>
                <w:highlight w:val="none"/>
              </w:rPr>
              <w:t>交易中心现场讲解演示。现场讲解地点为</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，讲解演示所用电脑等设备由投标人自备。现场讲解演示人员进场时提供讲解人员名单（加盖公章）及身份证明，否则不得讲解演示。</w:t>
            </w:r>
          </w:p>
          <w:p>
            <w:pPr>
              <w:snapToGrid w:val="0"/>
              <w:spacing w:before="0" w:beforeAutospacing="0" w:after="0" w:afterAutospacing="0" w:line="360" w:lineRule="auto"/>
              <w:ind w:left="0" w:right="0"/>
              <w:rPr>
                <w:rFonts w:hint="eastAsia" w:ascii="仿宋_GB2312" w:hAnsi="仿宋" w:eastAsia="仿宋_GB2312" w:cs="仿宋_GB2312"/>
                <w:b/>
                <w:color w:val="auto"/>
                <w:kern w:val="0"/>
                <w:sz w:val="24"/>
                <w:szCs w:val="20"/>
                <w:highlight w:val="none"/>
                <w:lang w:val="zh-CN"/>
              </w:rPr>
            </w:pPr>
            <w:r>
              <w:rPr>
                <w:rFonts w:hint="eastAsia" w:ascii="仿宋_GB2312" w:hAnsi="仿宋" w:eastAsia="仿宋_GB2312" w:cs="Times New Roman"/>
                <w:color w:val="auto"/>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Arial"/>
                <w:color w:val="auto"/>
                <w:kern w:val="0"/>
                <w:sz w:val="24"/>
                <w:szCs w:val="20"/>
                <w:highlight w:val="none"/>
              </w:rPr>
            </w:pPr>
            <w:r>
              <w:rPr>
                <w:rFonts w:hint="eastAsia" w:ascii="仿宋_GB2312" w:hAnsi="仿宋" w:eastAsia="仿宋_GB2312" w:cs="Arial"/>
                <w:color w:val="auto"/>
                <w:kern w:val="0"/>
                <w:sz w:val="24"/>
                <w:szCs w:val="20"/>
                <w:highlight w:val="none"/>
              </w:rPr>
              <w:sym w:font="Wingdings" w:char="F0FE"/>
            </w:r>
            <w:r>
              <w:rPr>
                <w:rFonts w:hint="eastAsia" w:ascii="仿宋_GB2312" w:hAnsi="仿宋" w:eastAsia="仿宋_GB2312" w:cs="Arial"/>
                <w:color w:val="auto"/>
                <w:kern w:val="0"/>
                <w:sz w:val="24"/>
                <w:szCs w:val="20"/>
                <w:highlight w:val="none"/>
              </w:rPr>
              <w:t>本项目不允许采购进口产品。</w:t>
            </w:r>
          </w:p>
          <w:p>
            <w:pPr>
              <w:spacing w:before="0" w:beforeAutospacing="0" w:after="0" w:afterAutospacing="0" w:line="360" w:lineRule="auto"/>
              <w:ind w:left="0" w:right="0"/>
              <w:rPr>
                <w:rFonts w:hint="eastAsia" w:ascii="Times New Roman" w:hAnsi="Times New Roman" w:cs="Times New Roman"/>
                <w:color w:val="auto"/>
                <w:sz w:val="20"/>
                <w:szCs w:val="20"/>
                <w:highlight w:val="none"/>
              </w:rPr>
            </w:pPr>
            <w:r>
              <w:rPr>
                <w:rFonts w:hint="eastAsia" w:ascii="MS Gothic" w:hAnsi="MS Gothic" w:eastAsia="MS Gothic" w:cs="Arial"/>
                <w:color w:val="auto"/>
                <w:kern w:val="0"/>
                <w:sz w:val="24"/>
                <w:szCs w:val="20"/>
                <w:highlight w:val="none"/>
              </w:rPr>
              <w:t>☐</w:t>
            </w:r>
            <w:r>
              <w:rPr>
                <w:rFonts w:hint="eastAsia" w:ascii="仿宋_GB2312" w:hAnsi="仿宋" w:eastAsia="仿宋_GB2312" w:cs="Arial"/>
                <w:color w:val="auto"/>
                <w:kern w:val="0"/>
                <w:sz w:val="24"/>
                <w:szCs w:val="20"/>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MS Gothic" w:hAnsi="MS Gothic" w:eastAsia="仿宋_GB2312" w:cs="Arial"/>
                <w:color w:val="auto"/>
                <w:kern w:val="0"/>
                <w:sz w:val="24"/>
                <w:szCs w:val="20"/>
                <w:highlight w:val="none"/>
              </w:rPr>
              <w:t>☐</w:t>
            </w:r>
            <w:r>
              <w:rPr>
                <w:rFonts w:hint="eastAsia" w:ascii="仿宋_GB2312" w:hAnsi="仿宋" w:eastAsia="仿宋_GB2312" w:cs="Arial"/>
                <w:color w:val="auto"/>
                <w:kern w:val="0"/>
                <w:sz w:val="24"/>
                <w:szCs w:val="20"/>
                <w:highlight w:val="none"/>
              </w:rPr>
              <w:t>A</w:t>
            </w:r>
            <w:r>
              <w:rPr>
                <w:rFonts w:hint="eastAsia" w:ascii="仿宋_GB2312" w:hAnsi="仿宋" w:eastAsia="仿宋_GB2312" w:cs="Times New Roman"/>
                <w:color w:val="auto"/>
                <w:sz w:val="24"/>
                <w:szCs w:val="20"/>
                <w:highlight w:val="none"/>
              </w:rPr>
              <w:t>货物类，单一产品或</w:t>
            </w:r>
            <w:r>
              <w:rPr>
                <w:rFonts w:hint="eastAsia" w:ascii="仿宋_GB2312" w:hAnsi="仿宋" w:eastAsia="仿宋_GB2312" w:cs="Times New Roman"/>
                <w:color w:val="auto"/>
                <w:kern w:val="0"/>
                <w:sz w:val="24"/>
                <w:szCs w:val="20"/>
                <w:highlight w:val="none"/>
              </w:rPr>
              <w:t>核心产品为：</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MS Gothic" w:hAnsi="MS Gothic" w:eastAsia="MS Gothic" w:cs="Arial"/>
                <w:color w:val="auto"/>
                <w:kern w:val="0"/>
                <w:sz w:val="24"/>
                <w:szCs w:val="20"/>
                <w:highlight w:val="none"/>
              </w:rPr>
              <w:sym w:font="Wingdings" w:char="F0FE"/>
            </w:r>
            <w:r>
              <w:rPr>
                <w:rFonts w:hint="eastAsia" w:ascii="仿宋_GB2312" w:hAnsi="仿宋" w:eastAsia="仿宋_GB2312" w:cs="Arial"/>
                <w:color w:val="auto"/>
                <w:kern w:val="0"/>
                <w:sz w:val="24"/>
                <w:szCs w:val="20"/>
                <w:highlight w:val="none"/>
              </w:rPr>
              <w:t>B</w:t>
            </w:r>
            <w:r>
              <w:rPr>
                <w:rFonts w:hint="eastAsia" w:ascii="仿宋_GB2312" w:hAnsi="仿宋" w:eastAsia="仿宋_GB2312" w:cs="Times New Roman"/>
                <w:color w:val="auto"/>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Times New Roman" w:hAnsi="Times New Roman" w:cs="Times New Roman"/>
                <w:color w:val="auto"/>
                <w:sz w:val="20"/>
                <w:szCs w:val="20"/>
                <w:highlight w:val="none"/>
                <w:lang w:val="en-US"/>
              </w:rPr>
            </w:pPr>
            <w:r>
              <w:rPr>
                <w:rFonts w:hint="eastAsia" w:ascii="仿宋_GB2312" w:hAnsi="仿宋" w:eastAsia="仿宋_GB2312" w:cs="Arial"/>
                <w:color w:val="auto"/>
                <w:kern w:val="0"/>
                <w:sz w:val="24"/>
                <w:szCs w:val="20"/>
                <w:highlight w:val="none"/>
              </w:rPr>
              <w:t>（1）标的：</w:t>
            </w:r>
            <w:r>
              <w:rPr>
                <w:rFonts w:hint="eastAsia" w:ascii="仿宋" w:hAnsi="仿宋" w:eastAsia="仿宋" w:cs="仿宋"/>
                <w:color w:val="auto"/>
                <w:kern w:val="0"/>
                <w:sz w:val="24"/>
                <w:szCs w:val="20"/>
                <w:highlight w:val="none"/>
                <w:lang w:eastAsia="zh-CN"/>
              </w:rPr>
              <w:t>运营</w:t>
            </w:r>
            <w:r>
              <w:rPr>
                <w:rFonts w:hint="eastAsia" w:ascii="仿宋" w:hAnsi="仿宋" w:eastAsia="仿宋" w:cs="仿宋"/>
                <w:color w:val="auto"/>
                <w:kern w:val="0"/>
                <w:sz w:val="24"/>
                <w:szCs w:val="20"/>
                <w:highlight w:val="none"/>
              </w:rPr>
              <w:t>服务，属于其他未列明行业；</w:t>
            </w:r>
            <w:r>
              <w:rPr>
                <w:rFonts w:hint="eastAsia" w:ascii="仿宋" w:hAnsi="仿宋" w:eastAsia="仿宋" w:cs="仿宋"/>
                <w:color w:val="auto"/>
                <w:kern w:val="0"/>
                <w:sz w:val="24"/>
                <w:szCs w:val="20"/>
                <w:highlight w:val="none"/>
                <w:lang w:eastAsia="zh-CN"/>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Times New Roman" w:hAnsi="Times New Roman" w:eastAsia="仿宋" w:cs="Times New Roman"/>
                <w:color w:val="auto"/>
                <w:sz w:val="20"/>
                <w:szCs w:val="20"/>
                <w:highlight w:val="none"/>
              </w:rPr>
            </w:pPr>
            <w:r>
              <w:rPr>
                <w:rFonts w:hint="eastAsia" w:ascii="仿宋_GB2312" w:hAnsi="仿宋" w:eastAsia="仿宋_GB2312" w:cs="Arial"/>
                <w:color w:val="auto"/>
                <w:kern w:val="0"/>
                <w:sz w:val="24"/>
                <w:szCs w:val="20"/>
                <w:highlight w:val="none"/>
                <w:lang w:val="en-US" w:eastAsia="zh-CN"/>
              </w:rPr>
              <w:t xml:space="preserve">    </w:t>
            </w:r>
            <w:r>
              <w:rPr>
                <w:rFonts w:hint="eastAsia" w:ascii="仿宋_GB2312" w:hAnsi="仿宋" w:eastAsia="仿宋_GB2312" w:cs="Arial"/>
                <w:color w:val="auto"/>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snapToGrid w:val="0"/>
                <w:color w:val="auto"/>
                <w:kern w:val="28"/>
                <w:sz w:val="24"/>
                <w:szCs w:val="20"/>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00" w:firstLineChars="200"/>
              <w:rPr>
                <w:rFonts w:hint="eastAsia" w:ascii="Times New Roman" w:hAnsi="Times New Roman" w:cs="Times New Roman"/>
                <w:color w:val="auto"/>
                <w:sz w:val="20"/>
                <w:szCs w:val="20"/>
                <w:highlight w:val="none"/>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00" w:firstLineChars="200"/>
              <w:rPr>
                <w:rFonts w:hint="eastAsia" w:ascii="Times New Roman" w:hAnsi="Times New Roman" w:cs="Times New Roman"/>
                <w:color w:val="auto"/>
                <w:sz w:val="20"/>
                <w:szCs w:val="20"/>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_GB2312" w:hAnsi="仿宋" w:eastAsia="仿宋_GB2312" w:cs="Times New Roman"/>
                <w:snapToGrid w:val="0"/>
                <w:color w:val="auto"/>
                <w:kern w:val="28"/>
                <w:sz w:val="24"/>
                <w:szCs w:val="20"/>
                <w:highlight w:val="none"/>
              </w:rPr>
            </w:pPr>
            <w:r>
              <w:rPr>
                <w:rFonts w:hint="eastAsia" w:ascii="仿宋_GB2312" w:hAnsi="仿宋" w:eastAsia="仿宋_GB2312" w:cs="Times New Roman"/>
                <w:snapToGrid w:val="0"/>
                <w:color w:val="auto"/>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before="0" w:beforeAutospacing="0" w:after="0" w:afterAutospacing="0" w:line="360" w:lineRule="auto"/>
              <w:ind w:left="0" w:right="0"/>
              <w:rPr>
                <w:rFonts w:hint="eastAsia" w:ascii="仿宋_GB2312" w:hAnsi="仿宋" w:eastAsia="仿宋_GB2312" w:cs="仿宋_GB2312"/>
                <w:color w:val="auto"/>
                <w:sz w:val="24"/>
                <w:szCs w:val="24"/>
                <w:highlight w:val="none"/>
              </w:rPr>
            </w:pPr>
            <w:r>
              <w:rPr>
                <w:rFonts w:hint="eastAsia" w:ascii="仿宋_GB2312" w:hAnsi="仿宋" w:eastAsia="仿宋_GB2312" w:cs="Times New Roman"/>
                <w:color w:val="auto"/>
                <w:kern w:val="28"/>
                <w:sz w:val="24"/>
                <w:szCs w:val="24"/>
                <w:highlight w:val="none"/>
              </w:rPr>
              <w:t>备份投标文件送达地点：杭州市余杭区瓶窑镇瓶仓大道966号2号楼506室</w:t>
            </w:r>
            <w:r>
              <w:rPr>
                <w:rFonts w:hint="eastAsia" w:ascii="仿宋_GB2312" w:hAnsi="仿宋" w:eastAsia="仿宋_GB2312" w:cs="Times New Roman"/>
                <w:b w:val="0"/>
                <w:bCs w:val="0"/>
                <w:color w:val="auto"/>
                <w:sz w:val="24"/>
                <w:szCs w:val="20"/>
                <w:highlight w:val="none"/>
                <w:lang w:eastAsia="zh-CN"/>
              </w:rPr>
              <w:t>；</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0"/>
                <w:highlight w:val="none"/>
                <w:u w:val="single"/>
                <w:lang w:val="en-US" w:eastAsia="zh-CN"/>
              </w:rPr>
              <w:t xml:space="preserve"> 梁雨清  13616517085 </w:t>
            </w:r>
            <w:r>
              <w:rPr>
                <w:rFonts w:hint="eastAsia" w:ascii="仿宋_GB2312" w:hAnsi="仿宋" w:eastAsia="仿宋_GB2312" w:cs="仿宋_GB2312"/>
                <w:color w:val="auto"/>
                <w:sz w:val="24"/>
                <w:szCs w:val="24"/>
                <w:highlight w:val="none"/>
              </w:rPr>
              <w:t>。</w:t>
            </w:r>
          </w:p>
          <w:p>
            <w:pPr>
              <w:pStyle w:val="35"/>
              <w:spacing w:before="0" w:beforeAutospacing="0" w:after="0" w:afterAutospacing="0" w:line="360" w:lineRule="auto"/>
              <w:ind w:left="0" w:right="0"/>
              <w:rPr>
                <w:rFonts w:hint="eastAsia"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采购人、采购机构不强制或变相强制投标人提交备份投标文件。</w:t>
            </w:r>
          </w:p>
          <w:p>
            <w:pPr>
              <w:spacing w:before="0" w:beforeAutospacing="0" w:after="0" w:afterAutospacing="0" w:line="360" w:lineRule="auto"/>
              <w:ind w:left="0" w:right="0" w:firstLine="482" w:firstLineChars="200"/>
              <w:rPr>
                <w:rFonts w:hint="eastAsia" w:ascii="宋体" w:hAnsi="宋体" w:cs="Times New Roman"/>
                <w:b/>
                <w:color w:val="auto"/>
                <w:sz w:val="24"/>
                <w:szCs w:val="20"/>
                <w:highlight w:val="none"/>
              </w:rPr>
            </w:pPr>
            <w:r>
              <w:rPr>
                <w:rFonts w:hint="eastAsia" w:ascii="宋体" w:hAnsi="宋体" w:cs="Times New Roman"/>
                <w:b/>
                <w:color w:val="auto"/>
                <w:sz w:val="24"/>
                <w:szCs w:val="20"/>
                <w:highlight w:val="none"/>
              </w:rPr>
              <w:t>投标人递交以介质存储的数据电文形式的备份投标文件出现下列情况之一的，将被拒收：</w:t>
            </w:r>
          </w:p>
          <w:p>
            <w:pPr>
              <w:spacing w:before="0" w:beforeAutospacing="0" w:after="0" w:afterAutospacing="0" w:line="360" w:lineRule="auto"/>
              <w:ind w:left="0" w:right="0"/>
              <w:rPr>
                <w:rFonts w:hint="eastAsia" w:ascii="宋体" w:hAnsi="宋体" w:cs="Times New Roman"/>
                <w:b/>
                <w:color w:val="auto"/>
                <w:sz w:val="24"/>
                <w:szCs w:val="20"/>
                <w:highlight w:val="none"/>
              </w:rPr>
            </w:pPr>
            <w:r>
              <w:rPr>
                <w:rFonts w:hint="eastAsia" w:ascii="宋体" w:hAnsi="宋体" w:cs="Times New Roman"/>
                <w:b/>
                <w:color w:val="auto"/>
                <w:sz w:val="24"/>
                <w:szCs w:val="20"/>
                <w:highlight w:val="none"/>
              </w:rPr>
              <w:t>1、未按规定密封或标记的投标文件；</w:t>
            </w:r>
          </w:p>
          <w:p>
            <w:pPr>
              <w:spacing w:before="0" w:beforeAutospacing="0" w:after="0" w:afterAutospacing="0" w:line="360" w:lineRule="auto"/>
              <w:ind w:left="0" w:right="0"/>
              <w:rPr>
                <w:rFonts w:hint="eastAsia" w:ascii="宋体" w:hAnsi="宋体" w:cs="Times New Roman"/>
                <w:b/>
                <w:color w:val="auto"/>
                <w:sz w:val="24"/>
                <w:szCs w:val="20"/>
                <w:highlight w:val="none"/>
              </w:rPr>
            </w:pPr>
            <w:r>
              <w:rPr>
                <w:rFonts w:hint="eastAsia" w:ascii="宋体" w:hAnsi="宋体" w:cs="Times New Roman"/>
                <w:b/>
                <w:color w:val="auto"/>
                <w:sz w:val="24"/>
                <w:szCs w:val="20"/>
                <w:highlight w:val="none"/>
              </w:rPr>
              <w:t>2、由于包装不妥，在送交途中严重破损或失散的；</w:t>
            </w:r>
          </w:p>
          <w:p>
            <w:pPr>
              <w:spacing w:before="0" w:beforeAutospacing="0" w:after="0" w:afterAutospacing="0" w:line="360" w:lineRule="auto"/>
              <w:ind w:left="0" w:right="0"/>
              <w:rPr>
                <w:rFonts w:hint="eastAsia" w:ascii="宋体" w:hAnsi="宋体" w:cs="Times New Roman"/>
                <w:b/>
                <w:color w:val="auto"/>
                <w:sz w:val="24"/>
                <w:szCs w:val="20"/>
                <w:highlight w:val="none"/>
              </w:rPr>
            </w:pPr>
            <w:r>
              <w:rPr>
                <w:rFonts w:hint="eastAsia" w:ascii="宋体" w:hAnsi="宋体" w:cs="Times New Roman"/>
                <w:b/>
                <w:color w:val="auto"/>
                <w:sz w:val="24"/>
                <w:szCs w:val="20"/>
                <w:highlight w:val="none"/>
              </w:rPr>
              <w:t>3、未成功</w:t>
            </w:r>
            <w:r>
              <w:rPr>
                <w:rFonts w:hint="eastAsia" w:ascii="宋体" w:hAnsi="宋体" w:cs="Times New Roman"/>
                <w:b/>
                <w:color w:val="auto"/>
                <w:sz w:val="24"/>
                <w:szCs w:val="20"/>
                <w:highlight w:val="none"/>
                <w:lang w:eastAsia="zh-CN"/>
              </w:rPr>
              <w:t>获取招标文件</w:t>
            </w:r>
            <w:r>
              <w:rPr>
                <w:rFonts w:hint="eastAsia" w:ascii="宋体" w:hAnsi="宋体" w:cs="Times New Roman"/>
                <w:b/>
                <w:color w:val="auto"/>
                <w:sz w:val="24"/>
                <w:szCs w:val="20"/>
                <w:highlight w:val="none"/>
              </w:rPr>
              <w:t>的；</w:t>
            </w:r>
          </w:p>
          <w:p>
            <w:pPr>
              <w:spacing w:before="0" w:beforeAutospacing="0" w:after="0" w:afterAutospacing="0" w:line="360" w:lineRule="auto"/>
              <w:ind w:left="0" w:right="0"/>
              <w:rPr>
                <w:rFonts w:hint="eastAsia" w:ascii="宋体" w:hAnsi="宋体" w:cs="Times New Roman"/>
                <w:b/>
                <w:color w:val="auto"/>
                <w:sz w:val="24"/>
                <w:szCs w:val="20"/>
                <w:highlight w:val="none"/>
              </w:rPr>
            </w:pPr>
            <w:r>
              <w:rPr>
                <w:rFonts w:hint="eastAsia" w:ascii="宋体" w:hAnsi="宋体" w:cs="Times New Roman"/>
                <w:b/>
                <w:color w:val="auto"/>
                <w:sz w:val="24"/>
                <w:szCs w:val="20"/>
                <w:highlight w:val="none"/>
              </w:rPr>
              <w:t>4、超过投标截止时间送达的；</w:t>
            </w:r>
          </w:p>
          <w:p>
            <w:pPr>
              <w:spacing w:before="0" w:beforeAutospacing="0" w:after="0" w:afterAutospacing="0" w:line="360" w:lineRule="auto"/>
              <w:ind w:left="0" w:right="0"/>
              <w:rPr>
                <w:rFonts w:hint="eastAsia" w:ascii="宋体" w:hAnsi="宋体" w:cs="Times New Roman"/>
                <w:b/>
                <w:color w:val="auto"/>
                <w:sz w:val="24"/>
                <w:szCs w:val="20"/>
                <w:highlight w:val="none"/>
              </w:rPr>
            </w:pPr>
            <w:r>
              <w:rPr>
                <w:rFonts w:hint="eastAsia" w:ascii="宋体" w:hAnsi="宋体" w:cs="Times New Roman"/>
                <w:b/>
                <w:color w:val="auto"/>
                <w:sz w:val="24"/>
                <w:szCs w:val="20"/>
                <w:highlight w:val="none"/>
              </w:rPr>
              <w:t>5、以介质存储的数据电文形式的备份投标文件，未采用DVD光盘形式提供的。</w:t>
            </w:r>
          </w:p>
          <w:p>
            <w:pPr>
              <w:pStyle w:val="35"/>
              <w:spacing w:before="0" w:beforeAutospacing="0" w:after="0" w:afterAutospacing="0" w:line="360" w:lineRule="auto"/>
              <w:ind w:left="0" w:right="0"/>
              <w:rPr>
                <w:rFonts w:hint="eastAsia" w:ascii="仿宋_GB2312" w:hAnsi="仿宋" w:eastAsia="仿宋_GB2312" w:cs="仿宋_GB2312"/>
                <w:b/>
                <w:color w:val="auto"/>
                <w:sz w:val="24"/>
                <w:szCs w:val="24"/>
                <w:highlight w:val="none"/>
              </w:rPr>
            </w:pPr>
            <w:r>
              <w:rPr>
                <w:rFonts w:hint="eastAsia" w:ascii="宋体" w:hAnsi="宋体" w:cs="Times New Roman"/>
                <w:b/>
                <w:color w:val="auto"/>
                <w:sz w:val="24"/>
                <w:szCs w:val="20"/>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snapToGrid w:val="0"/>
                <w:color w:val="auto"/>
                <w:kern w:val="28"/>
                <w:sz w:val="24"/>
                <w:szCs w:val="20"/>
                <w:highlight w:val="none"/>
              </w:rPr>
            </w:pPr>
            <w:r>
              <w:rPr>
                <w:rFonts w:hint="eastAsia" w:ascii="仿宋_GB2312" w:hAnsi="仿宋" w:eastAsia="仿宋_GB2312" w:cs="Times New Roman"/>
                <w:snapToGrid w:val="0"/>
                <w:color w:val="auto"/>
                <w:kern w:val="28"/>
                <w:sz w:val="24"/>
                <w:szCs w:val="20"/>
                <w:highlight w:val="none"/>
              </w:rPr>
              <w:t>无</w:t>
            </w:r>
            <w:r>
              <w:rPr>
                <w:rFonts w:hint="eastAsia" w:ascii="仿宋_GB2312" w:hAnsi="仿宋" w:eastAsia="仿宋_GB2312" w:cs="宋体"/>
                <w:b/>
                <w:color w:val="auto"/>
                <w:kern w:val="0"/>
                <w:sz w:val="24"/>
                <w:szCs w:val="20"/>
                <w:highlight w:val="none"/>
              </w:rPr>
              <w:t>。</w:t>
            </w:r>
          </w:p>
        </w:tc>
      </w:tr>
      <w:bookmarkEnd w:id="1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pacing w:before="0" w:beforeAutospacing="0" w:after="0" w:afterAutospacing="0" w:line="360" w:lineRule="auto"/>
              <w:ind w:left="0" w:right="0" w:firstLine="480" w:firstLineChars="200"/>
              <w:rPr>
                <w:rFonts w:hint="eastAsia" w:ascii="仿宋_GB2312" w:hAnsi="仿宋" w:eastAsia="仿宋_GB2312" w:cs="Times New Roman"/>
                <w:snapToGrid w:val="0"/>
                <w:color w:val="auto"/>
                <w:kern w:val="28"/>
                <w:sz w:val="24"/>
                <w:szCs w:val="20"/>
                <w:highlight w:val="none"/>
                <w:lang w:val="en-US" w:eastAsia="zh-CN"/>
              </w:rPr>
            </w:pPr>
            <w:bookmarkStart w:id="11" w:name="第三部分"/>
            <w:bookmarkStart w:id="12" w:name="_Toc164416483"/>
          </w:p>
          <w:p>
            <w:pPr>
              <w:spacing w:before="0" w:beforeAutospacing="0" w:after="0" w:afterAutospacing="0" w:line="360" w:lineRule="auto"/>
              <w:ind w:left="0" w:right="0" w:firstLine="240" w:firstLineChars="100"/>
              <w:rPr>
                <w:rFonts w:hint="eastAsia" w:ascii="仿宋_GB2312" w:hAnsi="仿宋" w:eastAsia="仿宋_GB2312" w:cs="Times New Roman"/>
                <w:snapToGrid w:val="0"/>
                <w:color w:val="auto"/>
                <w:kern w:val="28"/>
                <w:sz w:val="24"/>
                <w:szCs w:val="20"/>
                <w:highlight w:val="none"/>
                <w:lang w:val="en-US" w:eastAsia="zh-CN"/>
              </w:rPr>
            </w:pPr>
            <w:r>
              <w:rPr>
                <w:rFonts w:hint="eastAsia" w:ascii="仿宋_GB2312" w:hAnsi="仿宋" w:eastAsia="仿宋_GB2312" w:cs="Times New Roman"/>
                <w:snapToGrid w:val="0"/>
                <w:color w:val="auto"/>
                <w:kern w:val="28"/>
                <w:sz w:val="24"/>
                <w:szCs w:val="20"/>
                <w:highlight w:val="none"/>
                <w:lang w:val="en-US" w:eastAsia="zh-CN"/>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_GB2312" w:hAnsi="仿宋" w:eastAsia="仿宋_GB2312" w:cs="Times New Roman"/>
                <w:snapToGrid w:val="0"/>
                <w:color w:val="auto"/>
                <w:kern w:val="28"/>
                <w:sz w:val="24"/>
                <w:szCs w:val="20"/>
                <w:highlight w:val="none"/>
                <w:lang w:eastAsia="zh-CN"/>
              </w:rPr>
            </w:pPr>
            <w:r>
              <w:rPr>
                <w:rFonts w:hint="eastAsia" w:ascii="仿宋_GB2312" w:hAnsi="仿宋" w:eastAsia="仿宋_GB2312" w:cs="Arial"/>
                <w:color w:val="auto"/>
                <w:kern w:val="0"/>
                <w:sz w:val="24"/>
                <w:szCs w:val="20"/>
                <w:highlight w:val="none"/>
                <w:lang w:val="en-US" w:eastAsia="zh-CN"/>
              </w:rPr>
              <w:t xml:space="preserve"> </w:t>
            </w:r>
            <w:r>
              <w:rPr>
                <w:rFonts w:hint="eastAsia" w:ascii="仿宋_GB2312" w:hAnsi="仿宋" w:eastAsia="仿宋_GB2312" w:cs="Arial"/>
                <w:color w:val="auto"/>
                <w:kern w:val="0"/>
                <w:sz w:val="24"/>
                <w:szCs w:val="20"/>
                <w:highlight w:val="none"/>
              </w:rPr>
              <w:t>本项目的招标代理费用由中标单位支付，代理费用付款按《招标代理服务收费管理暂行办法》的通知（计价格[2002]1980号）文件计取，在领取中标通知书前，直接支付给分散采购招标代理单位，各投标人应在投标报价中予以考虑。</w:t>
            </w:r>
          </w:p>
        </w:tc>
      </w:tr>
    </w:tbl>
    <w:p>
      <w:pPr>
        <w:adjustRightInd/>
        <w:spacing w:line="360" w:lineRule="auto"/>
        <w:outlineLvl w:val="0"/>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0"/>
        <w:rPr>
          <w:rFonts w:hint="eastAsia"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br w:type="page"/>
      </w:r>
    </w:p>
    <w:p>
      <w:pPr>
        <w:adjustRightInd/>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hint="eastAsia" w:ascii="仿宋_GB2312" w:hAnsi="仿宋" w:eastAsia="仿宋_GB2312"/>
          <w:b/>
          <w:color w:val="auto"/>
          <w:sz w:val="24"/>
          <w:highlight w:val="none"/>
          <w:lang w:val="en-US" w:eastAsia="zh-CN"/>
        </w:rPr>
        <w:t xml:space="preserve">  </w:t>
      </w: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 xml:space="preserve">  </w:t>
      </w: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 xml:space="preserve"> </w:t>
      </w: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5"/>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s="微软雅黑"/>
          <w:color w:val="auto"/>
          <w:highlight w:val="none"/>
          <w:lang w:val="en-US" w:eastAsia="zh-CN"/>
        </w:rPr>
        <w:t xml:space="preserve"> </w:t>
      </w: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s="微软雅黑"/>
          <w:color w:val="auto"/>
          <w:highlight w:val="none"/>
          <w:lang w:val="en-US" w:eastAsia="zh-CN"/>
        </w:rPr>
        <w:t xml:space="preserve"> </w:t>
      </w: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lang w:val="en-US" w:eastAsia="zh-CN"/>
        </w:rPr>
        <w:t xml:space="preserve"> </w:t>
      </w: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lang w:val="en-US" w:eastAsia="zh-CN"/>
        </w:rPr>
        <w:t xml:space="preserve"> </w:t>
      </w: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lang w:val="en-US" w:eastAsia="zh-CN"/>
        </w:rPr>
        <w:t xml:space="preserve"> </w:t>
      </w: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lang w:val="en-US" w:eastAsia="zh-CN"/>
        </w:rPr>
        <w:t xml:space="preserve"> </w:t>
      </w:r>
      <w:r>
        <w:rPr>
          <w:rFonts w:ascii="仿宋_GB2312" w:hAnsi="仿宋" w:eastAsia="仿宋_GB2312"/>
          <w:color w:val="auto"/>
          <w:highlight w:val="none"/>
        </w:rPr>
        <w:t>4.3.</w:t>
      </w:r>
      <w:r>
        <w:rPr>
          <w:rFonts w:hint="eastAsia" w:ascii="仿宋_GB2312" w:hAnsi="仿宋" w:eastAsia="仿宋_GB2312"/>
          <w:color w:val="auto"/>
          <w:highlight w:val="none"/>
          <w:lang w:val="en-US" w:eastAsia="zh-CN"/>
        </w:rPr>
        <w:t>4</w:t>
      </w:r>
      <w:r>
        <w:rPr>
          <w:rFonts w:ascii="仿宋_GB2312" w:hAnsi="仿宋" w:eastAsia="仿宋_GB2312"/>
          <w:color w:val="auto"/>
          <w:highlight w:val="none"/>
        </w:rPr>
        <w:t xml:space="preserve"> </w:t>
      </w:r>
      <w:r>
        <w:rPr>
          <w:rFonts w:hint="eastAsia" w:ascii="仿宋_GB2312" w:hAnsi="仿宋" w:eastAsia="仿宋_GB2312"/>
          <w:color w:val="auto"/>
          <w:highlight w:val="none"/>
        </w:rPr>
        <w:t>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88"/>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88"/>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5"/>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b/>
          <w:bCs/>
          <w:color w:val="auto"/>
          <w:sz w:val="24"/>
          <w:highlight w:val="none"/>
        </w:rPr>
        <w:t>商务技术</w:t>
      </w:r>
      <w:r>
        <w:rPr>
          <w:rFonts w:hint="eastAsia" w:ascii="仿宋_GB2312" w:hAnsi="仿宋" w:eastAsia="仿宋_GB2312" w:cs="仿宋_GB2312"/>
          <w:b/>
          <w:bCs/>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left="0" w:leftChars="0" w:firstLine="960" w:firstLineChars="400"/>
        <w:rPr>
          <w:rFonts w:hint="default" w:ascii="仿宋_GB2312" w:hAnsi="仿宋" w:eastAsia="仿宋_GB2312" w:cs="仿宋_GB2312"/>
          <w:color w:val="auto"/>
          <w:sz w:val="24"/>
          <w:highlight w:val="none"/>
          <w:lang w:val="en-US" w:eastAsia="zh-CN"/>
        </w:rPr>
      </w:pPr>
      <w:r>
        <w:rPr>
          <w:rFonts w:hint="default" w:ascii="仿宋_GB2312" w:hAnsi="仿宋" w:eastAsia="仿宋_GB2312" w:cs="仿宋_GB2312"/>
          <w:color w:val="auto"/>
          <w:sz w:val="24"/>
          <w:highlight w:val="none"/>
        </w:rPr>
        <w:t>11.2.7投标标的清单；</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lang w:val="en-US" w:eastAsia="zh-CN"/>
        </w:rPr>
        <w:t>8</w:t>
      </w:r>
      <w:r>
        <w:rPr>
          <w:rFonts w:ascii="仿宋_GB2312" w:hAnsi="仿宋" w:eastAsia="仿宋_GB2312" w:cs="仿宋_GB2312"/>
          <w:color w:val="auto"/>
          <w:sz w:val="24"/>
          <w:highlight w:val="none"/>
        </w:rPr>
        <w:t>商务技术偏离表；</w:t>
      </w:r>
    </w:p>
    <w:p>
      <w:pPr>
        <w:snapToGrid w:val="0"/>
        <w:spacing w:line="360" w:lineRule="auto"/>
        <w:ind w:firstLine="960" w:firstLineChars="400"/>
        <w:rPr>
          <w:rFonts w:hint="default"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lang w:val="en-US" w:eastAsia="zh-CN"/>
        </w:rPr>
        <w:t>9</w:t>
      </w:r>
      <w:r>
        <w:rPr>
          <w:rFonts w:hint="default" w:ascii="仿宋_GB2312" w:hAnsi="仿宋" w:eastAsia="仿宋_GB2312" w:cs="仿宋_GB2312"/>
          <w:color w:val="auto"/>
          <w:sz w:val="24"/>
          <w:highlight w:val="none"/>
          <w:lang w:val="zh-CN"/>
        </w:rPr>
        <w:t>政府采购供应商廉洁自律承诺书；</w:t>
      </w:r>
    </w:p>
    <w:p>
      <w:pPr>
        <w:snapToGrid w:val="0"/>
        <w:spacing w:line="360" w:lineRule="auto"/>
        <w:ind w:firstLine="0" w:firstLineChars="0"/>
        <w:jc w:val="both"/>
        <w:rPr>
          <w:rFonts w:hint="default" w:ascii="仿宋_GB2312" w:hAnsi="仿宋" w:eastAsia="仿宋_GB2312" w:cs="仿宋_GB2312"/>
          <w:color w:val="auto"/>
          <w:sz w:val="24"/>
          <w:szCs w:val="20"/>
          <w:highlight w:val="none"/>
        </w:rPr>
      </w:pPr>
      <w:r>
        <w:rPr>
          <w:rFonts w:hint="eastAsia" w:ascii="仿宋_GB2312" w:hAnsi="仿宋" w:eastAsia="仿宋_GB2312" w:cs="仿宋_GB2312"/>
          <w:color w:val="auto"/>
          <w:sz w:val="24"/>
          <w:highlight w:val="none"/>
          <w:lang w:val="en-US" w:eastAsia="zh-CN"/>
        </w:rPr>
        <w:t xml:space="preserve">       </w:t>
      </w:r>
      <w:r>
        <w:rPr>
          <w:rFonts w:hint="default" w:ascii="仿宋_GB2312" w:hAnsi="仿宋" w:eastAsia="仿宋_GB2312" w:cs="仿宋_GB2312"/>
          <w:color w:val="auto"/>
          <w:sz w:val="24"/>
          <w:highlight w:val="none"/>
          <w:lang w:val="zh-CN" w:eastAsia="zh-CN"/>
        </w:rPr>
        <w:t xml:space="preserve"> 11.2.</w:t>
      </w:r>
      <w:r>
        <w:rPr>
          <w:rFonts w:hint="eastAsia" w:ascii="仿宋_GB2312" w:hAnsi="仿宋" w:eastAsia="仿宋_GB2312" w:cs="仿宋_GB2312"/>
          <w:color w:val="auto"/>
          <w:sz w:val="24"/>
          <w:highlight w:val="none"/>
          <w:lang w:val="en-US" w:eastAsia="zh-CN"/>
        </w:rPr>
        <w:t>10</w:t>
      </w:r>
      <w:r>
        <w:rPr>
          <w:rFonts w:hint="default" w:ascii="仿宋_GB2312" w:hAnsi="仿宋" w:eastAsia="仿宋_GB2312" w:cs="仿宋_GB2312"/>
          <w:color w:val="auto"/>
          <w:sz w:val="24"/>
          <w:szCs w:val="20"/>
          <w:highlight w:val="none"/>
          <w:lang w:val="zh-CN"/>
        </w:rPr>
        <w:t>投标</w:t>
      </w:r>
      <w:r>
        <w:rPr>
          <w:rFonts w:hint="default" w:ascii="仿宋_GB2312" w:hAnsi="仿宋" w:eastAsia="仿宋_GB2312" w:cs="仿宋_GB2312"/>
          <w:color w:val="auto"/>
          <w:sz w:val="24"/>
          <w:szCs w:val="20"/>
          <w:highlight w:val="none"/>
          <w:lang w:val="en-US" w:eastAsia="zh-CN"/>
        </w:rPr>
        <w:t>人</w:t>
      </w:r>
      <w:r>
        <w:rPr>
          <w:rFonts w:hint="default" w:ascii="仿宋_GB2312" w:hAnsi="仿宋" w:eastAsia="仿宋_GB2312" w:cs="仿宋_GB2312"/>
          <w:color w:val="auto"/>
          <w:sz w:val="24"/>
          <w:szCs w:val="20"/>
          <w:highlight w:val="none"/>
          <w:lang w:val="zh-CN"/>
        </w:rPr>
        <w:t>认为需要的其他文件资料</w:t>
      </w:r>
      <w:r>
        <w:rPr>
          <w:rFonts w:hint="default" w:ascii="仿宋_GB2312" w:hAnsi="仿宋" w:eastAsia="仿宋_GB2312" w:cs="仿宋_GB2312"/>
          <w:color w:val="auto"/>
          <w:sz w:val="24"/>
          <w:szCs w:val="20"/>
          <w:highlight w:val="none"/>
          <w:lang w:val="zh-CN" w:eastAsia="zh-CN"/>
        </w:rPr>
        <w:t>（如有）</w:t>
      </w:r>
      <w:r>
        <w:rPr>
          <w:rFonts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11.3.2中小企业声明函</w:t>
      </w:r>
      <w:r>
        <w:rPr>
          <w:rFonts w:hint="eastAsia" w:ascii="仿宋_GB2312" w:hAnsi="仿宋" w:eastAsia="仿宋_GB2312" w:cs="仿宋_GB2312"/>
          <w:color w:val="auto"/>
          <w:sz w:val="24"/>
          <w:highlight w:val="none"/>
          <w:lang w:eastAsia="zh-CN"/>
        </w:rPr>
        <w:t>；</w:t>
      </w:r>
    </w:p>
    <w:p>
      <w:pPr>
        <w:snapToGrid w:val="0"/>
        <w:ind w:firstLine="960" w:firstLineChars="4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11.3.3</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default" w:ascii="仿宋_GB2312" w:hAnsi="仿宋" w:eastAsia="仿宋_GB2312" w:cs="仿宋_GB2312"/>
          <w:color w:val="auto"/>
          <w:sz w:val="24"/>
          <w:highlight w:val="none"/>
        </w:rPr>
        <w:t>。</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88"/>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88"/>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8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88"/>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5"/>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w:t>
      </w:r>
      <w:r>
        <w:rPr>
          <w:rFonts w:hint="eastAsia" w:ascii="仿宋" w:hAnsi="仿宋" w:eastAsia="仿宋" w:cs="仿宋"/>
          <w:b/>
          <w:color w:val="auto"/>
          <w:sz w:val="24"/>
          <w:szCs w:val="24"/>
          <w:highlight w:val="none"/>
        </w:rPr>
        <w:t>在投标截止时间前半小时内</w:t>
      </w:r>
      <w:r>
        <w:rPr>
          <w:rFonts w:ascii="仿宋_GB2312" w:hAnsi="仿宋" w:eastAsia="仿宋_GB2312" w:cs="仿宋_GB2312"/>
          <w:color w:val="auto"/>
          <w:sz w:val="24"/>
          <w:szCs w:val="24"/>
          <w:highlight w:val="none"/>
        </w:rPr>
        <w:t>递交备份投标文件1份</w:t>
      </w:r>
      <w:r>
        <w:rPr>
          <w:rFonts w:hint="eastAsia" w:ascii="仿宋_GB2312" w:hAnsi="仿宋" w:eastAsia="仿宋_GB2312" w:cs="仿宋_GB2312"/>
          <w:color w:val="auto"/>
          <w:sz w:val="24"/>
          <w:szCs w:val="24"/>
          <w:highlight w:val="none"/>
          <w:lang w:val="en-US" w:eastAsia="zh-CN"/>
        </w:rPr>
        <w:t>至杭州华厦建筑咨询有限公司</w:t>
      </w:r>
      <w:r>
        <w:rPr>
          <w:rFonts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w:t>
      </w:r>
      <w:r>
        <w:rPr>
          <w:rFonts w:hint="eastAsia" w:ascii="仿宋_GB2312" w:hAnsi="仿宋" w:eastAsia="仿宋_GB2312" w:cs="仿宋_GB2312"/>
          <w:color w:val="auto"/>
          <w:sz w:val="24"/>
          <w:szCs w:val="24"/>
          <w:highlight w:val="none"/>
          <w:lang w:eastAsia="zh-CN"/>
        </w:rPr>
        <w:t>良渚街道市民客厅四至六楼运营服务项目</w:t>
      </w:r>
      <w:r>
        <w:rPr>
          <w:rFonts w:hint="eastAsia" w:ascii="仿宋_GB2312" w:hAnsi="仿宋" w:eastAsia="仿宋_GB2312" w:cs="仿宋_GB2312"/>
          <w:color w:val="auto"/>
          <w:sz w:val="24"/>
          <w:szCs w:val="24"/>
          <w:highlight w:val="none"/>
        </w:rPr>
        <w:t>，投标人名称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w:t>
      </w:r>
      <w:r>
        <w:rPr>
          <w:rFonts w:hint="eastAsia" w:ascii="仿宋_GB2312" w:hAnsi="仿宋" w:eastAsia="仿宋_GB2312" w:cs="仿宋_GB2312"/>
          <w:b/>
          <w:color w:val="auto"/>
          <w:sz w:val="24"/>
          <w:szCs w:val="24"/>
          <w:highlight w:val="none"/>
          <w:lang w:val="en-US" w:eastAsia="zh-CN"/>
        </w:rPr>
        <w:t>4</w:t>
      </w:r>
      <w:r>
        <w:rPr>
          <w:rFonts w:ascii="仿宋_GB2312" w:hAnsi="仿宋" w:eastAsia="仿宋_GB2312" w:cs="仿宋_GB2312"/>
          <w:b/>
          <w:color w:val="auto"/>
          <w:sz w:val="24"/>
          <w:szCs w:val="24"/>
          <w:highlight w:val="none"/>
        </w:rPr>
        <w:t>投标人仅提交备份投标文件，没有在电子交易平台传输递交投标文件的，投标无效。</w:t>
      </w:r>
    </w:p>
    <w:p>
      <w:pPr>
        <w:pStyle w:val="8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6"/>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lang w:val="en-US" w:eastAsia="zh-CN"/>
        </w:rPr>
        <w:t>4.2</w:t>
      </w:r>
      <w:r>
        <w:rPr>
          <w:rFonts w:ascii="仿宋_GB2312" w:hAnsi="仿宋" w:eastAsia="仿宋_GB2312"/>
          <w:color w:val="auto"/>
          <w:highlight w:val="none"/>
        </w:rPr>
        <w:t>规定</w:t>
      </w:r>
      <w:r>
        <w:rPr>
          <w:rFonts w:hint="eastAsia" w:ascii="仿宋_GB2312" w:hAnsi="仿宋" w:eastAsia="仿宋_GB2312" w:cs="仿宋_GB2312"/>
          <w:color w:val="auto"/>
          <w:szCs w:val="21"/>
          <w:highlight w:val="none"/>
        </w:rPr>
        <w:t>的情形之一的，投标无效：</w:t>
      </w:r>
    </w:p>
    <w:p>
      <w:pPr>
        <w:pStyle w:val="8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88"/>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88"/>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8"/>
        <w:spacing w:before="0"/>
        <w:ind w:firstLine="643"/>
        <w:rPr>
          <w:rFonts w:ascii="仿宋_GB2312" w:hAnsi="仿宋" w:eastAsia="仿宋_GB2312" w:cs="仿宋_GB2312"/>
          <w:b/>
          <w:color w:val="auto"/>
          <w:sz w:val="32"/>
          <w:highlight w:val="none"/>
        </w:rPr>
      </w:pPr>
    </w:p>
    <w:p>
      <w:pPr>
        <w:pStyle w:val="88"/>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243"/>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243"/>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88"/>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8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8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8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88"/>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8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88"/>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88"/>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88"/>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88"/>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w:t>
      </w:r>
      <w:r>
        <w:rPr>
          <w:rFonts w:hint="eastAsia" w:ascii="仿宋_GB2312" w:hAnsi="仿宋" w:eastAsia="仿宋_GB2312" w:cs="仿宋_GB2312"/>
          <w:color w:val="auto"/>
          <w:sz w:val="24"/>
          <w:highlight w:val="none"/>
          <w:lang w:eastAsia="zh-CN"/>
        </w:rPr>
        <w:t>良渚街道市民客厅四至六楼运营服务项目</w:t>
      </w:r>
      <w:r>
        <w:rPr>
          <w:rFonts w:ascii="仿宋_GB2312" w:hAnsi="仿宋" w:eastAsia="仿宋_GB2312" w:cs="仿宋_GB2312"/>
          <w:color w:val="auto"/>
          <w:sz w:val="24"/>
          <w:highlight w:val="none"/>
        </w:rPr>
        <w:t>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8"/>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 w:hAnsi="仿宋" w:eastAsia="仿宋"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olor w:val="auto"/>
          <w:sz w:val="24"/>
          <w:highlight w:val="none"/>
        </w:rPr>
        <w:t>。履约保证金的数额不得超过政府采购合同金额的</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w:t>
      </w:r>
      <w:r>
        <w:rPr>
          <w:rFonts w:hint="eastAsia" w:ascii="仿宋" w:hAnsi="仿宋" w:eastAsia="仿宋"/>
          <w:color w:val="auto"/>
          <w:sz w:val="24"/>
          <w:highlight w:val="none"/>
        </w:rPr>
        <w:t>鼓励和支持供应商以银行、保险公司出具的保函形式提供履约保证金。</w:t>
      </w:r>
    </w:p>
    <w:p>
      <w:pPr>
        <w:pStyle w:val="3"/>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88"/>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88"/>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88"/>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6"/>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pPr>
      <w:bookmarkStart w:id="14" w:name="_Hlt75236011"/>
      <w:bookmarkEnd w:id="14"/>
      <w:bookmarkStart w:id="15" w:name="_Hlt74714665"/>
      <w:bookmarkEnd w:id="15"/>
      <w:bookmarkStart w:id="16" w:name="_Hlt68072990"/>
      <w:bookmarkEnd w:id="16"/>
      <w:bookmarkStart w:id="17" w:name="_Hlt75236290"/>
      <w:bookmarkEnd w:id="17"/>
      <w:bookmarkStart w:id="18" w:name="_Hlt74707468"/>
      <w:bookmarkEnd w:id="18"/>
      <w:bookmarkStart w:id="19" w:name="_Hlt68057669"/>
      <w:bookmarkEnd w:id="19"/>
      <w:bookmarkStart w:id="20" w:name="_Hlt74730295"/>
      <w:bookmarkEnd w:id="20"/>
      <w:bookmarkStart w:id="21" w:name="_Hlt75236101"/>
      <w:bookmarkEnd w:id="21"/>
      <w:bookmarkStart w:id="22" w:name="_Hlt74729768"/>
      <w:bookmarkEnd w:id="22"/>
      <w:bookmarkStart w:id="23" w:name="_Hlt68073093"/>
      <w:bookmarkEnd w:id="23"/>
      <w:bookmarkStart w:id="24" w:name="_Hlt68072998"/>
      <w:bookmarkEnd w:id="24"/>
      <w:bookmarkStart w:id="25" w:name="_Hlt68403820"/>
      <w:bookmarkEnd w:id="25"/>
    </w:p>
    <w:bookmarkEnd w:id="11"/>
    <w:bookmarkEnd w:id="12"/>
    <w:p>
      <w:pPr>
        <w:spacing w:line="360" w:lineRule="auto"/>
        <w:jc w:val="center"/>
        <w:outlineLvl w:val="0"/>
        <w:rPr>
          <w:rFonts w:hint="eastAsia" w:ascii="仿宋" w:hAnsi="仿宋" w:eastAsia="仿宋" w:cs="仿宋_GB2312"/>
          <w:b/>
          <w:color w:val="auto"/>
          <w:sz w:val="32"/>
          <w:szCs w:val="32"/>
          <w:highlight w:val="none"/>
        </w:rPr>
      </w:pPr>
      <w:bookmarkStart w:id="26" w:name="第四部分"/>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hint="eastAsia" w:ascii="仿宋" w:hAnsi="仿宋" w:eastAsia="仿宋" w:cs="仿宋_GB2312"/>
          <w:b/>
          <w:color w:val="auto"/>
          <w:sz w:val="32"/>
          <w:szCs w:val="32"/>
          <w:highlight w:val="none"/>
        </w:rPr>
      </w:pPr>
    </w:p>
    <w:p>
      <w:pPr>
        <w:spacing w:line="360" w:lineRule="auto"/>
        <w:jc w:val="center"/>
        <w:outlineLvl w:val="0"/>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第三部分</w:t>
      </w:r>
      <w:r>
        <w:rPr>
          <w:rFonts w:ascii="仿宋" w:hAnsi="仿宋" w:eastAsia="仿宋" w:cs="仿宋_GB2312"/>
          <w:b/>
          <w:color w:val="auto"/>
          <w:sz w:val="32"/>
          <w:szCs w:val="32"/>
          <w:highlight w:val="none"/>
        </w:rPr>
        <w:t xml:space="preserve">   </w:t>
      </w:r>
      <w:r>
        <w:rPr>
          <w:rFonts w:hint="eastAsia" w:ascii="仿宋" w:hAnsi="仿宋" w:eastAsia="仿宋" w:cs="仿宋_GB2312"/>
          <w:b/>
          <w:color w:val="auto"/>
          <w:sz w:val="32"/>
          <w:szCs w:val="32"/>
          <w:highlight w:val="none"/>
        </w:rPr>
        <w:t>采购需求</w:t>
      </w:r>
    </w:p>
    <w:p>
      <w:pPr>
        <w:pStyle w:val="26"/>
        <w:adjustRightInd w:val="0"/>
        <w:snapToGrid w:val="0"/>
        <w:spacing w:line="360" w:lineRule="auto"/>
        <w:ind w:firstLine="42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一、招标说明</w:t>
      </w:r>
    </w:p>
    <w:p>
      <w:pPr>
        <w:spacing w:before="157" w:beforeLines="50" w:after="157" w:afterLines="50"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为进一步提升</w:t>
      </w:r>
      <w:r>
        <w:rPr>
          <w:rFonts w:hint="eastAsia" w:ascii="宋体" w:hAnsi="宋体"/>
          <w:color w:val="auto"/>
          <w:sz w:val="24"/>
          <w:highlight w:val="none"/>
          <w:lang w:val="en-US" w:eastAsia="zh-CN"/>
        </w:rPr>
        <w:t>良渚</w:t>
      </w:r>
      <w:r>
        <w:rPr>
          <w:rFonts w:hint="eastAsia" w:ascii="宋体" w:hAnsi="宋体"/>
          <w:color w:val="auto"/>
          <w:sz w:val="24"/>
          <w:highlight w:val="none"/>
        </w:rPr>
        <w:t>街道市民客厅空间服务，</w:t>
      </w:r>
      <w:r>
        <w:rPr>
          <w:rFonts w:hint="eastAsia" w:ascii="宋体" w:hAnsi="宋体"/>
          <w:color w:val="auto"/>
          <w:sz w:val="24"/>
          <w:highlight w:val="none"/>
          <w:lang w:val="en-US" w:eastAsia="zh-CN"/>
        </w:rPr>
        <w:t>杭州市余杭区人民政府良渚街道办事处</w:t>
      </w:r>
      <w:r>
        <w:rPr>
          <w:rFonts w:hint="eastAsia" w:ascii="宋体" w:hAnsi="宋体"/>
          <w:color w:val="auto"/>
          <w:sz w:val="24"/>
          <w:highlight w:val="none"/>
        </w:rPr>
        <w:t>将以“政社合作”为指导理念，以市民客厅为空间载体，居民活动、社会组织项目活动为主要路径，以提升服务质量和效能为抓手，形成政府扶持指导，专业团队管理，将市民客厅打造为居民生活的拓展空间，惠民服务的实践基地，人际沟通的桥梁纽带。</w:t>
      </w:r>
    </w:p>
    <w:p>
      <w:pPr>
        <w:spacing w:before="157" w:beforeLines="50" w:after="157" w:afterLines="50"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为落实推进政府购买服务工作的规范化、专业化，满足群众个性化、多样化定制服务需求，按照“政府主导、社区参与、实体服务、机构运作”的工作思路，根据上级部门相关要求，结合</w:t>
      </w:r>
      <w:r>
        <w:rPr>
          <w:rFonts w:hint="eastAsia" w:ascii="宋体" w:hAnsi="宋体"/>
          <w:color w:val="auto"/>
          <w:sz w:val="24"/>
          <w:highlight w:val="none"/>
          <w:lang w:val="en-US" w:eastAsia="zh-CN"/>
        </w:rPr>
        <w:t>良渚</w:t>
      </w:r>
      <w:r>
        <w:rPr>
          <w:rFonts w:hint="eastAsia" w:ascii="宋体" w:hAnsi="宋体"/>
          <w:color w:val="auto"/>
          <w:sz w:val="24"/>
          <w:highlight w:val="none"/>
        </w:rPr>
        <w:t>街道现有实际情况，对本次</w:t>
      </w:r>
      <w:r>
        <w:rPr>
          <w:rFonts w:hint="eastAsia" w:ascii="宋体" w:hAnsi="宋体"/>
          <w:color w:val="auto"/>
          <w:sz w:val="24"/>
          <w:highlight w:val="none"/>
          <w:lang w:val="en-US" w:eastAsia="zh-CN"/>
        </w:rPr>
        <w:t>良渚</w:t>
      </w:r>
      <w:r>
        <w:rPr>
          <w:rFonts w:hint="eastAsia" w:ascii="宋体" w:hAnsi="宋体"/>
          <w:color w:val="auto"/>
          <w:sz w:val="24"/>
          <w:highlight w:val="none"/>
        </w:rPr>
        <w:t>街道市民客厅场地运行管理项目组织政府采购。</w:t>
      </w:r>
    </w:p>
    <w:p>
      <w:pPr>
        <w:pStyle w:val="26"/>
        <w:adjustRightInd w:val="0"/>
        <w:snapToGrid w:val="0"/>
        <w:spacing w:line="360" w:lineRule="auto"/>
        <w:ind w:firstLine="420"/>
        <w:rPr>
          <w:rFonts w:hint="eastAsia" w:ascii="宋体" w:hAnsi="宋体" w:eastAsia="宋体" w:cs="宋体"/>
          <w:b/>
          <w:bCs/>
          <w:color w:val="auto"/>
          <w:sz w:val="24"/>
          <w:szCs w:val="24"/>
          <w:highlight w:val="none"/>
          <w:lang w:val="en-US" w:eastAsia="zh-CN"/>
        </w:rPr>
      </w:pPr>
      <w:r>
        <w:rPr>
          <w:rFonts w:hint="eastAsia"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val="en-US" w:eastAsia="zh-CN"/>
        </w:rPr>
        <w:t>良渚街道市民客厅四至六楼主要服务内容</w:t>
      </w:r>
    </w:p>
    <w:p>
      <w:pPr>
        <w:snapToGrid w:val="0"/>
        <w:spacing w:line="460" w:lineRule="atLeast"/>
        <w:ind w:firstLine="480" w:firstLineChars="200"/>
        <w:rPr>
          <w:rFonts w:ascii="宋体"/>
          <w:color w:val="auto"/>
          <w:sz w:val="24"/>
          <w:highlight w:val="none"/>
          <w:lang w:bidi="zh-CN"/>
        </w:rPr>
      </w:pPr>
      <w:r>
        <w:rPr>
          <w:rFonts w:hint="eastAsia" w:ascii="宋体"/>
          <w:color w:val="auto"/>
          <w:sz w:val="24"/>
          <w:highlight w:val="none"/>
          <w:lang w:val="en-US" w:bidi="zh-CN"/>
        </w:rPr>
        <w:t>1、四至六楼</w:t>
      </w:r>
      <w:r>
        <w:rPr>
          <w:rFonts w:hint="eastAsia" w:ascii="宋体"/>
          <w:color w:val="auto"/>
          <w:sz w:val="24"/>
          <w:highlight w:val="none"/>
          <w:lang w:bidi="zh-CN"/>
        </w:rPr>
        <w:t>所需服务人员最低配置表</w:t>
      </w:r>
    </w:p>
    <w:tbl>
      <w:tblPr>
        <w:tblStyle w:val="63"/>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before="0" w:beforeAutospacing="0" w:after="0" w:afterAutospacing="0" w:line="460" w:lineRule="atLeast"/>
              <w:ind w:left="0" w:right="0"/>
              <w:jc w:val="center"/>
              <w:rPr>
                <w:rFonts w:hint="eastAsia" w:ascii="宋体" w:hAnsi="Times New Roman" w:cs="Times New Roman"/>
                <w:b/>
                <w:bCs/>
                <w:color w:val="auto"/>
                <w:sz w:val="24"/>
                <w:szCs w:val="20"/>
                <w:highlight w:val="none"/>
                <w:lang w:bidi="zh-CN"/>
              </w:rPr>
            </w:pPr>
            <w:r>
              <w:rPr>
                <w:rFonts w:hint="eastAsia" w:ascii="宋体" w:hAnsi="Times New Roman" w:cs="Times New Roman"/>
                <w:b/>
                <w:bCs/>
                <w:color w:val="auto"/>
                <w:sz w:val="24"/>
                <w:szCs w:val="20"/>
                <w:highlight w:val="none"/>
                <w:lang w:bidi="zh-CN"/>
              </w:rPr>
              <w:t>序号</w:t>
            </w:r>
          </w:p>
        </w:tc>
        <w:tc>
          <w:tcPr>
            <w:tcW w:w="2265" w:type="dxa"/>
            <w:tcBorders>
              <w:left w:val="single" w:color="auto" w:sz="4" w:space="0"/>
            </w:tcBorders>
            <w:vAlign w:val="center"/>
          </w:tcPr>
          <w:p>
            <w:pPr>
              <w:snapToGrid w:val="0"/>
              <w:spacing w:before="0" w:beforeAutospacing="0" w:after="0" w:afterAutospacing="0" w:line="460" w:lineRule="atLeast"/>
              <w:ind w:left="0" w:right="0"/>
              <w:jc w:val="center"/>
              <w:rPr>
                <w:rFonts w:hint="eastAsia" w:ascii="宋体" w:hAnsi="Times New Roman" w:cs="Times New Roman"/>
                <w:b/>
                <w:bCs/>
                <w:color w:val="auto"/>
                <w:sz w:val="24"/>
                <w:szCs w:val="20"/>
                <w:highlight w:val="none"/>
                <w:lang w:bidi="zh-CN"/>
              </w:rPr>
            </w:pPr>
            <w:r>
              <w:rPr>
                <w:rFonts w:hint="eastAsia" w:ascii="宋体" w:hAnsi="Times New Roman" w:cs="Times New Roman"/>
                <w:b/>
                <w:bCs/>
                <w:color w:val="auto"/>
                <w:sz w:val="24"/>
                <w:szCs w:val="20"/>
                <w:highlight w:val="none"/>
                <w:lang w:bidi="zh-CN"/>
              </w:rPr>
              <w:t>名称</w:t>
            </w:r>
          </w:p>
        </w:tc>
        <w:tc>
          <w:tcPr>
            <w:tcW w:w="1271" w:type="dxa"/>
            <w:tcBorders>
              <w:right w:val="single" w:color="auto" w:sz="4" w:space="0"/>
            </w:tcBorders>
            <w:vAlign w:val="center"/>
          </w:tcPr>
          <w:p>
            <w:pPr>
              <w:snapToGrid w:val="0"/>
              <w:spacing w:before="0" w:beforeAutospacing="0" w:after="0" w:afterAutospacing="0" w:line="460" w:lineRule="atLeast"/>
              <w:ind w:left="0" w:right="0"/>
              <w:jc w:val="center"/>
              <w:rPr>
                <w:rFonts w:hint="eastAsia" w:ascii="宋体" w:hAnsi="Times New Roman" w:cs="Times New Roman"/>
                <w:b/>
                <w:bCs/>
                <w:color w:val="auto"/>
                <w:sz w:val="24"/>
                <w:szCs w:val="20"/>
                <w:highlight w:val="none"/>
                <w:lang w:bidi="zh-CN"/>
              </w:rPr>
            </w:pPr>
            <w:r>
              <w:rPr>
                <w:rFonts w:hint="eastAsia" w:ascii="宋体" w:hAnsi="Times New Roman" w:cs="Times New Roman"/>
                <w:b/>
                <w:bCs/>
                <w:color w:val="auto"/>
                <w:sz w:val="24"/>
                <w:szCs w:val="20"/>
                <w:highlight w:val="none"/>
                <w:lang w:bidi="zh-CN"/>
              </w:rPr>
              <w:t>数量（人）</w:t>
            </w:r>
          </w:p>
        </w:tc>
        <w:tc>
          <w:tcPr>
            <w:tcW w:w="4338" w:type="dxa"/>
            <w:tcBorders>
              <w:left w:val="single" w:color="auto" w:sz="4" w:space="0"/>
            </w:tcBorders>
            <w:vAlign w:val="center"/>
          </w:tcPr>
          <w:p>
            <w:pPr>
              <w:snapToGrid w:val="0"/>
              <w:spacing w:before="0" w:beforeAutospacing="0" w:after="0" w:afterAutospacing="0" w:line="460" w:lineRule="atLeast"/>
              <w:ind w:left="0" w:right="0"/>
              <w:jc w:val="center"/>
              <w:rPr>
                <w:rFonts w:hint="eastAsia" w:ascii="宋体" w:hAnsi="Times New Roman" w:cs="Times New Roman"/>
                <w:b/>
                <w:bCs/>
                <w:color w:val="auto"/>
                <w:sz w:val="24"/>
                <w:szCs w:val="20"/>
                <w:highlight w:val="none"/>
                <w:lang w:bidi="zh-CN"/>
              </w:rPr>
            </w:pPr>
            <w:r>
              <w:rPr>
                <w:rFonts w:hint="eastAsia" w:ascii="宋体" w:hAnsi="Times New Roman" w:cs="Times New Roman"/>
                <w:b/>
                <w:bCs/>
                <w:color w:val="auto"/>
                <w:sz w:val="24"/>
                <w:szCs w:val="20"/>
                <w:highlight w:val="none"/>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before="0" w:beforeAutospacing="0" w:after="0" w:afterAutospacing="0" w:line="460" w:lineRule="atLeast"/>
              <w:ind w:left="0" w:right="0"/>
              <w:jc w:val="center"/>
              <w:rPr>
                <w:rFonts w:hint="eastAsia" w:ascii="宋体" w:hAnsi="Times New Roman" w:cs="Times New Roman"/>
                <w:color w:val="auto"/>
                <w:sz w:val="24"/>
                <w:szCs w:val="20"/>
                <w:highlight w:val="none"/>
                <w:lang w:bidi="zh-CN"/>
              </w:rPr>
            </w:pPr>
            <w:r>
              <w:rPr>
                <w:rFonts w:hint="eastAsia" w:ascii="宋体" w:hAnsi="Times New Roman" w:cs="Times New Roman"/>
                <w:color w:val="auto"/>
                <w:sz w:val="24"/>
                <w:szCs w:val="20"/>
                <w:highlight w:val="none"/>
                <w:lang w:bidi="zh-CN"/>
              </w:rPr>
              <w:t>1</w:t>
            </w:r>
          </w:p>
        </w:tc>
        <w:tc>
          <w:tcPr>
            <w:tcW w:w="2265" w:type="dxa"/>
            <w:tcBorders>
              <w:left w:val="single" w:color="auto" w:sz="4" w:space="0"/>
            </w:tcBorders>
            <w:vAlign w:val="center"/>
          </w:tcPr>
          <w:p>
            <w:pPr>
              <w:snapToGrid w:val="0"/>
              <w:spacing w:before="0" w:beforeAutospacing="0" w:after="0" w:afterAutospacing="0" w:line="460" w:lineRule="atLeast"/>
              <w:ind w:left="0" w:leftChars="0" w:right="0" w:firstLine="480" w:firstLineChars="200"/>
              <w:rPr>
                <w:rFonts w:hint="default" w:ascii="宋体" w:hAnsi="Times New Roman" w:cs="Times New Roman"/>
                <w:color w:val="auto"/>
                <w:sz w:val="24"/>
                <w:szCs w:val="20"/>
                <w:highlight w:val="none"/>
                <w:lang w:val="en-US" w:bidi="zh-CN"/>
              </w:rPr>
            </w:pPr>
            <w:r>
              <w:rPr>
                <w:rFonts w:hint="eastAsia" w:ascii="宋体" w:hAnsi="Times New Roman" w:cs="Times New Roman"/>
                <w:color w:val="auto"/>
                <w:sz w:val="24"/>
                <w:szCs w:val="20"/>
                <w:highlight w:val="none"/>
                <w:lang w:bidi="zh-CN"/>
              </w:rPr>
              <w:t>项目负责人</w:t>
            </w:r>
          </w:p>
        </w:tc>
        <w:tc>
          <w:tcPr>
            <w:tcW w:w="1271" w:type="dxa"/>
            <w:tcBorders>
              <w:right w:val="single" w:color="auto" w:sz="4" w:space="0"/>
            </w:tcBorders>
            <w:vAlign w:val="center"/>
          </w:tcPr>
          <w:p>
            <w:pPr>
              <w:snapToGrid w:val="0"/>
              <w:spacing w:before="0" w:beforeAutospacing="0" w:after="0" w:afterAutospacing="0" w:line="460" w:lineRule="atLeast"/>
              <w:ind w:left="0" w:leftChars="0" w:right="0" w:firstLine="480" w:firstLineChars="200"/>
              <w:rPr>
                <w:rFonts w:hint="default" w:ascii="宋体" w:hAnsi="Times New Roman" w:cs="Times New Roman"/>
                <w:color w:val="auto"/>
                <w:sz w:val="24"/>
                <w:szCs w:val="20"/>
                <w:highlight w:val="none"/>
                <w:lang w:val="en-US" w:bidi="zh-CN"/>
              </w:rPr>
            </w:pPr>
            <w:r>
              <w:rPr>
                <w:rFonts w:hint="eastAsia" w:ascii="宋体" w:hAnsi="Times New Roman" w:cs="Times New Roman"/>
                <w:color w:val="auto"/>
                <w:sz w:val="24"/>
                <w:szCs w:val="20"/>
                <w:highlight w:val="none"/>
                <w:lang w:bidi="zh-CN"/>
              </w:rPr>
              <w:t>1</w:t>
            </w:r>
          </w:p>
        </w:tc>
        <w:tc>
          <w:tcPr>
            <w:tcW w:w="4338" w:type="dxa"/>
            <w:tcBorders>
              <w:left w:val="single" w:color="auto" w:sz="4" w:space="0"/>
            </w:tcBorders>
            <w:vAlign w:val="center"/>
          </w:tcPr>
          <w:p>
            <w:pPr>
              <w:pStyle w:val="26"/>
              <w:adjustRightInd w:val="0"/>
              <w:snapToGrid w:val="0"/>
              <w:spacing w:before="0" w:beforeAutospacing="0" w:after="0" w:afterAutospacing="0" w:line="360" w:lineRule="auto"/>
              <w:ind w:left="0" w:leftChars="0" w:right="0" w:firstLine="0" w:firstLineChars="0"/>
              <w:rPr>
                <w:rFonts w:hint="default" w:ascii="宋体" w:hAnsi="宋体" w:eastAsia="宋体" w:cs="宋体"/>
                <w:color w:val="auto"/>
                <w:sz w:val="24"/>
                <w:szCs w:val="20"/>
                <w:highlight w:val="none"/>
                <w:lang w:val="en-US"/>
              </w:rPr>
            </w:pPr>
            <w:r>
              <w:rPr>
                <w:rFonts w:hint="eastAsia" w:ascii="宋体" w:hAnsi="Times New Roman" w:cs="Times New Roman"/>
                <w:color w:val="auto"/>
                <w:sz w:val="24"/>
                <w:szCs w:val="20"/>
                <w:highlight w:val="none"/>
                <w:lang w:bidi="zh-CN"/>
              </w:rPr>
              <w:t>负责全面日常协调、管理，具有2年及以上相关项目经验</w:t>
            </w:r>
            <w:r>
              <w:rPr>
                <w:rFonts w:hint="eastAsia" w:ascii="Times New Roman" w:hAnsi="Times New Roman" w:cs="Times New Roman"/>
                <w:color w:val="auto"/>
                <w:sz w:val="24"/>
                <w:szCs w:val="20"/>
                <w:highlight w:val="none"/>
                <w:lang w:bidi="zh-CN"/>
              </w:rPr>
              <w:t>；</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before="0" w:beforeAutospacing="0" w:after="0" w:afterAutospacing="0" w:line="460" w:lineRule="atLeast"/>
              <w:ind w:left="0" w:right="0"/>
              <w:jc w:val="center"/>
              <w:rPr>
                <w:rFonts w:hint="eastAsia" w:ascii="宋体" w:hAnsi="Times New Roman" w:cs="Times New Roman"/>
                <w:color w:val="auto"/>
                <w:sz w:val="24"/>
                <w:szCs w:val="20"/>
                <w:highlight w:val="none"/>
                <w:lang w:bidi="zh-CN"/>
              </w:rPr>
            </w:pPr>
            <w:r>
              <w:rPr>
                <w:rFonts w:hint="eastAsia" w:ascii="宋体" w:hAnsi="Times New Roman" w:cs="Times New Roman"/>
                <w:color w:val="auto"/>
                <w:sz w:val="24"/>
                <w:szCs w:val="20"/>
                <w:highlight w:val="none"/>
                <w:lang w:bidi="zh-CN"/>
              </w:rPr>
              <w:t>2</w:t>
            </w:r>
          </w:p>
        </w:tc>
        <w:tc>
          <w:tcPr>
            <w:tcW w:w="2265" w:type="dxa"/>
            <w:tcBorders>
              <w:left w:val="single" w:color="auto" w:sz="4" w:space="0"/>
            </w:tcBorders>
            <w:vAlign w:val="center"/>
          </w:tcPr>
          <w:p>
            <w:pPr>
              <w:snapToGrid w:val="0"/>
              <w:spacing w:before="0" w:beforeAutospacing="0" w:after="0" w:afterAutospacing="0" w:line="460" w:lineRule="atLeast"/>
              <w:ind w:left="0" w:leftChars="0" w:right="0" w:firstLine="480" w:firstLineChars="200"/>
              <w:rPr>
                <w:rFonts w:hint="default" w:ascii="宋体" w:hAnsi="Times New Roman" w:cs="Times New Roman"/>
                <w:color w:val="auto"/>
                <w:sz w:val="24"/>
                <w:szCs w:val="20"/>
                <w:highlight w:val="none"/>
                <w:lang w:val="en-US" w:bidi="zh-CN"/>
              </w:rPr>
            </w:pPr>
            <w:r>
              <w:rPr>
                <w:rFonts w:hint="eastAsia" w:ascii="宋体" w:hAnsi="Times New Roman" w:cs="Times New Roman"/>
                <w:color w:val="auto"/>
                <w:sz w:val="24"/>
                <w:szCs w:val="20"/>
                <w:highlight w:val="none"/>
                <w:lang w:bidi="zh-CN"/>
              </w:rPr>
              <w:t>场地管理人员</w:t>
            </w:r>
          </w:p>
        </w:tc>
        <w:tc>
          <w:tcPr>
            <w:tcW w:w="1271" w:type="dxa"/>
            <w:tcBorders>
              <w:right w:val="single" w:color="auto" w:sz="4" w:space="0"/>
            </w:tcBorders>
            <w:vAlign w:val="center"/>
          </w:tcPr>
          <w:p>
            <w:pPr>
              <w:snapToGrid w:val="0"/>
              <w:spacing w:before="0" w:beforeAutospacing="0" w:after="0" w:afterAutospacing="0" w:line="460" w:lineRule="atLeast"/>
              <w:ind w:left="0" w:leftChars="0" w:right="0" w:firstLine="480" w:firstLineChars="200"/>
              <w:rPr>
                <w:rFonts w:hint="default" w:ascii="宋体" w:hAnsi="Times New Roman" w:cs="Times New Roman"/>
                <w:color w:val="auto"/>
                <w:sz w:val="24"/>
                <w:szCs w:val="20"/>
                <w:highlight w:val="none"/>
                <w:lang w:val="en-US" w:bidi="zh-CN"/>
              </w:rPr>
            </w:pPr>
            <w:r>
              <w:rPr>
                <w:rFonts w:hint="eastAsia" w:ascii="宋体" w:hAnsi="Times New Roman" w:cs="Times New Roman"/>
                <w:color w:val="auto"/>
                <w:sz w:val="24"/>
                <w:szCs w:val="20"/>
                <w:highlight w:val="none"/>
                <w:lang w:val="en-US" w:bidi="zh-CN"/>
              </w:rPr>
              <w:t>4</w:t>
            </w:r>
          </w:p>
        </w:tc>
        <w:tc>
          <w:tcPr>
            <w:tcW w:w="4338" w:type="dxa"/>
            <w:tcBorders>
              <w:left w:val="single" w:color="auto" w:sz="4" w:space="0"/>
            </w:tcBorders>
            <w:vAlign w:val="center"/>
          </w:tcPr>
          <w:p>
            <w:pPr>
              <w:snapToGrid w:val="0"/>
              <w:spacing w:before="0" w:beforeAutospacing="0" w:after="0" w:afterAutospacing="0" w:line="460" w:lineRule="atLeast"/>
              <w:ind w:left="0" w:right="0"/>
              <w:rPr>
                <w:rFonts w:hint="eastAsia" w:ascii="宋体" w:hAnsi="Times New Roman" w:cs="Times New Roman"/>
                <w:color w:val="auto"/>
                <w:sz w:val="24"/>
                <w:szCs w:val="20"/>
                <w:highlight w:val="none"/>
                <w:lang w:bidi="zh-CN"/>
              </w:rPr>
            </w:pPr>
            <w:r>
              <w:rPr>
                <w:rFonts w:hint="eastAsia" w:ascii="宋体" w:hAnsi="Times New Roman" w:cs="Times New Roman"/>
                <w:color w:val="auto"/>
                <w:sz w:val="24"/>
                <w:szCs w:val="20"/>
                <w:highlight w:val="none"/>
                <w:lang w:bidi="zh-CN"/>
              </w:rPr>
              <w:t>根据实际情况配置（不含项目负责人员），包含场地管理人员 、</w:t>
            </w:r>
            <w:r>
              <w:rPr>
                <w:rFonts w:hint="eastAsia" w:ascii="宋体" w:hAnsi="Times New Roman" w:cs="Times New Roman"/>
                <w:color w:val="auto"/>
                <w:sz w:val="24"/>
                <w:szCs w:val="20"/>
                <w:highlight w:val="none"/>
                <w:lang w:val="en-US" w:bidi="zh-CN"/>
              </w:rPr>
              <w:t>讲解员、</w:t>
            </w:r>
            <w:r>
              <w:rPr>
                <w:rFonts w:hint="eastAsia" w:ascii="宋体" w:hAnsi="Times New Roman" w:cs="Times New Roman"/>
                <w:color w:val="auto"/>
                <w:sz w:val="24"/>
                <w:szCs w:val="20"/>
                <w:highlight w:val="none"/>
                <w:lang w:bidi="zh-CN"/>
              </w:rPr>
              <w:t>场地清洁人员 、活动策划人员等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before="0" w:beforeAutospacing="0" w:after="0" w:afterAutospacing="0" w:line="460" w:lineRule="atLeast"/>
              <w:ind w:left="0" w:right="0"/>
              <w:jc w:val="center"/>
              <w:rPr>
                <w:rFonts w:hint="eastAsia" w:ascii="宋体" w:hAnsi="Times New Roman" w:cs="Times New Roman"/>
                <w:color w:val="auto"/>
                <w:sz w:val="24"/>
                <w:szCs w:val="20"/>
                <w:highlight w:val="none"/>
                <w:lang w:bidi="zh-CN"/>
              </w:rPr>
            </w:pPr>
            <w:r>
              <w:rPr>
                <w:rFonts w:hint="eastAsia" w:ascii="宋体" w:hAnsi="Times New Roman" w:cs="Times New Roman"/>
                <w:color w:val="auto"/>
                <w:sz w:val="24"/>
                <w:szCs w:val="20"/>
                <w:highlight w:val="none"/>
                <w:lang w:val="en-US" w:bidi="zh-CN"/>
              </w:rPr>
              <w:t>3</w:t>
            </w:r>
          </w:p>
        </w:tc>
        <w:tc>
          <w:tcPr>
            <w:tcW w:w="2265" w:type="dxa"/>
            <w:tcBorders>
              <w:left w:val="single" w:color="auto" w:sz="4" w:space="0"/>
            </w:tcBorders>
            <w:vAlign w:val="center"/>
          </w:tcPr>
          <w:p>
            <w:pPr>
              <w:snapToGrid w:val="0"/>
              <w:spacing w:before="0" w:beforeAutospacing="0" w:after="0" w:afterAutospacing="0" w:line="460" w:lineRule="atLeast"/>
              <w:ind w:left="0" w:right="0"/>
              <w:rPr>
                <w:rFonts w:hint="eastAsia" w:ascii="宋体" w:hAnsi="Times New Roman" w:cs="Times New Roman"/>
                <w:color w:val="auto"/>
                <w:sz w:val="24"/>
                <w:szCs w:val="20"/>
                <w:highlight w:val="none"/>
                <w:lang w:bidi="zh-CN"/>
              </w:rPr>
            </w:pPr>
            <w:r>
              <w:rPr>
                <w:rFonts w:hint="eastAsia" w:ascii="宋体" w:hAnsi="Times New Roman" w:cs="Times New Roman"/>
                <w:color w:val="auto"/>
                <w:sz w:val="24"/>
                <w:szCs w:val="20"/>
                <w:highlight w:val="none"/>
                <w:lang w:bidi="zh-CN"/>
              </w:rPr>
              <w:t>人员配置数量合计</w:t>
            </w:r>
          </w:p>
        </w:tc>
        <w:tc>
          <w:tcPr>
            <w:tcW w:w="1271" w:type="dxa"/>
            <w:tcBorders>
              <w:right w:val="single" w:color="auto" w:sz="4" w:space="0"/>
            </w:tcBorders>
            <w:vAlign w:val="center"/>
          </w:tcPr>
          <w:p>
            <w:pPr>
              <w:snapToGrid w:val="0"/>
              <w:spacing w:before="0" w:beforeAutospacing="0" w:after="0" w:afterAutospacing="0" w:line="460" w:lineRule="atLeast"/>
              <w:ind w:left="0" w:right="0" w:firstLine="480" w:firstLineChars="200"/>
              <w:rPr>
                <w:rFonts w:hint="eastAsia" w:ascii="宋体" w:hAnsi="Times New Roman" w:cs="Times New Roman"/>
                <w:color w:val="auto"/>
                <w:sz w:val="24"/>
                <w:szCs w:val="20"/>
                <w:highlight w:val="none"/>
                <w:lang w:bidi="zh-CN"/>
              </w:rPr>
            </w:pPr>
            <w:r>
              <w:rPr>
                <w:rFonts w:hint="eastAsia" w:ascii="宋体" w:hAnsi="Times New Roman" w:cs="Times New Roman"/>
                <w:color w:val="auto"/>
                <w:sz w:val="24"/>
                <w:szCs w:val="20"/>
                <w:highlight w:val="none"/>
                <w:lang w:bidi="zh-CN"/>
              </w:rPr>
              <w:t>≧5</w:t>
            </w:r>
          </w:p>
        </w:tc>
        <w:tc>
          <w:tcPr>
            <w:tcW w:w="4338" w:type="dxa"/>
            <w:tcBorders>
              <w:left w:val="single" w:color="auto" w:sz="4" w:space="0"/>
            </w:tcBorders>
            <w:vAlign w:val="center"/>
          </w:tcPr>
          <w:p>
            <w:pPr>
              <w:snapToGrid w:val="0"/>
              <w:spacing w:before="0" w:beforeAutospacing="0" w:after="0" w:afterAutospacing="0" w:line="460" w:lineRule="atLeast"/>
              <w:ind w:left="0" w:right="0"/>
              <w:rPr>
                <w:rFonts w:hint="default" w:ascii="宋体" w:hAnsi="Times New Roman" w:cs="Times New Roman"/>
                <w:color w:val="auto"/>
                <w:sz w:val="24"/>
                <w:szCs w:val="20"/>
                <w:highlight w:val="none"/>
                <w:lang w:val="en-US" w:bidi="zh-CN"/>
              </w:rPr>
            </w:pPr>
            <w:r>
              <w:rPr>
                <w:rFonts w:hint="eastAsia" w:ascii="宋体" w:hAnsi="Times New Roman" w:cs="Times New Roman"/>
                <w:color w:val="auto"/>
                <w:sz w:val="24"/>
                <w:szCs w:val="20"/>
                <w:highlight w:val="none"/>
                <w:lang w:val="en-US" w:bidi="zh-CN"/>
              </w:rPr>
              <w:t>其中四楼1人、五楼1人、六楼3人为最低要求，投标单位根据项目需求自行增加人员；其中5人中需包含一名讲解员，</w:t>
            </w:r>
            <w:r>
              <w:rPr>
                <w:rFonts w:hint="eastAsia" w:ascii="宋体" w:hAnsi="Times New Roman" w:cs="Times New Roman"/>
                <w:color w:val="auto"/>
                <w:sz w:val="24"/>
                <w:szCs w:val="20"/>
                <w:highlight w:val="none"/>
                <w:lang w:bidi="zh-CN"/>
              </w:rPr>
              <w:t>形象佳，业务熟练，普通话标准（身高要求：女生160cm+，男生：170cm+）</w:t>
            </w:r>
            <w:r>
              <w:rPr>
                <w:rFonts w:hint="eastAsia" w:ascii="宋体" w:hAnsi="Times New Roman" w:cs="Times New Roman"/>
                <w:color w:val="auto"/>
                <w:sz w:val="24"/>
                <w:szCs w:val="20"/>
                <w:highlight w:val="none"/>
                <w:lang w:val="en-US" w:bidi="zh-CN"/>
              </w:rPr>
              <w:t>；</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before="0" w:beforeAutospacing="0" w:after="0" w:afterAutospacing="0" w:line="460" w:lineRule="atLeast"/>
              <w:ind w:left="0" w:right="0"/>
              <w:jc w:val="center"/>
              <w:rPr>
                <w:rFonts w:hint="eastAsia" w:ascii="宋体" w:hAnsi="Times New Roman" w:cs="Times New Roman"/>
                <w:b/>
                <w:bCs/>
                <w:color w:val="auto"/>
                <w:sz w:val="24"/>
                <w:szCs w:val="20"/>
                <w:highlight w:val="none"/>
                <w:lang w:bidi="zh-CN"/>
              </w:rPr>
            </w:pPr>
            <w:r>
              <w:rPr>
                <w:rFonts w:hint="eastAsia" w:ascii="宋体" w:hAnsi="Times New Roman" w:cs="Times New Roman"/>
                <w:b/>
                <w:bCs/>
                <w:color w:val="auto"/>
                <w:sz w:val="24"/>
                <w:szCs w:val="20"/>
                <w:highlight w:val="none"/>
                <w:lang w:bidi="zh-CN"/>
              </w:rPr>
              <w:t>说明</w:t>
            </w:r>
          </w:p>
        </w:tc>
        <w:tc>
          <w:tcPr>
            <w:tcW w:w="7874" w:type="dxa"/>
            <w:gridSpan w:val="3"/>
            <w:tcBorders>
              <w:bottom w:val="single" w:color="auto" w:sz="4" w:space="0"/>
            </w:tcBorders>
            <w:vAlign w:val="center"/>
          </w:tcPr>
          <w:p>
            <w:pPr>
              <w:spacing w:before="0" w:beforeAutospacing="0" w:after="0" w:afterAutospacing="0" w:line="312" w:lineRule="auto"/>
              <w:ind w:left="0" w:right="0"/>
              <w:rPr>
                <w:rFonts w:hint="eastAsia" w:ascii="宋体" w:hAnsi="宋体" w:cs="宋体"/>
                <w:color w:val="auto"/>
                <w:sz w:val="24"/>
                <w:szCs w:val="20"/>
                <w:highlight w:val="none"/>
              </w:rPr>
            </w:pPr>
            <w:r>
              <w:rPr>
                <w:rFonts w:hint="eastAsia" w:ascii="宋体" w:hAnsi="宋体" w:cs="宋体"/>
                <w:color w:val="auto"/>
                <w:sz w:val="24"/>
                <w:szCs w:val="20"/>
                <w:highlight w:val="none"/>
              </w:rPr>
              <w:t>1、本表格人员配置为各标项数量的最低要求；投标人需提供人员配备承诺书，如中标前不具有相关人员，则承诺中标后10个工作内补齐不足人员（承诺书格式后附，内容自拟）。</w:t>
            </w:r>
          </w:p>
          <w:p>
            <w:pPr>
              <w:spacing w:before="0" w:beforeAutospacing="0" w:after="0" w:afterAutospacing="0" w:line="312" w:lineRule="auto"/>
              <w:ind w:left="0" w:right="0"/>
              <w:rPr>
                <w:rFonts w:hint="eastAsia" w:ascii="宋体" w:hAnsi="宋体" w:cs="宋体"/>
                <w:color w:val="auto"/>
                <w:sz w:val="24"/>
                <w:szCs w:val="20"/>
                <w:highlight w:val="none"/>
              </w:rPr>
            </w:pPr>
            <w:r>
              <w:rPr>
                <w:rFonts w:hint="eastAsia" w:ascii="宋体" w:hAnsi="宋体" w:cs="宋体"/>
                <w:color w:val="auto"/>
                <w:sz w:val="24"/>
                <w:szCs w:val="20"/>
                <w:highlight w:val="none"/>
              </w:rPr>
              <w:t>2服务项目管理及服务人员根据投标方案自行配备。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before="0" w:beforeAutospacing="0" w:after="0" w:afterAutospacing="0" w:line="460" w:lineRule="atLeast"/>
              <w:ind w:left="0" w:right="0"/>
              <w:rPr>
                <w:rFonts w:hint="eastAsia" w:ascii="宋体" w:hAnsi="Times New Roman" w:cs="Times New Roman"/>
                <w:color w:val="auto"/>
                <w:sz w:val="24"/>
                <w:szCs w:val="20"/>
                <w:highlight w:val="none"/>
                <w:lang w:bidi="zh-CN"/>
              </w:rPr>
            </w:pPr>
          </w:p>
        </w:tc>
        <w:tc>
          <w:tcPr>
            <w:tcW w:w="7874" w:type="dxa"/>
            <w:gridSpan w:val="3"/>
            <w:tcBorders>
              <w:top w:val="single" w:color="auto" w:sz="4" w:space="0"/>
              <w:bottom w:val="single" w:color="auto" w:sz="4" w:space="0"/>
            </w:tcBorders>
            <w:vAlign w:val="center"/>
          </w:tcPr>
          <w:p>
            <w:pPr>
              <w:spacing w:before="0" w:beforeAutospacing="0" w:after="0" w:afterAutospacing="0" w:line="312" w:lineRule="auto"/>
              <w:ind w:left="0" w:right="0"/>
              <w:rPr>
                <w:rFonts w:hint="eastAsia" w:ascii="宋体" w:hAnsi="宋体" w:cs="宋体"/>
                <w:color w:val="auto"/>
                <w:sz w:val="24"/>
                <w:szCs w:val="20"/>
                <w:highlight w:val="none"/>
              </w:rPr>
            </w:pPr>
            <w:r>
              <w:rPr>
                <w:rFonts w:hint="eastAsia" w:ascii="宋体" w:hAnsi="宋体" w:cs="宋体"/>
                <w:color w:val="auto"/>
                <w:sz w:val="24"/>
                <w:szCs w:val="20"/>
                <w:highlight w:val="none"/>
              </w:rPr>
              <w:t>3、上表所需人员均由中标人负责招聘、落实，并依法签订劳动合同，严禁招聘超龄人员或未成年人员或无自主劳动能力人员；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before="0" w:beforeAutospacing="0" w:after="0" w:afterAutospacing="0" w:line="460" w:lineRule="atLeast"/>
              <w:ind w:left="0" w:right="0"/>
              <w:rPr>
                <w:rFonts w:hint="eastAsia" w:ascii="宋体" w:hAnsi="Times New Roman" w:cs="Times New Roman"/>
                <w:color w:val="auto"/>
                <w:sz w:val="24"/>
                <w:szCs w:val="20"/>
                <w:highlight w:val="none"/>
                <w:lang w:bidi="zh-CN"/>
              </w:rPr>
            </w:pPr>
          </w:p>
        </w:tc>
        <w:tc>
          <w:tcPr>
            <w:tcW w:w="7874" w:type="dxa"/>
            <w:gridSpan w:val="3"/>
            <w:tcBorders>
              <w:top w:val="single" w:color="auto" w:sz="4" w:space="0"/>
              <w:bottom w:val="single" w:color="auto" w:sz="4" w:space="0"/>
            </w:tcBorders>
            <w:vAlign w:val="center"/>
          </w:tcPr>
          <w:p>
            <w:pPr>
              <w:spacing w:before="0" w:beforeAutospacing="0" w:after="0" w:afterAutospacing="0" w:line="312" w:lineRule="auto"/>
              <w:ind w:left="0" w:right="0"/>
              <w:rPr>
                <w:rFonts w:hint="eastAsia" w:ascii="宋体" w:hAnsi="宋体" w:cs="宋体"/>
                <w:color w:val="auto"/>
                <w:sz w:val="24"/>
                <w:szCs w:val="20"/>
                <w:highlight w:val="none"/>
              </w:rPr>
            </w:pPr>
            <w:r>
              <w:rPr>
                <w:rFonts w:hint="eastAsia" w:ascii="宋体" w:hAnsi="宋体" w:cs="宋体"/>
                <w:color w:val="auto"/>
                <w:sz w:val="24"/>
                <w:szCs w:val="20"/>
                <w:highlight w:val="none"/>
              </w:rPr>
              <w:t>4、中标人应依法缴纳社会保障；依法办理社会保险（除必须的养老保险外，还应包括第三者责任保险和员工人身意外保险）；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before="0" w:beforeAutospacing="0" w:after="0" w:afterAutospacing="0" w:line="460" w:lineRule="atLeast"/>
              <w:ind w:left="0" w:right="0"/>
              <w:rPr>
                <w:rFonts w:hint="eastAsia" w:ascii="宋体" w:hAnsi="Times New Roman" w:cs="Times New Roman"/>
                <w:color w:val="auto"/>
                <w:sz w:val="24"/>
                <w:szCs w:val="20"/>
                <w:highlight w:val="none"/>
                <w:lang w:bidi="zh-CN"/>
              </w:rPr>
            </w:pPr>
          </w:p>
        </w:tc>
        <w:tc>
          <w:tcPr>
            <w:tcW w:w="7874" w:type="dxa"/>
            <w:gridSpan w:val="3"/>
            <w:tcBorders>
              <w:top w:val="single" w:color="auto" w:sz="4" w:space="0"/>
            </w:tcBorders>
            <w:vAlign w:val="center"/>
          </w:tcPr>
          <w:p>
            <w:pPr>
              <w:spacing w:before="0" w:beforeAutospacing="0" w:after="0" w:afterAutospacing="0" w:line="312" w:lineRule="auto"/>
              <w:ind w:left="0" w:right="0"/>
              <w:rPr>
                <w:rFonts w:hint="eastAsia" w:ascii="宋体" w:hAnsi="宋体" w:cs="宋体"/>
                <w:color w:val="auto"/>
                <w:sz w:val="24"/>
                <w:szCs w:val="20"/>
                <w:highlight w:val="none"/>
              </w:rPr>
            </w:pPr>
            <w:r>
              <w:rPr>
                <w:rFonts w:hint="eastAsia" w:ascii="宋体" w:hAnsi="宋体" w:cs="宋体"/>
                <w:color w:val="auto"/>
                <w:sz w:val="24"/>
                <w:szCs w:val="20"/>
                <w:highlight w:val="none"/>
              </w:rPr>
              <w:t>5、中标人应严格执行轮休、加班及高温补贴政策，按相关规定标准补贴；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597" w:hRule="atLeast"/>
          <w:jc w:val="center"/>
        </w:trPr>
        <w:tc>
          <w:tcPr>
            <w:tcW w:w="975" w:type="dxa"/>
            <w:vMerge w:val="continue"/>
            <w:vAlign w:val="center"/>
          </w:tcPr>
          <w:p>
            <w:pPr>
              <w:snapToGrid w:val="0"/>
              <w:spacing w:before="0" w:beforeAutospacing="0" w:after="0" w:afterAutospacing="0" w:line="460" w:lineRule="atLeast"/>
              <w:ind w:left="0" w:right="0"/>
              <w:rPr>
                <w:rFonts w:hint="eastAsia" w:ascii="宋体" w:hAnsi="Times New Roman" w:cs="Times New Roman"/>
                <w:color w:val="auto"/>
                <w:sz w:val="24"/>
                <w:szCs w:val="20"/>
                <w:highlight w:val="none"/>
                <w:lang w:bidi="zh-CN"/>
              </w:rPr>
            </w:pPr>
          </w:p>
        </w:tc>
        <w:tc>
          <w:tcPr>
            <w:tcW w:w="7874" w:type="dxa"/>
            <w:gridSpan w:val="3"/>
            <w:tcBorders>
              <w:top w:val="single" w:color="auto" w:sz="4" w:space="0"/>
            </w:tcBorders>
            <w:vAlign w:val="center"/>
          </w:tcPr>
          <w:p>
            <w:pPr>
              <w:spacing w:before="0" w:beforeAutospacing="0" w:after="0" w:afterAutospacing="0" w:line="312" w:lineRule="auto"/>
              <w:ind w:left="0" w:right="0"/>
              <w:rPr>
                <w:rFonts w:hint="eastAsia" w:ascii="宋体" w:hAnsi="宋体" w:cs="宋体"/>
                <w:color w:val="auto"/>
                <w:sz w:val="24"/>
                <w:szCs w:val="20"/>
                <w:highlight w:val="none"/>
              </w:rPr>
            </w:pPr>
            <w:r>
              <w:rPr>
                <w:rFonts w:hint="eastAsia" w:ascii="宋体" w:hAnsi="宋体" w:cs="宋体"/>
                <w:color w:val="auto"/>
                <w:sz w:val="24"/>
                <w:szCs w:val="20"/>
                <w:highlight w:val="none"/>
              </w:rPr>
              <w:t>6、中标后实际配置的工作人员需经采购审核通过，否则招标人有权终止合同；其中项目负责人（专职管理人员）需持社工证且从业</w:t>
            </w:r>
            <w:r>
              <w:rPr>
                <w:rFonts w:hint="eastAsia" w:ascii="宋体" w:hAnsi="宋体" w:cs="宋体"/>
                <w:color w:val="auto"/>
                <w:sz w:val="24"/>
                <w:szCs w:val="20"/>
                <w:highlight w:val="none"/>
                <w:lang w:val="en-US" w:eastAsia="zh-CN"/>
              </w:rPr>
              <w:t>2</w:t>
            </w:r>
            <w:r>
              <w:rPr>
                <w:rFonts w:hint="eastAsia" w:ascii="宋体" w:hAnsi="宋体" w:cs="宋体"/>
                <w:color w:val="auto"/>
                <w:sz w:val="24"/>
                <w:szCs w:val="20"/>
                <w:highlight w:val="none"/>
              </w:rPr>
              <w:t>年及以上。</w:t>
            </w:r>
          </w:p>
        </w:tc>
      </w:tr>
    </w:tbl>
    <w:p>
      <w:pPr>
        <w:pStyle w:val="62"/>
        <w:numPr>
          <w:ilvl w:val="0"/>
          <w:numId w:val="0"/>
        </w:numPr>
        <w:rPr>
          <w:rFonts w:hint="eastAsia"/>
          <w:b/>
          <w:bCs/>
          <w:color w:val="auto"/>
          <w:sz w:val="28"/>
          <w:szCs w:val="36"/>
        </w:rPr>
      </w:pPr>
      <w:r>
        <w:rPr>
          <w:rFonts w:hint="eastAsia"/>
          <w:b/>
          <w:bCs/>
          <w:color w:val="auto"/>
          <w:sz w:val="28"/>
          <w:szCs w:val="36"/>
        </w:rPr>
        <w:t xml:space="preserve">  </w:t>
      </w:r>
    </w:p>
    <w:p>
      <w:pPr>
        <w:pStyle w:val="62"/>
        <w:numPr>
          <w:ilvl w:val="0"/>
          <w:numId w:val="1"/>
        </w:numPr>
        <w:ind w:left="210" w:leftChars="0" w:firstLineChars="0"/>
        <w:rPr>
          <w:rFonts w:hint="eastAsia"/>
          <w:b/>
          <w:bCs/>
          <w:color w:val="auto"/>
          <w:sz w:val="24"/>
          <w:highlight w:val="none"/>
          <w:lang w:val="en-US" w:eastAsia="zh-CN"/>
        </w:rPr>
      </w:pPr>
      <w:r>
        <w:rPr>
          <w:rFonts w:hint="eastAsia"/>
          <w:b/>
          <w:bCs/>
          <w:color w:val="auto"/>
          <w:sz w:val="24"/>
          <w:highlight w:val="none"/>
          <w:lang w:val="en-US" w:eastAsia="zh-CN"/>
        </w:rPr>
        <w:t>开放要求</w:t>
      </w:r>
    </w:p>
    <w:p>
      <w:pPr>
        <w:pStyle w:val="62"/>
        <w:numPr>
          <w:ilvl w:val="0"/>
          <w:numId w:val="0"/>
        </w:numPr>
        <w:ind w:leftChars="400"/>
        <w:rPr>
          <w:rFonts w:hint="default"/>
          <w:b w:val="0"/>
          <w:bCs w:val="0"/>
          <w:color w:val="auto"/>
          <w:sz w:val="24"/>
          <w:highlight w:val="none"/>
          <w:lang w:val="en-US" w:eastAsia="zh-CN"/>
        </w:rPr>
      </w:pPr>
      <w:r>
        <w:rPr>
          <w:rFonts w:hint="eastAsia"/>
          <w:b w:val="0"/>
          <w:bCs w:val="0"/>
          <w:color w:val="auto"/>
          <w:sz w:val="24"/>
          <w:highlight w:val="none"/>
          <w:lang w:val="en-US" w:eastAsia="zh-CN"/>
        </w:rPr>
        <w:t>开放时间每天不少于9小时，开放时间：8：30-17：30，周末全天开放（</w:t>
      </w:r>
      <w:r>
        <w:rPr>
          <w:rFonts w:hint="eastAsia" w:ascii="宋体" w:hAnsi="宋体" w:cs="宋体"/>
          <w:color w:val="auto"/>
          <w:sz w:val="24"/>
          <w:highlight w:val="none"/>
          <w:lang w:eastAsia="zh-CN"/>
        </w:rPr>
        <w:t>国定公休假期的开放时间根据采购方另行通知</w:t>
      </w:r>
      <w:r>
        <w:rPr>
          <w:rFonts w:hint="eastAsia"/>
          <w:b w:val="0"/>
          <w:bCs w:val="0"/>
          <w:color w:val="auto"/>
          <w:sz w:val="24"/>
          <w:highlight w:val="none"/>
          <w:lang w:val="en-US" w:eastAsia="zh-CN"/>
        </w:rPr>
        <w:t>）</w:t>
      </w:r>
    </w:p>
    <w:p>
      <w:pPr>
        <w:pStyle w:val="27"/>
        <w:rPr>
          <w:rFonts w:hint="eastAsia"/>
          <w:lang w:val="en-US" w:eastAsia="zh-CN"/>
        </w:rPr>
      </w:pP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3、考核依据及要求</w:t>
      </w:r>
    </w:p>
    <w:p>
      <w:pPr>
        <w:pStyle w:val="62"/>
        <w:numPr>
          <w:ilvl w:val="0"/>
          <w:numId w:val="2"/>
        </w:numPr>
        <w:ind w:left="420" w:leftChars="0" w:firstLine="0" w:firstLine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除每层功能性任务外需做好创建工作及完成考核任务，做好宣传推广活动；</w:t>
      </w:r>
    </w:p>
    <w:p>
      <w:pPr>
        <w:pStyle w:val="62"/>
        <w:numPr>
          <w:ilvl w:val="0"/>
          <w:numId w:val="2"/>
        </w:numPr>
        <w:ind w:left="420" w:leftChars="0" w:firstLine="0" w:firstLineChars="0"/>
        <w:rPr>
          <w:rFonts w:hint="default"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考核要求参考上级下发考核标准及要求或创建参考标准体系；</w:t>
      </w:r>
    </w:p>
    <w:p>
      <w:pPr>
        <w:pStyle w:val="26"/>
        <w:numPr>
          <w:ilvl w:val="0"/>
          <w:numId w:val="0"/>
        </w:numPr>
        <w:rPr>
          <w:rFonts w:hint="default"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三、四至六楼服务需求</w:t>
      </w:r>
    </w:p>
    <w:p>
      <w:pPr>
        <w:pStyle w:val="62"/>
        <w:numPr>
          <w:ilvl w:val="0"/>
          <w:numId w:val="0"/>
        </w:numPr>
        <w:ind w:left="420" w:leftChars="0"/>
        <w:rPr>
          <w:rFonts w:hint="eastAsia" w:cs="Times New Roman"/>
          <w:b/>
          <w:bCs/>
          <w:color w:val="auto"/>
          <w:kern w:val="2"/>
          <w:sz w:val="24"/>
          <w:szCs w:val="24"/>
          <w:highlight w:val="none"/>
          <w:lang w:val="en-US" w:eastAsia="zh-CN" w:bidi="ar-SA"/>
        </w:rPr>
      </w:pPr>
    </w:p>
    <w:p>
      <w:pPr>
        <w:pStyle w:val="62"/>
        <w:numPr>
          <w:ilvl w:val="0"/>
          <w:numId w:val="0"/>
        </w:numPr>
        <w:ind w:left="420" w:leftChars="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（一)、儿童之家：</w:t>
      </w:r>
    </w:p>
    <w:p>
      <w:pPr>
        <w:pStyle w:val="62"/>
        <w:numPr>
          <w:ilvl w:val="0"/>
          <w:numId w:val="0"/>
        </w:numPr>
        <w:ind w:left="420" w:leftChars="0"/>
        <w:rPr>
          <w:rFonts w:hint="default"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1、服务内容：</w:t>
      </w:r>
    </w:p>
    <w:p>
      <w:pPr>
        <w:pStyle w:val="62"/>
        <w:numPr>
          <w:ilvl w:val="0"/>
          <w:numId w:val="0"/>
        </w:numPr>
        <w:ind w:left="420" w:left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r>
        <w:rPr>
          <w:rFonts w:hint="default" w:ascii="宋体" w:hAnsi="宋体" w:eastAsia="宋体" w:cs="Times New Roman"/>
          <w:color w:val="auto"/>
          <w:kern w:val="2"/>
          <w:sz w:val="24"/>
          <w:szCs w:val="24"/>
          <w:highlight w:val="none"/>
          <w:lang w:val="en-US" w:eastAsia="zh-CN" w:bidi="ar-SA"/>
        </w:rPr>
        <w:t>根据场地功能布局能满足儿童室外文体活动需要；</w:t>
      </w:r>
    </w:p>
    <w:p>
      <w:pPr>
        <w:pStyle w:val="62"/>
        <w:numPr>
          <w:ilvl w:val="0"/>
          <w:numId w:val="0"/>
        </w:numPr>
        <w:ind w:left="420" w:leftChars="0"/>
        <w:rPr>
          <w:rFonts w:hint="default" w:ascii="宋体" w:hAnsi="宋体" w:eastAsia="宋体" w:cs="Times New Roman"/>
          <w:color w:val="FF0000"/>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r>
        <w:rPr>
          <w:rFonts w:hint="default" w:ascii="宋体" w:hAnsi="宋体" w:eastAsia="宋体" w:cs="Times New Roman"/>
          <w:color w:val="auto"/>
          <w:kern w:val="2"/>
          <w:sz w:val="24"/>
          <w:szCs w:val="24"/>
          <w:highlight w:val="none"/>
          <w:lang w:val="en-US" w:eastAsia="zh-CN" w:bidi="ar-SA"/>
        </w:rPr>
        <w:t>对现有设备、各年龄段儿童使用的文体用品、授课设施、科普器材等进行定期</w:t>
      </w:r>
      <w:r>
        <w:rPr>
          <w:rFonts w:hint="eastAsia" w:ascii="宋体" w:hAnsi="宋体" w:eastAsia="宋体" w:cs="Times New Roman"/>
          <w:color w:val="auto"/>
          <w:kern w:val="2"/>
          <w:sz w:val="24"/>
          <w:szCs w:val="24"/>
          <w:highlight w:val="none"/>
          <w:lang w:val="en-US" w:eastAsia="zh-CN" w:bidi="ar-SA"/>
        </w:rPr>
        <w:t>维护</w:t>
      </w:r>
      <w:r>
        <w:rPr>
          <w:rFonts w:hint="default" w:ascii="宋体" w:hAnsi="宋体" w:eastAsia="宋体" w:cs="Times New Roman"/>
          <w:color w:val="auto"/>
          <w:kern w:val="2"/>
          <w:sz w:val="24"/>
          <w:szCs w:val="24"/>
          <w:highlight w:val="none"/>
          <w:lang w:val="en-US" w:eastAsia="zh-CN" w:bidi="ar-SA"/>
        </w:rPr>
        <w:t>、更新</w:t>
      </w:r>
      <w:r>
        <w:rPr>
          <w:rFonts w:hint="eastAsia" w:ascii="宋体" w:hAnsi="宋体" w:eastAsia="宋体" w:cs="Times New Roman"/>
          <w:color w:val="auto"/>
          <w:kern w:val="2"/>
          <w:sz w:val="24"/>
          <w:szCs w:val="24"/>
          <w:highlight w:val="none"/>
          <w:lang w:val="en-US" w:eastAsia="zh-CN" w:bidi="ar-SA"/>
        </w:rPr>
        <w:t>，其中儿童图书及期刊、报纸等（要求有300册以上并有清单明细）</w:t>
      </w:r>
      <w:r>
        <w:rPr>
          <w:rFonts w:hint="eastAsia" w:cs="Times New Roman"/>
          <w:color w:val="auto"/>
          <w:kern w:val="2"/>
          <w:sz w:val="24"/>
          <w:szCs w:val="24"/>
          <w:highlight w:val="none"/>
          <w:lang w:val="en-US" w:eastAsia="zh-CN" w:bidi="ar-SA"/>
        </w:rPr>
        <w:t>针对现有</w:t>
      </w:r>
      <w:r>
        <w:rPr>
          <w:rFonts w:hint="eastAsia" w:ascii="宋体" w:hAnsi="宋体" w:eastAsia="宋体" w:cs="Times New Roman"/>
          <w:color w:val="auto"/>
          <w:kern w:val="2"/>
          <w:sz w:val="24"/>
          <w:szCs w:val="24"/>
          <w:highlight w:val="none"/>
          <w:lang w:val="en-US" w:eastAsia="zh-CN" w:bidi="ar-SA"/>
        </w:rPr>
        <w:t>儿童图书及期刊、报纸等</w:t>
      </w:r>
      <w:r>
        <w:rPr>
          <w:rFonts w:hint="eastAsia" w:cs="Times New Roman"/>
          <w:color w:val="auto"/>
          <w:kern w:val="2"/>
          <w:sz w:val="24"/>
          <w:szCs w:val="24"/>
          <w:highlight w:val="none"/>
          <w:lang w:val="en-US" w:eastAsia="zh-CN" w:bidi="ar-SA"/>
        </w:rPr>
        <w:t>进行整理及补充，运营期间缺失需进行照价赔偿</w:t>
      </w:r>
      <w:r>
        <w:rPr>
          <w:rFonts w:hint="default" w:ascii="宋体" w:hAnsi="宋体" w:eastAsia="宋体" w:cs="Times New Roman"/>
          <w:color w:val="auto"/>
          <w:kern w:val="2"/>
          <w:sz w:val="24"/>
          <w:szCs w:val="24"/>
          <w:highlight w:val="none"/>
          <w:lang w:val="en-US" w:eastAsia="zh-CN" w:bidi="ar-SA"/>
        </w:rPr>
        <w:t>；</w:t>
      </w:r>
    </w:p>
    <w:p>
      <w:pPr>
        <w:pStyle w:val="62"/>
        <w:numPr>
          <w:ilvl w:val="0"/>
          <w:numId w:val="0"/>
        </w:numPr>
        <w:ind w:left="420" w:left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w:t>
      </w:r>
      <w:r>
        <w:rPr>
          <w:rFonts w:hint="default" w:ascii="宋体" w:hAnsi="宋体" w:eastAsia="宋体" w:cs="Times New Roman"/>
          <w:color w:val="auto"/>
          <w:kern w:val="2"/>
          <w:sz w:val="24"/>
          <w:szCs w:val="24"/>
          <w:highlight w:val="none"/>
          <w:lang w:val="en-US" w:eastAsia="zh-CN" w:bidi="ar-SA"/>
        </w:rPr>
        <w:t>心理咨询室配备专业心理咨询师定期服务；</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w:t>
      </w:r>
      <w:r>
        <w:rPr>
          <w:rFonts w:hint="default" w:ascii="宋体" w:hAnsi="宋体" w:eastAsia="宋体" w:cs="Times New Roman"/>
          <w:color w:val="auto"/>
          <w:kern w:val="2"/>
          <w:sz w:val="24"/>
          <w:szCs w:val="24"/>
          <w:highlight w:val="none"/>
          <w:lang w:val="en-US" w:eastAsia="zh-CN" w:bidi="ar-SA"/>
        </w:rPr>
        <w:t>日常管理和运作，广泛吸纳村(社区)党员干部、女性委员、</w:t>
      </w:r>
      <w:r>
        <w:rPr>
          <w:rFonts w:hint="eastAsia" w:ascii="宋体" w:hAnsi="宋体" w:eastAsia="宋体" w:cs="Times New Roman"/>
          <w:color w:val="auto"/>
          <w:kern w:val="2"/>
          <w:sz w:val="24"/>
          <w:szCs w:val="24"/>
          <w:highlight w:val="none"/>
          <w:lang w:val="en-US" w:eastAsia="zh-CN" w:bidi="ar-SA"/>
        </w:rPr>
        <w:t>妇女干部、</w:t>
      </w:r>
      <w:r>
        <w:rPr>
          <w:rFonts w:hint="default" w:ascii="宋体" w:hAnsi="宋体" w:eastAsia="宋体" w:cs="Times New Roman"/>
          <w:color w:val="auto"/>
          <w:kern w:val="2"/>
          <w:sz w:val="24"/>
          <w:szCs w:val="24"/>
          <w:highlight w:val="none"/>
          <w:lang w:val="en-US" w:eastAsia="zh-CN" w:bidi="ar-SA"/>
        </w:rPr>
        <w:t>“五老”人员、</w:t>
      </w:r>
      <w:r>
        <w:rPr>
          <w:rFonts w:hint="eastAsia" w:ascii="宋体" w:hAnsi="宋体" w:eastAsia="宋体" w:cs="Times New Roman"/>
          <w:color w:val="auto"/>
          <w:kern w:val="2"/>
          <w:sz w:val="24"/>
          <w:szCs w:val="24"/>
          <w:highlight w:val="none"/>
          <w:lang w:val="en-US" w:eastAsia="zh-CN" w:bidi="ar-SA"/>
        </w:rPr>
        <w:t>教师、大学生、</w:t>
      </w:r>
      <w:r>
        <w:rPr>
          <w:rFonts w:hint="default" w:ascii="宋体" w:hAnsi="宋体" w:eastAsia="宋体" w:cs="Times New Roman"/>
          <w:color w:val="auto"/>
          <w:kern w:val="2"/>
          <w:sz w:val="24"/>
          <w:szCs w:val="24"/>
          <w:highlight w:val="none"/>
          <w:lang w:val="en-US" w:eastAsia="zh-CN" w:bidi="ar-SA"/>
        </w:rPr>
        <w:t>留守妇女、志愿者、社会组织等，组建</w:t>
      </w:r>
      <w:r>
        <w:rPr>
          <w:rFonts w:hint="eastAsia" w:ascii="宋体" w:hAnsi="宋体" w:eastAsia="宋体" w:cs="Times New Roman"/>
          <w:color w:val="auto"/>
          <w:kern w:val="2"/>
          <w:sz w:val="24"/>
          <w:szCs w:val="24"/>
          <w:highlight w:val="none"/>
          <w:lang w:val="en-US" w:eastAsia="zh-CN" w:bidi="ar-SA"/>
        </w:rPr>
        <w:t>热心、熟悉并善于开展儿童工作</w:t>
      </w:r>
      <w:r>
        <w:rPr>
          <w:rFonts w:hint="default" w:ascii="宋体" w:hAnsi="宋体" w:eastAsia="宋体" w:cs="Times New Roman"/>
          <w:color w:val="auto"/>
          <w:kern w:val="2"/>
          <w:sz w:val="24"/>
          <w:szCs w:val="24"/>
          <w:highlight w:val="none"/>
          <w:lang w:val="en-US" w:eastAsia="zh-CN" w:bidi="ar-SA"/>
        </w:rPr>
        <w:t>的</w:t>
      </w:r>
      <w:r>
        <w:rPr>
          <w:rFonts w:hint="eastAsia" w:ascii="宋体" w:hAnsi="宋体" w:eastAsia="宋体" w:cs="Times New Roman"/>
          <w:color w:val="auto"/>
          <w:kern w:val="2"/>
          <w:sz w:val="24"/>
          <w:szCs w:val="24"/>
          <w:highlight w:val="none"/>
          <w:lang w:val="en-US" w:eastAsia="zh-CN" w:bidi="ar-SA"/>
        </w:rPr>
        <w:t>志愿</w:t>
      </w:r>
      <w:r>
        <w:rPr>
          <w:rFonts w:hint="default" w:ascii="宋体" w:hAnsi="宋体" w:eastAsia="宋体" w:cs="Times New Roman"/>
          <w:color w:val="auto"/>
          <w:kern w:val="2"/>
          <w:sz w:val="24"/>
          <w:szCs w:val="24"/>
          <w:highlight w:val="none"/>
          <w:lang w:val="en-US" w:eastAsia="zh-CN" w:bidi="ar-SA"/>
        </w:rPr>
        <w:t>服务队伍，共同参与儿童之家的日常管理和维护</w:t>
      </w:r>
      <w:r>
        <w:rPr>
          <w:rFonts w:hint="eastAsia" w:ascii="宋体" w:hAnsi="宋体" w:eastAsia="宋体" w:cs="Times New Roman"/>
          <w:color w:val="auto"/>
          <w:kern w:val="2"/>
          <w:sz w:val="24"/>
          <w:szCs w:val="24"/>
          <w:highlight w:val="none"/>
          <w:lang w:val="en-US" w:eastAsia="zh-CN" w:bidi="ar-SA"/>
        </w:rPr>
        <w:t>；</w:t>
      </w:r>
    </w:p>
    <w:p>
      <w:pPr>
        <w:pStyle w:val="62"/>
        <w:numPr>
          <w:ilvl w:val="0"/>
          <w:numId w:val="0"/>
        </w:numPr>
        <w:ind w:left="420" w:left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（5）通过一定渠道和方式公布服务时间和内容；</w:t>
      </w:r>
      <w:r>
        <w:rPr>
          <w:rFonts w:hint="default" w:ascii="宋体" w:hAnsi="宋体" w:eastAsia="宋体" w:cs="Times New Roman"/>
          <w:color w:val="auto"/>
          <w:kern w:val="2"/>
          <w:sz w:val="24"/>
          <w:szCs w:val="24"/>
          <w:highlight w:val="none"/>
          <w:lang w:val="en-US" w:eastAsia="zh-CN" w:bidi="ar-SA"/>
        </w:rPr>
        <w:t>平均每月开展不少于</w:t>
      </w:r>
      <w:r>
        <w:rPr>
          <w:rFonts w:hint="eastAsia" w:cs="Times New Roman"/>
          <w:color w:val="auto"/>
          <w:kern w:val="2"/>
          <w:sz w:val="24"/>
          <w:szCs w:val="24"/>
          <w:highlight w:val="none"/>
          <w:lang w:val="en-US" w:eastAsia="zh-CN" w:bidi="ar-SA"/>
        </w:rPr>
        <w:t>4</w:t>
      </w:r>
      <w:r>
        <w:rPr>
          <w:rFonts w:hint="default" w:ascii="宋体" w:hAnsi="宋体" w:eastAsia="宋体" w:cs="Times New Roman"/>
          <w:color w:val="auto"/>
          <w:kern w:val="2"/>
          <w:sz w:val="24"/>
          <w:szCs w:val="24"/>
          <w:highlight w:val="none"/>
          <w:lang w:val="en-US" w:eastAsia="zh-CN" w:bidi="ar-SA"/>
        </w:rPr>
        <w:t>次主题宣传教育实践活动，并对活动开展情况及时记录，服务覆盖所在村（社区）80％ 以上的留守儿童、困境儿童</w:t>
      </w:r>
      <w:r>
        <w:rPr>
          <w:rFonts w:hint="eastAsia" w:ascii="宋体" w:hAnsi="宋体" w:eastAsia="宋体" w:cs="Times New Roman"/>
          <w:color w:val="auto"/>
          <w:kern w:val="2"/>
          <w:sz w:val="24"/>
          <w:szCs w:val="24"/>
          <w:highlight w:val="none"/>
          <w:lang w:val="en-US" w:eastAsia="zh-CN" w:bidi="ar-SA"/>
        </w:rPr>
        <w:t>；</w:t>
      </w:r>
    </w:p>
    <w:p>
      <w:pPr>
        <w:pStyle w:val="62"/>
        <w:numPr>
          <w:ilvl w:val="0"/>
          <w:numId w:val="0"/>
        </w:numPr>
        <w:ind w:left="420" w:left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（6）紧扣儿童和家庭需求，创建特色品牌活动</w:t>
      </w:r>
      <w:r>
        <w:rPr>
          <w:rFonts w:hint="default" w:ascii="宋体" w:hAnsi="宋体" w:eastAsia="宋体" w:cs="Times New Roman"/>
          <w:color w:val="auto"/>
          <w:kern w:val="2"/>
          <w:sz w:val="24"/>
          <w:szCs w:val="24"/>
          <w:highlight w:val="none"/>
          <w:lang w:val="en-US" w:eastAsia="zh-CN" w:bidi="ar-SA"/>
        </w:rPr>
        <w:t>，针对特殊家庭开展个性化帮扶。充分运用互联网、新媒体手段，扩大儿童之家服务范围和影响力</w:t>
      </w:r>
      <w:r>
        <w:rPr>
          <w:rFonts w:hint="eastAsia" w:ascii="宋体" w:hAnsi="宋体" w:eastAsia="宋体" w:cs="Times New Roman"/>
          <w:color w:val="auto"/>
          <w:kern w:val="2"/>
          <w:sz w:val="24"/>
          <w:szCs w:val="24"/>
          <w:highlight w:val="none"/>
          <w:lang w:val="en-US" w:eastAsia="zh-CN" w:bidi="ar-SA"/>
        </w:rPr>
        <w:t>；</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w:t>
      </w:r>
      <w:r>
        <w:rPr>
          <w:rFonts w:hint="default" w:ascii="宋体" w:hAnsi="宋体" w:eastAsia="宋体" w:cs="Times New Roman"/>
          <w:color w:val="auto"/>
          <w:kern w:val="2"/>
          <w:sz w:val="24"/>
          <w:szCs w:val="24"/>
          <w:highlight w:val="none"/>
          <w:lang w:val="en-US" w:eastAsia="zh-CN" w:bidi="ar-SA"/>
        </w:rPr>
        <w:t>建立健全儿童之家管理制度、运行制度、志愿服务制度等。建立健全儿童分类档案，了解儿童及家长的基本情况，开展农村留守儿童和困境儿童保护服务，留存服务照片与文字资料。每年工作有计划、有活动、有总结。充分利用专业社会组织和社会资源参与儿童之家的管理和服务</w:t>
      </w:r>
      <w:r>
        <w:rPr>
          <w:rFonts w:hint="eastAsia" w:ascii="宋体" w:hAnsi="宋体" w:eastAsia="宋体" w:cs="Times New Roman"/>
          <w:color w:val="auto"/>
          <w:kern w:val="2"/>
          <w:sz w:val="24"/>
          <w:szCs w:val="24"/>
          <w:highlight w:val="none"/>
          <w:lang w:val="en-US" w:eastAsia="zh-CN" w:bidi="ar-SA"/>
        </w:rPr>
        <w:t>。</w:t>
      </w:r>
    </w:p>
    <w:p>
      <w:pPr>
        <w:pStyle w:val="62"/>
        <w:numPr>
          <w:ilvl w:val="0"/>
          <w:numId w:val="0"/>
        </w:numPr>
        <w:rPr>
          <w:rFonts w:hint="default" w:cs="Times New Roman"/>
          <w:b w:val="0"/>
          <w:bCs w:val="0"/>
          <w:color w:val="auto"/>
          <w:kern w:val="2"/>
          <w:sz w:val="24"/>
          <w:szCs w:val="24"/>
          <w:highlight w:val="none"/>
          <w:lang w:val="en-US" w:eastAsia="zh-CN" w:bidi="ar-SA"/>
        </w:rPr>
      </w:pPr>
    </w:p>
    <w:p>
      <w:pPr>
        <w:pStyle w:val="62"/>
        <w:numPr>
          <w:ilvl w:val="0"/>
          <w:numId w:val="0"/>
        </w:numPr>
        <w:ind w:left="420" w:leftChars="0"/>
        <w:rPr>
          <w:rFonts w:hint="eastAsia" w:cs="Times New Roman"/>
          <w:b/>
          <w:bCs/>
          <w:color w:val="auto"/>
          <w:kern w:val="2"/>
          <w:sz w:val="24"/>
          <w:szCs w:val="24"/>
          <w:highlight w:val="none"/>
          <w:lang w:val="en-US" w:eastAsia="zh-CN" w:bidi="ar-SA"/>
        </w:rPr>
      </w:pPr>
    </w:p>
    <w:p>
      <w:pPr>
        <w:pStyle w:val="62"/>
        <w:numPr>
          <w:ilvl w:val="0"/>
          <w:numId w:val="0"/>
        </w:numPr>
        <w:ind w:left="420" w:leftChars="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（二）、未成年人保护工作站</w:t>
      </w:r>
    </w:p>
    <w:p>
      <w:pPr>
        <w:pStyle w:val="62"/>
        <w:numPr>
          <w:ilvl w:val="0"/>
          <w:numId w:val="0"/>
        </w:numPr>
        <w:ind w:left="420" w:leftChars="0"/>
        <w:rPr>
          <w:rFonts w:hint="default"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1、服务内容：</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r>
        <w:rPr>
          <w:rFonts w:hint="default" w:ascii="宋体" w:hAnsi="宋体" w:eastAsia="宋体" w:cs="Times New Roman"/>
          <w:color w:val="auto"/>
          <w:kern w:val="2"/>
          <w:sz w:val="24"/>
          <w:szCs w:val="24"/>
          <w:highlight w:val="none"/>
          <w:lang w:val="en-US" w:eastAsia="zh-CN" w:bidi="ar-SA"/>
        </w:rPr>
        <w:t>根据场地功能布置符合未成年人身心特点</w:t>
      </w:r>
      <w:r>
        <w:rPr>
          <w:rFonts w:hint="eastAsia" w:ascii="宋体" w:hAnsi="宋体" w:eastAsia="宋体" w:cs="Times New Roman"/>
          <w:color w:val="auto"/>
          <w:kern w:val="2"/>
          <w:sz w:val="24"/>
          <w:szCs w:val="24"/>
          <w:highlight w:val="none"/>
          <w:lang w:val="en-US" w:eastAsia="zh-CN" w:bidi="ar-SA"/>
        </w:rPr>
        <w:t>及</w:t>
      </w:r>
      <w:r>
        <w:rPr>
          <w:rFonts w:hint="default" w:ascii="宋体" w:hAnsi="宋体" w:eastAsia="宋体" w:cs="Times New Roman"/>
          <w:color w:val="auto"/>
          <w:kern w:val="2"/>
          <w:sz w:val="24"/>
          <w:szCs w:val="24"/>
          <w:highlight w:val="none"/>
          <w:lang w:val="en-US" w:eastAsia="zh-CN" w:bidi="ar-SA"/>
        </w:rPr>
        <w:t>未成年人救助保护工作宣传氛围</w:t>
      </w:r>
      <w:r>
        <w:rPr>
          <w:rFonts w:hint="eastAsia" w:ascii="宋体" w:hAnsi="宋体" w:eastAsia="宋体" w:cs="Times New Roman"/>
          <w:color w:val="auto"/>
          <w:kern w:val="2"/>
          <w:sz w:val="24"/>
          <w:szCs w:val="24"/>
          <w:highlight w:val="none"/>
          <w:lang w:val="en-US" w:eastAsia="zh-CN" w:bidi="ar-SA"/>
        </w:rPr>
        <w:t>；</w:t>
      </w:r>
    </w:p>
    <w:p>
      <w:pPr>
        <w:pStyle w:val="62"/>
        <w:numPr>
          <w:ilvl w:val="0"/>
          <w:numId w:val="0"/>
        </w:numPr>
        <w:ind w:left="420" w:left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（2）对现有场地、设备设施进行运营、维护并根据需</w:t>
      </w:r>
      <w:r>
        <w:rPr>
          <w:rFonts w:hint="eastAsia" w:cs="Times New Roman"/>
          <w:color w:val="auto"/>
          <w:kern w:val="2"/>
          <w:sz w:val="24"/>
          <w:szCs w:val="24"/>
          <w:highlight w:val="none"/>
          <w:lang w:val="en-US" w:eastAsia="zh-CN" w:bidi="ar-SA"/>
        </w:rPr>
        <w:t>求</w:t>
      </w:r>
      <w:r>
        <w:rPr>
          <w:rFonts w:hint="eastAsia" w:ascii="宋体" w:hAnsi="宋体" w:eastAsia="宋体" w:cs="Times New Roman"/>
          <w:color w:val="auto"/>
          <w:kern w:val="2"/>
          <w:sz w:val="24"/>
          <w:szCs w:val="24"/>
          <w:highlight w:val="none"/>
          <w:lang w:val="en-US" w:eastAsia="zh-CN" w:bidi="ar-SA"/>
        </w:rPr>
        <w:t>更新；</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建立未保站管理（服务）团队组织架构、站长（副站长）、专职人员、兼职人员等团队架构明晰；至少配备1名专职人员负责日常运行，专职人员应具备社会工作或特殊教育或护理或心理健康或家庭教育指导等专业能力，专职人员应有合同、社保证明、考勤记录和相关工作痕迹；建立志愿者、专家人才和其他兼职人员服务队伍，以上人员每年需提供不少于6次服务，记录完整。专兼职人员和志愿者上岗前需经无违法犯罪记录查询后方可参与未成年人保护工作站各项工作；</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开展岗前培训，其中一般专职人员岗前培训不少于24小时，兼职人员（含志愿者等）岗前培训不少于8小时；工作人员每年参与未成年人救助保护政策法规、儿童社会工作、心理、养育等相关知识培训不少于1次；</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建立财务、人事、安全、档案、志愿者、社会组织等管理制度。建立符合《杭州市未成年人救助保护工作指引（试行)》要求的发现报告、受理、评估、干预保护、转介等具体工作流程（根据需要及时维护更新内容；运营单位同时要有单位内部的一整套完整制度）；</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（6）制定未成年人保护工作站建设运营工作规划</w:t>
      </w:r>
      <w:r>
        <w:rPr>
          <w:rFonts w:hint="eastAsia" w:cs="Times New Roman"/>
          <w:color w:val="auto"/>
          <w:kern w:val="2"/>
          <w:sz w:val="24"/>
          <w:szCs w:val="24"/>
          <w:highlight w:val="none"/>
          <w:lang w:val="en-US" w:eastAsia="zh-CN" w:bidi="ar-SA"/>
        </w:rPr>
        <w:t>，</w:t>
      </w:r>
      <w:r>
        <w:rPr>
          <w:rFonts w:hint="eastAsia" w:ascii="宋体" w:hAnsi="宋体" w:eastAsia="宋体" w:cs="Times New Roman"/>
          <w:color w:val="auto"/>
          <w:kern w:val="2"/>
          <w:sz w:val="24"/>
          <w:szCs w:val="24"/>
          <w:highlight w:val="none"/>
          <w:lang w:val="en-US" w:eastAsia="zh-CN" w:bidi="ar-SA"/>
        </w:rPr>
        <w:t>每年有工作计划和总结；详细制定未成年人保护工作站年度、月度工作计划。</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（7）为儿童督导员、儿童主任每年至少开展1次专业培训；</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（8）定期开展活动，其中主题活动不少于每月1次、寒暑假期间活动不少于每周1次；各项服务（活动）有相关风采展示</w:t>
      </w:r>
      <w:r>
        <w:rPr>
          <w:rFonts w:hint="eastAsia" w:cs="Times New Roman"/>
          <w:color w:val="auto"/>
          <w:kern w:val="2"/>
          <w:sz w:val="24"/>
          <w:szCs w:val="24"/>
          <w:highlight w:val="none"/>
          <w:lang w:val="en-US" w:eastAsia="zh-CN" w:bidi="ar-SA"/>
        </w:rPr>
        <w:t>，</w:t>
      </w:r>
      <w:r>
        <w:rPr>
          <w:rFonts w:hint="eastAsia" w:ascii="宋体" w:hAnsi="宋体" w:eastAsia="宋体" w:cs="Times New Roman"/>
          <w:color w:val="auto"/>
          <w:kern w:val="2"/>
          <w:sz w:val="24"/>
          <w:szCs w:val="24"/>
          <w:highlight w:val="none"/>
          <w:lang w:val="en-US" w:eastAsia="zh-CN" w:bidi="ar-SA"/>
        </w:rPr>
        <w:t>做好活动记录和服务对象满意度评价，及时调整和优化服务活动方案；服务（活动）覆盖未成年人；</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9）做好农村留守儿童、困境儿童信息摸底排查、登记建档、信息动态更新、监护指导、跟踪走访等关爱服务工作；贯彻落实强制报告制度，必要时第一时间开展紧急安置、紧急救助等关爱服务工作；坚持未成年人优先，对因突发状况导致监护缺失或者生活无依的未成年人，提供临时照护；开展监护指导不少于一次/月；</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r>
        <w:rPr>
          <w:rFonts w:hint="eastAsia"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）鼓励企事业单位、社会组织等参与未保站运营、联建共建；</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w:t>
      </w:r>
      <w:r>
        <w:rPr>
          <w:rFonts w:hint="eastAsia"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）总结做法，提炼经验，在县（市、区）、省、全国推广应用；积极争创示范，主动发挥传帮带作用，提升未保站建设整体水平。</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p>
    <w:p>
      <w:pPr>
        <w:pStyle w:val="62"/>
        <w:numPr>
          <w:ilvl w:val="0"/>
          <w:numId w:val="3"/>
        </w:numPr>
        <w:ind w:left="210" w:leftChars="0" w:firstLineChars="0"/>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、助联体服务站</w:t>
      </w:r>
    </w:p>
    <w:p>
      <w:pPr>
        <w:pStyle w:val="62"/>
        <w:numPr>
          <w:ilvl w:val="0"/>
          <w:numId w:val="0"/>
        </w:numPr>
        <w:ind w:left="420" w:leftChars="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1、服务内容：</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（1）对现有场地、设备设施进行运营、维护并根据需要更新；</w:t>
      </w:r>
    </w:p>
    <w:p>
      <w:pPr>
        <w:pStyle w:val="62"/>
        <w:numPr>
          <w:ilvl w:val="0"/>
          <w:numId w:val="0"/>
        </w:numPr>
        <w:ind w:left="420" w:left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w:t>
      </w:r>
      <w:r>
        <w:rPr>
          <w:rFonts w:hint="default" w:ascii="宋体" w:hAnsi="宋体" w:eastAsia="宋体" w:cs="Times New Roman"/>
          <w:color w:val="auto"/>
          <w:kern w:val="2"/>
          <w:sz w:val="24"/>
          <w:szCs w:val="24"/>
          <w:highlight w:val="none"/>
          <w:lang w:val="en-US" w:eastAsia="zh-CN" w:bidi="ar-SA"/>
        </w:rPr>
        <w:t>根据场地功能</w:t>
      </w:r>
      <w:r>
        <w:rPr>
          <w:rFonts w:hint="eastAsia" w:ascii="宋体" w:hAnsi="宋体" w:eastAsia="宋体" w:cs="Times New Roman"/>
          <w:color w:val="auto"/>
          <w:kern w:val="2"/>
          <w:sz w:val="24"/>
          <w:szCs w:val="24"/>
          <w:highlight w:val="none"/>
          <w:lang w:val="en-US" w:eastAsia="zh-CN" w:bidi="ar-SA"/>
        </w:rPr>
        <w:t>，确保“助联体”整洁有序，运营环境</w:t>
      </w:r>
      <w:r>
        <w:rPr>
          <w:rFonts w:hint="default" w:ascii="宋体" w:hAnsi="宋体" w:eastAsia="宋体" w:cs="Times New Roman"/>
          <w:color w:val="auto"/>
          <w:kern w:val="2"/>
          <w:sz w:val="24"/>
          <w:szCs w:val="24"/>
          <w:highlight w:val="none"/>
          <w:lang w:val="en-US" w:eastAsia="zh-CN" w:bidi="ar-SA"/>
        </w:rPr>
        <w:t>氛围</w:t>
      </w:r>
      <w:r>
        <w:rPr>
          <w:rFonts w:hint="eastAsia" w:ascii="宋体" w:hAnsi="宋体" w:eastAsia="宋体" w:cs="Times New Roman"/>
          <w:color w:val="auto"/>
          <w:kern w:val="2"/>
          <w:sz w:val="24"/>
          <w:szCs w:val="24"/>
          <w:highlight w:val="none"/>
          <w:lang w:val="en-US" w:eastAsia="zh-CN" w:bidi="ar-SA"/>
        </w:rPr>
        <w:t>良好；各功能区域能够吸引群众前来座谈聊天，互动体验，使得“助联体”成为困难群众的“爱心港”；建立为党员、大中小学生、热心市民等提供志愿者关爱服务的实践基地；</w:t>
      </w:r>
    </w:p>
    <w:p>
      <w:pPr>
        <w:pStyle w:val="62"/>
        <w:numPr>
          <w:ilvl w:val="0"/>
          <w:numId w:val="0"/>
        </w:numPr>
        <w:ind w:left="420" w:left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建立健全管理体系，制定完善的管理制度，包括人员管理、招聘，财务管理，档案管理，项目管理，绩效评估，会议报告，外包管理等，以及项目策划、运行保障、培训督导、考核激励等各项制度；建立固定的资金保障机制；</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运营方具备资质经验、能力，内部管理，人员储备等基础保障。建立以专业社会工作者或救助帮扶员为骨干的运营团队；配备不少于3名工作人员，其中专职工作人员不少于2名，兼职人员若干名；工作人员应具有良好的政治素质和业务能力。核心工作人员应具备相关工作经验，并对社会救助工作的理论和政策、及其难点和特点有着正确的认识，能按照相关制度和规范开展相关工作。项目负责人应具备社会工作专业执业证书且具备项目管理经验，个案专员应具有社会工作专业背景，项目专员和宣传专员等其他职能人员也应具备相关能力。各岗位可兼职；</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根据助联体服务站的服务范围提供基本服务，保证“助联体”运营时间正常开放，工作人员应遵守工作制度和工作纪律，具有良好的形象举止和沟通礼仪，做到服务周到、业务熟练。电话沟通、线上交流也应有礼有节；鼓励专职人员在非运营时间内电话、微信等沟通渠道畅通并提供对接服务；</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（6）专人维护大救助系统“助联体”模块，确保信息录入完整，及时更新；</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探索建立多形态的“助联体”党组织，并开展工作；联动救助相关部门、组织、机构等多元主体入驻，通过救助政策衔接、合作开展项目、定期会议协商等形式建立联合帮扶机制，共同参与救助服务开展。做好入驻审查和登记管理，明确职责分工，完善督导机制；</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8）建立良好的“助联体”服务资源统筹和协调分配的机制。要求横向联动社会救助职能部门、特殊群体救助单位、惠民补贴相关单位、服务类社会力量，以及纵向搭建各相关“助联体”分级救助体系的能力和成效；聚合政府、社会、市场三方力量，以及辖区救助帮扶资源的能力和成效；</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9）年度周期内开展可持续的社会救助项目，实施并成熟运作，不少于10个，每个项目服务周期不少于6个月，做好本级服务项目资源审核、发布、维护、评估、清退等动态管理；各项目应记录完整，包括实施策划、实施各过程记录、实施效果、项目总结等；</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（10）开展一对一个案帮扶，个案服务资料应记录完整，包括个案对象调查分析，个案实施策划，个案实施各过程，实际受益情况和个案反思总结等。帮扶个案不少于6个；</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（11）建立常态化帮扶机制，全面掌握辖区内精准化帮扶实施数据情况，并建立督查考核机制，处理好村（社）级服务点提交的帮扶需求；</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12）在上级主管部门的日常考核和评价中应表现良好，避免发生事务超期办理，事务在职责范围和能力范围内但未有效落实等不良情况；各类救助活动中直接、间接受益的群体对“助联体”开展的各项服务的满意度应保持较高水准；</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13）应精简、整合并展示相关政策法规、“助联体”简介、救助流程、救助公示、救助项目等信息，以及相关服务指南、宣传册等材料，方便服务对象及时获取相关信息；宣传帮扶服务项目和救助文化，宣扬先进典型，展示救助服务成果；</w:t>
      </w:r>
    </w:p>
    <w:p>
      <w:pPr>
        <w:pStyle w:val="62"/>
        <w:numPr>
          <w:ilvl w:val="0"/>
          <w:numId w:val="0"/>
        </w:numPr>
        <w:ind w:left="420" w:left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（14）积极开展各类项目推广和交流活动。可通过制作“助联体”宣传片，制作季刊/月报，发布微信公众号，使用APP运营管理等各种途径开展各类宣传活动；</w:t>
      </w:r>
    </w:p>
    <w:p>
      <w:pPr>
        <w:pStyle w:val="62"/>
        <w:numPr>
          <w:ilvl w:val="0"/>
          <w:numId w:val="0"/>
        </w:numPr>
        <w:ind w:left="420" w:left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（15）总结做</w:t>
      </w:r>
      <w:r>
        <w:rPr>
          <w:rFonts w:hint="eastAsia" w:cs="Times New Roman"/>
          <w:color w:val="auto"/>
          <w:kern w:val="2"/>
          <w:sz w:val="24"/>
          <w:szCs w:val="24"/>
          <w:highlight w:val="none"/>
          <w:lang w:val="en-US" w:eastAsia="zh-CN" w:bidi="ar-SA"/>
        </w:rPr>
        <w:t>法</w:t>
      </w:r>
      <w:r>
        <w:rPr>
          <w:rFonts w:hint="eastAsia" w:ascii="宋体" w:hAnsi="宋体" w:eastAsia="宋体" w:cs="Times New Roman"/>
          <w:color w:val="auto"/>
          <w:kern w:val="2"/>
          <w:sz w:val="24"/>
          <w:szCs w:val="24"/>
          <w:highlight w:val="none"/>
          <w:lang w:val="en-US" w:eastAsia="zh-CN" w:bidi="ar-SA"/>
        </w:rPr>
        <w:t>，提炼经验，“助联体”建设工作在市级及以上媒介平台</w:t>
      </w:r>
      <w:r>
        <w:rPr>
          <w:rFonts w:hint="eastAsia" w:cs="Times New Roman"/>
          <w:color w:val="auto"/>
          <w:kern w:val="2"/>
          <w:sz w:val="24"/>
          <w:szCs w:val="24"/>
          <w:highlight w:val="none"/>
          <w:lang w:val="en-US" w:eastAsia="zh-CN" w:bidi="ar-SA"/>
        </w:rPr>
        <w:t>报导</w:t>
      </w:r>
      <w:r>
        <w:rPr>
          <w:rFonts w:hint="eastAsia" w:ascii="宋体" w:hAnsi="宋体" w:eastAsia="宋体" w:cs="Times New Roman"/>
          <w:color w:val="auto"/>
          <w:kern w:val="2"/>
          <w:sz w:val="24"/>
          <w:szCs w:val="24"/>
          <w:highlight w:val="none"/>
          <w:lang w:val="en-US" w:eastAsia="zh-CN" w:bidi="ar-SA"/>
        </w:rPr>
        <w:t>；取得各级领导肯定、批示、表彰等奖项。</w:t>
      </w:r>
    </w:p>
    <w:p>
      <w:pPr>
        <w:pStyle w:val="62"/>
        <w:numPr>
          <w:ilvl w:val="0"/>
          <w:numId w:val="0"/>
        </w:numPr>
        <w:rPr>
          <w:rFonts w:hint="eastAsia" w:cs="Times New Roman"/>
          <w:b w:val="0"/>
          <w:bCs w:val="0"/>
          <w:color w:val="auto"/>
          <w:kern w:val="2"/>
          <w:sz w:val="24"/>
          <w:szCs w:val="24"/>
          <w:highlight w:val="none"/>
          <w:lang w:val="en-US" w:eastAsia="zh-CN" w:bidi="ar-SA"/>
        </w:rPr>
      </w:pPr>
    </w:p>
    <w:p>
      <w:pPr>
        <w:pStyle w:val="62"/>
        <w:numPr>
          <w:ilvl w:val="0"/>
          <w:numId w:val="0"/>
        </w:numPr>
        <w:ind w:leftChars="200"/>
        <w:rPr>
          <w:rFonts w:hint="eastAsia" w:ascii="宋体" w:hAnsi="宋体" w:eastAsia="宋体" w:cs="Times New Roman"/>
          <w:b/>
          <w:bCs/>
          <w:color w:val="auto"/>
          <w:kern w:val="2"/>
          <w:sz w:val="28"/>
          <w:szCs w:val="28"/>
          <w:highlight w:val="none"/>
          <w:lang w:val="en-US" w:eastAsia="zh-CN" w:bidi="ar-SA"/>
        </w:rPr>
      </w:pPr>
    </w:p>
    <w:p>
      <w:pPr>
        <w:pStyle w:val="62"/>
        <w:numPr>
          <w:ilvl w:val="0"/>
          <w:numId w:val="0"/>
        </w:numPr>
        <w:ind w:left="420" w:leftChars="0"/>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w:t>
      </w:r>
      <w:r>
        <w:rPr>
          <w:rFonts w:hint="eastAsia" w:cs="Times New Roman"/>
          <w:b/>
          <w:bCs/>
          <w:color w:val="auto"/>
          <w:kern w:val="2"/>
          <w:sz w:val="28"/>
          <w:szCs w:val="28"/>
          <w:highlight w:val="none"/>
          <w:lang w:val="en-US" w:eastAsia="zh-CN" w:bidi="ar-SA"/>
        </w:rPr>
        <w:t>四</w:t>
      </w:r>
      <w:r>
        <w:rPr>
          <w:rFonts w:hint="eastAsia" w:ascii="宋体" w:hAnsi="宋体" w:eastAsia="宋体" w:cs="Times New Roman"/>
          <w:b/>
          <w:bCs/>
          <w:color w:val="auto"/>
          <w:kern w:val="2"/>
          <w:sz w:val="28"/>
          <w:szCs w:val="28"/>
          <w:highlight w:val="none"/>
          <w:lang w:val="en-US" w:eastAsia="zh-CN" w:bidi="ar-SA"/>
        </w:rPr>
        <w:t>）、退役军人</w:t>
      </w:r>
      <w:r>
        <w:rPr>
          <w:rFonts w:hint="eastAsia" w:cs="Times New Roman"/>
          <w:b/>
          <w:bCs/>
          <w:color w:val="auto"/>
          <w:kern w:val="2"/>
          <w:sz w:val="28"/>
          <w:szCs w:val="28"/>
          <w:highlight w:val="none"/>
          <w:lang w:val="en-US" w:eastAsia="zh-CN" w:bidi="ar-SA"/>
        </w:rPr>
        <w:t>服务</w:t>
      </w:r>
      <w:r>
        <w:rPr>
          <w:rFonts w:hint="eastAsia" w:ascii="宋体" w:hAnsi="宋体" w:eastAsia="宋体" w:cs="Times New Roman"/>
          <w:b/>
          <w:bCs/>
          <w:color w:val="auto"/>
          <w:kern w:val="2"/>
          <w:sz w:val="28"/>
          <w:szCs w:val="28"/>
          <w:highlight w:val="none"/>
          <w:lang w:val="en-US" w:eastAsia="zh-CN" w:bidi="ar-SA"/>
        </w:rPr>
        <w:t>站</w:t>
      </w:r>
    </w:p>
    <w:p>
      <w:pPr>
        <w:pStyle w:val="62"/>
        <w:numPr>
          <w:ilvl w:val="0"/>
          <w:numId w:val="0"/>
        </w:numPr>
        <w:ind w:left="420" w:leftChars="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 xml:space="preserve">  （1）服务内容：</w:t>
      </w:r>
    </w:p>
    <w:p>
      <w:pPr>
        <w:pStyle w:val="62"/>
        <w:numPr>
          <w:ilvl w:val="0"/>
          <w:numId w:val="0"/>
        </w:numPr>
        <w:ind w:left="420" w:leftChars="0" w:firstLine="720" w:firstLineChars="30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1、为了更好的发挥退役军人服务站功能，夯实基层服务保障基础，提升基层服务保障能力，以良渚街道退役军人群体为目标，通过政策宣传、权益保障、精神抚慰和部分生活辅助等方式，服务良渚街道退役军人。</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宣传贯彻退役军人有关政策法规、保障退役军人合法权益落实；</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    2、 协调落实优抚帮扶、权益保障、数据信息采集等有关政策措施，组织实施退役军人适应性培训和职业教育、技能培训；</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   3、 积极培树宣传退役军人就业创业服务社会的先进典型，发挥典型引领、示范和激励作用；</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    4、 搭建政策咨询、沟通联系、学习交流等平台，针对性、常态化开展精准帮扶援助、化解矛盾、做好思想稳定工作；及时报告有关政策落实、工作开展中反馈良渚街道内退役军人思想状况、家庭生活情况；并做好退役军人服务站工作台帐。</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   5、结合“八一”、国庆、元旦、春节、清明等节日，组织开展志愿走访慰问、凭吊先烈等活动；</w:t>
      </w:r>
    </w:p>
    <w:p>
      <w:pPr>
        <w:pStyle w:val="62"/>
        <w:numPr>
          <w:ilvl w:val="0"/>
          <w:numId w:val="0"/>
        </w:numPr>
        <w:ind w:left="420" w:leftChars="0" w:firstLine="720" w:firstLineChars="30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6、根据街道退役军人服务站要求协助街道及村社调整退役军人志愿服务总队及分队的成员，并负责开展街道级的志愿服务活动；</w:t>
      </w:r>
    </w:p>
    <w:p>
      <w:pPr>
        <w:pStyle w:val="62"/>
        <w:numPr>
          <w:ilvl w:val="0"/>
          <w:numId w:val="0"/>
        </w:numPr>
        <w:ind w:firstLine="960" w:firstLineChars="40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7、当好退役军人的服务员、宣传员、信息员、联络员，就近听取诉求。</w:t>
      </w:r>
    </w:p>
    <w:p>
      <w:pPr>
        <w:pStyle w:val="62"/>
        <w:numPr>
          <w:ilvl w:val="0"/>
          <w:numId w:val="0"/>
        </w:numPr>
        <w:ind w:firstLine="960" w:firstLineChars="40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8、反馈问题，突出面对面、个性化、一对一服务，主动宣传政策，协助解决问题。以及协助街道完成市民客厅内所有活动（包括检查）的日常运营。</w:t>
      </w:r>
    </w:p>
    <w:p>
      <w:pPr>
        <w:pStyle w:val="62"/>
        <w:numPr>
          <w:ilvl w:val="0"/>
          <w:numId w:val="0"/>
        </w:numPr>
        <w:ind w:left="420" w:leftChars="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（2）服务要求：</w:t>
      </w:r>
    </w:p>
    <w:p>
      <w:pPr>
        <w:pStyle w:val="62"/>
        <w:numPr>
          <w:ilvl w:val="0"/>
          <w:numId w:val="0"/>
        </w:numPr>
        <w:ind w:firstLine="482" w:firstLineChars="20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1、专业队的组建</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组织、完善并且壮大良渚街道退役军人志愿者服务队，全年开展志愿者活动不少于6场，并且对退役军人志愿者服务队开展专业救援培训，全年不少于6场。</w:t>
      </w:r>
    </w:p>
    <w:p>
      <w:pPr>
        <w:pStyle w:val="62"/>
        <w:numPr>
          <w:ilvl w:val="0"/>
          <w:numId w:val="0"/>
        </w:numPr>
        <w:ind w:left="420" w:leftChars="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2、党史宣传和爱国崇军宣讲活动</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招募从事党史教育、基层党建与基层治理、最新时政的宣讲工作的讲师团成员，组织每月不少于1场的（可以分村社开展），中国共产党百年奋斗历程及启示宣讲活动。不忘初心牢记使命、坚定信仰信念、永葆党的生机活力，积极响应党中央党史学习教育号召，进一步增强退役军人的凝聚力、荣誉感、责任感和使命感。</w:t>
      </w:r>
    </w:p>
    <w:p>
      <w:pPr>
        <w:pStyle w:val="62"/>
        <w:numPr>
          <w:ilvl w:val="0"/>
          <w:numId w:val="0"/>
        </w:numPr>
        <w:ind w:left="420" w:leftChars="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3、“红色印记”宣传老兵故事进社区</w:t>
      </w:r>
    </w:p>
    <w:p>
      <w:pPr>
        <w:pStyle w:val="62"/>
        <w:numPr>
          <w:ilvl w:val="0"/>
          <w:numId w:val="0"/>
        </w:numPr>
        <w:ind w:left="420" w:leftChars="0" w:firstLine="480" w:firstLineChars="20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组织每月不少于1场的爱国崇军、老兵故事宣讲活动，拍摄展示老兵故事集形成影像。弘扬军人优良传统，发挥典型选树、引领、示范和激励作用；以良渚街道辖区退役军人为背景，通过征集老兵故事、图片等形式，让辖区居民深入了解军人故事，形成故事集，印刷成册，促进老兵故事文化沉淀，优秀老兵故事形成影像集，作为八一大型活动先导片，退役军人服务站宣传片，形成音频集不少于3个，并通过社交互联网平台宣传优秀老兵故事；</w:t>
      </w:r>
    </w:p>
    <w:p>
      <w:pPr>
        <w:pStyle w:val="62"/>
        <w:numPr>
          <w:ilvl w:val="0"/>
          <w:numId w:val="0"/>
        </w:numPr>
        <w:ind w:firstLine="482" w:firstLineChars="200"/>
        <w:rPr>
          <w:rFonts w:hint="eastAsia"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4、一村一社微活动</w:t>
      </w:r>
    </w:p>
    <w:p>
      <w:pPr>
        <w:pStyle w:val="62"/>
        <w:numPr>
          <w:ilvl w:val="0"/>
          <w:numId w:val="0"/>
        </w:numPr>
        <w:ind w:left="420" w:leftChars="0" w:firstLine="480" w:firstLineChars="20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启动43个村社级退役军人服务站的既定相关主题活动的倡议，负责活动策划、活动执行的督导；但活动运营由村社负责；</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 协助街道退役军人服务站进行帮困扶弱等相关活动</w:t>
      </w:r>
    </w:p>
    <w:p>
      <w:pPr>
        <w:pStyle w:val="62"/>
        <w:numPr>
          <w:ilvl w:val="0"/>
          <w:numId w:val="0"/>
        </w:numPr>
        <w:ind w:left="420" w:leftChars="0"/>
        <w:rPr>
          <w:rFonts w:hint="eastAsia"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发挥社会协同作用，搭建优抚共建平台，协且街道开展专业职业技能培训活动，提高退役军人就业能力，拓宽就业渠道。</w:t>
      </w:r>
    </w:p>
    <w:p>
      <w:pPr>
        <w:pStyle w:val="62"/>
        <w:numPr>
          <w:ilvl w:val="0"/>
          <w:numId w:val="0"/>
        </w:numPr>
        <w:ind w:left="420" w:leftChars="0"/>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（五）、</w:t>
      </w:r>
      <w:r>
        <w:rPr>
          <w:rFonts w:hint="eastAsia" w:cs="Times New Roman"/>
          <w:b/>
          <w:bCs/>
          <w:color w:val="auto"/>
          <w:kern w:val="2"/>
          <w:sz w:val="28"/>
          <w:szCs w:val="28"/>
          <w:highlight w:val="none"/>
          <w:lang w:val="en-US" w:eastAsia="zh-CN" w:bidi="ar-SA"/>
        </w:rPr>
        <w:t>社</w:t>
      </w:r>
      <w:r>
        <w:rPr>
          <w:rFonts w:hint="eastAsia" w:ascii="宋体" w:hAnsi="宋体" w:eastAsia="宋体" w:cs="Times New Roman"/>
          <w:b/>
          <w:bCs/>
          <w:color w:val="auto"/>
          <w:kern w:val="2"/>
          <w:sz w:val="28"/>
          <w:szCs w:val="28"/>
          <w:highlight w:val="none"/>
          <w:lang w:val="en-US" w:eastAsia="zh-CN" w:bidi="ar-SA"/>
        </w:rPr>
        <w:t>会组织服务中心、社工站、良渚城乡社区发展基金会</w:t>
      </w:r>
    </w:p>
    <w:p>
      <w:pPr>
        <w:spacing w:line="360" w:lineRule="auto"/>
        <w:ind w:firstLine="482" w:firstLineChars="20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基本要求</w:t>
      </w:r>
      <w:r>
        <w:rPr>
          <w:rFonts w:hint="eastAsia" w:ascii="宋体" w:hAnsi="宋体" w:cs="宋体"/>
          <w:b/>
          <w:bCs/>
          <w:color w:val="auto"/>
          <w:sz w:val="24"/>
          <w:highlight w:val="none"/>
          <w:lang w:eastAsia="zh-CN"/>
        </w:rPr>
        <w:t>：</w:t>
      </w:r>
    </w:p>
    <w:p>
      <w:pPr>
        <w:pStyle w:val="23"/>
        <w:spacing w:line="360" w:lineRule="auto"/>
        <w:ind w:firstLine="480" w:firstLineChars="200"/>
        <w:rPr>
          <w:rFonts w:hint="eastAsia" w:ascii="宋体" w:hAnsi="宋体" w:eastAsia="宋体" w:cs="宋体"/>
          <w:color w:val="auto"/>
          <w:highlight w:val="none"/>
        </w:rPr>
      </w:pPr>
      <w:r>
        <w:rPr>
          <w:rFonts w:hint="eastAsia" w:hAnsi="宋体" w:cs="宋体"/>
          <w:color w:val="auto"/>
          <w:highlight w:val="none"/>
          <w:lang w:eastAsia="zh-CN"/>
        </w:rPr>
        <w:t>（</w:t>
      </w:r>
      <w:r>
        <w:rPr>
          <w:rFonts w:hint="eastAsia" w:hAnsi="宋体" w:cs="宋体"/>
          <w:color w:val="auto"/>
          <w:highlight w:val="none"/>
          <w:lang w:val="en-US" w:eastAsia="zh-CN"/>
        </w:rPr>
        <w:t>1）</w:t>
      </w:r>
      <w:r>
        <w:rPr>
          <w:rFonts w:hint="eastAsia" w:ascii="宋体" w:hAnsi="宋体" w:eastAsia="宋体" w:cs="宋体"/>
          <w:color w:val="auto"/>
          <w:highlight w:val="none"/>
        </w:rPr>
        <w:t>应有市民客厅场地运营服务预案，明确服务内容；</w:t>
      </w:r>
    </w:p>
    <w:p>
      <w:pPr>
        <w:pStyle w:val="23"/>
        <w:spacing w:line="360" w:lineRule="auto"/>
        <w:ind w:firstLine="480" w:firstLineChars="200"/>
        <w:rPr>
          <w:rFonts w:hint="eastAsia" w:hAnsi="宋体" w:cs="宋体"/>
          <w:color w:val="auto"/>
          <w:highlight w:val="none"/>
          <w:lang w:eastAsia="zh-CN"/>
        </w:rPr>
      </w:pPr>
      <w:r>
        <w:rPr>
          <w:rFonts w:hint="eastAsia" w:hAnsi="宋体" w:cs="宋体"/>
          <w:color w:val="auto"/>
          <w:highlight w:val="none"/>
          <w:lang w:eastAsia="zh-CN"/>
        </w:rPr>
        <w:t>（</w:t>
      </w:r>
      <w:r>
        <w:rPr>
          <w:rFonts w:hint="eastAsia" w:hAnsi="宋体" w:cs="宋体"/>
          <w:color w:val="auto"/>
          <w:highlight w:val="none"/>
          <w:lang w:val="en-US" w:eastAsia="zh-CN"/>
        </w:rPr>
        <w:t>2）</w:t>
      </w:r>
      <w:r>
        <w:rPr>
          <w:rFonts w:hint="eastAsia" w:ascii="宋体" w:hAnsi="宋体" w:eastAsia="宋体" w:cs="宋体"/>
          <w:color w:val="auto"/>
          <w:highlight w:val="none"/>
        </w:rPr>
        <w:t>开展场地活动人员参与率达75%以上，满意率≧85%</w:t>
      </w:r>
      <w:r>
        <w:rPr>
          <w:rFonts w:hint="eastAsia" w:hAnsi="宋体" w:cs="宋体"/>
          <w:color w:val="auto"/>
          <w:highlight w:val="none"/>
          <w:lang w:eastAsia="zh-CN"/>
        </w:rPr>
        <w:t>；</w:t>
      </w:r>
    </w:p>
    <w:p>
      <w:pPr>
        <w:pStyle w:val="23"/>
        <w:spacing w:line="360" w:lineRule="auto"/>
        <w:ind w:firstLine="480" w:firstLineChars="200"/>
        <w:rPr>
          <w:rFonts w:hint="eastAsia" w:ascii="宋体" w:hAnsi="宋体" w:eastAsia="宋体" w:cs="宋体"/>
          <w:color w:val="auto"/>
          <w:highlight w:val="none"/>
          <w:lang w:val="zh-CN" w:eastAsia="zh-CN"/>
        </w:rPr>
      </w:pPr>
      <w:r>
        <w:rPr>
          <w:rFonts w:hint="eastAsia" w:hAnsi="宋体" w:cs="宋体"/>
          <w:color w:val="auto"/>
          <w:highlight w:val="none"/>
          <w:lang w:val="en-US" w:eastAsia="zh-CN"/>
        </w:rPr>
        <w:t>（3）</w:t>
      </w:r>
      <w:r>
        <w:rPr>
          <w:rFonts w:hint="eastAsia" w:ascii="宋体" w:hAnsi="宋体" w:eastAsia="宋体" w:cs="宋体"/>
          <w:color w:val="auto"/>
          <w:highlight w:val="none"/>
          <w:lang w:val="zh-CN" w:eastAsia="zh-CN"/>
        </w:rPr>
        <w:t>服务功能及活动规划，需创建品牌项目；</w:t>
      </w:r>
    </w:p>
    <w:p>
      <w:pPr>
        <w:pStyle w:val="23"/>
        <w:spacing w:line="360" w:lineRule="auto"/>
        <w:ind w:firstLine="48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（4）</w:t>
      </w:r>
      <w:r>
        <w:rPr>
          <w:rFonts w:hint="eastAsia" w:ascii="宋体" w:hAnsi="宋体" w:eastAsia="宋体" w:cs="宋体"/>
          <w:color w:val="auto"/>
          <w:highlight w:val="none"/>
          <w:lang w:val="en-US" w:eastAsia="zh-CN"/>
        </w:rPr>
        <w:t>根据场地功能布局设置服务活动内容；</w:t>
      </w:r>
    </w:p>
    <w:p>
      <w:pPr>
        <w:pStyle w:val="23"/>
        <w:spacing w:line="360" w:lineRule="auto"/>
        <w:ind w:firstLine="480" w:firstLineChars="200"/>
        <w:rPr>
          <w:rFonts w:hint="eastAsia" w:ascii="宋体" w:hAnsi="宋体" w:eastAsia="宋体" w:cs="宋体"/>
          <w:color w:val="auto"/>
          <w:highlight w:val="none"/>
          <w:lang w:val="en-US" w:eastAsia="zh-CN"/>
        </w:rPr>
      </w:pPr>
      <w:r>
        <w:rPr>
          <w:rFonts w:hint="eastAsia" w:hAnsi="宋体" w:cs="宋体"/>
          <w:color w:val="auto"/>
          <w:highlight w:val="none"/>
          <w:lang w:val="en-US" w:eastAsia="zh-CN"/>
        </w:rPr>
        <w:t>（5）</w:t>
      </w:r>
      <w:r>
        <w:rPr>
          <w:rFonts w:hint="eastAsia" w:ascii="宋体" w:hAnsi="宋体" w:eastAsia="宋体" w:cs="宋体"/>
          <w:color w:val="auto"/>
          <w:highlight w:val="none"/>
          <w:lang w:val="en-US" w:eastAsia="zh-CN"/>
        </w:rPr>
        <w:t>制定场地运营与管理机制；</w:t>
      </w:r>
    </w:p>
    <w:p>
      <w:pPr>
        <w:pStyle w:val="23"/>
        <w:spacing w:line="360" w:lineRule="auto"/>
        <w:ind w:firstLine="480" w:firstLineChars="200"/>
        <w:rPr>
          <w:rFonts w:hint="default" w:ascii="宋体" w:hAnsi="宋体" w:eastAsia="宋体" w:cs="宋体"/>
          <w:color w:val="auto"/>
          <w:highlight w:val="none"/>
          <w:lang w:val="en-US" w:eastAsia="zh-CN"/>
        </w:rPr>
      </w:pPr>
      <w:r>
        <w:rPr>
          <w:rFonts w:hint="eastAsia" w:hAnsi="宋体" w:cs="宋体"/>
          <w:color w:val="auto"/>
          <w:highlight w:val="none"/>
          <w:lang w:val="en-US" w:eastAsia="zh-CN"/>
        </w:rPr>
        <w:t>（6）</w:t>
      </w:r>
      <w:r>
        <w:rPr>
          <w:rFonts w:hint="eastAsia" w:ascii="宋体" w:hAnsi="宋体" w:eastAsia="宋体" w:cs="宋体"/>
          <w:color w:val="auto"/>
          <w:highlight w:val="none"/>
          <w:lang w:val="en-US" w:eastAsia="zh-CN"/>
        </w:rPr>
        <w:t>品牌宣传与资源拓展；</w:t>
      </w:r>
    </w:p>
    <w:p>
      <w:pPr>
        <w:pStyle w:val="23"/>
        <w:spacing w:line="360" w:lineRule="auto"/>
        <w:ind w:firstLine="480" w:firstLineChars="200"/>
        <w:rPr>
          <w:rFonts w:hint="eastAsia" w:ascii="宋体" w:hAnsi="宋体" w:eastAsia="宋体" w:cs="宋体"/>
          <w:color w:val="auto"/>
          <w:highlight w:val="none"/>
          <w:lang w:val="en-US" w:eastAsia="zh-CN"/>
        </w:rPr>
      </w:pPr>
      <w:r>
        <w:rPr>
          <w:rFonts w:hint="eastAsia" w:hAnsi="宋体" w:cs="宋体"/>
          <w:color w:val="auto"/>
          <w:highlight w:val="none"/>
          <w:lang w:val="en-US" w:eastAsia="zh-CN"/>
        </w:rPr>
        <w:t>（7）</w:t>
      </w:r>
      <w:r>
        <w:rPr>
          <w:rFonts w:hint="eastAsia" w:ascii="宋体" w:hAnsi="宋体" w:eastAsia="宋体" w:cs="宋体"/>
          <w:color w:val="auto"/>
          <w:highlight w:val="none"/>
          <w:lang w:val="en-US" w:eastAsia="zh-CN"/>
        </w:rPr>
        <w:t xml:space="preserve">服务监测、人员配置；   </w:t>
      </w:r>
    </w:p>
    <w:p>
      <w:pPr>
        <w:spacing w:line="360" w:lineRule="auto"/>
        <w:ind w:firstLine="482" w:firstLineChars="20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val="en-US" w:eastAsia="zh-CN"/>
        </w:rPr>
        <w:t>2、</w:t>
      </w:r>
      <w:r>
        <w:rPr>
          <w:rFonts w:hint="eastAsia" w:ascii="宋体" w:hAnsi="宋体" w:cs="宋体"/>
          <w:b/>
          <w:bCs/>
          <w:color w:val="auto"/>
          <w:sz w:val="24"/>
          <w:highlight w:val="none"/>
        </w:rPr>
        <w:t>服务</w:t>
      </w:r>
      <w:r>
        <w:rPr>
          <w:rFonts w:hint="eastAsia" w:ascii="宋体" w:hAnsi="宋体" w:cs="宋体"/>
          <w:b/>
          <w:bCs/>
          <w:color w:val="auto"/>
          <w:sz w:val="24"/>
          <w:highlight w:val="none"/>
          <w:lang w:val="en-US" w:eastAsia="zh-CN"/>
        </w:rPr>
        <w:t>内容：</w:t>
      </w:r>
    </w:p>
    <w:p>
      <w:pPr>
        <w:pStyle w:val="26"/>
        <w:adjustRightInd w:val="0"/>
        <w:snapToGrid w:val="0"/>
        <w:spacing w:line="360" w:lineRule="auto"/>
        <w:ind w:firstLine="480" w:firstLineChars="200"/>
        <w:rPr>
          <w:rFonts w:hint="eastAsia" w:ascii="宋体" w:hAnsi="宋体" w:eastAsia="宋体" w:cs="宋体"/>
          <w:color w:val="auto"/>
          <w:sz w:val="24"/>
          <w:highlight w:val="none"/>
        </w:rPr>
      </w:pPr>
      <w:r>
        <w:rPr>
          <w:rFonts w:hint="eastAsia" w:cs="宋体"/>
          <w:color w:val="auto"/>
          <w:sz w:val="24"/>
          <w:highlight w:val="none"/>
          <w:lang w:eastAsia="zh-CN"/>
        </w:rPr>
        <w:t>（</w:t>
      </w:r>
      <w:r>
        <w:rPr>
          <w:rFonts w:hint="eastAsia" w:cs="宋体"/>
          <w:color w:val="auto"/>
          <w:sz w:val="24"/>
          <w:highlight w:val="none"/>
          <w:lang w:val="en-US" w:eastAsia="zh-CN"/>
        </w:rPr>
        <w:t>1）</w:t>
      </w:r>
      <w:r>
        <w:rPr>
          <w:rFonts w:hint="eastAsia" w:ascii="宋体" w:hAnsi="宋体" w:eastAsia="宋体" w:cs="宋体"/>
          <w:color w:val="auto"/>
          <w:sz w:val="24"/>
          <w:highlight w:val="none"/>
        </w:rPr>
        <w:t>根据场地设置功能布局相应开展各类活动不少于100场</w:t>
      </w:r>
      <w:r>
        <w:rPr>
          <w:rFonts w:hint="eastAsia" w:ascii="宋体" w:hAnsi="宋体" w:cs="宋体"/>
          <w:color w:val="auto"/>
          <w:sz w:val="24"/>
          <w:highlight w:val="none"/>
        </w:rPr>
        <w:t>（每场活动不少于2</w:t>
      </w:r>
      <w:r>
        <w:rPr>
          <w:rFonts w:ascii="宋体" w:hAnsi="宋体" w:cs="宋体"/>
          <w:color w:val="auto"/>
          <w:sz w:val="24"/>
          <w:highlight w:val="none"/>
        </w:rPr>
        <w:t>0</w:t>
      </w:r>
      <w:r>
        <w:rPr>
          <w:rFonts w:hint="eastAsia" w:ascii="宋体" w:hAnsi="宋体" w:cs="宋体"/>
          <w:color w:val="auto"/>
          <w:sz w:val="24"/>
          <w:highlight w:val="none"/>
        </w:rPr>
        <w:t>人）</w:t>
      </w:r>
      <w:r>
        <w:rPr>
          <w:rFonts w:hint="eastAsia" w:ascii="宋体" w:hAnsi="宋体" w:eastAsia="宋体" w:cs="宋体"/>
          <w:color w:val="auto"/>
          <w:sz w:val="24"/>
          <w:highlight w:val="none"/>
        </w:rPr>
        <w:t>（包括但不限于：日常活动开展费</w:t>
      </w:r>
      <w:r>
        <w:rPr>
          <w:rFonts w:ascii="宋体" w:hAnsi="宋体" w:eastAsia="宋体" w:cs="宋体"/>
          <w:color w:val="auto"/>
          <w:sz w:val="24"/>
          <w:highlight w:val="none"/>
        </w:rPr>
        <w:t xml:space="preserve"> 书画课</w:t>
      </w:r>
      <w:r>
        <w:rPr>
          <w:rFonts w:hint="eastAsia" w:ascii="宋体" w:hAnsi="宋体" w:eastAsia="宋体" w:cs="宋体"/>
          <w:color w:val="auto"/>
          <w:sz w:val="24"/>
          <w:highlight w:val="none"/>
        </w:rPr>
        <w:t>、</w:t>
      </w:r>
      <w:r>
        <w:rPr>
          <w:rFonts w:ascii="宋体" w:hAnsi="宋体" w:eastAsia="宋体" w:cs="宋体"/>
          <w:color w:val="auto"/>
          <w:sz w:val="24"/>
          <w:highlight w:val="none"/>
        </w:rPr>
        <w:t>健康、安全、法律知识讲座</w:t>
      </w:r>
      <w:r>
        <w:rPr>
          <w:rFonts w:hint="eastAsia" w:ascii="宋体" w:hAnsi="宋体" w:eastAsia="宋体" w:cs="宋体"/>
          <w:color w:val="auto"/>
          <w:sz w:val="24"/>
          <w:highlight w:val="none"/>
        </w:rPr>
        <w:t>、</w:t>
      </w:r>
      <w:r>
        <w:rPr>
          <w:rFonts w:ascii="宋体" w:hAnsi="宋体" w:eastAsia="宋体" w:cs="宋体"/>
          <w:color w:val="auto"/>
          <w:sz w:val="24"/>
          <w:highlight w:val="none"/>
        </w:rPr>
        <w:t>棋类</w:t>
      </w:r>
      <w:r>
        <w:rPr>
          <w:rFonts w:hint="eastAsia" w:ascii="宋体" w:hAnsi="宋体" w:eastAsia="宋体" w:cs="宋体"/>
          <w:color w:val="auto"/>
          <w:sz w:val="24"/>
          <w:highlight w:val="none"/>
        </w:rPr>
        <w:t>、</w:t>
      </w:r>
      <w:r>
        <w:rPr>
          <w:rFonts w:ascii="宋体" w:hAnsi="宋体" w:eastAsia="宋体" w:cs="宋体"/>
          <w:color w:val="auto"/>
          <w:sz w:val="24"/>
          <w:highlight w:val="none"/>
        </w:rPr>
        <w:t>舞蹈公益课</w:t>
      </w:r>
      <w:r>
        <w:rPr>
          <w:rFonts w:hint="eastAsia" w:ascii="宋体" w:hAnsi="宋体" w:eastAsia="宋体" w:cs="宋体"/>
          <w:color w:val="auto"/>
          <w:sz w:val="24"/>
          <w:highlight w:val="none"/>
        </w:rPr>
        <w:t>、</w:t>
      </w:r>
      <w:r>
        <w:rPr>
          <w:rFonts w:ascii="宋体" w:hAnsi="宋体" w:eastAsia="宋体" w:cs="宋体"/>
          <w:color w:val="auto"/>
          <w:sz w:val="24"/>
          <w:highlight w:val="none"/>
        </w:rPr>
        <w:t>读书活动</w:t>
      </w:r>
      <w:r>
        <w:rPr>
          <w:rFonts w:hint="eastAsia" w:ascii="宋体" w:hAnsi="宋体" w:eastAsia="宋体" w:cs="宋体"/>
          <w:color w:val="auto"/>
          <w:sz w:val="24"/>
          <w:highlight w:val="none"/>
        </w:rPr>
        <w:t>、</w:t>
      </w:r>
      <w:r>
        <w:rPr>
          <w:rFonts w:ascii="宋体" w:hAnsi="宋体" w:eastAsia="宋体" w:cs="宋体"/>
          <w:color w:val="auto"/>
          <w:sz w:val="24"/>
          <w:highlight w:val="none"/>
        </w:rPr>
        <w:t>手工、花卉、茶艺等各类培训</w:t>
      </w:r>
      <w:r>
        <w:rPr>
          <w:rFonts w:hint="eastAsia" w:ascii="宋体" w:hAnsi="宋体" w:eastAsia="宋体" w:cs="宋体"/>
          <w:color w:val="auto"/>
          <w:sz w:val="24"/>
          <w:highlight w:val="none"/>
        </w:rPr>
        <w:t>、</w:t>
      </w:r>
      <w:r>
        <w:rPr>
          <w:rFonts w:ascii="宋体" w:hAnsi="宋体" w:eastAsia="宋体" w:cs="宋体"/>
          <w:color w:val="auto"/>
          <w:sz w:val="24"/>
          <w:highlight w:val="none"/>
        </w:rPr>
        <w:t>老电影播放</w:t>
      </w:r>
      <w:r>
        <w:rPr>
          <w:rFonts w:hint="eastAsia" w:ascii="宋体" w:hAnsi="宋体" w:eastAsia="宋体" w:cs="宋体"/>
          <w:color w:val="auto"/>
          <w:sz w:val="24"/>
          <w:highlight w:val="none"/>
        </w:rPr>
        <w:t>、</w:t>
      </w:r>
      <w:r>
        <w:rPr>
          <w:rFonts w:ascii="宋体" w:hAnsi="宋体" w:eastAsia="宋体" w:cs="宋体"/>
          <w:color w:val="auto"/>
          <w:sz w:val="24"/>
          <w:highlight w:val="none"/>
        </w:rPr>
        <w:t>对接社区开展趣味比赛及每年组织一场品牌赛事等</w:t>
      </w:r>
      <w:r>
        <w:rPr>
          <w:rFonts w:hint="eastAsia" w:ascii="宋体" w:hAnsi="宋体" w:eastAsia="宋体" w:cs="宋体"/>
          <w:color w:val="auto"/>
          <w:sz w:val="24"/>
          <w:highlight w:val="none"/>
        </w:rPr>
        <w:t>）；内容涵盖“老中青少”等各类人群不同年龄段的活动；媒体宣传、投标人</w:t>
      </w:r>
      <w:r>
        <w:rPr>
          <w:rFonts w:ascii="宋体" w:hAnsi="宋体" w:eastAsia="宋体" w:cs="宋体"/>
          <w:color w:val="auto"/>
          <w:sz w:val="24"/>
          <w:highlight w:val="none"/>
        </w:rPr>
        <w:t>有独立微信公众号每月不少于4篇活动信息推送</w:t>
      </w:r>
      <w:r>
        <w:rPr>
          <w:rFonts w:hint="eastAsia" w:cs="宋体"/>
          <w:color w:val="auto"/>
          <w:sz w:val="24"/>
          <w:highlight w:val="none"/>
          <w:lang w:eastAsia="zh-CN"/>
        </w:rPr>
        <w:t>，</w:t>
      </w:r>
      <w:r>
        <w:rPr>
          <w:rFonts w:hint="eastAsia" w:cs="宋体"/>
          <w:color w:val="auto"/>
          <w:sz w:val="24"/>
          <w:highlight w:val="none"/>
          <w:lang w:val="en-US" w:eastAsia="zh-CN"/>
        </w:rPr>
        <w:t>并推送良渚发布</w:t>
      </w:r>
      <w:r>
        <w:rPr>
          <w:rFonts w:hint="eastAsia" w:ascii="宋体" w:hAnsi="宋体" w:eastAsia="宋体" w:cs="宋体"/>
          <w:color w:val="auto"/>
          <w:sz w:val="24"/>
          <w:szCs w:val="24"/>
          <w:highlight w:val="none"/>
        </w:rPr>
        <w:t>，全年不少于</w:t>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rPr>
        <w:t>次的新闻媒体报导（例如余杭晨报，杭州日报等）</w:t>
      </w:r>
      <w:r>
        <w:rPr>
          <w:rFonts w:ascii="宋体" w:hAnsi="宋体" w:eastAsia="宋体" w:cs="宋体"/>
          <w:color w:val="auto"/>
          <w:sz w:val="24"/>
          <w:highlight w:val="none"/>
        </w:rPr>
        <w:t>，省级以上平台全年报道不少于</w:t>
      </w:r>
      <w:r>
        <w:rPr>
          <w:rFonts w:hint="eastAsia" w:cs="宋体"/>
          <w:color w:val="auto"/>
          <w:sz w:val="24"/>
          <w:highlight w:val="none"/>
          <w:lang w:val="en-US" w:eastAsia="zh-CN"/>
        </w:rPr>
        <w:t>1</w:t>
      </w:r>
      <w:r>
        <w:rPr>
          <w:rFonts w:ascii="宋体" w:hAnsi="宋体" w:eastAsia="宋体" w:cs="宋体"/>
          <w:color w:val="auto"/>
          <w:sz w:val="24"/>
          <w:highlight w:val="none"/>
        </w:rPr>
        <w:t>篇</w:t>
      </w:r>
      <w:r>
        <w:rPr>
          <w:rFonts w:hint="eastAsia" w:ascii="宋体" w:hAnsi="宋体" w:eastAsia="宋体" w:cs="宋体"/>
          <w:color w:val="auto"/>
          <w:sz w:val="24"/>
          <w:highlight w:val="none"/>
        </w:rPr>
        <w:t>，</w:t>
      </w:r>
      <w:r>
        <w:rPr>
          <w:rFonts w:ascii="宋体" w:hAnsi="宋体" w:eastAsia="宋体" w:cs="宋体"/>
          <w:color w:val="auto"/>
          <w:sz w:val="24"/>
          <w:highlight w:val="none"/>
        </w:rPr>
        <w:t>根据街道重点工作开展政策宣传等活动6次</w:t>
      </w:r>
      <w:r>
        <w:rPr>
          <w:rFonts w:hint="eastAsia" w:ascii="宋体" w:hAnsi="宋体" w:eastAsia="宋体" w:cs="宋体"/>
          <w:color w:val="auto"/>
          <w:sz w:val="24"/>
          <w:highlight w:val="none"/>
        </w:rPr>
        <w:t>；具体活动内容与街道村社沟通确认。</w:t>
      </w:r>
    </w:p>
    <w:p>
      <w:pPr>
        <w:pStyle w:val="26"/>
        <w:adjustRightInd w:val="0"/>
        <w:snapToGrid w:val="0"/>
        <w:spacing w:line="360" w:lineRule="auto"/>
        <w:ind w:firstLine="480" w:firstLineChars="200"/>
        <w:rPr>
          <w:rFonts w:ascii="宋体" w:hAnsi="宋体" w:eastAsia="宋体" w:cs="宋体"/>
          <w:color w:val="auto"/>
          <w:sz w:val="24"/>
          <w:highlight w:val="none"/>
        </w:rPr>
      </w:pPr>
      <w:r>
        <w:rPr>
          <w:rFonts w:hint="eastAsia" w:cs="宋体"/>
          <w:color w:val="auto"/>
          <w:sz w:val="24"/>
          <w:highlight w:val="none"/>
          <w:lang w:eastAsia="zh-CN"/>
        </w:rPr>
        <w:t>（</w:t>
      </w:r>
      <w:r>
        <w:rPr>
          <w:rFonts w:hint="eastAsia" w:cs="宋体"/>
          <w:color w:val="auto"/>
          <w:sz w:val="24"/>
          <w:highlight w:val="none"/>
          <w:lang w:val="en-US" w:eastAsia="zh-CN"/>
        </w:rPr>
        <w:t>2）</w:t>
      </w:r>
      <w:r>
        <w:rPr>
          <w:rFonts w:hint="eastAsia" w:ascii="宋体" w:hAnsi="宋体" w:eastAsia="宋体" w:cs="宋体"/>
          <w:color w:val="auto"/>
          <w:sz w:val="24"/>
          <w:highlight w:val="none"/>
        </w:rPr>
        <w:t>品牌活动</w:t>
      </w:r>
      <w:r>
        <w:rPr>
          <w:rFonts w:ascii="宋体" w:hAnsi="宋体" w:eastAsia="宋体" w:cs="宋体"/>
          <w:color w:val="auto"/>
          <w:sz w:val="24"/>
          <w:highlight w:val="none"/>
        </w:rPr>
        <w:t xml:space="preserve"> 打造1-2个品牌活动系列活动。</w:t>
      </w:r>
    </w:p>
    <w:p>
      <w:pPr>
        <w:pStyle w:val="26"/>
        <w:adjustRightInd w:val="0"/>
        <w:snapToGrid w:val="0"/>
        <w:spacing w:line="360" w:lineRule="auto"/>
        <w:ind w:firstLine="480" w:firstLineChars="200"/>
        <w:rPr>
          <w:rFonts w:ascii="宋体" w:hAnsi="宋体" w:eastAsia="宋体" w:cs="宋体"/>
          <w:color w:val="auto"/>
          <w:sz w:val="24"/>
          <w:highlight w:val="none"/>
        </w:rPr>
      </w:pPr>
      <w:r>
        <w:rPr>
          <w:rFonts w:hint="eastAsia" w:cs="宋体"/>
          <w:color w:val="auto"/>
          <w:sz w:val="24"/>
          <w:highlight w:val="none"/>
          <w:lang w:eastAsia="zh-CN"/>
        </w:rPr>
        <w:t>（</w:t>
      </w:r>
      <w:r>
        <w:rPr>
          <w:rFonts w:hint="eastAsia" w:cs="宋体"/>
          <w:color w:val="auto"/>
          <w:sz w:val="24"/>
          <w:highlight w:val="none"/>
          <w:lang w:val="en-US" w:eastAsia="zh-CN"/>
        </w:rPr>
        <w:t>3）</w:t>
      </w:r>
      <w:r>
        <w:rPr>
          <w:rFonts w:ascii="宋体" w:hAnsi="宋体" w:eastAsia="宋体" w:cs="宋体"/>
          <w:color w:val="auto"/>
          <w:sz w:val="24"/>
          <w:highlight w:val="none"/>
        </w:rPr>
        <w:t xml:space="preserve"> </w:t>
      </w:r>
      <w:r>
        <w:rPr>
          <w:rFonts w:hint="eastAsia" w:ascii="宋体" w:hAnsi="宋体" w:eastAsia="宋体" w:cs="宋体"/>
          <w:color w:val="auto"/>
          <w:sz w:val="24"/>
          <w:highlight w:val="none"/>
        </w:rPr>
        <w:t>场馆内服务性活动的开展。</w:t>
      </w:r>
    </w:p>
    <w:p>
      <w:pPr>
        <w:pStyle w:val="26"/>
        <w:adjustRightInd w:val="0"/>
        <w:snapToGrid w:val="0"/>
        <w:spacing w:line="360" w:lineRule="auto"/>
        <w:ind w:firstLine="720" w:firstLineChars="300"/>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ascii="宋体" w:hAnsi="宋体" w:eastAsia="宋体" w:cs="宋体"/>
          <w:color w:val="auto"/>
          <w:sz w:val="24"/>
          <w:highlight w:val="none"/>
        </w:rPr>
        <w:t>服务人群（儿童、青少年）</w:t>
      </w:r>
    </w:p>
    <w:p>
      <w:pPr>
        <w:pStyle w:val="26"/>
        <w:adjustRightInd w:val="0"/>
        <w:snapToGrid w:val="0"/>
        <w:spacing w:line="360" w:lineRule="auto"/>
        <w:ind w:firstLine="1200" w:firstLineChars="500"/>
        <w:rPr>
          <w:rFonts w:ascii="宋体" w:hAnsi="宋体" w:eastAsia="宋体" w:cs="宋体"/>
          <w:color w:val="auto"/>
          <w:sz w:val="24"/>
          <w:highlight w:val="none"/>
        </w:rPr>
      </w:pPr>
      <w:r>
        <w:rPr>
          <w:rFonts w:ascii="宋体" w:hAnsi="宋体" w:eastAsia="宋体" w:cs="宋体"/>
          <w:color w:val="auto"/>
          <w:sz w:val="24"/>
          <w:highlight w:val="none"/>
        </w:rPr>
        <w:t>1</w:t>
      </w:r>
      <w:r>
        <w:rPr>
          <w:rFonts w:hint="eastAsia" w:ascii="宋体" w:hAnsi="宋体" w:eastAsia="宋体" w:cs="宋体"/>
          <w:color w:val="auto"/>
          <w:sz w:val="24"/>
          <w:highlight w:val="none"/>
        </w:rPr>
        <w:t>）</w:t>
      </w:r>
      <w:r>
        <w:rPr>
          <w:rFonts w:ascii="宋体" w:hAnsi="宋体" w:eastAsia="宋体" w:cs="宋体"/>
          <w:color w:val="auto"/>
          <w:sz w:val="24"/>
          <w:highlight w:val="none"/>
        </w:rPr>
        <w:t>儿童、青少年课堂不少于36次</w:t>
      </w:r>
      <w:r>
        <w:rPr>
          <w:rFonts w:hint="eastAsia" w:ascii="宋体" w:hAnsi="宋体" w:eastAsia="宋体" w:cs="宋体"/>
          <w:color w:val="auto"/>
          <w:sz w:val="24"/>
          <w:highlight w:val="none"/>
        </w:rPr>
        <w:t>；</w:t>
      </w:r>
    </w:p>
    <w:p>
      <w:pPr>
        <w:pStyle w:val="26"/>
        <w:adjustRightInd w:val="0"/>
        <w:snapToGrid w:val="0"/>
        <w:spacing w:line="360" w:lineRule="auto"/>
        <w:ind w:firstLine="1200" w:firstLineChars="500"/>
        <w:rPr>
          <w:rFonts w:ascii="宋体" w:hAnsi="宋体" w:eastAsia="宋体" w:cs="宋体"/>
          <w:color w:val="auto"/>
          <w:sz w:val="24"/>
          <w:highlight w:val="none"/>
        </w:rPr>
      </w:pPr>
      <w:r>
        <w:rPr>
          <w:rFonts w:ascii="宋体" w:hAnsi="宋体" w:eastAsia="宋体" w:cs="宋体"/>
          <w:color w:val="auto"/>
          <w:sz w:val="24"/>
          <w:highlight w:val="none"/>
        </w:rPr>
        <w:t>2</w:t>
      </w:r>
      <w:r>
        <w:rPr>
          <w:rFonts w:hint="eastAsia" w:ascii="宋体" w:hAnsi="宋体" w:eastAsia="宋体" w:cs="宋体"/>
          <w:color w:val="auto"/>
          <w:sz w:val="24"/>
          <w:highlight w:val="none"/>
        </w:rPr>
        <w:t>）</w:t>
      </w:r>
      <w:r>
        <w:rPr>
          <w:rFonts w:ascii="宋体" w:hAnsi="宋体" w:eastAsia="宋体" w:cs="宋体"/>
          <w:color w:val="auto"/>
          <w:sz w:val="24"/>
          <w:highlight w:val="none"/>
        </w:rPr>
        <w:t>每年寒暑假开设假日班，暑期夏令营等活动</w:t>
      </w:r>
      <w:r>
        <w:rPr>
          <w:rFonts w:hint="eastAsia" w:ascii="宋体" w:hAnsi="宋体" w:eastAsia="宋体" w:cs="宋体"/>
          <w:color w:val="auto"/>
          <w:sz w:val="24"/>
          <w:highlight w:val="none"/>
        </w:rPr>
        <w:t>；</w:t>
      </w:r>
      <w:r>
        <w:rPr>
          <w:rFonts w:ascii="宋体" w:hAnsi="宋体" w:eastAsia="宋体" w:cs="宋体"/>
          <w:color w:val="auto"/>
          <w:sz w:val="24"/>
          <w:highlight w:val="none"/>
        </w:rPr>
        <w:t xml:space="preserve"> </w:t>
      </w:r>
    </w:p>
    <w:p>
      <w:pPr>
        <w:pStyle w:val="26"/>
        <w:adjustRightInd w:val="0"/>
        <w:snapToGrid w:val="0"/>
        <w:spacing w:line="360" w:lineRule="auto"/>
        <w:ind w:firstLine="720" w:firstLineChars="300"/>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cs="宋体"/>
          <w:color w:val="auto"/>
          <w:sz w:val="24"/>
          <w:highlight w:val="none"/>
          <w:lang w:val="en-US" w:eastAsia="zh-CN"/>
        </w:rPr>
        <w:t>2</w:t>
      </w:r>
      <w:r>
        <w:rPr>
          <w:rFonts w:hint="eastAsia" w:ascii="宋体" w:hAnsi="宋体" w:eastAsia="宋体" w:cs="宋体"/>
          <w:color w:val="auto"/>
          <w:sz w:val="24"/>
          <w:highlight w:val="none"/>
        </w:rPr>
        <w:t>）服务人群（中青</w:t>
      </w:r>
      <w:r>
        <w:rPr>
          <w:rFonts w:hint="eastAsia" w:cs="宋体"/>
          <w:color w:val="auto"/>
          <w:sz w:val="24"/>
          <w:highlight w:val="none"/>
          <w:lang w:eastAsia="zh-CN"/>
        </w:rPr>
        <w:t>年、老年</w:t>
      </w:r>
      <w:r>
        <w:rPr>
          <w:rFonts w:hint="eastAsia" w:ascii="宋体" w:hAnsi="宋体" w:eastAsia="宋体" w:cs="宋体"/>
          <w:color w:val="auto"/>
          <w:sz w:val="24"/>
          <w:highlight w:val="none"/>
        </w:rPr>
        <w:t>）</w:t>
      </w:r>
    </w:p>
    <w:p>
      <w:pPr>
        <w:pStyle w:val="26"/>
        <w:adjustRightInd w:val="0"/>
        <w:snapToGrid w:val="0"/>
        <w:spacing w:line="360" w:lineRule="auto"/>
        <w:ind w:firstLine="1200" w:firstLineChars="500"/>
        <w:rPr>
          <w:rFonts w:ascii="宋体" w:hAnsi="宋体" w:eastAsia="宋体" w:cs="宋体"/>
          <w:color w:val="auto"/>
          <w:sz w:val="24"/>
          <w:highlight w:val="none"/>
        </w:rPr>
      </w:pPr>
      <w:r>
        <w:rPr>
          <w:rFonts w:ascii="宋体" w:hAnsi="宋体" w:eastAsia="宋体" w:cs="宋体"/>
          <w:color w:val="auto"/>
          <w:sz w:val="24"/>
          <w:highlight w:val="none"/>
        </w:rPr>
        <w:t>1</w:t>
      </w:r>
      <w:r>
        <w:rPr>
          <w:rFonts w:hint="eastAsia" w:ascii="宋体" w:hAnsi="宋体" w:eastAsia="宋体" w:cs="宋体"/>
          <w:color w:val="auto"/>
          <w:sz w:val="24"/>
          <w:highlight w:val="none"/>
        </w:rPr>
        <w:t>）</w:t>
      </w:r>
      <w:r>
        <w:rPr>
          <w:rFonts w:ascii="宋体" w:hAnsi="宋体" w:eastAsia="宋体" w:cs="宋体"/>
          <w:color w:val="auto"/>
          <w:sz w:val="24"/>
          <w:highlight w:val="none"/>
        </w:rPr>
        <w:t>中青年不少于20次；</w:t>
      </w:r>
    </w:p>
    <w:p>
      <w:pPr>
        <w:pStyle w:val="26"/>
        <w:adjustRightInd w:val="0"/>
        <w:snapToGrid w:val="0"/>
        <w:spacing w:line="360" w:lineRule="auto"/>
        <w:ind w:firstLine="1200" w:firstLineChars="500"/>
        <w:rPr>
          <w:rFonts w:hint="eastAsia" w:eastAsia="宋体"/>
          <w:color w:val="auto"/>
          <w:lang w:eastAsia="zh-CN"/>
        </w:rPr>
      </w:pPr>
      <w:r>
        <w:rPr>
          <w:rFonts w:ascii="宋体" w:hAnsi="宋体" w:eastAsia="宋体" w:cs="宋体"/>
          <w:color w:val="auto"/>
          <w:sz w:val="24"/>
          <w:highlight w:val="none"/>
        </w:rPr>
        <w:t>2</w:t>
      </w:r>
      <w:r>
        <w:rPr>
          <w:rFonts w:hint="eastAsia" w:ascii="宋体" w:hAnsi="宋体" w:eastAsia="宋体" w:cs="宋体"/>
          <w:color w:val="auto"/>
          <w:sz w:val="24"/>
          <w:highlight w:val="none"/>
        </w:rPr>
        <w:t>）</w:t>
      </w:r>
      <w:r>
        <w:rPr>
          <w:rFonts w:ascii="宋体" w:hAnsi="宋体" w:eastAsia="宋体" w:cs="宋体"/>
          <w:color w:val="auto"/>
          <w:sz w:val="24"/>
          <w:highlight w:val="none"/>
        </w:rPr>
        <w:t xml:space="preserve">老年人不少于20次。 </w:t>
      </w:r>
    </w:p>
    <w:p>
      <w:pPr>
        <w:pStyle w:val="26"/>
        <w:adjustRightInd w:val="0"/>
        <w:snapToGrid w:val="0"/>
        <w:spacing w:line="360" w:lineRule="auto"/>
        <w:ind w:firstLine="480" w:firstLineChars="200"/>
        <w:rPr>
          <w:rFonts w:ascii="宋体" w:hAnsi="宋体" w:eastAsia="宋体" w:cs="宋体"/>
          <w:color w:val="auto"/>
          <w:sz w:val="24"/>
          <w:highlight w:val="none"/>
        </w:rPr>
      </w:pPr>
      <w:r>
        <w:rPr>
          <w:rFonts w:hint="eastAsia" w:cs="宋体"/>
          <w:color w:val="auto"/>
          <w:sz w:val="24"/>
          <w:highlight w:val="none"/>
          <w:lang w:eastAsia="zh-CN"/>
        </w:rPr>
        <w:t>（</w:t>
      </w:r>
      <w:r>
        <w:rPr>
          <w:rFonts w:hint="eastAsia" w:cs="宋体"/>
          <w:color w:val="auto"/>
          <w:sz w:val="24"/>
          <w:highlight w:val="none"/>
          <w:lang w:val="en-US" w:eastAsia="zh-CN"/>
        </w:rPr>
        <w:t>4）</w:t>
      </w:r>
      <w:r>
        <w:rPr>
          <w:rFonts w:hint="eastAsia" w:ascii="宋体" w:hAnsi="宋体" w:eastAsia="宋体" w:cs="宋体"/>
          <w:color w:val="auto"/>
          <w:sz w:val="24"/>
          <w:highlight w:val="none"/>
        </w:rPr>
        <w:t>便民、公共服务（全年</w:t>
      </w:r>
      <w:r>
        <w:rPr>
          <w:rFonts w:ascii="宋体" w:hAnsi="宋体" w:eastAsia="宋体" w:cs="宋体"/>
          <w:color w:val="auto"/>
          <w:sz w:val="24"/>
          <w:highlight w:val="none"/>
        </w:rPr>
        <w:t>2次大型活动、12次便民服务）</w:t>
      </w:r>
      <w:r>
        <w:rPr>
          <w:rFonts w:hint="eastAsia" w:ascii="宋体" w:hAnsi="宋体" w:eastAsia="宋体" w:cs="宋体"/>
          <w:color w:val="auto"/>
          <w:sz w:val="24"/>
          <w:highlight w:val="none"/>
        </w:rPr>
        <w:t>。</w:t>
      </w:r>
    </w:p>
    <w:p>
      <w:pPr>
        <w:pStyle w:val="26"/>
        <w:adjustRightInd w:val="0"/>
        <w:snapToGrid w:val="0"/>
        <w:spacing w:line="360" w:lineRule="auto"/>
        <w:ind w:firstLine="480" w:firstLineChars="200"/>
        <w:rPr>
          <w:rFonts w:ascii="宋体" w:hAnsi="宋体" w:eastAsia="宋体" w:cs="宋体"/>
          <w:color w:val="auto"/>
          <w:sz w:val="24"/>
          <w:highlight w:val="none"/>
        </w:rPr>
      </w:pPr>
      <w:r>
        <w:rPr>
          <w:rFonts w:hint="eastAsia" w:cs="宋体"/>
          <w:color w:val="auto"/>
          <w:sz w:val="24"/>
          <w:highlight w:val="none"/>
          <w:lang w:eastAsia="zh-CN"/>
        </w:rPr>
        <w:t>（</w:t>
      </w:r>
      <w:r>
        <w:rPr>
          <w:rFonts w:hint="eastAsia" w:cs="宋体"/>
          <w:color w:val="auto"/>
          <w:sz w:val="24"/>
          <w:highlight w:val="none"/>
          <w:lang w:val="en-US" w:eastAsia="zh-CN"/>
        </w:rPr>
        <w:t>5）</w:t>
      </w:r>
      <w:r>
        <w:rPr>
          <w:rFonts w:hint="eastAsia" w:ascii="宋体" w:hAnsi="宋体" w:eastAsia="宋体" w:cs="宋体"/>
          <w:color w:val="auto"/>
          <w:sz w:val="24"/>
          <w:highlight w:val="none"/>
        </w:rPr>
        <w:t>对接省级资源</w:t>
      </w:r>
      <w:r>
        <w:rPr>
          <w:rFonts w:ascii="宋体" w:hAnsi="宋体" w:eastAsia="宋体" w:cs="宋体"/>
          <w:color w:val="auto"/>
          <w:sz w:val="24"/>
          <w:highlight w:val="none"/>
        </w:rPr>
        <w:t xml:space="preserve"> 不少于2项 </w:t>
      </w:r>
      <w:r>
        <w:rPr>
          <w:rFonts w:hint="eastAsia" w:ascii="宋体" w:hAnsi="宋体" w:eastAsia="宋体" w:cs="宋体"/>
          <w:color w:val="auto"/>
          <w:sz w:val="24"/>
          <w:highlight w:val="none"/>
        </w:rPr>
        <w:t>。</w:t>
      </w:r>
    </w:p>
    <w:p>
      <w:pPr>
        <w:pStyle w:val="26"/>
        <w:adjustRightInd w:val="0"/>
        <w:snapToGrid w:val="0"/>
        <w:spacing w:line="360" w:lineRule="auto"/>
        <w:ind w:firstLine="480" w:firstLineChars="200"/>
        <w:rPr>
          <w:rFonts w:hint="eastAsia" w:ascii="宋体" w:hAnsi="宋体" w:eastAsia="宋体" w:cs="宋体"/>
          <w:color w:val="auto"/>
          <w:sz w:val="24"/>
          <w:highlight w:val="none"/>
        </w:rPr>
      </w:pPr>
      <w:r>
        <w:rPr>
          <w:rFonts w:hint="eastAsia" w:cs="宋体"/>
          <w:color w:val="auto"/>
          <w:sz w:val="24"/>
          <w:highlight w:val="none"/>
          <w:lang w:eastAsia="zh-CN"/>
        </w:rPr>
        <w:t>（</w:t>
      </w:r>
      <w:r>
        <w:rPr>
          <w:rFonts w:hint="eastAsia" w:cs="宋体"/>
          <w:color w:val="auto"/>
          <w:sz w:val="24"/>
          <w:highlight w:val="none"/>
          <w:lang w:val="en-US" w:eastAsia="zh-CN"/>
        </w:rPr>
        <w:t>6）4-6</w:t>
      </w:r>
      <w:r>
        <w:rPr>
          <w:rFonts w:ascii="宋体" w:hAnsi="宋体" w:eastAsia="宋体" w:cs="宋体"/>
          <w:color w:val="auto"/>
          <w:sz w:val="24"/>
          <w:highlight w:val="none"/>
        </w:rPr>
        <w:t xml:space="preserve">楼设备维护 日常设备维护及场地清洁材料 </w:t>
      </w:r>
      <w:r>
        <w:rPr>
          <w:rFonts w:hint="eastAsia" w:ascii="宋体" w:hAnsi="宋体" w:eastAsia="宋体" w:cs="宋体"/>
          <w:color w:val="auto"/>
          <w:sz w:val="24"/>
          <w:highlight w:val="none"/>
        </w:rPr>
        <w:t>。</w:t>
      </w:r>
    </w:p>
    <w:p>
      <w:pPr>
        <w:pStyle w:val="26"/>
        <w:adjustRightInd w:val="0"/>
        <w:snapToGrid w:val="0"/>
        <w:spacing w:line="360" w:lineRule="auto"/>
        <w:ind w:firstLine="480" w:firstLineChars="200"/>
        <w:rPr>
          <w:rFonts w:hint="eastAsia" w:ascii="宋体" w:hAnsi="宋体" w:eastAsia="宋体" w:cs="宋体"/>
          <w:color w:val="auto"/>
          <w:sz w:val="24"/>
          <w:highlight w:val="none"/>
        </w:rPr>
      </w:pPr>
      <w:r>
        <w:rPr>
          <w:rFonts w:hint="eastAsia" w:cs="宋体"/>
          <w:color w:val="auto"/>
          <w:sz w:val="24"/>
          <w:highlight w:val="none"/>
          <w:lang w:eastAsia="zh-CN"/>
        </w:rPr>
        <w:t>（</w:t>
      </w:r>
      <w:r>
        <w:rPr>
          <w:rFonts w:hint="eastAsia" w:cs="宋体"/>
          <w:color w:val="auto"/>
          <w:sz w:val="24"/>
          <w:highlight w:val="none"/>
          <w:lang w:val="en-US" w:eastAsia="zh-CN"/>
        </w:rPr>
        <w:t>7）</w:t>
      </w:r>
      <w:r>
        <w:rPr>
          <w:rFonts w:ascii="宋体" w:hAnsi="宋体" w:eastAsia="宋体" w:cs="宋体"/>
          <w:color w:val="auto"/>
          <w:sz w:val="24"/>
          <w:highlight w:val="none"/>
        </w:rPr>
        <w:t>打造</w:t>
      </w:r>
      <w:r>
        <w:rPr>
          <w:rFonts w:hint="eastAsia" w:cs="宋体"/>
          <w:color w:val="auto"/>
          <w:sz w:val="24"/>
          <w:highlight w:val="none"/>
          <w:lang w:eastAsia="zh-CN"/>
        </w:rPr>
        <w:t>良渚街道社会工作站特色品牌</w:t>
      </w:r>
      <w:r>
        <w:rPr>
          <w:rFonts w:hint="eastAsia" w:ascii="宋体" w:hAnsi="宋体" w:eastAsia="宋体" w:cs="宋体"/>
          <w:color w:val="auto"/>
          <w:sz w:val="24"/>
          <w:highlight w:val="none"/>
        </w:rPr>
        <w:t>。</w:t>
      </w:r>
    </w:p>
    <w:p>
      <w:pPr>
        <w:spacing w:line="360" w:lineRule="auto"/>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四、服务要求</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 xml:space="preserve">    （一）服务对象</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良渚</w:t>
      </w:r>
      <w:r>
        <w:rPr>
          <w:rFonts w:hint="eastAsia" w:ascii="宋体" w:hAnsi="宋体" w:cs="宋体"/>
          <w:color w:val="auto"/>
          <w:sz w:val="24"/>
          <w:highlight w:val="none"/>
        </w:rPr>
        <w:t>街道辖区内百姓</w:t>
      </w:r>
    </w:p>
    <w:p>
      <w:pPr>
        <w:numPr>
          <w:ilvl w:val="0"/>
          <w:numId w:val="0"/>
        </w:num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服务</w:t>
      </w:r>
      <w:r>
        <w:rPr>
          <w:rFonts w:hint="eastAsia" w:ascii="宋体" w:hAnsi="宋体" w:cs="宋体"/>
          <w:b/>
          <w:bCs/>
          <w:color w:val="auto"/>
          <w:sz w:val="24"/>
          <w:highlight w:val="none"/>
        </w:rPr>
        <w:t>要求</w:t>
      </w:r>
    </w:p>
    <w:p>
      <w:pPr>
        <w:spacing w:line="360" w:lineRule="auto"/>
        <w:ind w:firstLine="360" w:firstLineChars="15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工作人员须</w:t>
      </w:r>
      <w:r>
        <w:rPr>
          <w:rFonts w:hint="eastAsia" w:ascii="宋体" w:hAnsi="宋体" w:cs="宋体"/>
          <w:color w:val="auto"/>
          <w:sz w:val="24"/>
          <w:highlight w:val="none"/>
          <w:lang w:eastAsia="zh-CN"/>
        </w:rPr>
        <w:t>能</w:t>
      </w:r>
      <w:r>
        <w:rPr>
          <w:rFonts w:hint="eastAsia" w:ascii="宋体" w:hAnsi="宋体" w:cs="宋体"/>
          <w:color w:val="auto"/>
          <w:sz w:val="24"/>
          <w:highlight w:val="none"/>
        </w:rPr>
        <w:t>听懂</w:t>
      </w:r>
      <w:r>
        <w:rPr>
          <w:rFonts w:hint="eastAsia" w:ascii="宋体" w:hAnsi="宋体" w:cs="宋体"/>
          <w:color w:val="auto"/>
          <w:sz w:val="24"/>
          <w:highlight w:val="none"/>
          <w:lang w:eastAsia="zh-CN"/>
        </w:rPr>
        <w:t>良渚</w:t>
      </w:r>
      <w:r>
        <w:rPr>
          <w:rFonts w:hint="eastAsia" w:ascii="宋体" w:hAnsi="宋体" w:cs="宋体"/>
          <w:color w:val="auto"/>
          <w:sz w:val="24"/>
          <w:highlight w:val="none"/>
        </w:rPr>
        <w:t>话，并进行相关专业培训取得相关资格或岗位证书，从事能力与之相配套专业对应本项目提供相应服务。其他未尽事宜可另行签订补充协议文本。</w:t>
      </w:r>
    </w:p>
    <w:p>
      <w:pPr>
        <w:pStyle w:val="26"/>
        <w:rPr>
          <w:rFonts w:hint="default" w:eastAsia="宋体"/>
          <w:lang w:val="en-US" w:eastAsia="zh-CN"/>
        </w:rPr>
      </w:pPr>
      <w:r>
        <w:rPr>
          <w:rFonts w:hint="eastAsia" w:cs="宋体"/>
          <w:color w:val="auto"/>
          <w:sz w:val="24"/>
          <w:highlight w:val="none"/>
          <w:lang w:val="en-US" w:eastAsia="zh-CN"/>
        </w:rPr>
        <w:t>2、负责市民客厅四至六楼的日常接待、场馆运营、保洁、宣传和推广、场馆设施设备的日常维护。</w:t>
      </w:r>
    </w:p>
    <w:p>
      <w:pPr>
        <w:pStyle w:val="26"/>
        <w:adjustRightInd w:val="0"/>
        <w:snapToGrid w:val="0"/>
        <w:spacing w:line="360" w:lineRule="auto"/>
        <w:ind w:firstLine="480" w:firstLineChars="200"/>
        <w:rPr>
          <w:rFonts w:hint="eastAsia" w:ascii="宋体" w:hAnsi="宋体" w:eastAsia="宋体" w:cs="宋体"/>
          <w:color w:val="auto"/>
          <w:sz w:val="24"/>
          <w:highlight w:val="none"/>
        </w:rPr>
      </w:pPr>
      <w:r>
        <w:rPr>
          <w:rFonts w:hint="eastAsia" w:cs="宋体"/>
          <w:color w:val="auto"/>
          <w:sz w:val="24"/>
          <w:highlight w:val="none"/>
          <w:lang w:val="en-US" w:eastAsia="zh-CN"/>
        </w:rPr>
        <w:t>3、</w:t>
      </w:r>
      <w:r>
        <w:rPr>
          <w:rFonts w:hint="eastAsia" w:ascii="宋体" w:hAnsi="宋体" w:eastAsia="宋体" w:cs="宋体"/>
          <w:color w:val="auto"/>
          <w:sz w:val="24"/>
          <w:highlight w:val="none"/>
        </w:rPr>
        <w:t>中标人需根据履行合同相对应的管理与服务，并依照服务</w:t>
      </w:r>
      <w:r>
        <w:rPr>
          <w:rFonts w:hint="eastAsia" w:cs="宋体"/>
          <w:color w:val="auto"/>
          <w:sz w:val="24"/>
          <w:highlight w:val="none"/>
          <w:lang w:eastAsia="zh-CN"/>
        </w:rPr>
        <w:t>内容</w:t>
      </w:r>
      <w:r>
        <w:rPr>
          <w:rFonts w:hint="eastAsia" w:ascii="宋体" w:hAnsi="宋体" w:eastAsia="宋体" w:cs="宋体"/>
          <w:color w:val="auto"/>
          <w:sz w:val="24"/>
          <w:highlight w:val="none"/>
        </w:rPr>
        <w:t>，选派符合条件的服务员，对该项目进行专业服务。同时对服务项目实行明码标价，实施公开承诺服务。</w:t>
      </w:r>
    </w:p>
    <w:p>
      <w:pPr>
        <w:pStyle w:val="26"/>
        <w:adjustRightInd w:val="0"/>
        <w:snapToGrid w:val="0"/>
        <w:spacing w:line="360" w:lineRule="auto"/>
        <w:ind w:firstLine="480" w:firstLineChars="200"/>
        <w:rPr>
          <w:rFonts w:ascii="宋体" w:hAnsi="宋体" w:eastAsia="宋体" w:cs="宋体"/>
          <w:color w:val="auto"/>
          <w:sz w:val="24"/>
          <w:highlight w:val="none"/>
        </w:rPr>
      </w:pPr>
      <w:r>
        <w:rPr>
          <w:rFonts w:hint="eastAsia" w:cs="宋体"/>
          <w:color w:val="auto"/>
          <w:sz w:val="24"/>
          <w:highlight w:val="none"/>
          <w:lang w:val="en-US" w:eastAsia="zh-CN"/>
        </w:rPr>
        <w:t>4、</w:t>
      </w:r>
      <w:r>
        <w:rPr>
          <w:rFonts w:hint="eastAsia" w:ascii="宋体" w:hAnsi="宋体" w:eastAsia="宋体" w:cs="宋体"/>
          <w:color w:val="auto"/>
          <w:sz w:val="24"/>
          <w:highlight w:val="none"/>
        </w:rPr>
        <w:t>中标人需为场地购买保险（</w:t>
      </w:r>
      <w:r>
        <w:rPr>
          <w:rFonts w:ascii="宋体" w:hAnsi="宋体" w:eastAsia="宋体" w:cs="宋体"/>
          <w:color w:val="auto"/>
          <w:sz w:val="24"/>
          <w:highlight w:val="none"/>
        </w:rPr>
        <w:t>室内场地</w:t>
      </w:r>
      <w:r>
        <w:rPr>
          <w:rFonts w:hint="eastAsia" w:ascii="宋体" w:hAnsi="宋体" w:eastAsia="宋体" w:cs="宋体"/>
          <w:color w:val="auto"/>
          <w:sz w:val="24"/>
          <w:highlight w:val="none"/>
        </w:rPr>
        <w:t>）。</w:t>
      </w:r>
      <w:r>
        <w:rPr>
          <w:rFonts w:ascii="宋体" w:hAnsi="宋体" w:eastAsia="宋体" w:cs="宋体"/>
          <w:color w:val="auto"/>
          <w:sz w:val="24"/>
          <w:highlight w:val="none"/>
        </w:rPr>
        <w:t xml:space="preserve"> </w:t>
      </w:r>
    </w:p>
    <w:p>
      <w:pPr>
        <w:pStyle w:val="26"/>
        <w:adjustRightInd w:val="0"/>
        <w:snapToGrid w:val="0"/>
        <w:spacing w:line="360" w:lineRule="auto"/>
        <w:ind w:firstLine="480" w:firstLineChars="200"/>
        <w:rPr>
          <w:rFonts w:hint="eastAsia" w:ascii="宋体" w:hAnsi="宋体" w:eastAsia="宋体" w:cs="宋体"/>
          <w:color w:val="auto"/>
          <w:sz w:val="24"/>
          <w:highlight w:val="none"/>
        </w:rPr>
      </w:pPr>
      <w:r>
        <w:rPr>
          <w:rFonts w:hint="eastAsia" w:cs="宋体"/>
          <w:color w:val="auto"/>
          <w:sz w:val="24"/>
          <w:highlight w:val="none"/>
          <w:lang w:val="en-US" w:eastAsia="zh-CN"/>
        </w:rPr>
        <w:t>5、</w:t>
      </w:r>
      <w:r>
        <w:rPr>
          <w:rFonts w:hint="eastAsia" w:ascii="宋体" w:hAnsi="宋体" w:eastAsia="宋体" w:cs="宋体"/>
          <w:color w:val="auto"/>
          <w:sz w:val="24"/>
          <w:highlight w:val="none"/>
        </w:rPr>
        <w:t xml:space="preserve">中标人在提供服务中要做好服务时间、服务次数、服务项目等记录。中标单位应组织人员向服务对象宣传服务内容、服务方法以及维权方式。中标单位服务人员服务开始和结束，向服务对象解释服务全过程，便于服务对象及时了解，并征求服务对象意见，同时应保证服务时间和服务内容落实到位，并接受相应监督管理。 </w:t>
      </w:r>
    </w:p>
    <w:p>
      <w:pPr>
        <w:pStyle w:val="26"/>
        <w:adjustRightInd w:val="0"/>
        <w:snapToGrid w:val="0"/>
        <w:spacing w:line="360" w:lineRule="auto"/>
        <w:ind w:firstLine="480" w:firstLineChars="200"/>
        <w:rPr>
          <w:rFonts w:hint="eastAsia" w:ascii="宋体" w:hAnsi="宋体" w:cs="宋体"/>
          <w:color w:val="auto"/>
          <w:sz w:val="24"/>
          <w:highlight w:val="none"/>
        </w:rPr>
      </w:pPr>
      <w:r>
        <w:rPr>
          <w:rFonts w:hint="eastAsia" w:cs="宋体"/>
          <w:color w:val="auto"/>
          <w:sz w:val="24"/>
          <w:highlight w:val="none"/>
          <w:lang w:val="en-US" w:eastAsia="zh-CN"/>
        </w:rPr>
        <w:t>6、</w:t>
      </w:r>
      <w:r>
        <w:rPr>
          <w:rFonts w:hint="eastAsia" w:ascii="宋体" w:hAnsi="宋体" w:cs="宋体"/>
          <w:color w:val="auto"/>
          <w:sz w:val="24"/>
          <w:highlight w:val="none"/>
        </w:rPr>
        <w:t xml:space="preserve"> 中标单位违反约定，未能达到服务标准，采购人有权要求中标单位进行整改，并扣取相应的服务费用；由于中标单位造成服务对象经济损失或政府形象受损的，采购人应扣取相关服务费用，视情解除合同并追究中标单位相关法律责任。</w:t>
      </w:r>
    </w:p>
    <w:p>
      <w:pPr>
        <w:pStyle w:val="26"/>
        <w:adjustRightInd w:val="0"/>
        <w:snapToGrid w:val="0"/>
        <w:spacing w:line="360" w:lineRule="auto"/>
        <w:ind w:firstLine="480" w:firstLineChars="200"/>
        <w:rPr>
          <w:rFonts w:hint="eastAsia" w:ascii="宋体" w:hAnsi="宋体" w:cs="宋体"/>
          <w:color w:val="auto"/>
          <w:sz w:val="24"/>
          <w:highlight w:val="none"/>
        </w:rPr>
      </w:pPr>
      <w:r>
        <w:rPr>
          <w:rFonts w:hint="eastAsia" w:cs="宋体"/>
          <w:color w:val="auto"/>
          <w:sz w:val="24"/>
          <w:highlight w:val="none"/>
          <w:lang w:val="en-US" w:eastAsia="zh-CN"/>
        </w:rPr>
        <w:t>7、</w:t>
      </w:r>
      <w:r>
        <w:rPr>
          <w:rFonts w:hint="eastAsia" w:ascii="宋体" w:hAnsi="宋体" w:cs="宋体"/>
          <w:color w:val="auto"/>
          <w:sz w:val="24"/>
          <w:highlight w:val="none"/>
        </w:rPr>
        <w:t xml:space="preserve">服务人员与服务对象发生纠纷，由中标单位进行处理，处理期限不得超过5个工作日，处理结果应及时上报采购人备案。 </w:t>
      </w:r>
    </w:p>
    <w:p>
      <w:pPr>
        <w:pStyle w:val="26"/>
        <w:adjustRightInd w:val="0"/>
        <w:snapToGrid w:val="0"/>
        <w:spacing w:line="360" w:lineRule="auto"/>
        <w:ind w:firstLine="480" w:firstLineChars="200"/>
        <w:rPr>
          <w:rFonts w:ascii="宋体" w:hAnsi="宋体" w:eastAsia="宋体" w:cs="宋体"/>
          <w:color w:val="auto"/>
          <w:sz w:val="24"/>
          <w:highlight w:val="none"/>
        </w:rPr>
      </w:pPr>
      <w:r>
        <w:rPr>
          <w:rFonts w:hint="eastAsia" w:cs="宋体"/>
          <w:color w:val="auto"/>
          <w:sz w:val="24"/>
          <w:highlight w:val="none"/>
          <w:lang w:val="en-US" w:eastAsia="zh-CN"/>
        </w:rPr>
        <w:t>8、</w:t>
      </w:r>
      <w:r>
        <w:rPr>
          <w:rFonts w:hint="eastAsia" w:ascii="宋体" w:hAnsi="宋体" w:cs="宋体"/>
          <w:color w:val="auto"/>
          <w:sz w:val="24"/>
          <w:highlight w:val="none"/>
        </w:rPr>
        <w:t xml:space="preserve">采购人或用人单位有权对中标单位服务人员上述情况进行监督检查。 </w:t>
      </w:r>
    </w:p>
    <w:p>
      <w:pPr>
        <w:pStyle w:val="26"/>
        <w:adjustRightInd w:val="0"/>
        <w:snapToGrid w:val="0"/>
        <w:spacing w:line="360" w:lineRule="auto"/>
        <w:ind w:firstLine="480" w:firstLineChars="200"/>
        <w:rPr>
          <w:rFonts w:hint="eastAsia" w:ascii="宋体" w:hAnsi="宋体" w:cs="宋体"/>
          <w:color w:val="auto"/>
          <w:sz w:val="24"/>
          <w:highlight w:val="none"/>
        </w:rPr>
      </w:pPr>
      <w:r>
        <w:rPr>
          <w:rFonts w:hint="eastAsia" w:cs="宋体"/>
          <w:color w:val="auto"/>
          <w:sz w:val="24"/>
          <w:highlight w:val="none"/>
          <w:lang w:val="en-US" w:eastAsia="zh-CN"/>
        </w:rPr>
        <w:t>9、</w:t>
      </w:r>
      <w:r>
        <w:rPr>
          <w:rFonts w:hint="eastAsia" w:ascii="宋体" w:hAnsi="宋体" w:cs="宋体"/>
          <w:color w:val="auto"/>
          <w:sz w:val="24"/>
          <w:highlight w:val="none"/>
        </w:rPr>
        <w:t>为确保项目正常</w:t>
      </w:r>
      <w:r>
        <w:rPr>
          <w:rFonts w:hint="eastAsia" w:ascii="宋体" w:hAnsi="宋体" w:eastAsia="宋体" w:cs="宋体"/>
          <w:color w:val="auto"/>
          <w:sz w:val="24"/>
          <w:highlight w:val="none"/>
        </w:rPr>
        <w:t>开展</w:t>
      </w:r>
      <w:r>
        <w:rPr>
          <w:rFonts w:hint="eastAsia" w:ascii="宋体" w:hAnsi="宋体" w:cs="宋体"/>
          <w:color w:val="auto"/>
          <w:sz w:val="24"/>
          <w:highlight w:val="none"/>
        </w:rPr>
        <w:t>，</w:t>
      </w:r>
      <w:r>
        <w:rPr>
          <w:rFonts w:hint="eastAsia" w:ascii="宋体" w:hAnsi="宋体" w:eastAsia="宋体" w:cs="宋体"/>
          <w:color w:val="auto"/>
          <w:sz w:val="24"/>
          <w:highlight w:val="none"/>
        </w:rPr>
        <w:t>中标</w:t>
      </w:r>
      <w:r>
        <w:rPr>
          <w:rFonts w:hint="eastAsia" w:ascii="宋体" w:hAnsi="宋体" w:cs="宋体"/>
          <w:color w:val="auto"/>
          <w:sz w:val="24"/>
          <w:highlight w:val="none"/>
        </w:rPr>
        <w:t>方必须明确内部管理职能</w:t>
      </w:r>
      <w:r>
        <w:rPr>
          <w:rFonts w:hint="eastAsia" w:ascii="宋体" w:hAnsi="宋体" w:eastAsia="宋体" w:cs="宋体"/>
          <w:color w:val="auto"/>
          <w:sz w:val="24"/>
          <w:highlight w:val="none"/>
        </w:rPr>
        <w:t>，</w:t>
      </w:r>
      <w:r>
        <w:rPr>
          <w:rFonts w:hint="eastAsia" w:ascii="宋体" w:hAnsi="宋体" w:cs="宋体"/>
          <w:color w:val="auto"/>
          <w:sz w:val="24"/>
          <w:highlight w:val="none"/>
        </w:rPr>
        <w:t>项目负责人在该项目服务期限内，</w:t>
      </w:r>
      <w:r>
        <w:rPr>
          <w:rFonts w:hint="eastAsia" w:ascii="宋体" w:hAnsi="宋体" w:eastAsia="宋体" w:cs="宋体"/>
          <w:color w:val="auto"/>
          <w:sz w:val="24"/>
          <w:highlight w:val="none"/>
        </w:rPr>
        <w:t>全程负责跟进项目全过程</w:t>
      </w:r>
      <w:r>
        <w:rPr>
          <w:rFonts w:hint="eastAsia" w:ascii="宋体" w:hAnsi="宋体" w:cs="宋体"/>
          <w:color w:val="auto"/>
          <w:sz w:val="24"/>
          <w:highlight w:val="none"/>
        </w:rPr>
        <w:t>。</w:t>
      </w:r>
    </w:p>
    <w:p>
      <w:pPr>
        <w:pStyle w:val="26"/>
        <w:adjustRightInd w:val="0"/>
        <w:snapToGrid w:val="0"/>
        <w:spacing w:line="36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w:t>
      </w:r>
      <w:r>
        <w:rPr>
          <w:rFonts w:hint="eastAsia" w:cs="宋体"/>
          <w:b/>
          <w:bCs/>
          <w:color w:val="auto"/>
          <w:sz w:val="28"/>
          <w:szCs w:val="28"/>
          <w:highlight w:val="none"/>
          <w:lang w:val="en-US" w:eastAsia="zh-CN"/>
        </w:rPr>
        <w:t>五</w:t>
      </w:r>
      <w:r>
        <w:rPr>
          <w:rFonts w:hint="eastAsia" w:ascii="宋体" w:hAnsi="宋体" w:eastAsia="宋体" w:cs="宋体"/>
          <w:b/>
          <w:bCs/>
          <w:color w:val="auto"/>
          <w:sz w:val="28"/>
          <w:szCs w:val="28"/>
          <w:highlight w:val="none"/>
        </w:rPr>
        <w:t>、其它要求：</w:t>
      </w:r>
    </w:p>
    <w:p>
      <w:pPr>
        <w:pStyle w:val="26"/>
        <w:adjustRightInd w:val="0"/>
        <w:snapToGrid w:val="0"/>
        <w:spacing w:line="360" w:lineRule="auto"/>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市民客厅四至六楼在合同期内产生的水电费及物业费由第三方运营单位按收费部门要求按时支付，若第三方运营单位在合同期内获得区级、市级或省级综合荣誉，可以根据获得荣誉数量由街道按下表比例在合同期满后对第三方运营单位进行补助。</w:t>
      </w:r>
    </w:p>
    <w:p>
      <w:pPr>
        <w:pStyle w:val="26"/>
        <w:rPr>
          <w:rFonts w:hint="eastAsia" w:cs="宋体"/>
          <w:b w:val="0"/>
          <w:bCs w:val="0"/>
          <w:color w:val="auto"/>
          <w:sz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cs="宋体"/>
          <w:b w:val="0"/>
          <w:bCs w:val="0"/>
          <w:color w:val="auto"/>
          <w:sz w:val="24"/>
          <w:highlight w:val="none"/>
          <w:lang w:val="en-US" w:eastAsia="zh-CN"/>
        </w:rPr>
        <w:t>如有信访投诉，经甲方核实确认后每投诉一起扣1000元。</w:t>
      </w:r>
    </w:p>
    <w:p>
      <w:pPr>
        <w:pStyle w:val="26"/>
        <w:rPr>
          <w:rFonts w:hint="default" w:ascii="宋体" w:hAnsi="宋体" w:eastAsia="宋体" w:cs="宋体"/>
          <w:color w:val="auto"/>
          <w:sz w:val="24"/>
          <w:szCs w:val="24"/>
          <w:highlight w:val="none"/>
          <w:lang w:val="en-US" w:eastAsia="zh-CN"/>
        </w:rPr>
      </w:pPr>
      <w:r>
        <w:rPr>
          <w:rFonts w:hint="eastAsia" w:cs="宋体"/>
          <w:b w:val="0"/>
          <w:bCs w:val="0"/>
          <w:color w:val="auto"/>
          <w:sz w:val="24"/>
          <w:highlight w:val="none"/>
          <w:lang w:val="en-US" w:eastAsia="zh-CN"/>
        </w:rPr>
        <w:t>3、</w:t>
      </w:r>
      <w:r>
        <w:rPr>
          <w:rFonts w:hint="eastAsia" w:ascii="宋体" w:hAnsi="宋体" w:eastAsia="宋体" w:cs="宋体"/>
          <w:color w:val="auto"/>
          <w:sz w:val="24"/>
          <w:szCs w:val="24"/>
          <w:highlight w:val="none"/>
          <w:lang w:val="en-US" w:eastAsia="zh-CN"/>
        </w:rPr>
        <w:t>运营期间所造成的损失及任何安全事故一律由中标单位负责，招标人不承担任何责任</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其进行处理时情节恶劣的甲方有权终止合同。</w:t>
      </w:r>
    </w:p>
    <w:p>
      <w:pPr>
        <w:pStyle w:val="26"/>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、中标人中标后不得将本项目的服务内容全部或部分转让、转包给他人经营。中标方独立承担运营过程中的债权债务和经济、安全、法</w:t>
      </w:r>
      <w:r>
        <w:rPr>
          <w:rFonts w:hint="eastAsia" w:ascii="宋体" w:hAnsi="宋体" w:eastAsia="宋体" w:cs="宋体"/>
          <w:color w:val="auto"/>
          <w:sz w:val="24"/>
          <w:szCs w:val="24"/>
          <w:highlight w:val="none"/>
        </w:rPr>
        <w:t>律等责任，接受招标人和相关政府部门的监管。</w:t>
      </w:r>
    </w:p>
    <w:p>
      <w:pPr>
        <w:pStyle w:val="26"/>
        <w:adjustRightInd w:val="0"/>
        <w:snapToGrid w:val="0"/>
        <w:spacing w:line="360" w:lineRule="auto"/>
        <w:ind w:firstLine="420"/>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t>、中标人受托服务后，服务内容应当符合场馆功能要求的活动等服务。不得以任何形式向服务人群推销各类保健品和相关药品。</w:t>
      </w:r>
    </w:p>
    <w:p>
      <w:pPr>
        <w:pStyle w:val="26"/>
        <w:adjustRightInd w:val="0"/>
        <w:snapToGrid w:val="0"/>
        <w:spacing w:line="360" w:lineRule="auto"/>
        <w:rPr>
          <w:rFonts w:hint="eastAsia" w:ascii="宋体" w:hAnsi="宋体" w:eastAsia="宋体" w:cs="宋体"/>
          <w:b/>
          <w:bCs/>
          <w:color w:val="auto"/>
          <w:sz w:val="28"/>
          <w:szCs w:val="28"/>
          <w:highlight w:val="none"/>
        </w:rPr>
      </w:pPr>
      <w:r>
        <w:rPr>
          <w:rFonts w:hint="eastAsia" w:cs="宋体"/>
          <w:color w:val="auto"/>
          <w:sz w:val="24"/>
          <w:szCs w:val="24"/>
          <w:highlight w:val="none"/>
          <w:lang w:val="en-US" w:eastAsia="zh-CN"/>
        </w:rPr>
        <w:t>6</w:t>
      </w:r>
      <w:r>
        <w:rPr>
          <w:rFonts w:hint="eastAsia" w:ascii="宋体" w:hAnsi="宋体" w:eastAsia="宋体" w:cs="宋体"/>
          <w:color w:val="auto"/>
          <w:sz w:val="24"/>
          <w:szCs w:val="24"/>
          <w:highlight w:val="none"/>
        </w:rPr>
        <w:t>、中标人应当及时向监管方、委托方报告重大情况。年底服务结束期内，向合同委托方提交年度工作报告（包括：服务范围、服务对象、服务质量、运营管理、经营收支等有关情况）。</w:t>
      </w:r>
    </w:p>
    <w:p>
      <w:pPr>
        <w:pStyle w:val="26"/>
        <w:adjustRightInd w:val="0"/>
        <w:snapToGrid w:val="0"/>
        <w:spacing w:line="360" w:lineRule="auto"/>
        <w:rPr>
          <w:rFonts w:hint="eastAsia" w:ascii="宋体" w:hAnsi="宋体" w:eastAsia="宋体" w:cs="宋体"/>
          <w:b/>
          <w:bCs/>
          <w:color w:val="auto"/>
          <w:sz w:val="28"/>
          <w:szCs w:val="28"/>
          <w:highlight w:val="none"/>
        </w:rPr>
      </w:pPr>
      <w:bookmarkStart w:id="27" w:name="_Toc2781"/>
      <w:bookmarkStart w:id="28" w:name="_Toc20030"/>
      <w:r>
        <w:rPr>
          <w:rFonts w:hint="eastAsia" w:cs="宋体"/>
          <w:b/>
          <w:bCs/>
          <w:color w:val="auto"/>
          <w:sz w:val="28"/>
          <w:szCs w:val="28"/>
          <w:highlight w:val="none"/>
          <w:lang w:val="en-US" w:eastAsia="zh-CN"/>
        </w:rPr>
        <w:t>六</w:t>
      </w:r>
      <w:r>
        <w:rPr>
          <w:rFonts w:hint="eastAsia" w:ascii="宋体" w:hAnsi="宋体" w:eastAsia="宋体" w:cs="宋体"/>
          <w:b/>
          <w:bCs/>
          <w:color w:val="auto"/>
          <w:sz w:val="28"/>
          <w:szCs w:val="28"/>
          <w:highlight w:val="none"/>
        </w:rPr>
        <w:t>、服务考核</w:t>
      </w:r>
      <w:bookmarkEnd w:id="27"/>
      <w:bookmarkEnd w:id="28"/>
    </w:p>
    <w:p>
      <w:pPr>
        <w:pStyle w:val="26"/>
        <w:adjustRightInd w:val="0"/>
        <w:snapToGrid w:val="0"/>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采购人在委托期限内，对中标人的服务进行考评，中标人未按实施方案、要求严格执行, 未达到服务标准要求的，采购人即时提出警告、限期改正，在限期内整改落实后，再予支付服务费用；若经警告后未在限期内改正，或中标人中途自行退出，或确认其不能达到要求的, 采购人可即时与中标人解除合同，另选其他单位。</w:t>
      </w:r>
    </w:p>
    <w:p>
      <w:pPr>
        <w:pStyle w:val="26"/>
        <w:adjustRightInd w:val="0"/>
        <w:snapToGrid w:val="0"/>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服务期间，招标方会同有关部门对该项目开展的内容开展考核，中标人需无条件接受考核并积极配合，并适时根据各级政府、部门新出台的文件和规范进行完善。</w:t>
      </w:r>
    </w:p>
    <w:p>
      <w:pPr>
        <w:pStyle w:val="62"/>
        <w:ind w:left="0" w:leftChars="0" w:firstLine="482" w:firstLineChars="200"/>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具体考核标准</w:t>
      </w:r>
      <w:r>
        <w:rPr>
          <w:rFonts w:hint="eastAsia" w:cs="宋体"/>
          <w:b/>
          <w:bCs/>
          <w:color w:val="auto"/>
          <w:kern w:val="2"/>
          <w:sz w:val="24"/>
          <w:szCs w:val="24"/>
          <w:highlight w:val="none"/>
          <w:lang w:val="en-US" w:eastAsia="zh-CN" w:bidi="ar-SA"/>
        </w:rPr>
        <w:t>以</w:t>
      </w:r>
      <w:r>
        <w:rPr>
          <w:rFonts w:hint="eastAsia" w:ascii="宋体" w:hAnsi="宋体" w:eastAsia="宋体" w:cs="宋体"/>
          <w:b/>
          <w:bCs/>
          <w:color w:val="auto"/>
          <w:kern w:val="2"/>
          <w:sz w:val="24"/>
          <w:szCs w:val="24"/>
          <w:highlight w:val="none"/>
          <w:lang w:val="en-US" w:eastAsia="zh-CN" w:bidi="ar-SA"/>
        </w:rPr>
        <w:t>区考核要求</w:t>
      </w:r>
      <w:r>
        <w:rPr>
          <w:rFonts w:hint="eastAsia" w:cs="宋体"/>
          <w:b/>
          <w:bCs/>
          <w:color w:val="auto"/>
          <w:kern w:val="2"/>
          <w:sz w:val="24"/>
          <w:szCs w:val="24"/>
          <w:highlight w:val="none"/>
          <w:lang w:val="en-US" w:eastAsia="zh-CN" w:bidi="ar-SA"/>
        </w:rPr>
        <w:t>为准，</w:t>
      </w:r>
      <w:r>
        <w:rPr>
          <w:rFonts w:hint="eastAsia" w:ascii="宋体" w:hAnsi="宋体" w:eastAsia="宋体" w:cs="宋体"/>
          <w:b/>
          <w:bCs/>
          <w:color w:val="auto"/>
          <w:kern w:val="2"/>
          <w:sz w:val="24"/>
          <w:szCs w:val="24"/>
          <w:highlight w:val="none"/>
          <w:lang w:val="en-US" w:eastAsia="zh-CN" w:bidi="ar-SA"/>
        </w:rPr>
        <w:t>考核要求</w:t>
      </w:r>
      <w:r>
        <w:rPr>
          <w:rFonts w:hint="eastAsia" w:cs="宋体"/>
          <w:b/>
          <w:bCs/>
          <w:color w:val="auto"/>
          <w:kern w:val="2"/>
          <w:sz w:val="24"/>
          <w:szCs w:val="24"/>
          <w:highlight w:val="none"/>
          <w:lang w:val="en-US" w:eastAsia="zh-CN" w:bidi="ar-SA"/>
        </w:rPr>
        <w:t>可根据甲方</w:t>
      </w:r>
      <w:r>
        <w:rPr>
          <w:rFonts w:hint="eastAsia" w:ascii="宋体" w:hAnsi="宋体" w:eastAsia="宋体" w:cs="宋体"/>
          <w:b/>
          <w:bCs/>
          <w:color w:val="auto"/>
          <w:kern w:val="2"/>
          <w:sz w:val="24"/>
          <w:szCs w:val="24"/>
          <w:highlight w:val="none"/>
          <w:lang w:val="en-US" w:eastAsia="zh-CN" w:bidi="ar-SA"/>
        </w:rPr>
        <w:t>实际情况适当调整</w:t>
      </w:r>
      <w:r>
        <w:rPr>
          <w:rFonts w:hint="eastAsia" w:cs="宋体"/>
          <w:b/>
          <w:bCs/>
          <w:color w:val="auto"/>
          <w:kern w:val="2"/>
          <w:sz w:val="24"/>
          <w:szCs w:val="24"/>
          <w:highlight w:val="none"/>
          <w:lang w:val="en-US" w:eastAsia="zh-CN" w:bidi="ar-SA"/>
        </w:rPr>
        <w:t>；</w:t>
      </w:r>
    </w:p>
    <w:p>
      <w:pPr>
        <w:pStyle w:val="26"/>
        <w:adjustRightInd w:val="0"/>
        <w:snapToGrid w:val="0"/>
        <w:spacing w:line="360" w:lineRule="auto"/>
        <w:rPr>
          <w:rFonts w:hint="eastAsia" w:ascii="宋体" w:hAnsi="宋体" w:eastAsia="宋体" w:cs="宋体"/>
          <w:b/>
          <w:bCs/>
          <w:color w:val="auto"/>
          <w:sz w:val="28"/>
          <w:szCs w:val="28"/>
          <w:highlight w:val="none"/>
          <w:lang w:val="en-US" w:eastAsia="zh-CN"/>
        </w:rPr>
      </w:pPr>
      <w:r>
        <w:rPr>
          <w:rFonts w:hint="eastAsia" w:cs="宋体"/>
          <w:b/>
          <w:bCs/>
          <w:color w:val="auto"/>
          <w:sz w:val="28"/>
          <w:szCs w:val="28"/>
          <w:highlight w:val="none"/>
          <w:lang w:val="en-US" w:eastAsia="zh-CN"/>
        </w:rPr>
        <w:t>七</w:t>
      </w:r>
      <w:r>
        <w:rPr>
          <w:rFonts w:hint="eastAsia" w:ascii="宋体" w:hAnsi="宋体" w:eastAsia="宋体" w:cs="宋体"/>
          <w:b/>
          <w:bCs/>
          <w:color w:val="auto"/>
          <w:sz w:val="28"/>
          <w:szCs w:val="28"/>
          <w:highlight w:val="none"/>
          <w:lang w:val="en-US" w:eastAsia="zh-CN"/>
        </w:rPr>
        <w:t>、其他事项</w:t>
      </w:r>
    </w:p>
    <w:p>
      <w:pPr>
        <w:snapToGrid w:val="0"/>
        <w:spacing w:line="360" w:lineRule="auto"/>
        <w:ind w:firstLine="480" w:firstLineChars="200"/>
        <w:rPr>
          <w:rFonts w:ascii="宋体"/>
          <w:color w:val="auto"/>
          <w:sz w:val="24"/>
          <w:highlight w:val="none"/>
          <w:lang w:bidi="zh-CN"/>
        </w:rPr>
      </w:pPr>
      <w:r>
        <w:rPr>
          <w:rFonts w:hint="eastAsia" w:ascii="宋体"/>
          <w:color w:val="auto"/>
          <w:sz w:val="24"/>
          <w:highlight w:val="none"/>
          <w:lang w:bidi="zh-CN"/>
        </w:rPr>
        <w:t>1、中标单位发放的人工工资不得低于本区的最低工资标准，且需为其缴纳社保障和发放政府规定的其他福利（如高温费等）。</w:t>
      </w:r>
    </w:p>
    <w:p>
      <w:pPr>
        <w:tabs>
          <w:tab w:val="left" w:pos="420"/>
        </w:tabs>
        <w:snapToGrid w:val="0"/>
        <w:spacing w:line="360" w:lineRule="auto"/>
        <w:ind w:firstLine="480" w:firstLineChars="200"/>
        <w:rPr>
          <w:rFonts w:ascii="宋体"/>
          <w:color w:val="auto"/>
          <w:sz w:val="24"/>
          <w:highlight w:val="none"/>
          <w:lang w:bidi="zh-CN"/>
        </w:rPr>
      </w:pPr>
      <w:bookmarkStart w:id="29" w:name="_Toc434501373"/>
      <w:bookmarkStart w:id="30" w:name="_Toc436850438"/>
      <w:r>
        <w:rPr>
          <w:rFonts w:hint="eastAsia" w:ascii="宋体"/>
          <w:color w:val="auto"/>
          <w:sz w:val="24"/>
          <w:highlight w:val="none"/>
          <w:lang w:val="en-US" w:bidi="zh-CN"/>
        </w:rPr>
        <w:t>2</w:t>
      </w:r>
      <w:r>
        <w:rPr>
          <w:rFonts w:hint="eastAsia" w:ascii="宋体"/>
          <w:color w:val="auto"/>
          <w:sz w:val="24"/>
          <w:highlight w:val="none"/>
          <w:lang w:bidi="zh-CN"/>
        </w:rPr>
        <w:t>、监管措施</w:t>
      </w:r>
      <w:bookmarkEnd w:id="29"/>
      <w:bookmarkEnd w:id="30"/>
    </w:p>
    <w:p>
      <w:pPr>
        <w:snapToGrid w:val="0"/>
        <w:spacing w:line="360" w:lineRule="auto"/>
        <w:ind w:firstLine="480" w:firstLineChars="200"/>
        <w:rPr>
          <w:rFonts w:hint="eastAsia" w:ascii="宋体"/>
          <w:color w:val="auto"/>
          <w:sz w:val="24"/>
          <w:highlight w:val="none"/>
          <w:lang w:bidi="zh-CN"/>
        </w:rPr>
      </w:pPr>
      <w:r>
        <w:rPr>
          <w:rFonts w:hint="eastAsia" w:ascii="宋体"/>
          <w:color w:val="auto"/>
          <w:sz w:val="24"/>
          <w:highlight w:val="none"/>
          <w:lang w:bidi="zh-CN"/>
        </w:rPr>
        <w:t>（</w:t>
      </w:r>
      <w:r>
        <w:rPr>
          <w:rFonts w:ascii="宋体"/>
          <w:color w:val="auto"/>
          <w:sz w:val="24"/>
          <w:highlight w:val="none"/>
          <w:lang w:bidi="zh-CN"/>
        </w:rPr>
        <w:t>1</w:t>
      </w:r>
      <w:r>
        <w:rPr>
          <w:rFonts w:hint="eastAsia" w:ascii="宋体"/>
          <w:color w:val="auto"/>
          <w:sz w:val="24"/>
          <w:highlight w:val="none"/>
          <w:lang w:bidi="zh-CN"/>
        </w:rPr>
        <w:t>）由采购人组织的考核机构进行电话回访调查服务情况及满意度情况考核。</w:t>
      </w:r>
    </w:p>
    <w:p>
      <w:pPr>
        <w:snapToGrid w:val="0"/>
        <w:spacing w:line="360" w:lineRule="auto"/>
        <w:ind w:firstLine="480" w:firstLineChars="200"/>
        <w:rPr>
          <w:rFonts w:ascii="宋体"/>
          <w:color w:val="auto"/>
          <w:sz w:val="24"/>
          <w:highlight w:val="none"/>
          <w:lang w:bidi="zh-CN"/>
        </w:rPr>
      </w:pPr>
      <w:r>
        <w:rPr>
          <w:rFonts w:hint="eastAsia" w:ascii="宋体"/>
          <w:color w:val="auto"/>
          <w:sz w:val="24"/>
          <w:highlight w:val="none"/>
          <w:lang w:bidi="zh-CN"/>
        </w:rPr>
        <w:t>（</w:t>
      </w:r>
      <w:r>
        <w:rPr>
          <w:rFonts w:ascii="宋体"/>
          <w:color w:val="auto"/>
          <w:sz w:val="24"/>
          <w:highlight w:val="none"/>
          <w:lang w:bidi="zh-CN"/>
        </w:rPr>
        <w:t>2</w:t>
      </w:r>
      <w:r>
        <w:rPr>
          <w:rFonts w:hint="eastAsia" w:ascii="宋体"/>
          <w:color w:val="auto"/>
          <w:sz w:val="24"/>
          <w:highlight w:val="none"/>
          <w:lang w:bidi="zh-CN"/>
        </w:rPr>
        <w:t>）由项目采购方</w:t>
      </w:r>
      <w:r>
        <w:rPr>
          <w:rFonts w:ascii="宋体"/>
          <w:color w:val="auto"/>
          <w:sz w:val="24"/>
          <w:highlight w:val="none"/>
          <w:lang w:bidi="zh-CN"/>
        </w:rPr>
        <w:t>采取察看服务记录、询访服务对象、跟踪抽查等形式，对工作人员服务项目落实情况、服务质量和服务对象满意度、社会认可度等方面进行评估考核，确定是否胜任服务工作，</w:t>
      </w:r>
      <w:r>
        <w:rPr>
          <w:rFonts w:hint="eastAsia" w:ascii="宋体"/>
          <w:color w:val="auto"/>
          <w:sz w:val="24"/>
          <w:highlight w:val="none"/>
          <w:lang w:bidi="zh-CN"/>
        </w:rPr>
        <w:t>也将</w:t>
      </w:r>
      <w:r>
        <w:rPr>
          <w:rFonts w:ascii="宋体"/>
          <w:color w:val="auto"/>
          <w:sz w:val="24"/>
          <w:highlight w:val="none"/>
          <w:lang w:bidi="zh-CN"/>
        </w:rPr>
        <w:t>作为</w:t>
      </w:r>
      <w:r>
        <w:rPr>
          <w:rFonts w:hint="eastAsia" w:ascii="宋体"/>
          <w:color w:val="auto"/>
          <w:sz w:val="24"/>
          <w:highlight w:val="none"/>
          <w:lang w:bidi="zh-CN"/>
        </w:rPr>
        <w:t>考核依据。</w:t>
      </w:r>
    </w:p>
    <w:p>
      <w:pPr>
        <w:snapToGrid w:val="0"/>
        <w:spacing w:line="360" w:lineRule="auto"/>
        <w:ind w:firstLine="480" w:firstLineChars="200"/>
        <w:rPr>
          <w:rFonts w:ascii="宋体"/>
          <w:color w:val="auto"/>
          <w:sz w:val="24"/>
          <w:highlight w:val="none"/>
          <w:lang w:bidi="zh-CN"/>
        </w:rPr>
      </w:pPr>
      <w:r>
        <w:rPr>
          <w:rFonts w:hint="eastAsia" w:ascii="宋体"/>
          <w:color w:val="auto"/>
          <w:sz w:val="24"/>
          <w:highlight w:val="none"/>
          <w:lang w:bidi="zh-CN"/>
        </w:rPr>
        <w:t>（</w:t>
      </w:r>
      <w:r>
        <w:rPr>
          <w:rFonts w:ascii="宋体"/>
          <w:color w:val="auto"/>
          <w:sz w:val="24"/>
          <w:highlight w:val="none"/>
          <w:lang w:bidi="zh-CN"/>
        </w:rPr>
        <w:t>3</w:t>
      </w:r>
      <w:r>
        <w:rPr>
          <w:rFonts w:hint="eastAsia" w:ascii="宋体"/>
          <w:color w:val="auto"/>
          <w:sz w:val="24"/>
          <w:highlight w:val="none"/>
          <w:lang w:bidi="zh-CN"/>
        </w:rPr>
        <w:t>）</w:t>
      </w:r>
      <w:r>
        <w:rPr>
          <w:rFonts w:ascii="宋体"/>
          <w:color w:val="auto"/>
          <w:sz w:val="24"/>
          <w:highlight w:val="none"/>
          <w:lang w:bidi="zh-CN"/>
        </w:rPr>
        <w:t>中标</w:t>
      </w:r>
      <w:r>
        <w:rPr>
          <w:rFonts w:hint="eastAsia" w:ascii="宋体"/>
          <w:color w:val="auto"/>
          <w:sz w:val="24"/>
          <w:highlight w:val="none"/>
          <w:lang w:bidi="zh-CN"/>
        </w:rPr>
        <w:t>人</w:t>
      </w:r>
      <w:r>
        <w:rPr>
          <w:rFonts w:ascii="宋体"/>
          <w:color w:val="auto"/>
          <w:sz w:val="24"/>
          <w:highlight w:val="none"/>
          <w:lang w:bidi="zh-CN"/>
        </w:rPr>
        <w:t>接受主管部门监管和全社会监督。</w:t>
      </w:r>
    </w:p>
    <w:p>
      <w:pPr>
        <w:pStyle w:val="26"/>
        <w:adjustRightInd w:val="0"/>
        <w:snapToGrid w:val="0"/>
        <w:spacing w:line="360" w:lineRule="auto"/>
        <w:rPr>
          <w:rFonts w:hint="eastAsia" w:ascii="宋体" w:hAnsi="宋体" w:eastAsia="宋体" w:cs="宋体"/>
          <w:b/>
          <w:bCs/>
          <w:color w:val="auto"/>
          <w:sz w:val="28"/>
          <w:szCs w:val="28"/>
          <w:highlight w:val="none"/>
          <w:lang w:val="en-US" w:eastAsia="zh-CN"/>
        </w:rPr>
      </w:pPr>
      <w:r>
        <w:rPr>
          <w:rFonts w:hint="eastAsia" w:cs="宋体"/>
          <w:b/>
          <w:bCs/>
          <w:color w:val="auto"/>
          <w:sz w:val="28"/>
          <w:szCs w:val="28"/>
          <w:highlight w:val="none"/>
          <w:lang w:val="en-US" w:eastAsia="zh-CN"/>
        </w:rPr>
        <w:t>八</w:t>
      </w:r>
      <w:r>
        <w:rPr>
          <w:rFonts w:hint="eastAsia" w:ascii="宋体" w:hAnsi="宋体" w:eastAsia="宋体" w:cs="宋体"/>
          <w:b/>
          <w:bCs/>
          <w:color w:val="auto"/>
          <w:sz w:val="28"/>
          <w:szCs w:val="28"/>
          <w:highlight w:val="none"/>
          <w:lang w:val="en-US" w:eastAsia="zh-CN"/>
        </w:rPr>
        <w:t>、采购人认为必须说明的其他内容</w:t>
      </w:r>
    </w:p>
    <w:p>
      <w:pPr>
        <w:pStyle w:val="23"/>
        <w:spacing w:line="360" w:lineRule="auto"/>
        <w:ind w:firstLine="480"/>
        <w:rPr>
          <w:rFonts w:hint="eastAsia" w:ascii="宋体" w:hAnsi="宋体" w:eastAsia="宋体" w:cs="宋体"/>
          <w:color w:val="FF0000"/>
          <w:szCs w:val="24"/>
          <w:highlight w:val="none"/>
        </w:rPr>
      </w:pPr>
      <w:r>
        <w:rPr>
          <w:rFonts w:hint="eastAsia" w:ascii="宋体" w:hAnsi="宋体" w:eastAsia="宋体" w:cs="宋体"/>
          <w:color w:val="auto"/>
          <w:szCs w:val="24"/>
          <w:highlight w:val="none"/>
        </w:rPr>
        <w:t>其他按采购人相关要求及政策规范执行。</w:t>
      </w:r>
    </w:p>
    <w:p>
      <w:pPr>
        <w:spacing w:line="600" w:lineRule="exact"/>
        <w:ind w:firstLine="562" w:firstLineChars="200"/>
        <w:rPr>
          <w:rFonts w:hint="eastAsia" w:ascii="宋体" w:hAnsi="宋体" w:eastAsia="宋体" w:cs="宋体"/>
          <w:b/>
          <w:bCs/>
          <w:color w:val="auto"/>
          <w:sz w:val="28"/>
          <w:szCs w:val="28"/>
          <w:highlight w:val="none"/>
        </w:rPr>
      </w:pPr>
      <w:r>
        <w:rPr>
          <w:rFonts w:hint="eastAsia" w:ascii="宋体" w:hAnsi="宋体" w:cs="宋体"/>
          <w:b/>
          <w:color w:val="auto"/>
          <w:sz w:val="28"/>
          <w:szCs w:val="28"/>
          <w:highlight w:val="none"/>
          <w:lang w:val="en-US" w:eastAsia="zh-CN"/>
        </w:rPr>
        <w:t>九</w:t>
      </w:r>
      <w:r>
        <w:rPr>
          <w:rFonts w:hint="eastAsia" w:ascii="宋体" w:hAnsi="宋体" w:eastAsia="宋体" w:cs="宋体"/>
          <w:b/>
          <w:color w:val="auto"/>
          <w:sz w:val="28"/>
          <w:szCs w:val="28"/>
          <w:highlight w:val="none"/>
        </w:rPr>
        <w:t>、</w:t>
      </w:r>
      <w:r>
        <w:rPr>
          <w:rFonts w:hint="eastAsia" w:ascii="宋体" w:hAnsi="宋体" w:eastAsia="宋体" w:cs="宋体"/>
          <w:b/>
          <w:bCs/>
          <w:color w:val="auto"/>
          <w:sz w:val="28"/>
          <w:szCs w:val="28"/>
          <w:highlight w:val="none"/>
        </w:rPr>
        <w:t>服务期限：</w:t>
      </w:r>
    </w:p>
    <w:p>
      <w:pPr>
        <w:spacing w:line="600" w:lineRule="exact"/>
        <w:ind w:firstLine="720" w:firstLineChars="3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一年</w:t>
      </w:r>
    </w:p>
    <w:p>
      <w:pPr>
        <w:spacing w:line="600" w:lineRule="exact"/>
        <w:ind w:firstLine="562" w:firstLineChars="200"/>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十</w:t>
      </w:r>
      <w:r>
        <w:rPr>
          <w:rFonts w:hint="eastAsia" w:ascii="宋体" w:hAnsi="宋体" w:eastAsia="宋体" w:cs="宋体"/>
          <w:b/>
          <w:color w:val="auto"/>
          <w:sz w:val="28"/>
          <w:szCs w:val="28"/>
          <w:highlight w:val="none"/>
          <w:lang w:val="en-US" w:eastAsia="zh-CN"/>
        </w:rPr>
        <w:t>、履约保证金：</w:t>
      </w:r>
    </w:p>
    <w:p>
      <w:pPr>
        <w:numPr>
          <w:ilvl w:val="0"/>
          <w:numId w:val="0"/>
        </w:numPr>
        <w:shd w:val="clear" w:color="auto" w:fill="FFFFFF"/>
        <w:wordWrap/>
        <w:adjustRightInd/>
        <w:snapToGrid w:val="0"/>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w:t>
      </w:r>
    </w:p>
    <w:p>
      <w:pPr>
        <w:spacing w:line="600" w:lineRule="exact"/>
        <w:ind w:firstLine="562" w:firstLineChars="200"/>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十</w:t>
      </w:r>
      <w:r>
        <w:rPr>
          <w:rFonts w:hint="eastAsia" w:ascii="宋体" w:hAnsi="宋体" w:cs="宋体"/>
          <w:b/>
          <w:color w:val="auto"/>
          <w:sz w:val="28"/>
          <w:szCs w:val="28"/>
          <w:highlight w:val="none"/>
          <w:lang w:val="en-US" w:eastAsia="zh-CN"/>
        </w:rPr>
        <w:t>一</w:t>
      </w:r>
      <w:r>
        <w:rPr>
          <w:rFonts w:hint="eastAsia" w:ascii="宋体" w:hAnsi="宋体" w:eastAsia="宋体" w:cs="宋体"/>
          <w:b/>
          <w:color w:val="auto"/>
          <w:sz w:val="28"/>
          <w:szCs w:val="28"/>
          <w:highlight w:val="none"/>
          <w:lang w:val="en-US" w:eastAsia="zh-CN"/>
        </w:rPr>
        <w:t>、货款支付：</w:t>
      </w:r>
    </w:p>
    <w:p>
      <w:pPr>
        <w:wordWrap/>
        <w:adjustRightInd/>
        <w:spacing w:line="500" w:lineRule="exact"/>
        <w:ind w:firstLine="480" w:firstLineChars="200"/>
        <w:textAlignment w:val="auto"/>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rPr>
        <w:t>1、合同款将分为</w:t>
      </w:r>
      <w:r>
        <w:rPr>
          <w:rFonts w:hint="eastAsia" w:ascii="宋体" w:hAnsi="宋体" w:cs="宋体"/>
          <w:b w:val="0"/>
          <w:bCs w:val="0"/>
          <w:color w:val="auto"/>
          <w:sz w:val="24"/>
          <w:highlight w:val="none"/>
          <w:lang w:eastAsia="zh-CN"/>
        </w:rPr>
        <w:t>三</w:t>
      </w:r>
      <w:r>
        <w:rPr>
          <w:rFonts w:hint="eastAsia" w:ascii="宋体" w:hAnsi="宋体" w:cs="宋体"/>
          <w:b w:val="0"/>
          <w:bCs w:val="0"/>
          <w:color w:val="auto"/>
          <w:sz w:val="24"/>
          <w:highlight w:val="none"/>
        </w:rPr>
        <w:t>笔，第一笔由甲方在合同签订</w:t>
      </w:r>
      <w:r>
        <w:rPr>
          <w:rFonts w:hint="eastAsia" w:ascii="宋体" w:hAnsi="宋体" w:cs="宋体"/>
          <w:b w:val="0"/>
          <w:bCs w:val="0"/>
          <w:color w:val="auto"/>
          <w:sz w:val="24"/>
          <w:highlight w:val="none"/>
          <w:lang w:val="en-US" w:eastAsia="zh-CN"/>
        </w:rPr>
        <w:t>1</w:t>
      </w:r>
      <w:r>
        <w:rPr>
          <w:rFonts w:hint="eastAsia" w:ascii="宋体" w:hAnsi="宋体" w:cs="宋体"/>
          <w:b w:val="0"/>
          <w:bCs w:val="0"/>
          <w:color w:val="auto"/>
          <w:sz w:val="24"/>
          <w:highlight w:val="none"/>
        </w:rPr>
        <w:t>个月</w:t>
      </w:r>
      <w:r>
        <w:rPr>
          <w:rFonts w:hint="eastAsia" w:ascii="宋体" w:hAnsi="宋体" w:cs="宋体"/>
          <w:b w:val="0"/>
          <w:bCs w:val="0"/>
          <w:color w:val="auto"/>
          <w:sz w:val="24"/>
          <w:highlight w:val="none"/>
          <w:lang w:eastAsia="zh-CN"/>
        </w:rPr>
        <w:t>后</w:t>
      </w:r>
      <w:r>
        <w:rPr>
          <w:rFonts w:hint="eastAsia" w:ascii="宋体" w:hAnsi="宋体" w:cs="宋体"/>
          <w:b w:val="0"/>
          <w:bCs w:val="0"/>
          <w:color w:val="auto"/>
          <w:sz w:val="24"/>
          <w:highlight w:val="none"/>
        </w:rPr>
        <w:t>支付给乙方</w:t>
      </w:r>
      <w:r>
        <w:rPr>
          <w:rFonts w:hint="eastAsia" w:ascii="宋体" w:hAnsi="宋体" w:cs="宋体"/>
          <w:b w:val="0"/>
          <w:bCs w:val="0"/>
          <w:color w:val="auto"/>
          <w:sz w:val="24"/>
          <w:highlight w:val="none"/>
          <w:lang w:eastAsia="zh-CN"/>
        </w:rPr>
        <w:t>合同款的</w:t>
      </w:r>
      <w:r>
        <w:rPr>
          <w:rFonts w:hint="eastAsia" w:ascii="宋体" w:hAnsi="宋体" w:cs="宋体"/>
          <w:b w:val="0"/>
          <w:bCs w:val="0"/>
          <w:color w:val="auto"/>
          <w:sz w:val="24"/>
          <w:highlight w:val="none"/>
          <w:lang w:val="en-US" w:eastAsia="zh-CN"/>
        </w:rPr>
        <w:t>10%</w:t>
      </w:r>
      <w:r>
        <w:rPr>
          <w:rFonts w:hint="eastAsia" w:ascii="宋体" w:hAnsi="宋体" w:cs="宋体"/>
          <w:b w:val="0"/>
          <w:bCs w:val="0"/>
          <w:color w:val="auto"/>
          <w:sz w:val="24"/>
          <w:highlight w:val="none"/>
        </w:rPr>
        <w:t>；</w:t>
      </w:r>
      <w:r>
        <w:rPr>
          <w:rFonts w:hint="eastAsia" w:ascii="宋体" w:hAnsi="宋体" w:cs="宋体"/>
          <w:b w:val="0"/>
          <w:bCs w:val="0"/>
          <w:color w:val="auto"/>
          <w:sz w:val="24"/>
          <w:highlight w:val="none"/>
          <w:lang w:val="en-US" w:eastAsia="zh-CN"/>
        </w:rPr>
        <w:t>第二笔在第7个月经甲方认可后，支付至合同款的50%；剩余的合同款经上级部门考核及甲方单位根据评分内容进行评价考核，合格后全额付清，考核不合格的的不支付剩余款项。</w:t>
      </w:r>
    </w:p>
    <w:p>
      <w:pPr>
        <w:pStyle w:val="26"/>
        <w:rPr>
          <w:rFonts w:hint="eastAsia" w:ascii="宋体" w:hAnsi="宋体" w:cs="宋体"/>
          <w:b w:val="0"/>
          <w:bCs w:val="0"/>
          <w:color w:val="auto"/>
          <w:sz w:val="24"/>
          <w:highlight w:val="none"/>
        </w:rPr>
      </w:pPr>
      <w:r>
        <w:rPr>
          <w:rFonts w:hint="eastAsia" w:cs="宋体"/>
          <w:b w:val="0"/>
          <w:bCs w:val="0"/>
          <w:color w:val="auto"/>
          <w:sz w:val="24"/>
          <w:highlight w:val="none"/>
          <w:lang w:val="en-US" w:eastAsia="zh-CN"/>
        </w:rPr>
        <w:t>2</w:t>
      </w:r>
      <w:r>
        <w:rPr>
          <w:rFonts w:hint="eastAsia" w:ascii="宋体" w:hAnsi="宋体" w:cs="宋体"/>
          <w:b w:val="0"/>
          <w:bCs w:val="0"/>
          <w:color w:val="auto"/>
          <w:sz w:val="24"/>
          <w:highlight w:val="none"/>
        </w:rPr>
        <w:t>、在甲方支付合同款项前，乙方须向甲方提交正式发票。</w:t>
      </w:r>
    </w:p>
    <w:p>
      <w:pPr>
        <w:spacing w:line="600" w:lineRule="exact"/>
        <w:ind w:firstLine="560" w:firstLineChars="200"/>
        <w:rPr>
          <w:rFonts w:hint="eastAsia" w:ascii="宋体" w:hAnsi="宋体" w:eastAsia="宋体" w:cs="宋体"/>
          <w:b/>
          <w:color w:val="auto"/>
          <w:sz w:val="24"/>
          <w:highlight w:val="none"/>
          <w:lang w:eastAsia="zh-CN"/>
        </w:rPr>
      </w:pPr>
      <w:r>
        <w:rPr>
          <w:rFonts w:hint="eastAsia" w:ascii="宋体" w:hAnsi="宋体" w:cs="宋体"/>
          <w:color w:val="auto"/>
          <w:sz w:val="28"/>
          <w:highlight w:val="none"/>
        </w:rPr>
        <w:t>●</w:t>
      </w:r>
      <w:r>
        <w:rPr>
          <w:rFonts w:hint="eastAsia" w:ascii="宋体" w:hAnsi="宋体" w:eastAsia="宋体" w:cs="宋体"/>
          <w:b/>
          <w:color w:val="auto"/>
          <w:sz w:val="28"/>
          <w:szCs w:val="28"/>
          <w:highlight w:val="none"/>
          <w:lang w:val="en-US" w:eastAsia="zh-CN"/>
        </w:rPr>
        <w:t>十</w:t>
      </w:r>
      <w:r>
        <w:rPr>
          <w:rFonts w:hint="eastAsia" w:ascii="宋体" w:hAnsi="宋体" w:cs="宋体"/>
          <w:b/>
          <w:color w:val="auto"/>
          <w:sz w:val="28"/>
          <w:szCs w:val="28"/>
          <w:highlight w:val="none"/>
          <w:lang w:val="en-US" w:eastAsia="zh-CN"/>
        </w:rPr>
        <w:t>二</w:t>
      </w:r>
      <w:r>
        <w:rPr>
          <w:rFonts w:hint="eastAsia" w:ascii="宋体" w:hAnsi="宋体" w:eastAsia="宋体" w:cs="宋体"/>
          <w:b/>
          <w:color w:val="auto"/>
          <w:sz w:val="28"/>
          <w:szCs w:val="28"/>
          <w:highlight w:val="none"/>
          <w:lang w:val="en-US" w:eastAsia="zh-CN"/>
        </w:rPr>
        <w:t>、其他要求：</w:t>
      </w:r>
    </w:p>
    <w:p>
      <w:pPr>
        <w:spacing w:line="600" w:lineRule="exact"/>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1、中标单位在合同签订后一个月内需完成</w:t>
      </w:r>
      <w:r>
        <w:rPr>
          <w:rFonts w:hint="eastAsia" w:ascii="宋体" w:hAnsi="宋体" w:cs="宋体"/>
          <w:b/>
          <w:color w:val="auto"/>
          <w:sz w:val="24"/>
          <w:highlight w:val="none"/>
          <w:lang w:val="en-US" w:eastAsia="zh-CN"/>
        </w:rPr>
        <w:t>一家</w:t>
      </w:r>
      <w:r>
        <w:rPr>
          <w:rFonts w:hint="eastAsia" w:ascii="宋体" w:hAnsi="宋体" w:eastAsia="宋体" w:cs="宋体"/>
          <w:b/>
          <w:color w:val="auto"/>
          <w:sz w:val="24"/>
          <w:highlight w:val="none"/>
          <w:lang w:val="en-US" w:eastAsia="zh-CN"/>
        </w:rPr>
        <w:t>社会组织的注册，注册地需在</w:t>
      </w:r>
      <w:r>
        <w:rPr>
          <w:rFonts w:hint="eastAsia" w:ascii="宋体" w:hAnsi="宋体" w:cs="宋体"/>
          <w:b/>
          <w:color w:val="auto"/>
          <w:sz w:val="24"/>
          <w:highlight w:val="none"/>
          <w:lang w:val="en-US" w:eastAsia="zh-CN"/>
        </w:rPr>
        <w:t>良渚</w:t>
      </w:r>
      <w:r>
        <w:rPr>
          <w:rFonts w:hint="eastAsia" w:ascii="宋体" w:hAnsi="宋体" w:eastAsia="宋体" w:cs="宋体"/>
          <w:b/>
          <w:color w:val="auto"/>
          <w:sz w:val="24"/>
          <w:highlight w:val="none"/>
          <w:lang w:val="en-US" w:eastAsia="zh-CN"/>
        </w:rPr>
        <w:t>。否则招标人有权取消其中标资格。</w:t>
      </w:r>
    </w:p>
    <w:p>
      <w:pPr>
        <w:spacing w:line="600" w:lineRule="exact"/>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中标人对后续招标人提供的资料等进行保密，不得用作宣传或者透露给第三方。服务结束后，保密协议就自动失效。如果乙方所知悉的保密信息，仍然为少数人所知悉的保密信息，且甲方不公开对外宣布，甲方有继续要求乙方保密的权利，且保密时限可另外商定。</w:t>
      </w:r>
    </w:p>
    <w:p>
      <w:pPr>
        <w:spacing w:line="600" w:lineRule="exact"/>
        <w:ind w:firstLine="482" w:firstLineChars="200"/>
        <w:rPr>
          <w:color w:val="auto"/>
        </w:rPr>
      </w:pPr>
      <w:r>
        <w:rPr>
          <w:rFonts w:hint="eastAsia" w:ascii="宋体" w:hAnsi="宋体" w:eastAsia="宋体" w:cs="宋体"/>
          <w:b/>
          <w:color w:val="auto"/>
          <w:sz w:val="24"/>
          <w:highlight w:val="none"/>
          <w:lang w:val="en-US" w:eastAsia="zh-CN"/>
        </w:rPr>
        <w:t>3、本项目的项目负责人必须为后续的项目运营者和新公司或社会组织的法人，否则招标人有权取消其中标资格。</w:t>
      </w:r>
    </w:p>
    <w:p>
      <w:pPr>
        <w:pStyle w:val="27"/>
        <w:rPr>
          <w:rFonts w:ascii="仿宋" w:hAnsi="仿宋" w:eastAsia="仿宋"/>
          <w:bCs/>
          <w:color w:val="auto"/>
          <w:sz w:val="24"/>
          <w:highlight w:val="none"/>
        </w:rPr>
      </w:pPr>
    </w:p>
    <w:p>
      <w:pPr>
        <w:pStyle w:val="27"/>
        <w:rPr>
          <w:rFonts w:ascii="仿宋" w:hAnsi="仿宋" w:eastAsia="仿宋"/>
          <w:bCs/>
          <w:color w:val="auto"/>
          <w:sz w:val="24"/>
          <w:highlight w:val="none"/>
        </w:rPr>
      </w:pPr>
    </w:p>
    <w:p>
      <w:pPr>
        <w:pStyle w:val="26"/>
        <w:rPr>
          <w:rFonts w:hint="eastAsia"/>
        </w:rPr>
      </w:pPr>
      <w:r>
        <w:rPr>
          <w:rFonts w:hint="eastAsia"/>
        </w:rPr>
        <w:br w:type="textWrapping"/>
      </w:r>
    </w:p>
    <w:p>
      <w:pPr>
        <w:snapToGrid w:val="0"/>
        <w:spacing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31" w:name="_Toc184314438"/>
      <w:bookmarkEnd w:id="31"/>
      <w:bookmarkStart w:id="32" w:name="_Toc184314441"/>
      <w:bookmarkEnd w:id="32"/>
      <w:bookmarkStart w:id="33" w:name="_Toc184310342"/>
      <w:bookmarkEnd w:id="33"/>
      <w:bookmarkStart w:id="34" w:name="_Toc184313270"/>
      <w:bookmarkEnd w:id="34"/>
      <w:bookmarkStart w:id="35" w:name="_Toc184312096"/>
      <w:bookmarkEnd w:id="35"/>
      <w:bookmarkStart w:id="36" w:name="_Toc184313277"/>
      <w:bookmarkEnd w:id="36"/>
      <w:bookmarkStart w:id="37" w:name="_Toc184314457"/>
      <w:bookmarkEnd w:id="37"/>
      <w:bookmarkStart w:id="38" w:name="_Toc184314475"/>
      <w:bookmarkEnd w:id="38"/>
      <w:bookmarkStart w:id="39" w:name="_Toc184308040"/>
      <w:bookmarkEnd w:id="39"/>
      <w:bookmarkStart w:id="40" w:name="_Toc184313259"/>
      <w:bookmarkEnd w:id="40"/>
      <w:bookmarkStart w:id="41" w:name="_Toc184314442"/>
      <w:bookmarkEnd w:id="41"/>
      <w:bookmarkStart w:id="42" w:name="_Toc184310324"/>
      <w:bookmarkEnd w:id="42"/>
      <w:bookmarkStart w:id="43" w:name="_Toc184312095"/>
      <w:bookmarkEnd w:id="43"/>
      <w:bookmarkStart w:id="44" w:name="_Toc184310316"/>
      <w:bookmarkEnd w:id="44"/>
      <w:bookmarkStart w:id="45" w:name="_Toc184308066"/>
      <w:bookmarkEnd w:id="45"/>
      <w:bookmarkStart w:id="46" w:name="_Toc184308095"/>
      <w:bookmarkEnd w:id="46"/>
      <w:bookmarkStart w:id="47" w:name="_Toc184312105"/>
      <w:bookmarkEnd w:id="47"/>
      <w:bookmarkStart w:id="48" w:name="_Toc184314440"/>
      <w:bookmarkEnd w:id="48"/>
      <w:bookmarkStart w:id="49" w:name="_Toc184313308"/>
      <w:bookmarkEnd w:id="49"/>
      <w:bookmarkStart w:id="50" w:name="_Toc184312101"/>
      <w:bookmarkEnd w:id="50"/>
      <w:bookmarkStart w:id="51" w:name="_Toc184308071"/>
      <w:bookmarkEnd w:id="51"/>
      <w:bookmarkStart w:id="52" w:name="_Toc184310317"/>
      <w:bookmarkEnd w:id="52"/>
      <w:bookmarkStart w:id="53" w:name="_Toc184308048"/>
      <w:bookmarkEnd w:id="53"/>
      <w:bookmarkStart w:id="54" w:name="_Toc184308078"/>
      <w:bookmarkEnd w:id="54"/>
      <w:bookmarkStart w:id="55" w:name="_Toc184308083"/>
      <w:bookmarkEnd w:id="55"/>
      <w:bookmarkStart w:id="56" w:name="_Toc184308096"/>
      <w:bookmarkEnd w:id="56"/>
      <w:bookmarkStart w:id="57" w:name="_Toc184310343"/>
      <w:bookmarkEnd w:id="57"/>
      <w:bookmarkStart w:id="58" w:name="_Toc184313262"/>
      <w:bookmarkEnd w:id="58"/>
      <w:bookmarkStart w:id="59" w:name="_Toc184313291"/>
      <w:bookmarkEnd w:id="59"/>
      <w:bookmarkStart w:id="60" w:name="_Toc184314417"/>
      <w:bookmarkEnd w:id="60"/>
      <w:bookmarkStart w:id="61" w:name="_Toc184308079"/>
      <w:bookmarkEnd w:id="61"/>
      <w:bookmarkStart w:id="62" w:name="_Toc184310308"/>
      <w:bookmarkEnd w:id="62"/>
      <w:bookmarkStart w:id="63" w:name="_Toc184313269"/>
      <w:bookmarkEnd w:id="63"/>
      <w:bookmarkStart w:id="64" w:name="_Toc184310297"/>
      <w:bookmarkEnd w:id="64"/>
      <w:bookmarkStart w:id="65" w:name="_Toc184310327"/>
      <w:bookmarkEnd w:id="65"/>
      <w:bookmarkStart w:id="66" w:name="_Toc184312078"/>
      <w:bookmarkEnd w:id="66"/>
      <w:bookmarkStart w:id="67" w:name="_Toc184312114"/>
      <w:bookmarkEnd w:id="67"/>
      <w:bookmarkStart w:id="68" w:name="_Toc184313292"/>
      <w:bookmarkEnd w:id="68"/>
      <w:bookmarkStart w:id="69" w:name="_Toc184314422"/>
      <w:bookmarkEnd w:id="69"/>
      <w:bookmarkStart w:id="70" w:name="_Toc184312123"/>
      <w:bookmarkEnd w:id="70"/>
      <w:bookmarkStart w:id="71" w:name="_Toc184313255"/>
      <w:bookmarkEnd w:id="71"/>
      <w:bookmarkStart w:id="72" w:name="_Toc184310311"/>
      <w:bookmarkEnd w:id="72"/>
      <w:bookmarkStart w:id="73" w:name="_Toc184310312"/>
      <w:bookmarkEnd w:id="73"/>
      <w:bookmarkStart w:id="74" w:name="_Toc184310279"/>
      <w:bookmarkEnd w:id="74"/>
      <w:bookmarkStart w:id="75" w:name="_Toc184313252"/>
      <w:bookmarkEnd w:id="75"/>
      <w:bookmarkStart w:id="76" w:name="_Toc184310334"/>
      <w:bookmarkEnd w:id="76"/>
      <w:bookmarkStart w:id="77" w:name="_Toc184308085"/>
      <w:bookmarkEnd w:id="77"/>
      <w:bookmarkStart w:id="78" w:name="_Toc184314463"/>
      <w:bookmarkEnd w:id="78"/>
      <w:bookmarkStart w:id="79" w:name="_Toc184313248"/>
      <w:bookmarkEnd w:id="79"/>
      <w:bookmarkStart w:id="80" w:name="_Toc184308058"/>
      <w:bookmarkEnd w:id="80"/>
      <w:bookmarkStart w:id="81" w:name="_Toc184313247"/>
      <w:bookmarkEnd w:id="81"/>
      <w:bookmarkStart w:id="82" w:name="_Toc184312081"/>
      <w:bookmarkEnd w:id="82"/>
      <w:bookmarkStart w:id="83" w:name="_Toc184313268"/>
      <w:bookmarkEnd w:id="83"/>
      <w:bookmarkStart w:id="84" w:name="_Toc184313267"/>
      <w:bookmarkEnd w:id="84"/>
      <w:bookmarkStart w:id="85" w:name="_Toc184314423"/>
      <w:bookmarkEnd w:id="85"/>
      <w:bookmarkStart w:id="86" w:name="_Toc184314443"/>
      <w:bookmarkEnd w:id="86"/>
      <w:bookmarkStart w:id="87" w:name="_Toc184308077"/>
      <w:bookmarkEnd w:id="87"/>
      <w:bookmarkStart w:id="88" w:name="_Toc184310284"/>
      <w:bookmarkEnd w:id="88"/>
      <w:bookmarkStart w:id="89" w:name="_Toc184310306"/>
      <w:bookmarkEnd w:id="89"/>
      <w:bookmarkStart w:id="90" w:name="_Toc184312097"/>
      <w:bookmarkEnd w:id="90"/>
      <w:bookmarkStart w:id="91" w:name="_Toc184313283"/>
      <w:bookmarkEnd w:id="91"/>
      <w:bookmarkStart w:id="92" w:name="_Toc184313238"/>
      <w:bookmarkEnd w:id="92"/>
      <w:bookmarkStart w:id="93" w:name="_Toc184313276"/>
      <w:bookmarkEnd w:id="93"/>
      <w:bookmarkStart w:id="94" w:name="_Toc184312070"/>
      <w:bookmarkEnd w:id="94"/>
      <w:bookmarkStart w:id="95" w:name="_Toc184310286"/>
      <w:bookmarkEnd w:id="95"/>
      <w:bookmarkStart w:id="96" w:name="_Toc184313301"/>
      <w:bookmarkEnd w:id="96"/>
      <w:bookmarkStart w:id="97" w:name="_Toc184314451"/>
      <w:bookmarkEnd w:id="97"/>
      <w:bookmarkStart w:id="98" w:name="_Toc184312122"/>
      <w:bookmarkEnd w:id="98"/>
      <w:bookmarkStart w:id="99" w:name="_Toc184308081"/>
      <w:bookmarkEnd w:id="99"/>
      <w:bookmarkStart w:id="100" w:name="_Toc184310291"/>
      <w:bookmarkEnd w:id="100"/>
      <w:bookmarkStart w:id="101" w:name="_Toc184308049"/>
      <w:bookmarkEnd w:id="101"/>
      <w:bookmarkStart w:id="102" w:name="_Toc184314481"/>
      <w:bookmarkEnd w:id="102"/>
      <w:bookmarkStart w:id="103" w:name="_Toc184308063"/>
      <w:bookmarkEnd w:id="103"/>
      <w:bookmarkStart w:id="104" w:name="_Toc184312079"/>
      <w:bookmarkEnd w:id="104"/>
      <w:bookmarkStart w:id="105" w:name="_Toc184310289"/>
      <w:bookmarkEnd w:id="105"/>
      <w:bookmarkStart w:id="106" w:name="_Toc184314467"/>
      <w:bookmarkEnd w:id="106"/>
      <w:bookmarkStart w:id="107" w:name="_Toc184308053"/>
      <w:bookmarkEnd w:id="107"/>
      <w:bookmarkStart w:id="108" w:name="_Toc184312131"/>
      <w:bookmarkEnd w:id="108"/>
      <w:bookmarkStart w:id="109" w:name="_Toc184312115"/>
      <w:bookmarkEnd w:id="109"/>
      <w:bookmarkStart w:id="110" w:name="_Toc184312112"/>
      <w:bookmarkEnd w:id="110"/>
      <w:bookmarkStart w:id="111" w:name="_Toc184312073"/>
      <w:bookmarkEnd w:id="111"/>
      <w:bookmarkStart w:id="112" w:name="_Toc184314453"/>
      <w:bookmarkEnd w:id="112"/>
      <w:bookmarkStart w:id="113" w:name="_Toc184312080"/>
      <w:bookmarkEnd w:id="113"/>
      <w:bookmarkStart w:id="114" w:name="_Toc184314461"/>
      <w:bookmarkEnd w:id="114"/>
      <w:bookmarkStart w:id="115" w:name="_Toc184314473"/>
      <w:bookmarkEnd w:id="115"/>
      <w:bookmarkStart w:id="116" w:name="_Toc184308093"/>
      <w:bookmarkEnd w:id="116"/>
      <w:bookmarkStart w:id="117" w:name="_Toc184313256"/>
      <w:bookmarkEnd w:id="117"/>
      <w:bookmarkStart w:id="118" w:name="_Toc184312130"/>
      <w:bookmarkEnd w:id="118"/>
      <w:bookmarkStart w:id="119" w:name="_Toc184314462"/>
      <w:bookmarkEnd w:id="119"/>
      <w:bookmarkStart w:id="120" w:name="_Toc184313273"/>
      <w:bookmarkEnd w:id="120"/>
      <w:bookmarkStart w:id="121" w:name="_Toc184310281"/>
      <w:bookmarkEnd w:id="121"/>
      <w:bookmarkStart w:id="122" w:name="_Toc184308088"/>
      <w:bookmarkEnd w:id="122"/>
      <w:bookmarkStart w:id="123" w:name="_Toc184308061"/>
      <w:bookmarkEnd w:id="123"/>
      <w:bookmarkStart w:id="124" w:name="_Toc184312069"/>
      <w:bookmarkEnd w:id="124"/>
      <w:bookmarkStart w:id="125" w:name="_Toc184308087"/>
      <w:bookmarkEnd w:id="125"/>
      <w:bookmarkStart w:id="126" w:name="_Toc184314465"/>
      <w:bookmarkEnd w:id="126"/>
      <w:bookmarkStart w:id="127" w:name="_Toc184314414"/>
      <w:bookmarkEnd w:id="127"/>
      <w:bookmarkStart w:id="128" w:name="_Toc184314429"/>
      <w:bookmarkEnd w:id="128"/>
      <w:bookmarkStart w:id="129" w:name="_Toc184310310"/>
      <w:bookmarkEnd w:id="129"/>
      <w:bookmarkStart w:id="130" w:name="_Toc184310301"/>
      <w:bookmarkEnd w:id="130"/>
      <w:bookmarkStart w:id="131" w:name="_Toc184312136"/>
      <w:bookmarkEnd w:id="131"/>
      <w:bookmarkStart w:id="132" w:name="_Toc184308084"/>
      <w:bookmarkEnd w:id="132"/>
      <w:bookmarkStart w:id="133" w:name="_Toc184312121"/>
      <w:bookmarkEnd w:id="133"/>
      <w:bookmarkStart w:id="134" w:name="_Toc184313307"/>
      <w:bookmarkEnd w:id="134"/>
      <w:bookmarkStart w:id="135" w:name="_Toc184310293"/>
      <w:bookmarkEnd w:id="135"/>
      <w:bookmarkStart w:id="136" w:name="_Toc184310314"/>
      <w:bookmarkEnd w:id="136"/>
      <w:bookmarkStart w:id="137" w:name="_Toc184312084"/>
      <w:bookmarkEnd w:id="137"/>
      <w:bookmarkStart w:id="138" w:name="_Toc184313239"/>
      <w:bookmarkEnd w:id="138"/>
      <w:bookmarkStart w:id="139" w:name="_Toc184314430"/>
      <w:bookmarkEnd w:id="139"/>
      <w:bookmarkStart w:id="140" w:name="_Toc184310275"/>
      <w:bookmarkEnd w:id="140"/>
      <w:bookmarkStart w:id="141" w:name="_Toc184310305"/>
      <w:bookmarkEnd w:id="141"/>
      <w:bookmarkStart w:id="142" w:name="_Toc184314478"/>
      <w:bookmarkEnd w:id="142"/>
      <w:bookmarkStart w:id="143" w:name="_Toc184310285"/>
      <w:bookmarkEnd w:id="143"/>
      <w:bookmarkStart w:id="144" w:name="_Toc184312120"/>
      <w:bookmarkEnd w:id="144"/>
      <w:bookmarkStart w:id="145" w:name="_Toc184312137"/>
      <w:bookmarkEnd w:id="145"/>
      <w:bookmarkStart w:id="146" w:name="_Toc184313279"/>
      <w:bookmarkEnd w:id="146"/>
      <w:bookmarkStart w:id="147" w:name="_Toc184310304"/>
      <w:bookmarkEnd w:id="147"/>
      <w:bookmarkStart w:id="148" w:name="_Toc184314426"/>
      <w:bookmarkEnd w:id="148"/>
      <w:bookmarkStart w:id="149" w:name="_Toc184310331"/>
      <w:bookmarkEnd w:id="149"/>
      <w:bookmarkStart w:id="150" w:name="_Toc184308054"/>
      <w:bookmarkEnd w:id="150"/>
      <w:bookmarkStart w:id="151" w:name="_Toc184310299"/>
      <w:bookmarkEnd w:id="151"/>
      <w:bookmarkStart w:id="152" w:name="_Toc184314479"/>
      <w:bookmarkEnd w:id="152"/>
      <w:bookmarkStart w:id="153" w:name="_Toc184310336"/>
      <w:bookmarkEnd w:id="153"/>
      <w:bookmarkStart w:id="154" w:name="_Toc184310283"/>
      <w:bookmarkEnd w:id="154"/>
      <w:bookmarkStart w:id="155" w:name="_Toc184314420"/>
      <w:bookmarkEnd w:id="155"/>
      <w:bookmarkStart w:id="156" w:name="_Toc184314411"/>
      <w:bookmarkEnd w:id="156"/>
      <w:bookmarkStart w:id="157" w:name="_Toc184310326"/>
      <w:bookmarkEnd w:id="157"/>
      <w:bookmarkStart w:id="158" w:name="_Toc184313286"/>
      <w:bookmarkEnd w:id="158"/>
      <w:bookmarkStart w:id="159" w:name="_Toc184312127"/>
      <w:bookmarkEnd w:id="159"/>
      <w:bookmarkStart w:id="160" w:name="_Toc184312067"/>
      <w:bookmarkEnd w:id="160"/>
      <w:bookmarkStart w:id="161" w:name="_Toc184310296"/>
      <w:bookmarkEnd w:id="161"/>
      <w:bookmarkStart w:id="162" w:name="_Toc184312088"/>
      <w:bookmarkEnd w:id="162"/>
      <w:bookmarkStart w:id="163" w:name="_Toc184312074"/>
      <w:bookmarkEnd w:id="163"/>
      <w:bookmarkStart w:id="164" w:name="_Toc184314415"/>
      <w:bookmarkEnd w:id="164"/>
      <w:bookmarkStart w:id="165" w:name="_Toc184310341"/>
      <w:bookmarkEnd w:id="165"/>
      <w:bookmarkStart w:id="166" w:name="_Toc184313250"/>
      <w:bookmarkEnd w:id="166"/>
      <w:bookmarkStart w:id="167" w:name="_Toc184312091"/>
      <w:bookmarkEnd w:id="167"/>
      <w:bookmarkStart w:id="168" w:name="_Toc184310302"/>
      <w:bookmarkEnd w:id="168"/>
      <w:bookmarkStart w:id="169" w:name="_Toc184314446"/>
      <w:bookmarkEnd w:id="169"/>
      <w:bookmarkStart w:id="170" w:name="_Toc184314450"/>
      <w:bookmarkEnd w:id="170"/>
      <w:bookmarkStart w:id="171" w:name="_Toc184312100"/>
      <w:bookmarkEnd w:id="171"/>
      <w:bookmarkStart w:id="172" w:name="_Toc184308074"/>
      <w:bookmarkEnd w:id="172"/>
      <w:bookmarkStart w:id="173" w:name="_Toc184313297"/>
      <w:bookmarkEnd w:id="173"/>
      <w:bookmarkStart w:id="174" w:name="_Toc184313251"/>
      <w:bookmarkEnd w:id="174"/>
      <w:bookmarkStart w:id="175" w:name="_Toc184313306"/>
      <w:bookmarkEnd w:id="175"/>
      <w:bookmarkStart w:id="176" w:name="_Toc184312071"/>
      <w:bookmarkEnd w:id="176"/>
      <w:bookmarkStart w:id="177" w:name="_Toc184310328"/>
      <w:bookmarkEnd w:id="177"/>
      <w:bookmarkStart w:id="178" w:name="_Toc184312068"/>
      <w:bookmarkEnd w:id="178"/>
      <w:bookmarkStart w:id="179" w:name="_Toc184313246"/>
      <w:bookmarkEnd w:id="179"/>
      <w:bookmarkStart w:id="180" w:name="_Toc184313271"/>
      <w:bookmarkEnd w:id="180"/>
      <w:bookmarkStart w:id="181" w:name="_Toc184314432"/>
      <w:bookmarkEnd w:id="181"/>
      <w:bookmarkStart w:id="182" w:name="_Toc184314418"/>
      <w:bookmarkEnd w:id="182"/>
      <w:bookmarkStart w:id="183" w:name="_Toc184308108"/>
      <w:bookmarkEnd w:id="183"/>
      <w:bookmarkStart w:id="184" w:name="_Toc184308067"/>
      <w:bookmarkEnd w:id="184"/>
      <w:bookmarkStart w:id="185" w:name="_Toc184313240"/>
      <w:bookmarkEnd w:id="185"/>
      <w:bookmarkStart w:id="186" w:name="_Toc184308082"/>
      <w:bookmarkEnd w:id="186"/>
      <w:bookmarkStart w:id="187" w:name="_Toc184312138"/>
      <w:bookmarkEnd w:id="187"/>
      <w:bookmarkStart w:id="188" w:name="_Toc184308047"/>
      <w:bookmarkEnd w:id="188"/>
      <w:bookmarkStart w:id="189" w:name="_Toc184313258"/>
      <w:bookmarkEnd w:id="189"/>
      <w:bookmarkStart w:id="190" w:name="_Toc184314464"/>
      <w:bookmarkEnd w:id="190"/>
      <w:bookmarkStart w:id="191" w:name="_Toc184308065"/>
      <w:bookmarkEnd w:id="191"/>
      <w:bookmarkStart w:id="192" w:name="_Toc184313281"/>
      <w:bookmarkEnd w:id="192"/>
      <w:bookmarkStart w:id="193" w:name="_Toc184308056"/>
      <w:bookmarkEnd w:id="193"/>
      <w:bookmarkStart w:id="194" w:name="_Toc184314410"/>
      <w:bookmarkEnd w:id="194"/>
      <w:bookmarkStart w:id="195" w:name="_Toc184308101"/>
      <w:bookmarkEnd w:id="195"/>
      <w:bookmarkStart w:id="196" w:name="_Toc184313302"/>
      <w:bookmarkEnd w:id="196"/>
      <w:bookmarkStart w:id="197" w:name="_Toc184310303"/>
      <w:bookmarkEnd w:id="197"/>
      <w:bookmarkStart w:id="198" w:name="_Toc184312085"/>
      <w:bookmarkEnd w:id="198"/>
      <w:bookmarkStart w:id="199" w:name="_Toc184310300"/>
      <w:bookmarkEnd w:id="199"/>
      <w:bookmarkStart w:id="200" w:name="_Toc184313257"/>
      <w:bookmarkEnd w:id="200"/>
      <w:bookmarkStart w:id="201" w:name="_Toc184313298"/>
      <w:bookmarkEnd w:id="201"/>
      <w:bookmarkStart w:id="202" w:name="_Toc184308039"/>
      <w:bookmarkEnd w:id="202"/>
      <w:bookmarkStart w:id="203" w:name="_Toc184314413"/>
      <w:bookmarkEnd w:id="203"/>
      <w:bookmarkStart w:id="204" w:name="_Toc184310337"/>
      <w:bookmarkEnd w:id="204"/>
      <w:bookmarkStart w:id="205" w:name="_Toc184308055"/>
      <w:bookmarkEnd w:id="205"/>
      <w:bookmarkStart w:id="206" w:name="_Toc184314447"/>
      <w:bookmarkEnd w:id="206"/>
      <w:bookmarkStart w:id="207" w:name="_Toc184313241"/>
      <w:bookmarkEnd w:id="207"/>
      <w:bookmarkStart w:id="208" w:name="_Toc184314436"/>
      <w:bookmarkEnd w:id="208"/>
      <w:bookmarkStart w:id="209" w:name="_Toc184310315"/>
      <w:bookmarkEnd w:id="209"/>
      <w:bookmarkStart w:id="210" w:name="_Toc184310282"/>
      <w:bookmarkEnd w:id="210"/>
      <w:bookmarkStart w:id="211" w:name="_Toc184313263"/>
      <w:bookmarkEnd w:id="211"/>
      <w:bookmarkStart w:id="212" w:name="_Toc184312087"/>
      <w:bookmarkEnd w:id="212"/>
      <w:bookmarkStart w:id="213" w:name="_Toc184314444"/>
      <w:bookmarkEnd w:id="213"/>
      <w:bookmarkStart w:id="214" w:name="_Toc184313289"/>
      <w:bookmarkEnd w:id="214"/>
      <w:bookmarkStart w:id="215" w:name="_Toc184308070"/>
      <w:bookmarkEnd w:id="215"/>
      <w:bookmarkStart w:id="216" w:name="_Toc184310292"/>
      <w:bookmarkEnd w:id="216"/>
      <w:bookmarkStart w:id="217" w:name="_Toc184308064"/>
      <w:bookmarkEnd w:id="217"/>
      <w:bookmarkStart w:id="218" w:name="_Toc184313274"/>
      <w:bookmarkEnd w:id="218"/>
      <w:bookmarkStart w:id="219" w:name="_Toc184313242"/>
      <w:bookmarkEnd w:id="219"/>
      <w:bookmarkStart w:id="220" w:name="_Toc184313264"/>
      <w:bookmarkEnd w:id="220"/>
      <w:bookmarkStart w:id="221" w:name="_Toc184313243"/>
      <w:bookmarkEnd w:id="221"/>
      <w:bookmarkStart w:id="222" w:name="_Toc184308100"/>
      <w:bookmarkEnd w:id="222"/>
      <w:bookmarkStart w:id="223" w:name="_Toc184308073"/>
      <w:bookmarkEnd w:id="223"/>
      <w:bookmarkStart w:id="224" w:name="_Toc184312098"/>
      <w:bookmarkEnd w:id="224"/>
      <w:bookmarkStart w:id="225" w:name="_Toc184308080"/>
      <w:bookmarkEnd w:id="225"/>
      <w:bookmarkStart w:id="226" w:name="_Toc184314458"/>
      <w:bookmarkEnd w:id="226"/>
      <w:bookmarkStart w:id="227" w:name="_Toc184312103"/>
      <w:bookmarkEnd w:id="227"/>
      <w:bookmarkStart w:id="228" w:name="_Toc184312113"/>
      <w:bookmarkEnd w:id="228"/>
      <w:bookmarkStart w:id="229" w:name="_Toc184308089"/>
      <w:bookmarkEnd w:id="229"/>
      <w:bookmarkStart w:id="230" w:name="_Toc184310325"/>
      <w:bookmarkEnd w:id="230"/>
      <w:bookmarkStart w:id="231" w:name="_Toc184312135"/>
      <w:bookmarkEnd w:id="231"/>
      <w:bookmarkStart w:id="232" w:name="_Toc184313266"/>
      <w:bookmarkEnd w:id="232"/>
      <w:bookmarkStart w:id="233" w:name="_Toc184314469"/>
      <w:bookmarkEnd w:id="233"/>
      <w:bookmarkStart w:id="234" w:name="_Toc184312106"/>
      <w:bookmarkEnd w:id="234"/>
      <w:bookmarkStart w:id="235" w:name="_Toc184310333"/>
      <w:bookmarkEnd w:id="235"/>
      <w:bookmarkStart w:id="236" w:name="_Toc184312108"/>
      <w:bookmarkEnd w:id="236"/>
      <w:bookmarkStart w:id="237" w:name="_Toc184312117"/>
      <w:bookmarkEnd w:id="237"/>
      <w:bookmarkStart w:id="238" w:name="_Toc184313245"/>
      <w:bookmarkEnd w:id="238"/>
      <w:bookmarkStart w:id="239" w:name="_Toc184312116"/>
      <w:bookmarkEnd w:id="239"/>
      <w:bookmarkStart w:id="240" w:name="_Toc184310273"/>
      <w:bookmarkEnd w:id="240"/>
      <w:bookmarkStart w:id="241" w:name="_Toc184313284"/>
      <w:bookmarkEnd w:id="241"/>
      <w:bookmarkStart w:id="242" w:name="_Toc184313287"/>
      <w:bookmarkEnd w:id="242"/>
      <w:bookmarkStart w:id="243" w:name="_Toc184308052"/>
      <w:bookmarkEnd w:id="243"/>
      <w:bookmarkStart w:id="244" w:name="_Toc184308099"/>
      <w:bookmarkEnd w:id="244"/>
      <w:bookmarkStart w:id="245" w:name="_Toc184312124"/>
      <w:bookmarkEnd w:id="245"/>
      <w:bookmarkStart w:id="246" w:name="_Toc184312133"/>
      <w:bookmarkEnd w:id="246"/>
      <w:bookmarkStart w:id="247" w:name="_Toc184310295"/>
      <w:bookmarkEnd w:id="247"/>
      <w:bookmarkStart w:id="248" w:name="_Toc184310277"/>
      <w:bookmarkEnd w:id="248"/>
      <w:bookmarkStart w:id="249" w:name="_Toc184314412"/>
      <w:bookmarkEnd w:id="249"/>
      <w:bookmarkStart w:id="250" w:name="_Toc184313288"/>
      <w:bookmarkEnd w:id="250"/>
      <w:bookmarkStart w:id="251" w:name="_Toc184314454"/>
      <w:bookmarkEnd w:id="251"/>
      <w:bookmarkStart w:id="252" w:name="_Toc184314439"/>
      <w:bookmarkEnd w:id="252"/>
      <w:bookmarkStart w:id="253" w:name="_Toc184308057"/>
      <w:bookmarkEnd w:id="253"/>
      <w:bookmarkStart w:id="254" w:name="_Toc184310272"/>
      <w:bookmarkEnd w:id="254"/>
      <w:bookmarkStart w:id="255" w:name="_Toc184310294"/>
      <w:bookmarkEnd w:id="255"/>
      <w:bookmarkStart w:id="256" w:name="_Toc184314434"/>
      <w:bookmarkEnd w:id="256"/>
      <w:bookmarkStart w:id="257" w:name="_Toc184313249"/>
      <w:bookmarkEnd w:id="257"/>
      <w:bookmarkStart w:id="258" w:name="_Toc184313275"/>
      <w:bookmarkEnd w:id="258"/>
      <w:bookmarkStart w:id="259" w:name="_Toc184314455"/>
      <w:bookmarkEnd w:id="259"/>
      <w:bookmarkStart w:id="260" w:name="_Toc184310276"/>
      <w:bookmarkEnd w:id="260"/>
      <w:bookmarkStart w:id="261" w:name="_Toc184314431"/>
      <w:bookmarkEnd w:id="261"/>
      <w:bookmarkStart w:id="262" w:name="_Toc184308062"/>
      <w:bookmarkEnd w:id="262"/>
      <w:bookmarkStart w:id="263" w:name="_Toc184312134"/>
      <w:bookmarkEnd w:id="263"/>
      <w:bookmarkStart w:id="264" w:name="_Toc184313303"/>
      <w:bookmarkEnd w:id="264"/>
      <w:bookmarkStart w:id="265" w:name="_Toc184308041"/>
      <w:bookmarkEnd w:id="265"/>
      <w:bookmarkStart w:id="266" w:name="_Toc184312107"/>
      <w:bookmarkEnd w:id="266"/>
      <w:bookmarkStart w:id="267" w:name="_Toc184310287"/>
      <w:bookmarkEnd w:id="267"/>
      <w:bookmarkStart w:id="268" w:name="_Toc184314425"/>
      <w:bookmarkEnd w:id="268"/>
      <w:bookmarkStart w:id="269" w:name="_Toc184314474"/>
      <w:bookmarkEnd w:id="269"/>
      <w:bookmarkStart w:id="270" w:name="_Toc184312086"/>
      <w:bookmarkEnd w:id="270"/>
      <w:bookmarkStart w:id="271" w:name="_Toc184310288"/>
      <w:bookmarkEnd w:id="271"/>
      <w:bookmarkStart w:id="272" w:name="_Toc184310318"/>
      <w:bookmarkEnd w:id="272"/>
      <w:bookmarkStart w:id="273" w:name="_Toc184313244"/>
      <w:bookmarkEnd w:id="273"/>
      <w:bookmarkStart w:id="274" w:name="_Toc184312094"/>
      <w:bookmarkEnd w:id="274"/>
      <w:bookmarkStart w:id="275" w:name="_Toc184310340"/>
      <w:bookmarkEnd w:id="275"/>
      <w:bookmarkStart w:id="276" w:name="_Toc184314477"/>
      <w:bookmarkEnd w:id="276"/>
      <w:bookmarkStart w:id="277" w:name="_Toc184308105"/>
      <w:bookmarkEnd w:id="277"/>
      <w:bookmarkStart w:id="278" w:name="_Toc184308091"/>
      <w:bookmarkEnd w:id="278"/>
      <w:bookmarkStart w:id="279" w:name="_Toc184308069"/>
      <w:bookmarkEnd w:id="279"/>
      <w:bookmarkStart w:id="280" w:name="_Toc184310344"/>
      <w:bookmarkEnd w:id="280"/>
      <w:bookmarkStart w:id="281" w:name="_Toc184312076"/>
      <w:bookmarkEnd w:id="281"/>
      <w:bookmarkStart w:id="282" w:name="_Toc184308046"/>
      <w:bookmarkEnd w:id="282"/>
      <w:bookmarkStart w:id="283" w:name="_Toc184313290"/>
      <w:bookmarkEnd w:id="283"/>
      <w:bookmarkStart w:id="284" w:name="_Toc184313278"/>
      <w:bookmarkEnd w:id="284"/>
      <w:bookmarkStart w:id="285" w:name="_Toc184310322"/>
      <w:bookmarkEnd w:id="285"/>
      <w:bookmarkStart w:id="286" w:name="_Toc184310278"/>
      <w:bookmarkEnd w:id="286"/>
      <w:bookmarkStart w:id="287" w:name="_Toc184314416"/>
      <w:bookmarkEnd w:id="287"/>
      <w:bookmarkStart w:id="288" w:name="_Toc184313280"/>
      <w:bookmarkEnd w:id="288"/>
      <w:bookmarkStart w:id="289" w:name="_Toc184310335"/>
      <w:bookmarkEnd w:id="289"/>
      <w:bookmarkStart w:id="290" w:name="_Toc184310274"/>
      <w:bookmarkEnd w:id="290"/>
      <w:bookmarkStart w:id="291" w:name="_Toc184313253"/>
      <w:bookmarkEnd w:id="291"/>
      <w:bookmarkStart w:id="292" w:name="_Toc184310321"/>
      <w:bookmarkEnd w:id="292"/>
      <w:bookmarkStart w:id="293" w:name="_Toc184312089"/>
      <w:bookmarkEnd w:id="293"/>
      <w:bookmarkStart w:id="294" w:name="_Toc184310338"/>
      <w:bookmarkEnd w:id="294"/>
      <w:bookmarkStart w:id="295" w:name="_Toc184314470"/>
      <w:bookmarkEnd w:id="295"/>
      <w:bookmarkStart w:id="296" w:name="_Toc184313309"/>
      <w:bookmarkEnd w:id="296"/>
      <w:bookmarkStart w:id="297" w:name="_Toc184314459"/>
      <w:bookmarkEnd w:id="297"/>
      <w:bookmarkStart w:id="298" w:name="_Toc184312129"/>
      <w:bookmarkEnd w:id="298"/>
      <w:bookmarkStart w:id="299" w:name="_Toc184314428"/>
      <w:bookmarkEnd w:id="299"/>
      <w:bookmarkStart w:id="300" w:name="_Toc184308038"/>
      <w:bookmarkEnd w:id="300"/>
      <w:bookmarkStart w:id="301" w:name="_Toc184308107"/>
      <w:bookmarkEnd w:id="301"/>
      <w:bookmarkStart w:id="302" w:name="_Toc184308094"/>
      <w:bookmarkEnd w:id="302"/>
      <w:bookmarkStart w:id="303" w:name="_Toc184310290"/>
      <w:bookmarkEnd w:id="303"/>
      <w:bookmarkStart w:id="304" w:name="_Toc184308104"/>
      <w:bookmarkEnd w:id="304"/>
      <w:bookmarkStart w:id="305" w:name="_Toc184314460"/>
      <w:bookmarkEnd w:id="305"/>
      <w:bookmarkStart w:id="306" w:name="_Toc184314471"/>
      <w:bookmarkEnd w:id="306"/>
      <w:bookmarkStart w:id="307" w:name="_Toc184312090"/>
      <w:bookmarkEnd w:id="307"/>
      <w:bookmarkStart w:id="308" w:name="_Toc184312109"/>
      <w:bookmarkEnd w:id="308"/>
      <w:bookmarkStart w:id="309" w:name="_Toc184314435"/>
      <w:bookmarkEnd w:id="309"/>
      <w:bookmarkStart w:id="310" w:name="_Toc184314480"/>
      <w:bookmarkEnd w:id="310"/>
      <w:bookmarkStart w:id="311" w:name="_Toc184310298"/>
      <w:bookmarkEnd w:id="311"/>
      <w:bookmarkStart w:id="312" w:name="_Toc184308042"/>
      <w:bookmarkEnd w:id="312"/>
      <w:bookmarkStart w:id="313" w:name="_Toc184310329"/>
      <w:bookmarkEnd w:id="313"/>
      <w:bookmarkStart w:id="314" w:name="_Toc184313293"/>
      <w:bookmarkEnd w:id="314"/>
      <w:bookmarkStart w:id="315" w:name="_Toc184310332"/>
      <w:bookmarkEnd w:id="315"/>
      <w:bookmarkStart w:id="316" w:name="_Toc184312072"/>
      <w:bookmarkEnd w:id="316"/>
      <w:bookmarkStart w:id="317" w:name="_Toc184313294"/>
      <w:bookmarkEnd w:id="317"/>
      <w:bookmarkStart w:id="318" w:name="_Toc184312075"/>
      <w:bookmarkEnd w:id="318"/>
      <w:bookmarkStart w:id="319" w:name="_Toc184308076"/>
      <w:bookmarkEnd w:id="319"/>
      <w:bookmarkStart w:id="320" w:name="_Toc184314476"/>
      <w:bookmarkEnd w:id="320"/>
      <w:bookmarkStart w:id="321" w:name="_Toc184314466"/>
      <w:bookmarkEnd w:id="321"/>
      <w:bookmarkStart w:id="322" w:name="_Toc184308090"/>
      <w:bookmarkEnd w:id="322"/>
      <w:bookmarkStart w:id="323" w:name="_Toc184314449"/>
      <w:bookmarkEnd w:id="323"/>
      <w:bookmarkStart w:id="324" w:name="_Toc184312102"/>
      <w:bookmarkEnd w:id="324"/>
      <w:bookmarkStart w:id="325" w:name="_Toc184308092"/>
      <w:bookmarkEnd w:id="325"/>
      <w:bookmarkStart w:id="326" w:name="_Toc184308097"/>
      <w:bookmarkEnd w:id="326"/>
      <w:bookmarkStart w:id="327" w:name="_Toc184313272"/>
      <w:bookmarkEnd w:id="327"/>
      <w:bookmarkStart w:id="328" w:name="_Toc184314437"/>
      <w:bookmarkEnd w:id="328"/>
      <w:bookmarkStart w:id="329" w:name="_Toc184312118"/>
      <w:bookmarkEnd w:id="329"/>
      <w:bookmarkStart w:id="330" w:name="_Toc184308050"/>
      <w:bookmarkEnd w:id="330"/>
      <w:bookmarkStart w:id="331" w:name="_Toc184313282"/>
      <w:bookmarkEnd w:id="331"/>
      <w:bookmarkStart w:id="332" w:name="_Toc184314419"/>
      <w:bookmarkEnd w:id="332"/>
      <w:bookmarkStart w:id="333" w:name="_Toc184313305"/>
      <w:bookmarkEnd w:id="333"/>
      <w:bookmarkStart w:id="334" w:name="_Toc184312083"/>
      <w:bookmarkEnd w:id="334"/>
      <w:bookmarkStart w:id="335" w:name="_Toc184313299"/>
      <w:bookmarkEnd w:id="335"/>
      <w:bookmarkStart w:id="336" w:name="_Toc184308043"/>
      <w:bookmarkEnd w:id="336"/>
      <w:bookmarkStart w:id="337" w:name="_Toc184310280"/>
      <w:bookmarkEnd w:id="337"/>
      <w:bookmarkStart w:id="338" w:name="_Toc184314424"/>
      <w:bookmarkEnd w:id="338"/>
      <w:bookmarkStart w:id="339" w:name="_Toc184314448"/>
      <w:bookmarkEnd w:id="339"/>
      <w:bookmarkStart w:id="340" w:name="_Toc184314433"/>
      <w:bookmarkEnd w:id="340"/>
      <w:bookmarkStart w:id="341" w:name="_Toc184308098"/>
      <w:bookmarkEnd w:id="341"/>
      <w:bookmarkStart w:id="342" w:name="_Toc184308072"/>
      <w:bookmarkEnd w:id="342"/>
      <w:bookmarkStart w:id="343" w:name="_Toc184310339"/>
      <w:bookmarkEnd w:id="343"/>
      <w:bookmarkStart w:id="344" w:name="_Toc184308060"/>
      <w:bookmarkEnd w:id="344"/>
      <w:bookmarkStart w:id="345" w:name="_Toc184312093"/>
      <w:bookmarkEnd w:id="345"/>
      <w:bookmarkStart w:id="346" w:name="_Toc184312082"/>
      <w:bookmarkEnd w:id="346"/>
      <w:bookmarkStart w:id="347" w:name="_Toc184308036"/>
      <w:bookmarkEnd w:id="347"/>
      <w:bookmarkStart w:id="348" w:name="_Toc184308037"/>
      <w:bookmarkEnd w:id="348"/>
      <w:bookmarkStart w:id="349" w:name="_Toc184308044"/>
      <w:bookmarkEnd w:id="349"/>
      <w:bookmarkStart w:id="350" w:name="_Toc184312126"/>
      <w:bookmarkEnd w:id="350"/>
      <w:bookmarkStart w:id="351" w:name="_Toc184312128"/>
      <w:bookmarkEnd w:id="351"/>
      <w:bookmarkStart w:id="352" w:name="_Toc184313265"/>
      <w:bookmarkEnd w:id="352"/>
      <w:bookmarkStart w:id="353" w:name="_Toc184314452"/>
      <w:bookmarkEnd w:id="353"/>
      <w:bookmarkStart w:id="354" w:name="_Toc184314482"/>
      <w:bookmarkEnd w:id="354"/>
      <w:bookmarkStart w:id="355" w:name="_Toc184313254"/>
      <w:bookmarkEnd w:id="355"/>
      <w:bookmarkStart w:id="356" w:name="_Toc184313260"/>
      <w:bookmarkEnd w:id="356"/>
      <w:bookmarkStart w:id="357" w:name="_Toc184313304"/>
      <w:bookmarkEnd w:id="357"/>
      <w:bookmarkStart w:id="358" w:name="_Toc184308106"/>
      <w:bookmarkEnd w:id="358"/>
      <w:bookmarkStart w:id="359" w:name="_Toc184310319"/>
      <w:bookmarkEnd w:id="359"/>
      <w:bookmarkStart w:id="360" w:name="_Toc184313295"/>
      <w:bookmarkEnd w:id="360"/>
      <w:bookmarkStart w:id="361" w:name="_Toc184308045"/>
      <w:bookmarkEnd w:id="361"/>
      <w:bookmarkStart w:id="362" w:name="_Toc184308051"/>
      <w:bookmarkEnd w:id="362"/>
      <w:bookmarkStart w:id="363" w:name="_Toc184310313"/>
      <w:bookmarkEnd w:id="363"/>
      <w:bookmarkStart w:id="364" w:name="_Toc184314472"/>
      <w:bookmarkEnd w:id="364"/>
      <w:bookmarkStart w:id="365" w:name="_Toc184313300"/>
      <w:bookmarkEnd w:id="365"/>
      <w:bookmarkStart w:id="366" w:name="_Toc184308059"/>
      <w:bookmarkEnd w:id="366"/>
      <w:bookmarkStart w:id="367" w:name="_Toc184314456"/>
      <w:bookmarkEnd w:id="367"/>
      <w:bookmarkStart w:id="368" w:name="_Toc184312092"/>
      <w:bookmarkEnd w:id="368"/>
      <w:bookmarkStart w:id="369" w:name="_Toc184308068"/>
      <w:bookmarkEnd w:id="369"/>
      <w:bookmarkStart w:id="370" w:name="_Toc184312139"/>
      <w:bookmarkEnd w:id="370"/>
      <w:bookmarkStart w:id="371" w:name="_Toc184312110"/>
      <w:bookmarkEnd w:id="371"/>
      <w:bookmarkStart w:id="372" w:name="_Toc184308102"/>
      <w:bookmarkEnd w:id="372"/>
      <w:bookmarkStart w:id="373" w:name="_Toc184312119"/>
      <w:bookmarkEnd w:id="373"/>
      <w:bookmarkStart w:id="374" w:name="_Toc184310320"/>
      <w:bookmarkEnd w:id="374"/>
      <w:bookmarkStart w:id="375" w:name="_Toc184312099"/>
      <w:bookmarkEnd w:id="375"/>
      <w:bookmarkStart w:id="376" w:name="_Toc184312077"/>
      <w:bookmarkEnd w:id="376"/>
      <w:bookmarkStart w:id="377" w:name="_Toc184312132"/>
      <w:bookmarkEnd w:id="377"/>
      <w:bookmarkStart w:id="378" w:name="_Toc184312125"/>
      <w:bookmarkEnd w:id="378"/>
      <w:bookmarkStart w:id="379" w:name="_Toc184313285"/>
      <w:bookmarkEnd w:id="379"/>
      <w:bookmarkStart w:id="380" w:name="_Toc184310307"/>
      <w:bookmarkEnd w:id="380"/>
      <w:bookmarkStart w:id="381" w:name="_Toc184313310"/>
      <w:bookmarkEnd w:id="381"/>
      <w:bookmarkStart w:id="382" w:name="_Toc184308086"/>
      <w:bookmarkEnd w:id="382"/>
      <w:bookmarkStart w:id="383" w:name="_Toc184314427"/>
      <w:bookmarkEnd w:id="383"/>
      <w:bookmarkStart w:id="384" w:name="_Toc184310330"/>
      <w:bookmarkEnd w:id="384"/>
      <w:bookmarkStart w:id="385" w:name="_Toc184308075"/>
      <w:bookmarkEnd w:id="385"/>
      <w:bookmarkStart w:id="386" w:name="_Toc184310323"/>
      <w:bookmarkEnd w:id="386"/>
      <w:bookmarkStart w:id="387" w:name="_Toc184314468"/>
      <w:bookmarkEnd w:id="387"/>
      <w:bookmarkStart w:id="388" w:name="_Toc184312111"/>
      <w:bookmarkEnd w:id="388"/>
      <w:bookmarkStart w:id="389" w:name="_Toc184310309"/>
      <w:bookmarkEnd w:id="389"/>
      <w:bookmarkStart w:id="390" w:name="_Toc184313261"/>
      <w:bookmarkEnd w:id="390"/>
      <w:bookmarkStart w:id="391" w:name="_Toc184308103"/>
      <w:bookmarkEnd w:id="391"/>
      <w:bookmarkStart w:id="392" w:name="_Toc184314445"/>
      <w:bookmarkEnd w:id="392"/>
      <w:bookmarkStart w:id="393" w:name="_Toc184312104"/>
      <w:bookmarkEnd w:id="393"/>
      <w:bookmarkStart w:id="394" w:name="_Toc184314421"/>
      <w:bookmarkEnd w:id="394"/>
      <w:bookmarkStart w:id="395" w:name="_Toc184313296"/>
      <w:bookmarkEnd w:id="395"/>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snapToGrid w:val="0"/>
        <w:spacing w:line="360" w:lineRule="auto"/>
        <w:rPr>
          <w:rFonts w:hint="eastAsia" w:ascii="仿宋" w:hAnsi="仿宋" w:eastAsia="仿宋" w:cs="仿宋"/>
          <w:b/>
          <w:color w:val="auto"/>
          <w:sz w:val="24"/>
          <w:szCs w:val="24"/>
          <w:highlight w:val="none"/>
          <w:lang w:eastAsia="zh-CN"/>
        </w:rPr>
      </w:pPr>
    </w:p>
    <w:p>
      <w:pPr>
        <w:snapToGrid w:val="0"/>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商务、技术评标细则（</w:t>
      </w:r>
      <w:r>
        <w:rPr>
          <w:rFonts w:hint="eastAsia" w:ascii="仿宋" w:hAnsi="仿宋" w:eastAsia="仿宋" w:cs="仿宋"/>
          <w:b/>
          <w:color w:val="auto"/>
          <w:sz w:val="24"/>
          <w:szCs w:val="24"/>
          <w:highlight w:val="none"/>
          <w:lang w:val="en-US" w:eastAsia="zh-CN"/>
        </w:rPr>
        <w:t>70</w:t>
      </w:r>
      <w:r>
        <w:rPr>
          <w:rFonts w:hint="eastAsia" w:ascii="仿宋" w:hAnsi="仿宋" w:eastAsia="仿宋" w:cs="仿宋"/>
          <w:b/>
          <w:color w:val="auto"/>
          <w:sz w:val="24"/>
          <w:szCs w:val="24"/>
          <w:highlight w:val="none"/>
          <w:lang w:eastAsia="zh-CN"/>
        </w:rPr>
        <w:t>分）</w:t>
      </w:r>
    </w:p>
    <w:tbl>
      <w:tblPr>
        <w:tblStyle w:val="63"/>
        <w:tblW w:w="90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2"/>
        <w:gridCol w:w="7612"/>
        <w:gridCol w:w="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2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60" w:lineRule="auto"/>
              <w:ind w:left="0" w:right="0"/>
              <w:jc w:val="center"/>
              <w:rPr>
                <w:rFonts w:hint="eastAsia" w:ascii="宋体" w:hAnsi="宋体" w:eastAsia="宋体" w:cs="Times New Roman"/>
                <w:color w:val="auto"/>
                <w:sz w:val="24"/>
                <w:szCs w:val="20"/>
                <w:highlight w:val="none"/>
                <w:lang w:eastAsia="zh-CN"/>
              </w:rPr>
            </w:pPr>
            <w:r>
              <w:rPr>
                <w:rFonts w:hint="eastAsia" w:ascii="宋体" w:hAnsi="宋体" w:cs="Times New Roman"/>
                <w:color w:val="auto"/>
                <w:sz w:val="24"/>
                <w:szCs w:val="20"/>
                <w:highlight w:val="none"/>
                <w:lang w:val="en-US" w:eastAsia="zh-CN"/>
              </w:rPr>
              <w:t>序号</w:t>
            </w:r>
          </w:p>
        </w:tc>
        <w:tc>
          <w:tcPr>
            <w:tcW w:w="761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60" w:lineRule="auto"/>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评审细则</w:t>
            </w:r>
          </w:p>
        </w:tc>
        <w:tc>
          <w:tcPr>
            <w:tcW w:w="889"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360" w:lineRule="auto"/>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最高分值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1</w:t>
            </w:r>
          </w:p>
        </w:tc>
        <w:tc>
          <w:tcPr>
            <w:tcW w:w="76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left"/>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highlight w:val="none"/>
              </w:rPr>
              <w:t>针对本项目服务特点提出合理的服务理念，提出服务定位、目标，投标人的管理模式能够切合实际，且安全可行，保密性、安全性、文明服务的计划及承诺得</w:t>
            </w: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分，根据本项目服务特点提出合理的服务理念，管理模式</w:t>
            </w:r>
            <w:r>
              <w:rPr>
                <w:rFonts w:hint="eastAsia" w:ascii="宋体" w:hAnsi="宋体" w:cs="宋体"/>
                <w:color w:val="auto"/>
                <w:sz w:val="24"/>
                <w:szCs w:val="20"/>
                <w:highlight w:val="none"/>
                <w:lang w:val="en-US" w:eastAsia="zh-CN"/>
              </w:rPr>
              <w:t>有一定偏差，</w:t>
            </w:r>
            <w:r>
              <w:rPr>
                <w:rFonts w:hint="eastAsia" w:ascii="宋体" w:hAnsi="宋体" w:cs="宋体"/>
                <w:color w:val="auto"/>
                <w:sz w:val="24"/>
                <w:szCs w:val="20"/>
                <w:lang w:val="en-US" w:eastAsia="zh-CN"/>
              </w:rPr>
              <w:t>需进一步完善的</w:t>
            </w:r>
            <w:r>
              <w:rPr>
                <w:rFonts w:hint="eastAsia" w:ascii="宋体" w:hAnsi="宋体" w:cs="宋体"/>
                <w:color w:val="auto"/>
                <w:sz w:val="24"/>
                <w:szCs w:val="20"/>
                <w:highlight w:val="none"/>
              </w:rPr>
              <w:t>得</w:t>
            </w:r>
            <w:r>
              <w:rPr>
                <w:rFonts w:hint="eastAsia" w:ascii="宋体" w:hAnsi="宋体" w:cs="宋体"/>
                <w:color w:val="auto"/>
                <w:sz w:val="24"/>
                <w:szCs w:val="20"/>
                <w:highlight w:val="none"/>
                <w:lang w:val="en-US" w:eastAsia="zh-CN"/>
              </w:rPr>
              <w:t>3</w:t>
            </w:r>
            <w:r>
              <w:rPr>
                <w:rFonts w:hint="eastAsia" w:ascii="宋体" w:hAnsi="宋体" w:cs="宋体"/>
                <w:color w:val="auto"/>
                <w:sz w:val="24"/>
                <w:szCs w:val="20"/>
                <w:highlight w:val="none"/>
              </w:rPr>
              <w:t>分，根据本项目服务特点提出合理的服务理念，管理模式一般得</w:t>
            </w:r>
            <w:r>
              <w:rPr>
                <w:rFonts w:hint="eastAsia" w:ascii="宋体" w:hAnsi="宋体" w:cs="宋体"/>
                <w:color w:val="auto"/>
                <w:sz w:val="24"/>
                <w:szCs w:val="20"/>
                <w:highlight w:val="none"/>
                <w:lang w:val="en-US" w:eastAsia="zh-CN"/>
              </w:rPr>
              <w:t>2</w:t>
            </w:r>
            <w:r>
              <w:rPr>
                <w:rFonts w:hint="eastAsia" w:ascii="宋体" w:hAnsi="宋体" w:cs="宋体"/>
                <w:color w:val="auto"/>
                <w:sz w:val="24"/>
                <w:szCs w:val="20"/>
                <w:highlight w:val="none"/>
              </w:rPr>
              <w:t>分，方案不合理或未提供方案不得分；</w:t>
            </w:r>
            <w:r>
              <w:rPr>
                <w:rFonts w:hint="eastAsia" w:ascii="宋体" w:hAnsi="宋体" w:cs="宋体"/>
                <w:color w:val="auto"/>
                <w:sz w:val="24"/>
                <w:szCs w:val="20"/>
                <w:highlight w:val="none"/>
                <w:lang w:val="en-US" w:eastAsia="zh-CN"/>
              </w:rPr>
              <w:t>最高得4分；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2</w:t>
            </w:r>
          </w:p>
        </w:tc>
        <w:tc>
          <w:tcPr>
            <w:tcW w:w="7612" w:type="dxa"/>
            <w:tcBorders>
              <w:top w:val="single" w:color="000000" w:sz="4" w:space="0"/>
              <w:left w:val="single" w:color="000000" w:sz="4" w:space="0"/>
              <w:bottom w:val="single" w:color="000000" w:sz="4" w:space="0"/>
              <w:right w:val="single" w:color="000000" w:sz="4" w:space="0"/>
            </w:tcBorders>
            <w:vAlign w:val="center"/>
          </w:tcPr>
          <w:p>
            <w:pPr>
              <w:tabs>
                <w:tab w:val="left" w:pos="1204"/>
              </w:tabs>
              <w:snapToGrid w:val="0"/>
              <w:spacing w:before="0" w:beforeAutospacing="0" w:after="0" w:afterAutospacing="0" w:line="360" w:lineRule="auto"/>
              <w:ind w:left="0" w:right="0"/>
              <w:jc w:val="left"/>
              <w:rPr>
                <w:rFonts w:hint="eastAsia" w:ascii="宋体" w:hAnsi="宋体" w:eastAsia="宋体" w:cs="宋体"/>
                <w:color w:val="auto"/>
                <w:sz w:val="24"/>
                <w:szCs w:val="20"/>
                <w:highlight w:val="none"/>
                <w:lang w:eastAsia="zh-CN"/>
              </w:rPr>
            </w:pPr>
            <w:r>
              <w:rPr>
                <w:rFonts w:hint="eastAsia" w:ascii="宋体" w:hAnsi="宋体" w:cs="宋体"/>
                <w:color w:val="auto"/>
                <w:sz w:val="24"/>
                <w:szCs w:val="20"/>
                <w:highlight w:val="none"/>
                <w:lang w:eastAsia="zh-CN"/>
              </w:rPr>
              <w:t>投标人承诺“中标后至少安排</w:t>
            </w:r>
            <w:r>
              <w:rPr>
                <w:rFonts w:hint="eastAsia" w:ascii="宋体" w:hAnsi="宋体" w:cs="宋体"/>
                <w:color w:val="auto"/>
                <w:sz w:val="24"/>
                <w:szCs w:val="20"/>
                <w:highlight w:val="none"/>
                <w:lang w:val="en-US" w:eastAsia="zh-CN"/>
              </w:rPr>
              <w:t>5</w:t>
            </w:r>
            <w:r>
              <w:rPr>
                <w:rFonts w:hint="eastAsia" w:ascii="宋体" w:hAnsi="宋体" w:cs="宋体"/>
                <w:color w:val="auto"/>
                <w:sz w:val="24"/>
                <w:szCs w:val="20"/>
                <w:highlight w:val="none"/>
                <w:lang w:eastAsia="zh-CN"/>
              </w:rPr>
              <w:t>名工作人员专职负责</w:t>
            </w:r>
            <w:r>
              <w:rPr>
                <w:rFonts w:hint="eastAsia" w:ascii="宋体" w:hAnsi="宋体" w:cs="宋体"/>
                <w:color w:val="auto"/>
                <w:sz w:val="24"/>
                <w:szCs w:val="20"/>
                <w:highlight w:val="none"/>
                <w:lang w:val="en-US" w:eastAsia="zh-CN"/>
              </w:rPr>
              <w:t>运营</w:t>
            </w:r>
            <w:r>
              <w:rPr>
                <w:rFonts w:hint="eastAsia" w:ascii="宋体" w:hAnsi="宋体" w:cs="宋体"/>
                <w:color w:val="auto"/>
                <w:sz w:val="24"/>
                <w:szCs w:val="20"/>
                <w:highlight w:val="none"/>
                <w:lang w:eastAsia="zh-CN"/>
              </w:rPr>
              <w:t>工作，</w:t>
            </w:r>
            <w:r>
              <w:rPr>
                <w:rFonts w:hint="eastAsia" w:ascii="宋体" w:hAnsi="宋体" w:cs="宋体"/>
                <w:color w:val="auto"/>
                <w:sz w:val="24"/>
                <w:szCs w:val="20"/>
                <w:highlight w:val="none"/>
                <w:lang w:val="en-US" w:eastAsia="zh-CN"/>
              </w:rPr>
              <w:t>5</w:t>
            </w:r>
            <w:r>
              <w:rPr>
                <w:rFonts w:hint="eastAsia" w:ascii="宋体" w:hAnsi="宋体" w:cs="宋体"/>
                <w:color w:val="auto"/>
                <w:sz w:val="24"/>
                <w:szCs w:val="20"/>
                <w:highlight w:val="none"/>
                <w:lang w:eastAsia="zh-CN"/>
              </w:rPr>
              <w:t>名工作人员常驻市民客厅，场馆每</w:t>
            </w:r>
            <w:r>
              <w:rPr>
                <w:rFonts w:hint="eastAsia" w:ascii="宋体" w:hAnsi="宋体" w:cs="宋体"/>
                <w:color w:val="auto"/>
                <w:sz w:val="24"/>
                <w:szCs w:val="20"/>
                <w:highlight w:val="none"/>
                <w:lang w:val="en-US" w:eastAsia="zh-CN"/>
              </w:rPr>
              <w:t>天开放不少于9个小时</w:t>
            </w:r>
            <w:r>
              <w:rPr>
                <w:rFonts w:hint="eastAsia" w:ascii="宋体" w:hAnsi="宋体" w:cs="宋体"/>
                <w:color w:val="auto"/>
                <w:sz w:val="24"/>
                <w:szCs w:val="20"/>
                <w:highlight w:val="none"/>
                <w:lang w:eastAsia="zh-CN"/>
              </w:rPr>
              <w:t>，周末必须开放，国定公休假期的开放时间根据采购方另行通知”</w:t>
            </w:r>
            <w:r>
              <w:rPr>
                <w:rFonts w:hint="eastAsia" w:ascii="宋体" w:hAnsi="宋体" w:cs="宋体"/>
                <w:color w:val="auto"/>
                <w:sz w:val="24"/>
                <w:szCs w:val="20"/>
                <w:highlight w:val="none"/>
                <w:lang w:val="en-US" w:eastAsia="zh-CN"/>
              </w:rPr>
              <w:t>承诺</w:t>
            </w:r>
            <w:r>
              <w:rPr>
                <w:rFonts w:hint="eastAsia" w:ascii="宋体" w:hAnsi="宋体" w:cs="宋体"/>
                <w:color w:val="auto"/>
                <w:sz w:val="24"/>
                <w:szCs w:val="20"/>
                <w:highlight w:val="none"/>
                <w:lang w:eastAsia="zh-CN"/>
              </w:rPr>
              <w:t>的得</w:t>
            </w:r>
            <w:r>
              <w:rPr>
                <w:rFonts w:hint="eastAsia" w:ascii="宋体" w:hAnsi="宋体" w:cs="宋体"/>
                <w:color w:val="auto"/>
                <w:sz w:val="24"/>
                <w:szCs w:val="20"/>
                <w:highlight w:val="none"/>
                <w:lang w:val="en-US" w:eastAsia="zh-CN"/>
              </w:rPr>
              <w:t>2</w:t>
            </w:r>
            <w:r>
              <w:rPr>
                <w:rFonts w:hint="eastAsia" w:ascii="宋体" w:hAnsi="宋体" w:cs="宋体"/>
                <w:color w:val="auto"/>
                <w:sz w:val="24"/>
                <w:szCs w:val="20"/>
                <w:highlight w:val="none"/>
                <w:lang w:eastAsia="zh-CN"/>
              </w:rPr>
              <w:t>分，无承诺或者承诺内容不全的不得分，</w:t>
            </w:r>
            <w:r>
              <w:rPr>
                <w:rFonts w:hint="eastAsia" w:ascii="宋体" w:hAnsi="宋体" w:cs="宋体"/>
                <w:color w:val="auto"/>
                <w:sz w:val="24"/>
                <w:szCs w:val="20"/>
                <w:lang w:val="en-US" w:eastAsia="zh-CN"/>
              </w:rPr>
              <w:t>最高得2</w:t>
            </w:r>
            <w:r>
              <w:rPr>
                <w:rFonts w:hint="eastAsia" w:ascii="宋体" w:hAnsi="宋体" w:cs="宋体"/>
                <w:color w:val="auto"/>
                <w:sz w:val="24"/>
                <w:szCs w:val="20"/>
              </w:rPr>
              <w:t>分</w:t>
            </w:r>
            <w:r>
              <w:rPr>
                <w:rFonts w:hint="eastAsia" w:ascii="宋体" w:hAnsi="宋体" w:cs="宋体"/>
                <w:color w:val="auto"/>
                <w:sz w:val="24"/>
                <w:szCs w:val="20"/>
                <w:highlight w:val="none"/>
                <w:lang w:eastAsia="zh-CN"/>
              </w:rPr>
              <w:t>；</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2</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3</w:t>
            </w:r>
          </w:p>
        </w:tc>
        <w:tc>
          <w:tcPr>
            <w:tcW w:w="76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left"/>
              <w:rPr>
                <w:rFonts w:hint="eastAsia" w:ascii="宋体" w:hAnsi="宋体" w:cs="宋体"/>
                <w:color w:val="auto"/>
                <w:sz w:val="24"/>
                <w:szCs w:val="20"/>
                <w:highlight w:val="none"/>
              </w:rPr>
            </w:pPr>
            <w:r>
              <w:rPr>
                <w:rFonts w:hint="eastAsia" w:ascii="宋体" w:hAnsi="宋体" w:cs="宋体"/>
                <w:color w:val="auto"/>
                <w:sz w:val="24"/>
                <w:szCs w:val="20"/>
                <w:highlight w:val="none"/>
              </w:rPr>
              <w:t>清晰简练地列出主要管理流程，包括对①运作流程图、②激励机制、③监督机制、④自我约束机制、⑤信息反馈渠道及处理机制</w:t>
            </w: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rPr>
              <w:t>有比较完善的组织架构</w:t>
            </w: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rPr>
              <w:t>管理指标承诺达到相关标准</w:t>
            </w:r>
            <w:r>
              <w:rPr>
                <w:rFonts w:hint="eastAsia" w:ascii="宋体" w:hAnsi="宋体" w:cs="宋体"/>
                <w:color w:val="auto"/>
                <w:sz w:val="24"/>
                <w:szCs w:val="20"/>
                <w:highlight w:val="none"/>
                <w:lang w:val="en-US" w:eastAsia="zh-CN"/>
              </w:rPr>
              <w:t>的每项</w:t>
            </w:r>
            <w:r>
              <w:rPr>
                <w:rFonts w:hint="eastAsia" w:ascii="宋体" w:hAnsi="宋体" w:cs="宋体"/>
                <w:color w:val="auto"/>
                <w:sz w:val="24"/>
                <w:szCs w:val="20"/>
              </w:rPr>
              <w:t>得</w:t>
            </w:r>
            <w:r>
              <w:rPr>
                <w:rFonts w:hint="eastAsia" w:ascii="宋体" w:hAnsi="宋体" w:cs="宋体"/>
                <w:color w:val="auto"/>
                <w:sz w:val="24"/>
                <w:szCs w:val="20"/>
                <w:lang w:val="en-US" w:eastAsia="zh-CN"/>
              </w:rPr>
              <w:t>1</w:t>
            </w:r>
            <w:r>
              <w:rPr>
                <w:rFonts w:hint="eastAsia" w:ascii="宋体" w:hAnsi="宋体" w:cs="宋体"/>
                <w:color w:val="auto"/>
                <w:sz w:val="24"/>
                <w:szCs w:val="20"/>
              </w:rPr>
              <w:t>分</w:t>
            </w:r>
            <w:r>
              <w:rPr>
                <w:rFonts w:hint="eastAsia" w:ascii="宋体" w:hAnsi="宋体" w:cs="宋体"/>
                <w:color w:val="auto"/>
                <w:sz w:val="24"/>
                <w:szCs w:val="20"/>
                <w:lang w:val="en-US" w:eastAsia="zh-CN"/>
              </w:rPr>
              <w:t>；有基本完善的组织架构，承诺达到本项目标准的每项</w:t>
            </w:r>
            <w:r>
              <w:rPr>
                <w:rFonts w:hint="eastAsia" w:ascii="宋体" w:hAnsi="宋体" w:cs="宋体"/>
                <w:color w:val="auto"/>
                <w:sz w:val="24"/>
                <w:szCs w:val="20"/>
              </w:rPr>
              <w:t>得</w:t>
            </w:r>
            <w:r>
              <w:rPr>
                <w:rFonts w:hint="eastAsia" w:ascii="宋体" w:hAnsi="宋体" w:cs="宋体"/>
                <w:color w:val="auto"/>
                <w:sz w:val="24"/>
                <w:szCs w:val="20"/>
                <w:lang w:val="en-US" w:eastAsia="zh-CN"/>
              </w:rPr>
              <w:t>0.5</w:t>
            </w:r>
            <w:r>
              <w:rPr>
                <w:rFonts w:hint="eastAsia" w:ascii="宋体" w:hAnsi="宋体" w:cs="宋体"/>
                <w:color w:val="auto"/>
                <w:sz w:val="24"/>
                <w:szCs w:val="20"/>
              </w:rPr>
              <w:t>分</w:t>
            </w:r>
            <w:r>
              <w:rPr>
                <w:rFonts w:hint="eastAsia" w:ascii="宋体" w:hAnsi="宋体" w:cs="宋体"/>
                <w:color w:val="auto"/>
                <w:sz w:val="24"/>
                <w:szCs w:val="20"/>
                <w:lang w:val="en-US" w:eastAsia="zh-CN"/>
              </w:rPr>
              <w:t>；组织架构一般，主要管理流程一般的每项得0.3分；</w:t>
            </w:r>
            <w:r>
              <w:rPr>
                <w:rFonts w:hint="eastAsia" w:ascii="宋体" w:hAnsi="宋体" w:cs="宋体"/>
                <w:color w:val="auto"/>
                <w:sz w:val="24"/>
                <w:szCs w:val="20"/>
              </w:rPr>
              <w:t>方案不合理或未提供方案</w:t>
            </w:r>
            <w:r>
              <w:rPr>
                <w:rFonts w:hint="eastAsia" w:ascii="宋体" w:hAnsi="宋体" w:cs="宋体"/>
                <w:color w:val="auto"/>
                <w:sz w:val="24"/>
                <w:szCs w:val="20"/>
                <w:lang w:val="en-US" w:eastAsia="zh-CN"/>
              </w:rPr>
              <w:t>的</w:t>
            </w:r>
            <w:r>
              <w:rPr>
                <w:rFonts w:hint="eastAsia" w:ascii="宋体" w:hAnsi="宋体" w:cs="宋体"/>
                <w:color w:val="auto"/>
                <w:sz w:val="24"/>
                <w:szCs w:val="20"/>
              </w:rPr>
              <w:t>不得分</w:t>
            </w:r>
            <w:r>
              <w:rPr>
                <w:rFonts w:hint="eastAsia" w:ascii="宋体" w:hAnsi="宋体" w:cs="宋体"/>
                <w:color w:val="auto"/>
                <w:sz w:val="24"/>
                <w:szCs w:val="20"/>
                <w:lang w:eastAsia="zh-CN"/>
              </w:rPr>
              <w:t>，</w:t>
            </w:r>
            <w:r>
              <w:rPr>
                <w:rFonts w:hint="eastAsia" w:ascii="宋体" w:hAnsi="宋体" w:cs="宋体"/>
                <w:color w:val="auto"/>
                <w:sz w:val="24"/>
                <w:szCs w:val="20"/>
                <w:lang w:val="en-US" w:eastAsia="zh-CN"/>
              </w:rPr>
              <w:t>最高得5分；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5</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4</w:t>
            </w:r>
          </w:p>
        </w:tc>
        <w:tc>
          <w:tcPr>
            <w:tcW w:w="76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left"/>
              <w:rPr>
                <w:rFonts w:hint="eastAsia" w:ascii="宋体" w:hAnsi="宋体" w:cs="宋体"/>
                <w:color w:val="auto"/>
                <w:sz w:val="24"/>
                <w:szCs w:val="20"/>
                <w:highlight w:val="none"/>
              </w:rPr>
            </w:pPr>
            <w:r>
              <w:rPr>
                <w:rFonts w:hint="eastAsia" w:ascii="宋体" w:hAnsi="宋体" w:cs="宋体"/>
                <w:color w:val="auto"/>
                <w:sz w:val="24"/>
                <w:szCs w:val="20"/>
              </w:rPr>
              <w:t>有完善的</w:t>
            </w:r>
            <w:r>
              <w:rPr>
                <w:rFonts w:hint="eastAsia" w:ascii="宋体" w:hAnsi="宋体" w:cs="宋体"/>
                <w:color w:val="auto"/>
                <w:sz w:val="24"/>
                <w:szCs w:val="20"/>
                <w:lang w:val="en-US" w:eastAsia="zh-CN"/>
              </w:rPr>
              <w:t>(①</w:t>
            </w:r>
            <w:r>
              <w:rPr>
                <w:rFonts w:hint="eastAsia" w:ascii="宋体" w:hAnsi="宋体" w:cs="宋体"/>
                <w:color w:val="auto"/>
                <w:sz w:val="24"/>
                <w:szCs w:val="20"/>
              </w:rPr>
              <w:t>服务制度、②作业流程</w:t>
            </w:r>
            <w:r>
              <w:rPr>
                <w:rFonts w:hint="eastAsia" w:ascii="宋体" w:hAnsi="宋体" w:cs="宋体"/>
                <w:color w:val="auto"/>
                <w:sz w:val="24"/>
                <w:szCs w:val="20"/>
                <w:lang w:eastAsia="zh-CN"/>
              </w:rPr>
              <w:t>、③</w:t>
            </w:r>
            <w:r>
              <w:rPr>
                <w:rFonts w:hint="eastAsia" w:ascii="宋体" w:hAnsi="宋体" w:cs="宋体"/>
                <w:color w:val="auto"/>
                <w:sz w:val="24"/>
                <w:szCs w:val="20"/>
              </w:rPr>
              <w:t>建立和完善档案管理制度、④公众制度</w:t>
            </w:r>
            <w:r>
              <w:rPr>
                <w:rFonts w:hint="eastAsia" w:ascii="宋体" w:hAnsi="宋体" w:cs="宋体"/>
                <w:color w:val="auto"/>
                <w:sz w:val="24"/>
                <w:szCs w:val="20"/>
                <w:lang w:eastAsia="zh-CN"/>
              </w:rPr>
              <w:t>）</w:t>
            </w:r>
            <w:r>
              <w:rPr>
                <w:rFonts w:hint="eastAsia" w:ascii="宋体" w:hAnsi="宋体" w:cs="宋体"/>
                <w:color w:val="auto"/>
                <w:sz w:val="24"/>
                <w:szCs w:val="20"/>
              </w:rPr>
              <w:t>等体现标准化服务，同时管理服务水平须符合</w:t>
            </w:r>
            <w:r>
              <w:rPr>
                <w:rFonts w:hint="eastAsia" w:ascii="宋体" w:hAnsi="宋体" w:cs="宋体"/>
                <w:color w:val="auto"/>
                <w:sz w:val="24"/>
                <w:szCs w:val="20"/>
                <w:lang w:val="en-US" w:eastAsia="zh-CN"/>
              </w:rPr>
              <w:t>相关</w:t>
            </w:r>
            <w:r>
              <w:rPr>
                <w:rFonts w:hint="eastAsia" w:ascii="宋体" w:hAnsi="宋体" w:cs="宋体"/>
                <w:color w:val="auto"/>
                <w:sz w:val="24"/>
                <w:szCs w:val="20"/>
              </w:rPr>
              <w:t>行业标准</w:t>
            </w:r>
            <w:r>
              <w:rPr>
                <w:rFonts w:hint="eastAsia" w:ascii="宋体" w:hAnsi="宋体" w:cs="宋体"/>
                <w:color w:val="auto"/>
                <w:sz w:val="24"/>
                <w:szCs w:val="20"/>
                <w:lang w:val="en-US" w:eastAsia="zh-CN"/>
              </w:rPr>
              <w:t>的每项</w:t>
            </w:r>
            <w:r>
              <w:rPr>
                <w:rFonts w:hint="eastAsia" w:ascii="宋体" w:hAnsi="宋体" w:cs="宋体"/>
                <w:color w:val="auto"/>
                <w:sz w:val="24"/>
                <w:szCs w:val="20"/>
              </w:rPr>
              <w:t>得</w:t>
            </w:r>
            <w:r>
              <w:rPr>
                <w:rFonts w:hint="eastAsia" w:ascii="宋体" w:hAnsi="宋体" w:cs="宋体"/>
                <w:color w:val="auto"/>
                <w:sz w:val="24"/>
                <w:szCs w:val="20"/>
                <w:lang w:val="en-US" w:eastAsia="zh-CN"/>
              </w:rPr>
              <w:t>1</w:t>
            </w:r>
            <w:r>
              <w:rPr>
                <w:rFonts w:hint="eastAsia" w:ascii="宋体" w:hAnsi="宋体" w:cs="宋体"/>
                <w:color w:val="auto"/>
                <w:sz w:val="24"/>
                <w:szCs w:val="20"/>
              </w:rPr>
              <w:t>分</w:t>
            </w:r>
            <w:r>
              <w:rPr>
                <w:rFonts w:hint="eastAsia" w:ascii="宋体" w:hAnsi="宋体" w:cs="宋体"/>
                <w:color w:val="auto"/>
                <w:sz w:val="24"/>
                <w:szCs w:val="20"/>
                <w:lang w:eastAsia="zh-CN"/>
              </w:rPr>
              <w:t>；</w:t>
            </w:r>
            <w:r>
              <w:rPr>
                <w:rFonts w:hint="eastAsia" w:ascii="宋体" w:hAnsi="宋体" w:cs="宋体"/>
                <w:color w:val="auto"/>
                <w:sz w:val="24"/>
                <w:szCs w:val="20"/>
                <w:lang w:val="en-US" w:eastAsia="zh-CN"/>
              </w:rPr>
              <w:t>有基本的(①服务制度、②作业流程、③建立和完善档案管理制度、④公众制度）同时管理服务水平较为符合相关行业标准的每项得0.5分；有一般的(①</w:t>
            </w:r>
            <w:r>
              <w:rPr>
                <w:rFonts w:hint="eastAsia" w:ascii="宋体" w:hAnsi="宋体" w:cs="宋体"/>
                <w:color w:val="auto"/>
                <w:sz w:val="24"/>
                <w:szCs w:val="20"/>
              </w:rPr>
              <w:t>服务制度、②作业流程</w:t>
            </w:r>
            <w:r>
              <w:rPr>
                <w:rFonts w:hint="eastAsia" w:ascii="宋体" w:hAnsi="宋体" w:cs="宋体"/>
                <w:color w:val="auto"/>
                <w:sz w:val="24"/>
                <w:szCs w:val="20"/>
                <w:lang w:eastAsia="zh-CN"/>
              </w:rPr>
              <w:t>、③</w:t>
            </w:r>
            <w:r>
              <w:rPr>
                <w:rFonts w:hint="eastAsia" w:ascii="宋体" w:hAnsi="宋体" w:cs="宋体"/>
                <w:color w:val="auto"/>
                <w:sz w:val="24"/>
                <w:szCs w:val="20"/>
              </w:rPr>
              <w:t>建立和完善档案管理制度、④公众制度</w:t>
            </w:r>
            <w:r>
              <w:rPr>
                <w:rFonts w:hint="eastAsia" w:ascii="宋体" w:hAnsi="宋体" w:cs="宋体"/>
                <w:color w:val="auto"/>
                <w:sz w:val="24"/>
                <w:szCs w:val="20"/>
                <w:lang w:eastAsia="zh-CN"/>
              </w:rPr>
              <w:t>）</w:t>
            </w:r>
            <w:r>
              <w:rPr>
                <w:rFonts w:hint="eastAsia" w:ascii="宋体" w:hAnsi="宋体" w:cs="宋体"/>
                <w:color w:val="auto"/>
                <w:sz w:val="24"/>
                <w:szCs w:val="20"/>
                <w:lang w:val="en-US" w:eastAsia="zh-CN"/>
              </w:rPr>
              <w:t>同时管理服务水平一般的每项得0.25分；</w:t>
            </w:r>
            <w:r>
              <w:rPr>
                <w:rFonts w:hint="eastAsia" w:ascii="宋体" w:hAnsi="宋体" w:cs="宋体"/>
                <w:color w:val="auto"/>
                <w:sz w:val="24"/>
                <w:szCs w:val="20"/>
              </w:rPr>
              <w:t>方案不合理或未提供方案不得分</w:t>
            </w:r>
            <w:r>
              <w:rPr>
                <w:rFonts w:hint="eastAsia" w:ascii="宋体" w:hAnsi="宋体" w:cs="宋体"/>
                <w:color w:val="auto"/>
                <w:sz w:val="24"/>
                <w:szCs w:val="20"/>
                <w:lang w:eastAsia="zh-CN"/>
              </w:rPr>
              <w:t>，</w:t>
            </w:r>
            <w:r>
              <w:rPr>
                <w:rFonts w:hint="eastAsia" w:ascii="宋体" w:hAnsi="宋体" w:cs="宋体"/>
                <w:color w:val="auto"/>
                <w:sz w:val="24"/>
                <w:szCs w:val="20"/>
                <w:lang w:val="en-US" w:eastAsia="zh-CN"/>
              </w:rPr>
              <w:t>最高得4分；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5</w:t>
            </w:r>
          </w:p>
        </w:tc>
        <w:tc>
          <w:tcPr>
            <w:tcW w:w="76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left"/>
              <w:rPr>
                <w:rFonts w:hint="default" w:ascii="宋体" w:hAnsi="宋体" w:eastAsia="宋体" w:cs="宋体"/>
                <w:color w:val="auto"/>
                <w:sz w:val="24"/>
                <w:szCs w:val="20"/>
                <w:highlight w:val="none"/>
                <w:lang w:val="en-US" w:eastAsia="zh-CN"/>
              </w:rPr>
            </w:pPr>
            <w:r>
              <w:rPr>
                <w:rFonts w:hint="default" w:ascii="宋体" w:hAnsi="宋体" w:eastAsia="宋体" w:cs="宋体"/>
                <w:color w:val="auto"/>
                <w:sz w:val="24"/>
                <w:szCs w:val="20"/>
                <w:highlight w:val="none"/>
                <w:lang w:val="en-US" w:eastAsia="zh-CN"/>
              </w:rPr>
              <w:t>①服务人员上岗前培训、继续教育的培训管理制度合理可行得</w:t>
            </w:r>
            <w:r>
              <w:rPr>
                <w:rFonts w:hint="eastAsia" w:ascii="宋体" w:hAnsi="宋体" w:cs="宋体"/>
                <w:color w:val="auto"/>
                <w:sz w:val="24"/>
                <w:szCs w:val="20"/>
                <w:highlight w:val="none"/>
                <w:lang w:val="en-US" w:eastAsia="zh-CN"/>
              </w:rPr>
              <w:t>4</w:t>
            </w:r>
            <w:r>
              <w:rPr>
                <w:rFonts w:hint="default" w:ascii="宋体" w:hAnsi="宋体" w:eastAsia="宋体" w:cs="宋体"/>
                <w:color w:val="auto"/>
                <w:sz w:val="24"/>
                <w:szCs w:val="20"/>
                <w:highlight w:val="none"/>
                <w:lang w:val="en-US" w:eastAsia="zh-CN"/>
              </w:rPr>
              <w:t>分；</w:t>
            </w:r>
          </w:p>
          <w:p>
            <w:pPr>
              <w:snapToGrid w:val="0"/>
              <w:spacing w:before="0" w:beforeAutospacing="0" w:after="0" w:afterAutospacing="0" w:line="360" w:lineRule="auto"/>
              <w:ind w:left="0" w:right="0"/>
              <w:jc w:val="left"/>
              <w:rPr>
                <w:rFonts w:hint="eastAsia" w:ascii="宋体" w:hAnsi="宋体" w:cs="宋体"/>
                <w:color w:val="auto"/>
                <w:sz w:val="24"/>
                <w:szCs w:val="20"/>
                <w:highlight w:val="none"/>
                <w:lang w:val="en-US" w:eastAsia="zh-CN"/>
              </w:rPr>
            </w:pPr>
            <w:r>
              <w:rPr>
                <w:rFonts w:hint="default" w:ascii="宋体" w:hAnsi="宋体" w:eastAsia="宋体" w:cs="宋体"/>
                <w:color w:val="auto"/>
                <w:sz w:val="24"/>
                <w:szCs w:val="20"/>
                <w:highlight w:val="none"/>
                <w:lang w:val="en-US" w:eastAsia="zh-CN"/>
              </w:rPr>
              <w:t>②服务人员上岗前培训、继续教育的培训管理制度</w:t>
            </w:r>
            <w:r>
              <w:rPr>
                <w:rFonts w:hint="eastAsia" w:ascii="宋体" w:hAnsi="宋体" w:cs="宋体"/>
                <w:color w:val="auto"/>
                <w:sz w:val="24"/>
                <w:szCs w:val="20"/>
                <w:highlight w:val="none"/>
                <w:lang w:val="en-US" w:eastAsia="zh-CN"/>
              </w:rPr>
              <w:t>内容有一定偏差，</w:t>
            </w:r>
            <w:r>
              <w:rPr>
                <w:rFonts w:hint="eastAsia" w:ascii="宋体" w:hAnsi="宋体" w:cs="宋体"/>
                <w:color w:val="auto"/>
                <w:sz w:val="24"/>
                <w:szCs w:val="20"/>
                <w:lang w:val="en-US" w:eastAsia="zh-CN"/>
              </w:rPr>
              <w:t>需进一步完善的</w:t>
            </w:r>
            <w:r>
              <w:rPr>
                <w:rFonts w:hint="default" w:ascii="宋体" w:hAnsi="宋体" w:eastAsia="宋体" w:cs="宋体"/>
                <w:color w:val="auto"/>
                <w:sz w:val="24"/>
                <w:szCs w:val="20"/>
                <w:highlight w:val="none"/>
                <w:lang w:val="en-US" w:eastAsia="zh-CN"/>
              </w:rPr>
              <w:t>得</w:t>
            </w:r>
            <w:r>
              <w:rPr>
                <w:rFonts w:hint="eastAsia" w:ascii="宋体" w:hAnsi="宋体" w:cs="宋体"/>
                <w:color w:val="auto"/>
                <w:sz w:val="24"/>
                <w:szCs w:val="20"/>
                <w:highlight w:val="none"/>
                <w:lang w:val="en-US" w:eastAsia="zh-CN"/>
              </w:rPr>
              <w:t>3</w:t>
            </w:r>
            <w:r>
              <w:rPr>
                <w:rFonts w:hint="default" w:ascii="宋体" w:hAnsi="宋体" w:eastAsia="宋体" w:cs="宋体"/>
                <w:color w:val="auto"/>
                <w:sz w:val="24"/>
                <w:szCs w:val="20"/>
                <w:highlight w:val="none"/>
                <w:lang w:val="en-US" w:eastAsia="zh-CN"/>
              </w:rPr>
              <w:t>分</w:t>
            </w:r>
            <w:r>
              <w:rPr>
                <w:rFonts w:hint="eastAsia" w:ascii="宋体" w:hAnsi="宋体" w:cs="宋体"/>
                <w:color w:val="auto"/>
                <w:sz w:val="24"/>
                <w:szCs w:val="20"/>
                <w:highlight w:val="none"/>
                <w:lang w:val="en-US" w:eastAsia="zh-CN"/>
              </w:rPr>
              <w:t>；</w:t>
            </w:r>
          </w:p>
          <w:p>
            <w:pPr>
              <w:snapToGrid w:val="0"/>
              <w:spacing w:before="0" w:beforeAutospacing="0" w:after="0" w:afterAutospacing="0" w:line="360" w:lineRule="auto"/>
              <w:ind w:left="0" w:right="0"/>
              <w:jc w:val="left"/>
              <w:rPr>
                <w:rFonts w:hint="eastAsia" w:ascii="宋体" w:hAnsi="宋体" w:cs="宋体"/>
                <w:color w:val="auto"/>
                <w:sz w:val="24"/>
                <w:szCs w:val="20"/>
                <w:highlight w:val="none"/>
                <w:lang w:val="en-US" w:eastAsia="zh-CN"/>
              </w:rPr>
            </w:pPr>
            <w:r>
              <w:rPr>
                <w:rFonts w:hint="eastAsia" w:ascii="宋体" w:hAnsi="宋体" w:cs="宋体"/>
                <w:color w:val="auto"/>
                <w:sz w:val="24"/>
                <w:szCs w:val="20"/>
                <w:highlight w:val="none"/>
                <w:lang w:val="en-US" w:eastAsia="zh-CN"/>
              </w:rPr>
              <w:t>③</w:t>
            </w:r>
            <w:r>
              <w:rPr>
                <w:rFonts w:hint="default" w:ascii="宋体" w:hAnsi="宋体" w:eastAsia="宋体" w:cs="宋体"/>
                <w:color w:val="auto"/>
                <w:sz w:val="24"/>
                <w:szCs w:val="20"/>
                <w:highlight w:val="none"/>
                <w:lang w:val="en-US" w:eastAsia="zh-CN"/>
              </w:rPr>
              <w:t>方案不合理</w:t>
            </w:r>
            <w:r>
              <w:rPr>
                <w:rFonts w:hint="eastAsia" w:ascii="宋体" w:hAnsi="宋体" w:cs="宋体"/>
                <w:color w:val="auto"/>
                <w:sz w:val="24"/>
                <w:szCs w:val="20"/>
                <w:highlight w:val="none"/>
                <w:lang w:val="en-US" w:eastAsia="zh-CN"/>
              </w:rPr>
              <w:t>的得2分；</w:t>
            </w:r>
          </w:p>
          <w:p>
            <w:pPr>
              <w:snapToGrid w:val="0"/>
              <w:spacing w:before="0" w:beforeAutospacing="0" w:after="0" w:afterAutospacing="0" w:line="360" w:lineRule="auto"/>
              <w:ind w:left="0" w:right="0"/>
              <w:jc w:val="left"/>
              <w:rPr>
                <w:rFonts w:hint="default" w:ascii="宋体" w:hAnsi="宋体" w:eastAsia="宋体" w:cs="宋体"/>
                <w:color w:val="auto"/>
                <w:sz w:val="24"/>
                <w:szCs w:val="20"/>
                <w:highlight w:val="none"/>
                <w:lang w:val="en-US" w:eastAsia="zh-CN"/>
              </w:rPr>
            </w:pPr>
            <w:r>
              <w:rPr>
                <w:rFonts w:hint="default" w:ascii="宋体" w:hAnsi="宋体" w:eastAsia="宋体" w:cs="宋体"/>
                <w:color w:val="auto"/>
                <w:sz w:val="24"/>
                <w:szCs w:val="20"/>
                <w:highlight w:val="none"/>
                <w:lang w:val="en-US" w:eastAsia="zh-CN"/>
              </w:rPr>
              <w:t>未提供方案不得分</w:t>
            </w:r>
            <w:r>
              <w:rPr>
                <w:rFonts w:hint="eastAsia" w:ascii="宋体" w:hAnsi="宋体" w:cs="宋体"/>
                <w:color w:val="auto"/>
                <w:sz w:val="24"/>
                <w:szCs w:val="20"/>
                <w:highlight w:val="none"/>
                <w:lang w:val="en-US" w:eastAsia="zh-CN"/>
              </w:rPr>
              <w:t>；最高得4分；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522"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6</w:t>
            </w:r>
          </w:p>
        </w:tc>
        <w:tc>
          <w:tcPr>
            <w:tcW w:w="7612" w:type="dxa"/>
            <w:tcBorders>
              <w:top w:val="single" w:color="000000" w:sz="4" w:space="0"/>
              <w:left w:val="single" w:color="000000" w:sz="4" w:space="0"/>
              <w:right w:val="single" w:color="000000" w:sz="4" w:space="0"/>
            </w:tcBorders>
            <w:vAlign w:val="top"/>
          </w:tcPr>
          <w:p>
            <w:pPr>
              <w:snapToGrid w:val="0"/>
              <w:spacing w:before="0" w:beforeAutospacing="0" w:after="0" w:afterAutospacing="0" w:line="360" w:lineRule="auto"/>
              <w:ind w:left="0" w:right="0"/>
              <w:jc w:val="left"/>
              <w:rPr>
                <w:rFonts w:hint="eastAsia" w:ascii="宋体" w:hAnsi="宋体" w:cs="宋体"/>
                <w:color w:val="auto"/>
                <w:sz w:val="24"/>
                <w:szCs w:val="20"/>
                <w:lang w:val="en-US" w:eastAsia="zh-CN"/>
              </w:rPr>
            </w:pPr>
            <w:r>
              <w:rPr>
                <w:rFonts w:hint="eastAsia" w:ascii="宋体" w:hAnsi="宋体" w:cs="宋体"/>
                <w:color w:val="auto"/>
                <w:sz w:val="24"/>
                <w:szCs w:val="20"/>
                <w:lang w:val="en-US" w:eastAsia="zh-CN"/>
              </w:rPr>
              <w:t>①根据场地设置功能布局相应开展各类活动不少于100场（每场活动不少于20人）的活动方案；提供详细的活动方案，科学合理、切实可行的得3分；较科学合理、较切实可行的得2分；不科学合理、不切实可行的得1分；未提供的不得分；最高得3分；</w:t>
            </w:r>
          </w:p>
          <w:p>
            <w:pPr>
              <w:snapToGrid w:val="0"/>
              <w:spacing w:before="0" w:beforeAutospacing="0" w:after="0" w:afterAutospacing="0" w:line="360" w:lineRule="auto"/>
              <w:ind w:left="0" w:right="0"/>
              <w:jc w:val="left"/>
              <w:rPr>
                <w:rFonts w:hint="eastAsia" w:ascii="宋体" w:hAnsi="宋体" w:cs="宋体"/>
                <w:color w:val="auto"/>
                <w:sz w:val="24"/>
                <w:szCs w:val="20"/>
                <w:lang w:val="en-US" w:eastAsia="zh-CN"/>
              </w:rPr>
            </w:pPr>
            <w:r>
              <w:rPr>
                <w:rFonts w:hint="eastAsia" w:ascii="宋体" w:hAnsi="宋体" w:cs="宋体"/>
                <w:color w:val="auto"/>
                <w:sz w:val="24"/>
                <w:szCs w:val="20"/>
                <w:lang w:val="en-US" w:eastAsia="zh-CN"/>
              </w:rPr>
              <w:t>②每增加1场活动加0.25分，最多得5分；</w:t>
            </w:r>
          </w:p>
          <w:p>
            <w:pPr>
              <w:snapToGrid w:val="0"/>
              <w:spacing w:before="0" w:beforeAutospacing="0" w:after="0" w:afterAutospacing="0" w:line="360" w:lineRule="auto"/>
              <w:ind w:left="0" w:right="0"/>
              <w:jc w:val="left"/>
              <w:rPr>
                <w:rFonts w:hint="default" w:ascii="Times New Roman" w:hAnsi="Times New Roman" w:cs="Times New Roman"/>
                <w:sz w:val="20"/>
                <w:szCs w:val="20"/>
                <w:lang w:val="en-US" w:eastAsia="zh-CN"/>
              </w:rPr>
            </w:pPr>
            <w:r>
              <w:rPr>
                <w:rFonts w:hint="eastAsia" w:ascii="宋体" w:hAnsi="宋体" w:cs="宋体"/>
                <w:color w:val="auto"/>
                <w:sz w:val="24"/>
                <w:szCs w:val="20"/>
                <w:lang w:val="en-US" w:eastAsia="zh-CN"/>
              </w:rPr>
              <w:t>最高得8分；</w:t>
            </w:r>
          </w:p>
        </w:tc>
        <w:tc>
          <w:tcPr>
            <w:tcW w:w="889"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8</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7</w:t>
            </w:r>
          </w:p>
        </w:tc>
        <w:tc>
          <w:tcPr>
            <w:tcW w:w="761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right="0"/>
              <w:rPr>
                <w:rFonts w:hint="default" w:ascii="Times New Roman" w:hAnsi="Times New Roman" w:eastAsia="宋体" w:cs="Times New Roman"/>
                <w:color w:val="auto"/>
                <w:sz w:val="24"/>
                <w:szCs w:val="24"/>
                <w:highlight w:val="none"/>
                <w:lang w:val="en-US" w:eastAsia="zh-CN"/>
              </w:rPr>
            </w:pPr>
            <w:r>
              <w:rPr>
                <w:rFonts w:hint="eastAsia" w:ascii="宋体" w:hAnsi="宋体" w:cs="宋体"/>
                <w:color w:val="auto"/>
                <w:sz w:val="24"/>
                <w:szCs w:val="20"/>
                <w:highlight w:val="none"/>
              </w:rPr>
              <w:t>媒体宣传：投标人有独立微信公众号每月不少于4篇活动信息推送</w:t>
            </w:r>
            <w:r>
              <w:rPr>
                <w:rFonts w:hint="eastAsia" w:ascii="宋体" w:hAnsi="宋体" w:cs="宋体"/>
                <w:color w:val="auto"/>
                <w:sz w:val="24"/>
                <w:szCs w:val="20"/>
                <w:highlight w:val="none"/>
                <w:lang w:val="en-US" w:eastAsia="zh-CN"/>
              </w:rPr>
              <w:t>并推送良渚发布</w:t>
            </w:r>
            <w:r>
              <w:rPr>
                <w:rFonts w:hint="eastAsia" w:ascii="宋体" w:hAnsi="宋体" w:cs="宋体"/>
                <w:color w:val="auto"/>
                <w:sz w:val="24"/>
                <w:szCs w:val="20"/>
                <w:highlight w:val="none"/>
              </w:rPr>
              <w:t>，全年不少于</w:t>
            </w:r>
            <w:r>
              <w:rPr>
                <w:rFonts w:hint="eastAsia" w:ascii="宋体" w:hAnsi="宋体" w:cs="宋体"/>
                <w:color w:val="auto"/>
                <w:sz w:val="24"/>
                <w:szCs w:val="20"/>
                <w:highlight w:val="none"/>
                <w:lang w:val="en-US" w:eastAsia="zh-CN"/>
              </w:rPr>
              <w:t>2</w:t>
            </w:r>
            <w:r>
              <w:rPr>
                <w:rFonts w:hint="eastAsia" w:ascii="宋体" w:hAnsi="宋体" w:cs="宋体"/>
                <w:color w:val="auto"/>
                <w:sz w:val="24"/>
                <w:szCs w:val="20"/>
                <w:highlight w:val="none"/>
              </w:rPr>
              <w:t>次的新闻媒体报导（例如余杭晨报，杭州日报等），省级以上平台全年报道不少于</w:t>
            </w:r>
            <w:r>
              <w:rPr>
                <w:rFonts w:hint="eastAsia" w:ascii="宋体" w:hAnsi="宋体" w:cs="宋体"/>
                <w:color w:val="auto"/>
                <w:sz w:val="24"/>
                <w:szCs w:val="20"/>
                <w:highlight w:val="none"/>
                <w:lang w:val="en-US" w:eastAsia="zh-CN"/>
              </w:rPr>
              <w:t>1</w:t>
            </w:r>
            <w:r>
              <w:rPr>
                <w:rFonts w:hint="eastAsia" w:ascii="宋体" w:hAnsi="宋体" w:cs="宋体"/>
                <w:color w:val="auto"/>
                <w:sz w:val="24"/>
                <w:szCs w:val="20"/>
                <w:highlight w:val="none"/>
              </w:rPr>
              <w:t>篇，根据街道重点工作开展政策宣传等活动6次</w:t>
            </w:r>
            <w:r>
              <w:rPr>
                <w:rFonts w:hint="eastAsia" w:ascii="宋体" w:hAnsi="宋体" w:cs="宋体"/>
                <w:color w:val="auto"/>
                <w:sz w:val="24"/>
                <w:szCs w:val="20"/>
                <w:highlight w:val="none"/>
                <w:lang w:eastAsia="zh-CN"/>
              </w:rPr>
              <w:t>，</w:t>
            </w:r>
            <w:r>
              <w:rPr>
                <w:rFonts w:hint="eastAsia" w:ascii="宋体" w:hAnsi="宋体" w:cs="宋体"/>
                <w:color w:val="auto"/>
                <w:sz w:val="24"/>
                <w:szCs w:val="20"/>
                <w:lang w:val="en-US" w:eastAsia="zh-CN"/>
              </w:rPr>
              <w:t>提供详细的活动方案，科学合理、切实可行的得4分；较科学合理、较切实可行的得3分；不科学合理、不切实可行的得2分；未提供的不得分；最高得4分；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8</w:t>
            </w:r>
          </w:p>
        </w:tc>
        <w:tc>
          <w:tcPr>
            <w:tcW w:w="761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right="0"/>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①</w:t>
            </w:r>
            <w:r>
              <w:rPr>
                <w:rFonts w:hint="eastAsia" w:ascii="宋体" w:hAnsi="宋体" w:cs="宋体"/>
                <w:color w:val="auto"/>
                <w:sz w:val="24"/>
                <w:szCs w:val="20"/>
                <w:highlight w:val="none"/>
              </w:rPr>
              <w:t>品牌活动 打造1-2个品牌活动系列活动，品牌活动打造具有新意</w:t>
            </w: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rPr>
              <w:t>提供详细的活动方案，科学合理、切实可行的得</w:t>
            </w:r>
            <w:r>
              <w:rPr>
                <w:rFonts w:hint="eastAsia" w:ascii="宋体" w:hAnsi="宋体" w:cs="宋体"/>
                <w:color w:val="auto"/>
                <w:sz w:val="24"/>
                <w:szCs w:val="20"/>
                <w:highlight w:val="none"/>
                <w:lang w:val="en-US" w:eastAsia="zh-CN"/>
              </w:rPr>
              <w:t>3</w:t>
            </w:r>
            <w:r>
              <w:rPr>
                <w:rFonts w:hint="eastAsia" w:ascii="宋体" w:hAnsi="宋体" w:cs="宋体"/>
                <w:color w:val="auto"/>
                <w:sz w:val="24"/>
                <w:szCs w:val="20"/>
                <w:highlight w:val="none"/>
              </w:rPr>
              <w:t>分；较科学合理、较切实可行的得</w:t>
            </w:r>
            <w:r>
              <w:rPr>
                <w:rFonts w:hint="eastAsia" w:ascii="宋体" w:hAnsi="宋体" w:cs="宋体"/>
                <w:color w:val="auto"/>
                <w:sz w:val="24"/>
                <w:szCs w:val="20"/>
                <w:highlight w:val="none"/>
                <w:lang w:val="en-US" w:eastAsia="zh-CN"/>
              </w:rPr>
              <w:t>2</w:t>
            </w:r>
            <w:r>
              <w:rPr>
                <w:rFonts w:hint="eastAsia" w:ascii="宋体" w:hAnsi="宋体" w:cs="宋体"/>
                <w:color w:val="auto"/>
                <w:sz w:val="24"/>
                <w:szCs w:val="20"/>
                <w:highlight w:val="none"/>
              </w:rPr>
              <w:t>分；不科学合理、不切实可行的得</w:t>
            </w:r>
            <w:r>
              <w:rPr>
                <w:rFonts w:hint="eastAsia" w:ascii="宋体" w:hAnsi="宋体" w:cs="宋体"/>
                <w:color w:val="auto"/>
                <w:sz w:val="24"/>
                <w:szCs w:val="20"/>
                <w:highlight w:val="none"/>
                <w:lang w:val="en-US" w:eastAsia="zh-CN"/>
              </w:rPr>
              <w:t>1</w:t>
            </w:r>
            <w:r>
              <w:rPr>
                <w:rFonts w:hint="eastAsia" w:ascii="宋体" w:hAnsi="宋体" w:cs="宋体"/>
                <w:color w:val="auto"/>
                <w:sz w:val="24"/>
                <w:szCs w:val="20"/>
                <w:highlight w:val="none"/>
              </w:rPr>
              <w:t>分；未提供的不得分；最高得</w:t>
            </w:r>
            <w:r>
              <w:rPr>
                <w:rFonts w:hint="eastAsia" w:ascii="宋体" w:hAnsi="宋体" w:cs="宋体"/>
                <w:color w:val="auto"/>
                <w:sz w:val="24"/>
                <w:szCs w:val="20"/>
                <w:highlight w:val="none"/>
                <w:lang w:val="en-US" w:eastAsia="zh-CN"/>
              </w:rPr>
              <w:t>3</w:t>
            </w:r>
            <w:r>
              <w:rPr>
                <w:rFonts w:hint="eastAsia" w:ascii="宋体" w:hAnsi="宋体" w:cs="宋体"/>
                <w:color w:val="auto"/>
                <w:sz w:val="24"/>
                <w:szCs w:val="20"/>
                <w:highlight w:val="none"/>
              </w:rPr>
              <w:t>分；</w:t>
            </w:r>
          </w:p>
          <w:p>
            <w:pPr>
              <w:snapToGrid w:val="0"/>
              <w:spacing w:before="0" w:beforeAutospacing="0" w:after="0" w:afterAutospacing="0" w:line="360" w:lineRule="auto"/>
              <w:ind w:left="0" w:right="0"/>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lang w:val="en-US" w:eastAsia="zh-CN"/>
              </w:rPr>
              <w:t>②</w:t>
            </w:r>
            <w:r>
              <w:rPr>
                <w:rFonts w:hint="eastAsia" w:ascii="宋体" w:hAnsi="宋体" w:cs="宋体"/>
                <w:color w:val="auto"/>
                <w:sz w:val="24"/>
                <w:szCs w:val="20"/>
                <w:highlight w:val="none"/>
                <w:lang w:val="en-US" w:eastAsia="zh-CN"/>
              </w:rPr>
              <w:t>打造品牌活动2个以上的得2分；打造品牌活动1个的得1分；最高得2分；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5</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9</w:t>
            </w:r>
          </w:p>
        </w:tc>
        <w:tc>
          <w:tcPr>
            <w:tcW w:w="761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right="0"/>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①</w:t>
            </w:r>
            <w:r>
              <w:rPr>
                <w:rFonts w:hint="eastAsia" w:ascii="宋体" w:hAnsi="宋体" w:cs="宋体"/>
                <w:color w:val="auto"/>
                <w:sz w:val="24"/>
                <w:szCs w:val="20"/>
                <w:highlight w:val="none"/>
              </w:rPr>
              <w:t>便民服务（</w:t>
            </w:r>
            <w:r>
              <w:rPr>
                <w:rFonts w:hint="eastAsia" w:ascii="宋体" w:hAnsi="宋体" w:cs="宋体"/>
                <w:color w:val="auto"/>
                <w:sz w:val="24"/>
                <w:szCs w:val="20"/>
                <w:highlight w:val="none"/>
                <w:lang w:val="en-US" w:eastAsia="zh-CN"/>
              </w:rPr>
              <w:t>每月1次</w:t>
            </w:r>
            <w:r>
              <w:rPr>
                <w:rFonts w:hint="eastAsia" w:ascii="宋体" w:hAnsi="宋体" w:cs="宋体"/>
                <w:color w:val="auto"/>
                <w:sz w:val="24"/>
                <w:szCs w:val="20"/>
                <w:highlight w:val="none"/>
              </w:rPr>
              <w:t>便民</w:t>
            </w:r>
            <w:r>
              <w:rPr>
                <w:rFonts w:hint="eastAsia" w:ascii="宋体" w:hAnsi="宋体" w:cs="宋体"/>
                <w:color w:val="auto"/>
                <w:sz w:val="24"/>
                <w:szCs w:val="20"/>
                <w:highlight w:val="none"/>
                <w:lang w:val="en-US" w:eastAsia="zh-CN"/>
              </w:rPr>
              <w:t>活动其中2场大型活动</w:t>
            </w:r>
            <w:r>
              <w:rPr>
                <w:rFonts w:hint="eastAsia" w:ascii="宋体" w:hAnsi="宋体" w:cs="宋体"/>
                <w:color w:val="auto"/>
                <w:sz w:val="24"/>
                <w:szCs w:val="20"/>
                <w:highlight w:val="none"/>
              </w:rPr>
              <w:t>），提供详细的活动方案，科学合理、切实可行的得</w:t>
            </w:r>
            <w:r>
              <w:rPr>
                <w:rFonts w:hint="eastAsia" w:ascii="宋体" w:hAnsi="宋体" w:cs="宋体"/>
                <w:color w:val="auto"/>
                <w:sz w:val="24"/>
                <w:szCs w:val="20"/>
                <w:highlight w:val="none"/>
                <w:lang w:val="en-US" w:eastAsia="zh-CN"/>
              </w:rPr>
              <w:t>3</w:t>
            </w:r>
            <w:r>
              <w:rPr>
                <w:rFonts w:hint="eastAsia" w:ascii="宋体" w:hAnsi="宋体" w:cs="宋体"/>
                <w:color w:val="auto"/>
                <w:sz w:val="24"/>
                <w:szCs w:val="20"/>
                <w:highlight w:val="none"/>
              </w:rPr>
              <w:t>分；较科学合理、较切实可行的得</w:t>
            </w:r>
            <w:r>
              <w:rPr>
                <w:rFonts w:hint="eastAsia" w:ascii="宋体" w:hAnsi="宋体" w:cs="宋体"/>
                <w:color w:val="auto"/>
                <w:sz w:val="24"/>
                <w:szCs w:val="20"/>
                <w:highlight w:val="none"/>
                <w:lang w:val="en-US" w:eastAsia="zh-CN"/>
              </w:rPr>
              <w:t>2</w:t>
            </w:r>
            <w:r>
              <w:rPr>
                <w:rFonts w:hint="eastAsia" w:ascii="宋体" w:hAnsi="宋体" w:cs="宋体"/>
                <w:color w:val="auto"/>
                <w:sz w:val="24"/>
                <w:szCs w:val="20"/>
                <w:highlight w:val="none"/>
              </w:rPr>
              <w:t>分；不科学合理、不切实可行的得</w:t>
            </w:r>
            <w:r>
              <w:rPr>
                <w:rFonts w:hint="eastAsia" w:ascii="宋体" w:hAnsi="宋体" w:cs="宋体"/>
                <w:color w:val="auto"/>
                <w:sz w:val="24"/>
                <w:szCs w:val="20"/>
                <w:highlight w:val="none"/>
                <w:lang w:val="en-US" w:eastAsia="zh-CN"/>
              </w:rPr>
              <w:t>1</w:t>
            </w:r>
            <w:r>
              <w:rPr>
                <w:rFonts w:hint="eastAsia" w:ascii="宋体" w:hAnsi="宋体" w:cs="宋体"/>
                <w:color w:val="auto"/>
                <w:sz w:val="24"/>
                <w:szCs w:val="20"/>
                <w:highlight w:val="none"/>
              </w:rPr>
              <w:t>分；未提供的不得分；</w:t>
            </w:r>
            <w:r>
              <w:rPr>
                <w:rFonts w:hint="eastAsia" w:ascii="宋体" w:hAnsi="宋体" w:cs="宋体"/>
                <w:color w:val="auto"/>
                <w:sz w:val="24"/>
                <w:szCs w:val="20"/>
                <w:highlight w:val="none"/>
                <w:lang w:val="en-US" w:eastAsia="zh-CN"/>
              </w:rPr>
              <w:t>最高得3分；</w:t>
            </w:r>
          </w:p>
          <w:p>
            <w:pPr>
              <w:snapToGrid w:val="0"/>
              <w:spacing w:before="0" w:beforeAutospacing="0" w:after="0" w:afterAutospacing="0" w:line="360" w:lineRule="auto"/>
              <w:ind w:left="0" w:right="0"/>
              <w:rPr>
                <w:rFonts w:hint="default" w:ascii="宋体" w:hAnsi="宋体" w:eastAsia="宋体" w:cs="Times New Roman"/>
                <w:color w:val="auto"/>
                <w:sz w:val="24"/>
                <w:szCs w:val="20"/>
                <w:highlight w:val="none"/>
                <w:lang w:val="en-US" w:eastAsia="zh-CN"/>
              </w:rPr>
            </w:pPr>
            <w:r>
              <w:rPr>
                <w:rFonts w:hint="eastAsia" w:ascii="宋体" w:hAnsi="宋体" w:cs="宋体"/>
                <w:color w:val="auto"/>
                <w:sz w:val="24"/>
                <w:szCs w:val="20"/>
                <w:lang w:val="en-US" w:eastAsia="zh-CN"/>
              </w:rPr>
              <w:t>②</w:t>
            </w:r>
            <w:r>
              <w:rPr>
                <w:rFonts w:hint="eastAsia" w:ascii="宋体" w:hAnsi="宋体" w:cs="宋体"/>
                <w:color w:val="auto"/>
                <w:sz w:val="24"/>
                <w:szCs w:val="20"/>
                <w:highlight w:val="none"/>
                <w:lang w:val="en-US" w:eastAsia="zh-CN"/>
              </w:rPr>
              <w:t>根据基本要求每增加一次</w:t>
            </w:r>
            <w:r>
              <w:rPr>
                <w:rFonts w:hint="eastAsia" w:ascii="宋体" w:hAnsi="宋体" w:cs="宋体"/>
                <w:color w:val="auto"/>
                <w:sz w:val="24"/>
                <w:szCs w:val="20"/>
                <w:highlight w:val="none"/>
              </w:rPr>
              <w:t>便民</w:t>
            </w:r>
            <w:r>
              <w:rPr>
                <w:rFonts w:hint="eastAsia" w:ascii="宋体" w:hAnsi="宋体" w:cs="宋体"/>
                <w:color w:val="auto"/>
                <w:sz w:val="24"/>
                <w:szCs w:val="20"/>
                <w:highlight w:val="none"/>
                <w:lang w:val="en-US" w:eastAsia="zh-CN"/>
              </w:rPr>
              <w:t>活动得1分，最多得2分；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5</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szCs w:val="20"/>
                <w:highlight w:val="none"/>
                <w:lang w:val="en-US" w:eastAsia="zh-CN"/>
              </w:rPr>
            </w:pPr>
            <w:r>
              <w:rPr>
                <w:rFonts w:hint="eastAsia" w:ascii="宋体" w:hAnsi="宋体" w:cs="宋体"/>
                <w:color w:val="auto"/>
                <w:sz w:val="24"/>
                <w:szCs w:val="20"/>
                <w:highlight w:val="none"/>
                <w:lang w:val="en-US" w:eastAsia="zh-CN"/>
              </w:rPr>
              <w:t>10</w:t>
            </w:r>
          </w:p>
        </w:tc>
        <w:tc>
          <w:tcPr>
            <w:tcW w:w="761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right="0"/>
              <w:rPr>
                <w:rFonts w:hint="default" w:ascii="宋体" w:hAnsi="宋体" w:cs="宋体"/>
                <w:color w:val="auto"/>
                <w:sz w:val="24"/>
                <w:szCs w:val="20"/>
                <w:highlight w:val="none"/>
                <w:lang w:val="en-US"/>
              </w:rPr>
            </w:pPr>
            <w:r>
              <w:rPr>
                <w:rFonts w:hint="eastAsia" w:ascii="宋体" w:hAnsi="宋体" w:cs="宋体"/>
                <w:color w:val="auto"/>
                <w:sz w:val="24"/>
                <w:szCs w:val="20"/>
                <w:highlight w:val="none"/>
                <w:lang w:val="en-US" w:eastAsia="zh-CN"/>
              </w:rPr>
              <w:t>协助发包及督导社会救助项目，监督其实施并成熟运作，不少于10个，每个项目服务周期不少于6个月，满足得2分，少于</w:t>
            </w:r>
            <w:r>
              <w:rPr>
                <w:rFonts w:hint="eastAsia" w:ascii="Times New Roman" w:hAnsi="Times New Roman" w:cs="Times New Roman"/>
                <w:b w:val="0"/>
                <w:bCs w:val="0"/>
                <w:color w:val="auto"/>
                <w:kern w:val="2"/>
                <w:sz w:val="24"/>
                <w:szCs w:val="24"/>
                <w:highlight w:val="none"/>
                <w:lang w:val="en-US" w:eastAsia="zh-CN" w:bidi="ar-SA"/>
              </w:rPr>
              <w:t>基本要求</w:t>
            </w:r>
            <w:r>
              <w:rPr>
                <w:rFonts w:hint="eastAsia" w:ascii="宋体" w:hAnsi="宋体" w:cs="宋体"/>
                <w:color w:val="auto"/>
                <w:sz w:val="24"/>
                <w:szCs w:val="20"/>
                <w:highlight w:val="none"/>
                <w:lang w:val="en-US" w:eastAsia="zh-CN"/>
              </w:rPr>
              <w:t>或不提供不得分；最高得2分；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11</w:t>
            </w:r>
          </w:p>
        </w:tc>
        <w:tc>
          <w:tcPr>
            <w:tcW w:w="761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right="0"/>
              <w:rPr>
                <w:rFonts w:hint="eastAsia" w:cs="Times New Roman"/>
                <w:b w:val="0"/>
                <w:bCs w:val="0"/>
                <w:color w:val="auto"/>
                <w:kern w:val="2"/>
                <w:sz w:val="24"/>
                <w:szCs w:val="24"/>
                <w:highlight w:val="none"/>
                <w:lang w:val="en-US" w:eastAsia="zh-CN" w:bidi="ar-SA"/>
              </w:rPr>
            </w:pPr>
            <w:r>
              <w:rPr>
                <w:rFonts w:hint="eastAsia" w:ascii="Times New Roman" w:hAnsi="Times New Roman" w:cs="Times New Roman"/>
                <w:b w:val="0"/>
                <w:bCs w:val="0"/>
                <w:color w:val="auto"/>
                <w:kern w:val="2"/>
                <w:sz w:val="24"/>
                <w:szCs w:val="24"/>
                <w:highlight w:val="none"/>
                <w:lang w:val="en-US" w:eastAsia="zh-CN" w:bidi="ar-SA"/>
              </w:rPr>
              <w:t>组织、完善并且壮大良渚街道退役军人志愿者服务队，全年开展志愿者活动不少于6场，并且对退役军人志愿者服务队开展专业救援等培训，全年不少于6场</w:t>
            </w:r>
            <w:r>
              <w:rPr>
                <w:rFonts w:hint="eastAsia" w:cs="Times New Roman"/>
                <w:b w:val="0"/>
                <w:bCs w:val="0"/>
                <w:color w:val="auto"/>
                <w:kern w:val="2"/>
                <w:sz w:val="24"/>
                <w:szCs w:val="24"/>
                <w:highlight w:val="none"/>
                <w:lang w:val="en-US" w:eastAsia="zh-CN" w:bidi="ar-SA"/>
              </w:rPr>
              <w:t>，①、提供详细的活动方案，科学合理、切实可行的得5分；较科学合理、较切实可行的得4分；不科学合理、不切实可行的得3</w:t>
            </w:r>
            <w:bookmarkStart w:id="412" w:name="_GoBack"/>
            <w:bookmarkEnd w:id="412"/>
            <w:r>
              <w:rPr>
                <w:rFonts w:hint="eastAsia" w:cs="Times New Roman"/>
                <w:b w:val="0"/>
                <w:bCs w:val="0"/>
                <w:color w:val="auto"/>
                <w:kern w:val="2"/>
                <w:sz w:val="24"/>
                <w:szCs w:val="24"/>
                <w:highlight w:val="none"/>
                <w:lang w:val="en-US" w:eastAsia="zh-CN" w:bidi="ar-SA"/>
              </w:rPr>
              <w:t>分；未提供的不得分；最高得5分；</w:t>
            </w:r>
          </w:p>
          <w:p>
            <w:pPr>
              <w:snapToGrid w:val="0"/>
              <w:spacing w:before="0" w:beforeAutospacing="0" w:after="0" w:afterAutospacing="0" w:line="360" w:lineRule="auto"/>
              <w:ind w:left="0" w:right="0"/>
              <w:rPr>
                <w:rFonts w:hint="default" w:ascii="宋体" w:hAnsi="宋体" w:cs="Times New Roman"/>
                <w:color w:val="auto"/>
                <w:sz w:val="24"/>
                <w:szCs w:val="20"/>
                <w:highlight w:val="none"/>
                <w:lang w:val="en-US"/>
              </w:rPr>
            </w:pPr>
            <w:r>
              <w:rPr>
                <w:rFonts w:hint="eastAsia" w:cs="Times New Roman"/>
                <w:b w:val="0"/>
                <w:bCs w:val="0"/>
                <w:color w:val="auto"/>
                <w:kern w:val="2"/>
                <w:sz w:val="24"/>
                <w:szCs w:val="24"/>
                <w:highlight w:val="none"/>
                <w:lang w:val="en-US" w:eastAsia="zh-CN" w:bidi="ar-SA"/>
              </w:rPr>
              <w:t>②、</w:t>
            </w:r>
            <w:r>
              <w:rPr>
                <w:rFonts w:hint="eastAsia" w:ascii="Times New Roman" w:hAnsi="Times New Roman" w:cs="Times New Roman"/>
                <w:b w:val="0"/>
                <w:bCs w:val="0"/>
                <w:color w:val="auto"/>
                <w:kern w:val="2"/>
                <w:sz w:val="24"/>
                <w:szCs w:val="24"/>
                <w:highlight w:val="none"/>
                <w:lang w:val="en-US" w:eastAsia="zh-CN" w:bidi="ar-SA"/>
              </w:rPr>
              <w:t>开展志愿者活动、专业救援等培训每增加1场的得1分；最多得2分；本项最高得</w:t>
            </w:r>
            <w:r>
              <w:rPr>
                <w:rFonts w:hint="eastAsia" w:cs="Times New Roman"/>
                <w:b w:val="0"/>
                <w:bCs w:val="0"/>
                <w:color w:val="auto"/>
                <w:kern w:val="2"/>
                <w:sz w:val="24"/>
                <w:szCs w:val="24"/>
                <w:highlight w:val="none"/>
                <w:lang w:val="en-US" w:eastAsia="zh-CN" w:bidi="ar-SA"/>
              </w:rPr>
              <w:t>2</w:t>
            </w:r>
            <w:r>
              <w:rPr>
                <w:rFonts w:hint="eastAsia" w:ascii="Times New Roman" w:hAnsi="Times New Roman" w:cs="Times New Roman"/>
                <w:b w:val="0"/>
                <w:bCs w:val="0"/>
                <w:color w:val="auto"/>
                <w:kern w:val="2"/>
                <w:sz w:val="24"/>
                <w:szCs w:val="24"/>
                <w:highlight w:val="none"/>
                <w:lang w:val="en-US" w:eastAsia="zh-CN" w:bidi="ar-SA"/>
              </w:rPr>
              <w:t>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7</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 w:type="dxa"/>
            <w:tcBorders>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12</w:t>
            </w:r>
          </w:p>
        </w:tc>
        <w:tc>
          <w:tcPr>
            <w:tcW w:w="761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right="0"/>
              <w:rPr>
                <w:rFonts w:hint="default" w:ascii="宋体" w:hAnsi="宋体" w:eastAsia="宋体" w:cs="Times New Roman"/>
                <w:color w:val="auto"/>
                <w:sz w:val="24"/>
                <w:szCs w:val="20"/>
                <w:highlight w:val="none"/>
                <w:lang w:val="en-US" w:eastAsia="zh-CN"/>
              </w:rPr>
            </w:pPr>
            <w:r>
              <w:rPr>
                <w:rFonts w:hint="eastAsia" w:ascii="宋体" w:hAnsi="宋体" w:cs="仿宋"/>
                <w:color w:val="auto"/>
                <w:kern w:val="0"/>
                <w:sz w:val="24"/>
                <w:szCs w:val="20"/>
                <w:highlight w:val="none"/>
                <w:lang w:val="en-US" w:eastAsia="zh-CN"/>
              </w:rPr>
              <w:t>针对</w:t>
            </w: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w:t>
            </w:r>
            <w:r>
              <w:rPr>
                <w:rFonts w:hint="eastAsia" w:ascii="宋体" w:hAnsi="宋体" w:cs="宋体"/>
                <w:color w:val="auto"/>
                <w:sz w:val="24"/>
                <w:szCs w:val="20"/>
                <w:highlight w:val="none"/>
                <w:lang w:val="en-US" w:eastAsia="zh-CN"/>
              </w:rPr>
              <w:t>6</w:t>
            </w:r>
            <w:r>
              <w:rPr>
                <w:rFonts w:hint="eastAsia" w:ascii="宋体" w:hAnsi="宋体" w:cs="宋体"/>
                <w:color w:val="auto"/>
                <w:sz w:val="24"/>
                <w:szCs w:val="20"/>
                <w:highlight w:val="none"/>
              </w:rPr>
              <w:t>楼现有设备维护</w:t>
            </w: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rPr>
              <w:t>日常设备维护方案符合实际情况，具有针对性且合理可行得</w:t>
            </w: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分，方案较为具体详实，符合实际情况，针对性、合理性</w:t>
            </w:r>
            <w:r>
              <w:rPr>
                <w:rFonts w:hint="eastAsia" w:ascii="宋体" w:hAnsi="宋体" w:cs="宋体"/>
                <w:color w:val="auto"/>
                <w:sz w:val="24"/>
                <w:szCs w:val="20"/>
                <w:highlight w:val="none"/>
                <w:lang w:val="en-US" w:eastAsia="zh-CN"/>
              </w:rPr>
              <w:t>满足</w:t>
            </w:r>
            <w:r>
              <w:rPr>
                <w:rFonts w:hint="eastAsia" w:ascii="宋体" w:hAnsi="宋体" w:cs="宋体"/>
                <w:color w:val="auto"/>
                <w:sz w:val="24"/>
                <w:szCs w:val="20"/>
                <w:highlight w:val="none"/>
              </w:rPr>
              <w:t>得</w:t>
            </w:r>
            <w:r>
              <w:rPr>
                <w:rFonts w:hint="eastAsia" w:ascii="宋体" w:hAnsi="宋体" w:cs="宋体"/>
                <w:color w:val="auto"/>
                <w:sz w:val="24"/>
                <w:szCs w:val="20"/>
                <w:highlight w:val="none"/>
                <w:lang w:val="en-US" w:eastAsia="zh-CN"/>
              </w:rPr>
              <w:t>3</w:t>
            </w:r>
            <w:r>
              <w:rPr>
                <w:rFonts w:hint="eastAsia" w:ascii="宋体" w:hAnsi="宋体" w:cs="宋体"/>
                <w:color w:val="auto"/>
                <w:sz w:val="24"/>
                <w:szCs w:val="20"/>
                <w:highlight w:val="none"/>
              </w:rPr>
              <w:t>分，方案一般，与实际情况有一定偏离，针对性、合理性一般得</w:t>
            </w:r>
            <w:r>
              <w:rPr>
                <w:rFonts w:hint="eastAsia" w:ascii="宋体" w:hAnsi="宋体" w:cs="宋体"/>
                <w:color w:val="auto"/>
                <w:sz w:val="24"/>
                <w:szCs w:val="20"/>
                <w:highlight w:val="none"/>
                <w:lang w:val="en-US" w:eastAsia="zh-CN"/>
              </w:rPr>
              <w:t>2</w:t>
            </w:r>
            <w:r>
              <w:rPr>
                <w:rFonts w:hint="eastAsia" w:ascii="宋体" w:hAnsi="宋体" w:cs="宋体"/>
                <w:color w:val="auto"/>
                <w:sz w:val="24"/>
                <w:szCs w:val="20"/>
                <w:highlight w:val="none"/>
              </w:rPr>
              <w:t>分，未提供方案或方案不合理不得分</w:t>
            </w: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lang w:val="en-US" w:eastAsia="zh-CN"/>
              </w:rPr>
              <w:t>最高得4分；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13</w:t>
            </w:r>
          </w:p>
        </w:tc>
        <w:tc>
          <w:tcPr>
            <w:tcW w:w="761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rPr>
                <w:rFonts w:hint="default" w:ascii="宋体" w:hAnsi="宋体" w:eastAsia="宋体" w:cs="宋体"/>
                <w:color w:val="auto"/>
                <w:sz w:val="24"/>
                <w:szCs w:val="20"/>
                <w:highlight w:val="none"/>
                <w:lang w:val="en-US" w:eastAsia="zh-CN"/>
              </w:rPr>
            </w:pPr>
            <w:r>
              <w:rPr>
                <w:rFonts w:hint="eastAsia" w:ascii="宋体" w:hAnsi="宋体" w:eastAsia="宋体" w:cs="宋体"/>
                <w:color w:val="auto"/>
                <w:sz w:val="24"/>
                <w:szCs w:val="20"/>
              </w:rPr>
              <w:t>根据投标人针对本项目提出的突发事件发生时的</w:t>
            </w:r>
            <w:r>
              <w:rPr>
                <w:rFonts w:hint="eastAsia" w:ascii="宋体" w:hAnsi="宋体" w:eastAsia="宋体" w:cs="Times New Roman"/>
                <w:color w:val="auto"/>
                <w:sz w:val="24"/>
                <w:szCs w:val="20"/>
              </w:rPr>
              <w:t>①</w:t>
            </w:r>
            <w:r>
              <w:rPr>
                <w:rFonts w:hint="eastAsia" w:ascii="宋体" w:hAnsi="宋体" w:eastAsia="宋体" w:cs="宋体"/>
                <w:color w:val="auto"/>
                <w:sz w:val="24"/>
                <w:szCs w:val="20"/>
              </w:rPr>
              <w:t>应急预案</w:t>
            </w:r>
            <w:r>
              <w:rPr>
                <w:rFonts w:hint="eastAsia" w:ascii="宋体" w:hAnsi="宋体" w:eastAsia="宋体" w:cs="Times New Roman"/>
                <w:color w:val="auto"/>
                <w:sz w:val="24"/>
                <w:szCs w:val="20"/>
              </w:rPr>
              <w:t>②</w:t>
            </w:r>
            <w:r>
              <w:rPr>
                <w:rFonts w:hint="eastAsia" w:ascii="宋体" w:hAnsi="宋体" w:eastAsia="宋体" w:cs="宋体"/>
                <w:color w:val="auto"/>
                <w:sz w:val="24"/>
                <w:szCs w:val="20"/>
              </w:rPr>
              <w:t>应急处理措施（包括应急队伍的组织、安排及实施应急处理的具体措施）</w:t>
            </w:r>
            <w:r>
              <w:rPr>
                <w:rFonts w:hint="eastAsia" w:ascii="宋体" w:hAnsi="宋体" w:eastAsia="宋体" w:cs="宋体"/>
                <w:color w:val="auto"/>
                <w:sz w:val="24"/>
                <w:szCs w:val="20"/>
                <w:lang w:eastAsia="zh-CN"/>
              </w:rPr>
              <w:t>，在服务过程中如发生意外情况，应启动应急预案</w:t>
            </w:r>
            <w:r>
              <w:rPr>
                <w:rFonts w:hint="eastAsia" w:ascii="宋体" w:hAnsi="宋体" w:cs="宋体"/>
                <w:color w:val="auto"/>
                <w:sz w:val="24"/>
                <w:szCs w:val="20"/>
                <w:lang w:eastAsia="zh-CN"/>
              </w:rPr>
              <w:t>；</w:t>
            </w:r>
            <w:r>
              <w:rPr>
                <w:rFonts w:hint="eastAsia" w:ascii="宋体" w:hAnsi="宋体" w:eastAsia="宋体" w:cs="宋体"/>
                <w:color w:val="auto"/>
                <w:sz w:val="24"/>
                <w:szCs w:val="20"/>
                <w:lang w:eastAsia="zh-CN"/>
              </w:rPr>
              <w:t>建立完备的突发事件应急预案得</w:t>
            </w:r>
            <w:r>
              <w:rPr>
                <w:rFonts w:hint="eastAsia" w:ascii="宋体" w:hAnsi="宋体" w:cs="宋体"/>
                <w:color w:val="auto"/>
                <w:sz w:val="24"/>
                <w:szCs w:val="20"/>
                <w:lang w:val="en-US" w:eastAsia="zh-CN"/>
              </w:rPr>
              <w:t>4</w:t>
            </w:r>
            <w:r>
              <w:rPr>
                <w:rFonts w:hint="eastAsia" w:ascii="宋体" w:hAnsi="宋体" w:eastAsia="宋体" w:cs="宋体"/>
                <w:color w:val="auto"/>
                <w:sz w:val="24"/>
                <w:szCs w:val="20"/>
                <w:lang w:eastAsia="zh-CN"/>
              </w:rPr>
              <w:t>分</w:t>
            </w:r>
            <w:r>
              <w:rPr>
                <w:rFonts w:hint="eastAsia" w:ascii="宋体" w:hAnsi="宋体" w:cs="宋体"/>
                <w:color w:val="auto"/>
                <w:sz w:val="24"/>
                <w:szCs w:val="20"/>
                <w:lang w:eastAsia="zh-CN"/>
              </w:rPr>
              <w:t>；</w:t>
            </w:r>
            <w:r>
              <w:rPr>
                <w:rFonts w:hint="eastAsia" w:ascii="宋体" w:hAnsi="宋体" w:eastAsia="宋体" w:cs="宋体"/>
                <w:color w:val="auto"/>
                <w:sz w:val="24"/>
                <w:szCs w:val="20"/>
                <w:lang w:eastAsia="zh-CN"/>
              </w:rPr>
              <w:t>建立突发事件应急预案，有一定不足，需进一步完善得</w:t>
            </w:r>
            <w:r>
              <w:rPr>
                <w:rFonts w:hint="eastAsia" w:ascii="宋体" w:hAnsi="宋体" w:cs="宋体"/>
                <w:color w:val="auto"/>
                <w:sz w:val="24"/>
                <w:szCs w:val="20"/>
                <w:lang w:val="en-US" w:eastAsia="zh-CN"/>
              </w:rPr>
              <w:t>3</w:t>
            </w:r>
            <w:r>
              <w:rPr>
                <w:rFonts w:hint="eastAsia" w:ascii="宋体" w:hAnsi="宋体" w:eastAsia="宋体" w:cs="宋体"/>
                <w:color w:val="auto"/>
                <w:sz w:val="24"/>
                <w:szCs w:val="20"/>
                <w:lang w:eastAsia="zh-CN"/>
              </w:rPr>
              <w:t>分</w:t>
            </w:r>
            <w:r>
              <w:rPr>
                <w:rFonts w:hint="eastAsia" w:ascii="宋体" w:hAnsi="宋体" w:cs="宋体"/>
                <w:color w:val="auto"/>
                <w:sz w:val="24"/>
                <w:szCs w:val="20"/>
                <w:lang w:eastAsia="zh-CN"/>
              </w:rPr>
              <w:t>；</w:t>
            </w:r>
            <w:r>
              <w:rPr>
                <w:rFonts w:hint="eastAsia" w:ascii="宋体" w:hAnsi="宋体" w:eastAsia="宋体" w:cs="宋体"/>
                <w:color w:val="auto"/>
                <w:sz w:val="24"/>
                <w:szCs w:val="20"/>
                <w:lang w:eastAsia="zh-CN"/>
              </w:rPr>
              <w:t>建立突发事件应急预案</w:t>
            </w:r>
            <w:r>
              <w:rPr>
                <w:rFonts w:hint="eastAsia" w:ascii="宋体" w:hAnsi="宋体" w:cs="宋体"/>
                <w:color w:val="auto"/>
                <w:sz w:val="24"/>
                <w:szCs w:val="20"/>
                <w:lang w:eastAsia="zh-CN"/>
              </w:rPr>
              <w:t>，</w:t>
            </w:r>
            <w:r>
              <w:rPr>
                <w:rFonts w:hint="eastAsia" w:ascii="宋体" w:hAnsi="宋体" w:eastAsia="宋体" w:cs="宋体"/>
                <w:color w:val="auto"/>
                <w:sz w:val="24"/>
                <w:szCs w:val="20"/>
                <w:lang w:eastAsia="zh-CN"/>
              </w:rPr>
              <w:t>合理性一般</w:t>
            </w:r>
            <w:r>
              <w:rPr>
                <w:rFonts w:hint="eastAsia" w:ascii="宋体" w:hAnsi="宋体" w:cs="宋体"/>
                <w:color w:val="auto"/>
                <w:sz w:val="24"/>
                <w:szCs w:val="20"/>
                <w:lang w:eastAsia="zh-CN"/>
              </w:rPr>
              <w:t>的</w:t>
            </w:r>
            <w:r>
              <w:rPr>
                <w:rFonts w:hint="eastAsia" w:ascii="宋体" w:hAnsi="宋体" w:eastAsia="宋体" w:cs="宋体"/>
                <w:color w:val="auto"/>
                <w:sz w:val="24"/>
                <w:szCs w:val="20"/>
                <w:lang w:eastAsia="zh-CN"/>
              </w:rPr>
              <w:t>得</w:t>
            </w:r>
            <w:r>
              <w:rPr>
                <w:rFonts w:hint="eastAsia" w:ascii="宋体" w:hAnsi="宋体" w:cs="宋体"/>
                <w:color w:val="auto"/>
                <w:sz w:val="24"/>
                <w:szCs w:val="20"/>
                <w:lang w:val="en-US" w:eastAsia="zh-CN"/>
              </w:rPr>
              <w:t>2分；未提供</w:t>
            </w:r>
            <w:r>
              <w:rPr>
                <w:rFonts w:hint="eastAsia" w:ascii="宋体" w:hAnsi="宋体" w:eastAsia="宋体" w:cs="宋体"/>
                <w:color w:val="auto"/>
                <w:sz w:val="24"/>
                <w:szCs w:val="20"/>
                <w:lang w:eastAsia="zh-CN"/>
              </w:rPr>
              <w:t>不得分</w:t>
            </w:r>
            <w:r>
              <w:rPr>
                <w:rFonts w:hint="eastAsia" w:ascii="宋体" w:hAnsi="宋体" w:cs="宋体"/>
                <w:color w:val="auto"/>
                <w:sz w:val="24"/>
                <w:szCs w:val="20"/>
                <w:lang w:eastAsia="zh-CN"/>
              </w:rPr>
              <w:t>；</w:t>
            </w:r>
            <w:r>
              <w:rPr>
                <w:rFonts w:hint="eastAsia" w:ascii="宋体" w:hAnsi="宋体" w:cs="宋体"/>
                <w:color w:val="auto"/>
                <w:sz w:val="24"/>
                <w:szCs w:val="20"/>
                <w:lang w:val="en-US" w:eastAsia="zh-CN"/>
              </w:rPr>
              <w:t>最高得4分；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14</w:t>
            </w:r>
          </w:p>
        </w:tc>
        <w:tc>
          <w:tcPr>
            <w:tcW w:w="7612" w:type="dxa"/>
            <w:tcBorders>
              <w:top w:val="single" w:color="000000" w:sz="4" w:space="0"/>
              <w:left w:val="single" w:color="000000" w:sz="4" w:space="0"/>
              <w:bottom w:val="single" w:color="000000" w:sz="4" w:space="0"/>
              <w:right w:val="single" w:color="000000" w:sz="4" w:space="0"/>
            </w:tcBorders>
            <w:vAlign w:val="center"/>
          </w:tcPr>
          <w:p>
            <w:pPr>
              <w:tabs>
                <w:tab w:val="left" w:pos="1867"/>
              </w:tabs>
              <w:snapToGrid w:val="0"/>
              <w:spacing w:before="0" w:beforeAutospacing="0" w:after="0" w:afterAutospacing="0" w:line="360" w:lineRule="auto"/>
              <w:ind w:left="0" w:right="0"/>
              <w:rPr>
                <w:rFonts w:hint="default" w:ascii="宋体" w:hAnsi="宋体" w:eastAsia="宋体" w:cs="宋体"/>
                <w:color w:val="auto"/>
                <w:sz w:val="24"/>
                <w:szCs w:val="20"/>
                <w:highlight w:val="none"/>
                <w:lang w:val="en-US" w:eastAsia="zh-CN"/>
              </w:rPr>
            </w:pPr>
            <w:r>
              <w:rPr>
                <w:rFonts w:hint="eastAsia" w:ascii="宋体" w:hAnsi="宋体" w:cs="Times New Roman"/>
                <w:color w:val="auto"/>
                <w:kern w:val="2"/>
                <w:sz w:val="24"/>
                <w:szCs w:val="24"/>
                <w:highlight w:val="none"/>
                <w:lang w:val="en-US" w:eastAsia="zh-CN" w:bidi="ar-SA"/>
              </w:rPr>
              <w:t>针对本项目要求</w:t>
            </w:r>
            <w:r>
              <w:rPr>
                <w:rFonts w:hint="eastAsia" w:ascii="宋体" w:hAnsi="宋体" w:eastAsia="宋体" w:cs="Times New Roman"/>
                <w:color w:val="auto"/>
                <w:kern w:val="2"/>
                <w:sz w:val="24"/>
                <w:szCs w:val="24"/>
                <w:highlight w:val="none"/>
                <w:lang w:val="en-US" w:eastAsia="zh-CN" w:bidi="ar-SA"/>
              </w:rPr>
              <w:t>制定年度、月度工作计划</w:t>
            </w:r>
            <w:r>
              <w:rPr>
                <w:rFonts w:hint="eastAsia" w:ascii="宋体" w:hAnsi="宋体" w:cs="Times New Roman"/>
                <w:color w:val="auto"/>
                <w:kern w:val="2"/>
                <w:sz w:val="24"/>
                <w:szCs w:val="24"/>
                <w:highlight w:val="none"/>
                <w:lang w:val="en-US" w:eastAsia="zh-CN" w:bidi="ar-SA"/>
              </w:rPr>
              <w:t>，计划合理内容完善且满足的得4分；计划合理内容基本满足，需进一步完善的得3分；计划内容</w:t>
            </w:r>
            <w:r>
              <w:rPr>
                <w:rFonts w:hint="eastAsia" w:ascii="宋体" w:hAnsi="宋体" w:eastAsia="宋体" w:cs="宋体"/>
                <w:color w:val="auto"/>
                <w:sz w:val="24"/>
                <w:szCs w:val="20"/>
                <w:lang w:eastAsia="zh-CN"/>
              </w:rPr>
              <w:t>合理性一般</w:t>
            </w:r>
            <w:r>
              <w:rPr>
                <w:rFonts w:hint="eastAsia" w:ascii="宋体" w:hAnsi="宋体" w:cs="宋体"/>
                <w:color w:val="auto"/>
                <w:sz w:val="24"/>
                <w:szCs w:val="20"/>
                <w:lang w:eastAsia="zh-CN"/>
              </w:rPr>
              <w:t>的</w:t>
            </w:r>
            <w:r>
              <w:rPr>
                <w:rFonts w:hint="eastAsia" w:ascii="宋体" w:hAnsi="宋体" w:cs="Times New Roman"/>
                <w:color w:val="auto"/>
                <w:kern w:val="2"/>
                <w:sz w:val="24"/>
                <w:szCs w:val="24"/>
                <w:highlight w:val="none"/>
                <w:lang w:val="en-US" w:eastAsia="zh-CN" w:bidi="ar-SA"/>
              </w:rPr>
              <w:t>得2分；未提供不得分；最高得4分；</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szCs w:val="20"/>
                <w:highlight w:val="none"/>
                <w:lang w:val="en-US" w:eastAsia="zh-CN"/>
              </w:rPr>
            </w:pPr>
            <w:r>
              <w:rPr>
                <w:rFonts w:hint="eastAsia" w:ascii="宋体" w:hAnsi="宋体" w:cs="宋体"/>
                <w:color w:val="auto"/>
                <w:sz w:val="24"/>
                <w:szCs w:val="20"/>
                <w:highlight w:val="none"/>
                <w:lang w:val="en-US" w:eastAsia="zh-CN"/>
              </w:rPr>
              <w:t>4</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2" w:hRule="atLeast"/>
        </w:trPr>
        <w:tc>
          <w:tcPr>
            <w:tcW w:w="522" w:type="dxa"/>
            <w:tcBorders>
              <w:left w:val="single" w:color="000000" w:sz="4" w:space="0"/>
              <w:right w:val="single" w:color="000000" w:sz="4" w:space="0"/>
            </w:tcBorders>
            <w:vAlign w:val="top"/>
          </w:tcPr>
          <w:p>
            <w:pPr>
              <w:snapToGrid w:val="0"/>
              <w:spacing w:before="0" w:beforeAutospacing="0" w:after="0" w:afterAutospacing="0" w:line="360" w:lineRule="auto"/>
              <w:ind w:left="0" w:right="0"/>
              <w:jc w:val="center"/>
              <w:rPr>
                <w:rFonts w:hint="default" w:ascii="宋体" w:hAnsi="宋体" w:eastAsia="宋体" w:cs="宋体"/>
                <w:color w:val="auto"/>
                <w:sz w:val="24"/>
                <w:szCs w:val="20"/>
                <w:highlight w:val="none"/>
                <w:lang w:val="en-US" w:eastAsia="zh-CN"/>
              </w:rPr>
            </w:pPr>
            <w:r>
              <w:rPr>
                <w:rFonts w:hint="eastAsia" w:ascii="宋体" w:hAnsi="宋体" w:cs="宋体"/>
                <w:color w:val="auto"/>
                <w:sz w:val="24"/>
                <w:szCs w:val="20"/>
                <w:highlight w:val="none"/>
                <w:lang w:val="en-US" w:eastAsia="zh-CN"/>
              </w:rPr>
              <w:t>15</w:t>
            </w:r>
          </w:p>
        </w:tc>
        <w:tc>
          <w:tcPr>
            <w:tcW w:w="7612"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rPr>
                <w:rFonts w:hint="eastAsia" w:ascii="宋体" w:hAnsi="宋体" w:cs="Times New Roman"/>
                <w:color w:val="auto"/>
                <w:sz w:val="24"/>
                <w:szCs w:val="20"/>
                <w:highlight w:val="none"/>
              </w:rPr>
            </w:pPr>
            <w:r>
              <w:rPr>
                <w:rFonts w:hint="eastAsia" w:ascii="宋体" w:hAnsi="Times New Roman" w:cs="Times New Roman"/>
                <w:color w:val="auto"/>
                <w:sz w:val="24"/>
                <w:szCs w:val="20"/>
                <w:highlight w:val="none"/>
                <w:lang w:bidi="zh-CN"/>
              </w:rPr>
              <w:t>其他人员配备：包含但不限于</w:t>
            </w:r>
            <w:r>
              <w:rPr>
                <w:rFonts w:hint="eastAsia" w:ascii="宋体" w:cs="Times New Roman"/>
                <w:color w:val="auto"/>
                <w:sz w:val="24"/>
                <w:szCs w:val="20"/>
                <w:highlight w:val="none"/>
                <w:lang w:val="en-US" w:bidi="zh-CN"/>
              </w:rPr>
              <w:t>项目负责人、</w:t>
            </w:r>
            <w:r>
              <w:rPr>
                <w:rFonts w:hint="eastAsia" w:ascii="宋体" w:hAnsi="Times New Roman" w:cs="Times New Roman"/>
                <w:color w:val="auto"/>
                <w:sz w:val="24"/>
                <w:szCs w:val="20"/>
                <w:highlight w:val="none"/>
                <w:lang w:bidi="zh-CN"/>
              </w:rPr>
              <w:t>场地管理人员 、</w:t>
            </w:r>
            <w:r>
              <w:rPr>
                <w:rFonts w:hint="eastAsia" w:ascii="宋体" w:hAnsi="Times New Roman" w:cs="Times New Roman"/>
                <w:color w:val="auto"/>
                <w:sz w:val="24"/>
                <w:szCs w:val="20"/>
                <w:highlight w:val="none"/>
                <w:lang w:val="en-US" w:bidi="zh-CN"/>
              </w:rPr>
              <w:t>讲解员</w:t>
            </w:r>
            <w:r>
              <w:rPr>
                <w:rFonts w:hint="eastAsia" w:ascii="宋体" w:hAnsi="Times New Roman" w:cs="Times New Roman"/>
                <w:color w:val="auto"/>
                <w:sz w:val="24"/>
                <w:szCs w:val="20"/>
                <w:highlight w:val="none"/>
                <w:lang w:bidi="zh-CN"/>
              </w:rPr>
              <w:t xml:space="preserve"> </w:t>
            </w:r>
            <w:r>
              <w:rPr>
                <w:rFonts w:hint="eastAsia" w:ascii="宋体" w:hAnsi="Times New Roman" w:cs="Times New Roman"/>
                <w:color w:val="auto"/>
                <w:sz w:val="24"/>
                <w:szCs w:val="20"/>
                <w:highlight w:val="none"/>
                <w:lang w:val="en-US" w:bidi="zh-CN"/>
              </w:rPr>
              <w:t>、</w:t>
            </w:r>
            <w:r>
              <w:rPr>
                <w:rFonts w:hint="eastAsia" w:ascii="宋体" w:hAnsi="Times New Roman" w:cs="Times New Roman"/>
                <w:color w:val="auto"/>
                <w:sz w:val="24"/>
                <w:szCs w:val="20"/>
                <w:highlight w:val="none"/>
                <w:lang w:bidi="zh-CN"/>
              </w:rPr>
              <w:t>场地清洁人员 、活动策划人员</w:t>
            </w:r>
            <w:r>
              <w:rPr>
                <w:rFonts w:hint="eastAsia" w:ascii="宋体" w:cs="Times New Roman"/>
                <w:color w:val="auto"/>
                <w:sz w:val="24"/>
                <w:szCs w:val="20"/>
                <w:highlight w:val="none"/>
                <w:lang w:val="en-US" w:bidi="zh-CN"/>
              </w:rPr>
              <w:t>一人</w:t>
            </w:r>
            <w:r>
              <w:rPr>
                <w:rFonts w:hint="eastAsia" w:ascii="宋体" w:hAnsi="Times New Roman" w:cs="Times New Roman"/>
                <w:color w:val="auto"/>
                <w:sz w:val="24"/>
                <w:szCs w:val="20"/>
                <w:highlight w:val="none"/>
                <w:lang w:bidi="zh-CN"/>
              </w:rPr>
              <w:t>等 人员数量配备齐全，人员综合素质好，</w:t>
            </w:r>
            <w:r>
              <w:rPr>
                <w:rFonts w:hint="eastAsia" w:ascii="宋体" w:hAnsi="Times New Roman" w:cs="Times New Roman"/>
                <w:color w:val="auto"/>
                <w:sz w:val="24"/>
                <w:szCs w:val="20"/>
                <w:highlight w:val="none"/>
                <w:lang w:val="en-US" w:bidi="zh-CN"/>
              </w:rPr>
              <w:t>满足要求配备合理的得</w:t>
            </w:r>
            <w:r>
              <w:rPr>
                <w:rFonts w:hint="eastAsia" w:ascii="宋体" w:cs="Times New Roman"/>
                <w:color w:val="auto"/>
                <w:sz w:val="24"/>
                <w:szCs w:val="20"/>
                <w:highlight w:val="none"/>
                <w:lang w:val="en-US" w:bidi="zh-CN"/>
              </w:rPr>
              <w:t>3</w:t>
            </w:r>
            <w:r>
              <w:rPr>
                <w:rFonts w:hint="eastAsia" w:ascii="宋体" w:hAnsi="Times New Roman" w:cs="Times New Roman"/>
                <w:color w:val="auto"/>
                <w:sz w:val="24"/>
                <w:szCs w:val="20"/>
                <w:highlight w:val="none"/>
                <w:lang w:val="en-US" w:bidi="zh-CN"/>
              </w:rPr>
              <w:t>分</w:t>
            </w:r>
            <w:r>
              <w:rPr>
                <w:rFonts w:hint="eastAsia" w:ascii="宋体" w:cs="Times New Roman"/>
                <w:color w:val="auto"/>
                <w:sz w:val="24"/>
                <w:szCs w:val="20"/>
                <w:highlight w:val="none"/>
                <w:lang w:val="en-US" w:bidi="zh-CN"/>
              </w:rPr>
              <w:t>；满足基本要求每增加1人得1分最多得2分</w:t>
            </w:r>
            <w:r>
              <w:rPr>
                <w:rFonts w:hint="eastAsia" w:ascii="宋体" w:hAnsi="宋体" w:cs="仿宋"/>
                <w:color w:val="auto"/>
                <w:sz w:val="24"/>
                <w:szCs w:val="20"/>
                <w:highlight w:val="none"/>
                <w:lang w:val="zh-CN"/>
              </w:rPr>
              <w:t>（提供人员名单，岗位配置，简历，并提供投标人</w:t>
            </w:r>
            <w:r>
              <w:rPr>
                <w:rFonts w:hint="eastAsia" w:ascii="宋体" w:hAnsi="宋体" w:cs="宋体"/>
                <w:color w:val="auto"/>
                <w:sz w:val="24"/>
                <w:szCs w:val="20"/>
              </w:rPr>
              <w:t>近三个月社保缴纳证明</w:t>
            </w:r>
            <w:r>
              <w:rPr>
                <w:rFonts w:hint="eastAsia" w:ascii="宋体" w:hAnsi="宋体" w:cs="宋体"/>
                <w:color w:val="auto"/>
                <w:sz w:val="24"/>
                <w:szCs w:val="20"/>
                <w:lang w:eastAsia="zh-CN"/>
              </w:rPr>
              <w:t>（</w:t>
            </w:r>
            <w:r>
              <w:rPr>
                <w:rFonts w:hint="eastAsia" w:ascii="宋体" w:hAnsi="宋体" w:cs="宋体"/>
                <w:color w:val="auto"/>
                <w:sz w:val="24"/>
                <w:szCs w:val="20"/>
                <w:lang w:val="en-US" w:eastAsia="zh-CN"/>
              </w:rPr>
              <w:t>参保状态为参保缴费</w:t>
            </w:r>
            <w:r>
              <w:rPr>
                <w:rFonts w:hint="eastAsia" w:ascii="宋体" w:hAnsi="宋体" w:cs="宋体"/>
                <w:color w:val="auto"/>
                <w:sz w:val="24"/>
                <w:szCs w:val="20"/>
                <w:lang w:eastAsia="zh-CN"/>
              </w:rPr>
              <w:t>）</w:t>
            </w:r>
          </w:p>
        </w:tc>
        <w:tc>
          <w:tcPr>
            <w:tcW w:w="88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lang w:val="en-US" w:eastAsia="zh-CN"/>
              </w:rPr>
              <w:t>5</w:t>
            </w:r>
            <w:r>
              <w:rPr>
                <w:rFonts w:hint="eastAsia" w:ascii="宋体" w:hAnsi="宋体" w:cs="宋体"/>
                <w:color w:val="auto"/>
                <w:sz w:val="24"/>
                <w:szCs w:val="20"/>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3" w:hRule="atLeast"/>
        </w:trPr>
        <w:tc>
          <w:tcPr>
            <w:tcW w:w="522" w:type="dxa"/>
            <w:tcBorders>
              <w:left w:val="single" w:color="000000" w:sz="4" w:space="0"/>
              <w:right w:val="single" w:color="000000" w:sz="4" w:space="0"/>
            </w:tcBorders>
            <w:vAlign w:val="top"/>
          </w:tcPr>
          <w:p>
            <w:pPr>
              <w:snapToGrid w:val="0"/>
              <w:spacing w:before="0" w:beforeAutospacing="0" w:after="0" w:afterAutospacing="0" w:line="360" w:lineRule="auto"/>
              <w:ind w:left="0" w:right="0"/>
              <w:jc w:val="center"/>
              <w:rPr>
                <w:rFonts w:hint="default" w:ascii="宋体" w:hAnsi="宋体" w:cs="宋体"/>
                <w:color w:val="auto"/>
                <w:sz w:val="24"/>
                <w:szCs w:val="20"/>
                <w:highlight w:val="none"/>
                <w:lang w:val="en-US" w:eastAsia="zh-CN"/>
              </w:rPr>
            </w:pPr>
            <w:r>
              <w:rPr>
                <w:rFonts w:hint="eastAsia" w:ascii="宋体" w:hAnsi="宋体" w:cs="宋体"/>
                <w:color w:val="auto"/>
                <w:sz w:val="24"/>
                <w:szCs w:val="20"/>
                <w:highlight w:val="none"/>
                <w:lang w:val="en-US" w:eastAsia="zh-CN"/>
              </w:rPr>
              <w:t>16</w:t>
            </w:r>
          </w:p>
        </w:tc>
        <w:tc>
          <w:tcPr>
            <w:tcW w:w="7612" w:type="dxa"/>
            <w:tcBorders>
              <w:top w:val="single" w:color="000000" w:sz="4" w:space="0"/>
              <w:left w:val="single" w:color="000000" w:sz="4" w:space="0"/>
              <w:right w:val="single" w:color="000000" w:sz="4" w:space="0"/>
            </w:tcBorders>
            <w:vAlign w:val="top"/>
          </w:tcPr>
          <w:p>
            <w:pPr>
              <w:spacing w:before="0" w:beforeAutospacing="0" w:after="0" w:afterAutospacing="0"/>
              <w:ind w:left="0" w:right="0"/>
              <w:rPr>
                <w:rFonts w:hint="eastAsia" w:ascii="宋体" w:hAnsi="Times New Roman" w:cs="Times New Roman"/>
                <w:color w:val="auto"/>
                <w:sz w:val="24"/>
                <w:szCs w:val="20"/>
                <w:highlight w:val="none"/>
                <w:u w:val="none"/>
                <w:lang w:bidi="zh-CN"/>
              </w:rPr>
            </w:pPr>
            <w:r>
              <w:rPr>
                <w:rFonts w:hint="eastAsia" w:ascii="宋体" w:hAnsi="Times New Roman" w:cs="Times New Roman"/>
                <w:color w:val="auto"/>
                <w:sz w:val="24"/>
                <w:szCs w:val="20"/>
                <w:highlight w:val="none"/>
                <w:u w:val="none"/>
                <w:lang w:bidi="zh-CN"/>
              </w:rPr>
              <w:t>投标人具有质量管理体系认证证书的得</w:t>
            </w:r>
            <w:r>
              <w:rPr>
                <w:rFonts w:hint="eastAsia" w:ascii="宋体" w:cs="Times New Roman"/>
                <w:color w:val="auto"/>
                <w:sz w:val="24"/>
                <w:szCs w:val="20"/>
                <w:highlight w:val="none"/>
                <w:u w:val="none"/>
                <w:lang w:val="en-US" w:bidi="zh-CN"/>
              </w:rPr>
              <w:t>1</w:t>
            </w:r>
            <w:r>
              <w:rPr>
                <w:rFonts w:hint="eastAsia" w:ascii="宋体" w:hAnsi="Times New Roman" w:cs="Times New Roman"/>
                <w:color w:val="auto"/>
                <w:sz w:val="24"/>
                <w:szCs w:val="20"/>
                <w:highlight w:val="none"/>
                <w:u w:val="none"/>
                <w:lang w:bidi="zh-CN"/>
              </w:rPr>
              <w:t>分；投标人具有环境体系认证证书的得</w:t>
            </w:r>
            <w:r>
              <w:rPr>
                <w:rFonts w:hint="eastAsia" w:ascii="宋体" w:cs="Times New Roman"/>
                <w:color w:val="auto"/>
                <w:sz w:val="24"/>
                <w:szCs w:val="20"/>
                <w:highlight w:val="none"/>
                <w:u w:val="none"/>
                <w:lang w:val="en-US" w:bidi="zh-CN"/>
              </w:rPr>
              <w:t>1</w:t>
            </w:r>
            <w:r>
              <w:rPr>
                <w:rFonts w:hint="eastAsia" w:ascii="宋体" w:hAnsi="Times New Roman" w:cs="Times New Roman"/>
                <w:color w:val="auto"/>
                <w:sz w:val="24"/>
                <w:szCs w:val="20"/>
                <w:highlight w:val="none"/>
                <w:u w:val="none"/>
                <w:lang w:bidi="zh-CN"/>
              </w:rPr>
              <w:t>分；投标人具有职业健康安全管理体系认证证书的得</w:t>
            </w:r>
            <w:r>
              <w:rPr>
                <w:rFonts w:hint="eastAsia" w:ascii="宋体" w:cs="Times New Roman"/>
                <w:color w:val="auto"/>
                <w:sz w:val="24"/>
                <w:szCs w:val="20"/>
                <w:highlight w:val="none"/>
                <w:u w:val="none"/>
                <w:lang w:val="en-US" w:bidi="zh-CN"/>
              </w:rPr>
              <w:t>1</w:t>
            </w:r>
            <w:r>
              <w:rPr>
                <w:rFonts w:hint="eastAsia" w:ascii="宋体" w:hAnsi="Times New Roman" w:cs="Times New Roman"/>
                <w:color w:val="auto"/>
                <w:sz w:val="24"/>
                <w:szCs w:val="20"/>
                <w:highlight w:val="none"/>
                <w:u w:val="none"/>
                <w:lang w:bidi="zh-CN"/>
              </w:rPr>
              <w:t>分；证书需在有效期内；需提供证书扫描件否则不得分；本项最高</w:t>
            </w:r>
            <w:r>
              <w:rPr>
                <w:rFonts w:hint="eastAsia" w:ascii="宋体" w:cs="Times New Roman"/>
                <w:color w:val="auto"/>
                <w:sz w:val="24"/>
                <w:szCs w:val="20"/>
                <w:highlight w:val="none"/>
                <w:u w:val="none"/>
                <w:lang w:val="en-US" w:bidi="zh-CN"/>
              </w:rPr>
              <w:t>3</w:t>
            </w:r>
            <w:r>
              <w:rPr>
                <w:rFonts w:hint="eastAsia" w:ascii="宋体" w:hAnsi="Times New Roman" w:cs="Times New Roman"/>
                <w:color w:val="auto"/>
                <w:sz w:val="24"/>
                <w:szCs w:val="20"/>
                <w:highlight w:val="none"/>
                <w:u w:val="none"/>
                <w:lang w:bidi="zh-CN"/>
              </w:rPr>
              <w:t>分；</w:t>
            </w:r>
          </w:p>
        </w:tc>
        <w:tc>
          <w:tcPr>
            <w:tcW w:w="889" w:type="dxa"/>
            <w:tcBorders>
              <w:top w:val="single" w:color="000000" w:sz="4" w:space="0"/>
              <w:left w:val="single" w:color="000000" w:sz="4" w:space="0"/>
              <w:right w:val="single" w:color="000000"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szCs w:val="20"/>
                <w:highlight w:val="none"/>
                <w:lang w:val="en-US" w:eastAsia="zh-CN"/>
              </w:rPr>
            </w:pPr>
            <w:r>
              <w:rPr>
                <w:rFonts w:hint="eastAsia" w:ascii="宋体" w:hAnsi="宋体" w:cs="宋体"/>
                <w:color w:val="auto"/>
                <w:sz w:val="24"/>
                <w:szCs w:val="20"/>
                <w:highlight w:val="none"/>
                <w:lang w:val="en-US" w:eastAsia="zh-CN"/>
              </w:rPr>
              <w:t>3分</w:t>
            </w:r>
          </w:p>
        </w:tc>
      </w:tr>
    </w:tbl>
    <w:p>
      <w:pPr>
        <w:snapToGrid w:val="0"/>
        <w:spacing w:line="600" w:lineRule="exact"/>
        <w:rPr>
          <w:rFonts w:hint="eastAsia" w:ascii="宋体" w:hAnsi="宋体" w:eastAsia="宋体" w:cs="宋体"/>
          <w:b w:val="0"/>
          <w:color w:val="000000"/>
          <w:sz w:val="24"/>
          <w:szCs w:val="21"/>
        </w:rPr>
      </w:pPr>
      <w:r>
        <w:rPr>
          <w:rFonts w:hint="eastAsia" w:ascii="宋体" w:hAnsi="宋体" w:eastAsia="宋体" w:cs="宋体"/>
          <w:b w:val="0"/>
          <w:color w:val="000000"/>
          <w:sz w:val="24"/>
          <w:szCs w:val="21"/>
          <w:lang w:val="en-US" w:eastAsia="zh-CN"/>
        </w:rPr>
        <w:t>1</w:t>
      </w:r>
      <w:r>
        <w:rPr>
          <w:rFonts w:hint="eastAsia" w:ascii="宋体" w:hAnsi="宋体" w:eastAsia="宋体" w:cs="宋体"/>
          <w:b w:val="0"/>
          <w:color w:val="000000"/>
          <w:sz w:val="24"/>
          <w:szCs w:val="21"/>
        </w:rPr>
        <w:t>、技术分+商务分=评标委员会所有成员评分合计数/评标委员会组成人员数</w:t>
      </w:r>
    </w:p>
    <w:p>
      <w:pPr>
        <w:snapToGrid w:val="0"/>
        <w:spacing w:line="600" w:lineRule="exact"/>
        <w:rPr>
          <w:rFonts w:hint="eastAsia" w:ascii="宋体" w:hAnsi="宋体" w:eastAsia="宋体" w:cs="宋体"/>
          <w:b w:val="0"/>
          <w:color w:val="000000"/>
          <w:sz w:val="24"/>
          <w:szCs w:val="21"/>
        </w:rPr>
      </w:pPr>
      <w:r>
        <w:rPr>
          <w:rFonts w:hint="eastAsia" w:ascii="宋体" w:hAnsi="宋体" w:eastAsia="宋体" w:cs="宋体"/>
          <w:b w:val="0"/>
          <w:color w:val="000000"/>
          <w:sz w:val="24"/>
          <w:szCs w:val="21"/>
          <w:lang w:val="en-US" w:eastAsia="zh-CN"/>
        </w:rPr>
        <w:t>2</w:t>
      </w:r>
      <w:r>
        <w:rPr>
          <w:rFonts w:hint="eastAsia" w:ascii="宋体" w:hAnsi="宋体" w:eastAsia="宋体" w:cs="宋体"/>
          <w:b w:val="0"/>
          <w:color w:val="000000"/>
          <w:sz w:val="24"/>
          <w:szCs w:val="21"/>
        </w:rPr>
        <w:t>、价格分（</w:t>
      </w:r>
      <w:r>
        <w:rPr>
          <w:rFonts w:hint="eastAsia" w:ascii="宋体" w:hAnsi="宋体" w:eastAsia="宋体" w:cs="宋体"/>
          <w:b w:val="0"/>
          <w:color w:val="000000"/>
          <w:sz w:val="24"/>
          <w:szCs w:val="21"/>
          <w:lang w:val="en-US" w:eastAsia="zh-CN"/>
        </w:rPr>
        <w:t>3</w:t>
      </w:r>
      <w:r>
        <w:rPr>
          <w:rFonts w:hint="eastAsia" w:ascii="宋体" w:hAnsi="宋体" w:eastAsia="宋体" w:cs="宋体"/>
          <w:b w:val="0"/>
          <w:color w:val="000000"/>
          <w:sz w:val="24"/>
          <w:szCs w:val="21"/>
        </w:rPr>
        <w:t>0分）采用低价优先法计算，即满足招标文件要求且投标价格最低的投标报价为评标基准价，其他投标人的价格分按照下列公式计算：</w:t>
      </w:r>
    </w:p>
    <w:p>
      <w:pPr>
        <w:snapToGrid w:val="0"/>
        <w:spacing w:line="600" w:lineRule="exact"/>
        <w:rPr>
          <w:rFonts w:hint="eastAsia" w:ascii="宋体" w:hAnsi="宋体" w:eastAsia="宋体" w:cs="宋体"/>
          <w:b w:val="0"/>
          <w:color w:val="000000"/>
          <w:sz w:val="24"/>
          <w:szCs w:val="21"/>
        </w:rPr>
      </w:pPr>
      <w:r>
        <w:rPr>
          <w:rFonts w:hint="eastAsia" w:ascii="宋体" w:hAnsi="宋体" w:eastAsia="宋体" w:cs="宋体"/>
          <w:b w:val="0"/>
          <w:color w:val="000000"/>
          <w:sz w:val="24"/>
          <w:szCs w:val="21"/>
        </w:rPr>
        <w:t>投标报价得分=(评标基准价／投标报价)×价格权值×100（精确到小数点后二位）因落实政府采购政策进行价格调整的，以调整后的价格计算评标基准价和投标报价。</w:t>
      </w:r>
    </w:p>
    <w:p>
      <w:pPr>
        <w:snapToGrid w:val="0"/>
        <w:spacing w:line="600" w:lineRule="exact"/>
        <w:rPr>
          <w:rFonts w:hint="eastAsia" w:ascii="宋体" w:hAnsi="宋体" w:eastAsia="宋体" w:cs="宋体"/>
          <w:b w:val="0"/>
          <w:color w:val="000000"/>
          <w:sz w:val="24"/>
          <w:szCs w:val="21"/>
        </w:rPr>
      </w:pPr>
      <w:r>
        <w:rPr>
          <w:rFonts w:hint="eastAsia" w:ascii="宋体" w:hAnsi="宋体" w:eastAsia="宋体" w:cs="宋体"/>
          <w:b w:val="0"/>
          <w:color w:val="000000"/>
          <w:sz w:val="24"/>
          <w:szCs w:val="21"/>
          <w:lang w:val="en-US" w:eastAsia="zh-CN"/>
        </w:rPr>
        <w:t>3</w:t>
      </w:r>
      <w:r>
        <w:rPr>
          <w:rFonts w:hint="eastAsia" w:ascii="宋体" w:hAnsi="宋体" w:eastAsia="宋体" w:cs="宋体"/>
          <w:b w:val="0"/>
          <w:color w:val="000000"/>
          <w:sz w:val="24"/>
          <w:szCs w:val="21"/>
        </w:rPr>
        <w:t>、投标人评标综合得分=价格分+技术分+商务分</w:t>
      </w:r>
    </w:p>
    <w:p>
      <w:pPr>
        <w:snapToGrid w:val="0"/>
        <w:spacing w:line="600" w:lineRule="exact"/>
        <w:rPr>
          <w:rFonts w:hint="eastAsia" w:ascii="宋体" w:hAnsi="宋体" w:eastAsia="宋体" w:cs="宋体"/>
          <w:b w:val="0"/>
          <w:color w:val="000000"/>
          <w:sz w:val="24"/>
          <w:szCs w:val="21"/>
        </w:rPr>
      </w:pPr>
      <w:r>
        <w:rPr>
          <w:rFonts w:hint="eastAsia" w:ascii="宋体" w:hAnsi="宋体" w:eastAsia="宋体" w:cs="宋体"/>
          <w:b w:val="0"/>
          <w:color w:val="000000"/>
          <w:sz w:val="24"/>
          <w:szCs w:val="21"/>
        </w:rPr>
        <w:t>报价是中标的一个重要因素，但最低报价不是中标的唯一依据。</w:t>
      </w:r>
    </w:p>
    <w:p>
      <w:pPr>
        <w:snapToGrid w:val="0"/>
        <w:spacing w:line="600" w:lineRule="exact"/>
        <w:rPr>
          <w:rFonts w:hint="eastAsia" w:ascii="宋体" w:hAnsi="宋体" w:eastAsia="宋体" w:cs="宋体"/>
          <w:b/>
          <w:bCs/>
          <w:color w:val="000000"/>
          <w:sz w:val="24"/>
          <w:szCs w:val="21"/>
        </w:rPr>
      </w:pPr>
      <w:r>
        <w:rPr>
          <w:rFonts w:hint="eastAsia" w:ascii="宋体" w:hAnsi="宋体" w:eastAsia="宋体" w:cs="宋体"/>
          <w:b/>
          <w:bCs/>
          <w:color w:val="000000"/>
          <w:sz w:val="24"/>
          <w:szCs w:val="21"/>
          <w:lang w:val="en-US" w:eastAsia="zh-CN"/>
        </w:rPr>
        <w:t>4、报价特别说明：中标人报价统一按100万元，如投标人报价文件报价未</w:t>
      </w:r>
      <w:r>
        <w:rPr>
          <w:rFonts w:hint="eastAsia" w:ascii="宋体" w:hAnsi="宋体" w:cs="宋体"/>
          <w:b/>
          <w:bCs/>
          <w:color w:val="000000"/>
          <w:sz w:val="24"/>
          <w:szCs w:val="21"/>
          <w:lang w:val="en-US" w:eastAsia="zh-CN"/>
        </w:rPr>
        <w:t>按</w:t>
      </w:r>
      <w:r>
        <w:rPr>
          <w:rFonts w:hint="eastAsia" w:ascii="宋体" w:hAnsi="宋体" w:eastAsia="宋体" w:cs="宋体"/>
          <w:b/>
          <w:bCs/>
          <w:color w:val="000000"/>
          <w:sz w:val="24"/>
          <w:szCs w:val="21"/>
          <w:lang w:val="en-US" w:eastAsia="zh-CN"/>
        </w:rPr>
        <w:t>100万元执行的作无效标处理。</w:t>
      </w:r>
    </w:p>
    <w:p>
      <w:pPr>
        <w:snapToGrid w:val="0"/>
        <w:spacing w:line="600" w:lineRule="exact"/>
        <w:rPr>
          <w:rFonts w:hint="eastAsia" w:ascii="宋体" w:hAnsi="宋体" w:eastAsia="宋体" w:cs="宋体"/>
          <w:b w:val="0"/>
          <w:color w:val="000000"/>
          <w:sz w:val="24"/>
          <w:szCs w:val="21"/>
        </w:rPr>
      </w:pPr>
      <w:r>
        <w:rPr>
          <w:rFonts w:hint="eastAsia" w:ascii="宋体" w:hAnsi="宋体" w:eastAsia="宋体" w:cs="宋体"/>
          <w:b w:val="0"/>
          <w:color w:val="000000"/>
          <w:sz w:val="24"/>
          <w:szCs w:val="21"/>
        </w:rPr>
        <w:t> *备注：投标人编制投标文件（商务技术文件部分）时，建议按此目录（序号和内容）提供评标标准相应的商务技术资料。所需提供的复印件必须加盖公章，否则不得分。 </w:t>
      </w:r>
    </w:p>
    <w:p>
      <w:pPr>
        <w:snapToGrid w:val="0"/>
        <w:spacing w:line="600" w:lineRule="exact"/>
        <w:rPr>
          <w:rFonts w:hint="eastAsia" w:ascii="宋体" w:hAnsi="宋体" w:eastAsia="宋体" w:cs="宋体"/>
          <w:b w:val="0"/>
          <w:color w:val="000000"/>
          <w:sz w:val="24"/>
          <w:szCs w:val="21"/>
        </w:rPr>
      </w:pP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综合评分法，是指投标文件满足招标文件全部实质性要求，且按照评审因素的量化指标评审得分最高的投标人为中标候选人的评标方法。本次评标采用最低评标价法</w:t>
      </w:r>
      <w:r>
        <w:rPr>
          <w:rFonts w:hint="eastAsia" w:ascii="仿宋_GB2312" w:hAnsi="仿宋" w:eastAsia="仿宋_GB2312" w:cs="Arial"/>
          <w:color w:val="auto"/>
          <w:kern w:val="0"/>
          <w:sz w:val="24"/>
          <w:highlight w:val="none"/>
          <w:lang w:eastAsia="zh-CN"/>
        </w:rPr>
        <w:t>。</w:t>
      </w:r>
      <w:r>
        <w:rPr>
          <w:rFonts w:hint="eastAsia" w:ascii="仿宋_GB2312" w:hAnsi="仿宋" w:eastAsia="仿宋_GB2312" w:cs="Arial"/>
          <w:color w:val="auto"/>
          <w:kern w:val="0"/>
          <w:sz w:val="24"/>
          <w:highlight w:val="none"/>
          <w:lang w:val="en-US" w:eastAsia="zh-CN"/>
        </w:rPr>
        <w:t>最低评标价法，</w:t>
      </w:r>
      <w:r>
        <w:rPr>
          <w:rFonts w:hint="eastAsia" w:ascii="仿宋_GB2312" w:hAnsi="仿宋" w:eastAsia="仿宋_GB2312" w:cs="Arial"/>
          <w:color w:val="auto"/>
          <w:kern w:val="0"/>
          <w:sz w:val="24"/>
          <w:highlight w:val="none"/>
        </w:rPr>
        <w:t>是指投标文件满足招标文件全部实质性要求，且投标报价最低的投标人为中标候选人的评标方法。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88"/>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8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8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8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8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8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8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88"/>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w:t>
      </w:r>
      <w:r>
        <w:rPr>
          <w:rFonts w:hint="eastAsia" w:ascii="仿宋" w:hAnsi="仿宋" w:eastAsia="仿宋" w:cs="仿宋"/>
          <w:color w:val="auto"/>
          <w:kern w:val="0"/>
          <w:szCs w:val="24"/>
          <w:highlight w:val="none"/>
          <w:lang w:val="en-US" w:eastAsia="zh-CN"/>
        </w:rPr>
        <w:t>6</w:t>
      </w:r>
      <w:r>
        <w:rPr>
          <w:rFonts w:ascii="仿宋" w:hAnsi="仿宋" w:eastAsia="仿宋" w:cs="仿宋"/>
          <w:color w:val="auto"/>
          <w:kern w:val="0"/>
          <w:szCs w:val="24"/>
          <w:highlight w:val="none"/>
        </w:rPr>
        <w:t>%的扣除，用扣除后的价格参加评审。组成联合体或者接受分包的小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88"/>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w:t>
      </w:r>
      <w:r>
        <w:rPr>
          <w:rFonts w:hint="eastAsia" w:ascii="仿宋_GB2312" w:hAnsi="仿宋" w:eastAsia="仿宋_GB2312" w:cs="Arial"/>
          <w:color w:val="auto"/>
          <w:kern w:val="0"/>
          <w:sz w:val="24"/>
          <w:highlight w:val="none"/>
          <w:lang w:val="en-US" w:eastAsia="zh-CN"/>
        </w:rPr>
        <w:t>未</w:t>
      </w:r>
      <w:r>
        <w:rPr>
          <w:rFonts w:ascii="仿宋_GB2312" w:hAnsi="仿宋" w:eastAsia="仿宋_GB2312" w:cs="Arial"/>
          <w:color w:val="auto"/>
          <w:kern w:val="0"/>
          <w:sz w:val="24"/>
          <w:highlight w:val="none"/>
        </w:rPr>
        <w:t>在电子交易平台传输递交投标文件的，投标无效；</w:t>
      </w:r>
    </w:p>
    <w:p>
      <w:pPr>
        <w:pStyle w:val="3"/>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6"/>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6"/>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6"/>
        <w:snapToGrid w:val="0"/>
        <w:spacing w:line="360" w:lineRule="auto"/>
        <w:ind w:firstLine="0" w:firstLineChars="0"/>
        <w:rPr>
          <w:rFonts w:ascii="仿宋_GB2312" w:hAnsi="仿宋" w:eastAsia="仿宋_GB2312" w:cs="仿宋_GB2312"/>
          <w:color w:val="auto"/>
          <w:highlight w:val="none"/>
        </w:rPr>
      </w:pPr>
    </w:p>
    <w:bookmarkEnd w:id="26"/>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396" w:name="第五部分"/>
      <w:bookmarkStart w:id="397" w:name="_Toc86217003"/>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t xml:space="preserve">    </w:t>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spacing w:line="360" w:lineRule="auto"/>
        <w:ind w:left="720" w:leftChars="343" w:firstLine="1084" w:firstLineChars="300"/>
        <w:outlineLvl w:val="0"/>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br w:type="page"/>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pacing w:line="480" w:lineRule="auto"/>
        <w:jc w:val="center"/>
        <w:rPr>
          <w:rFonts w:ascii="仿宋_GB2312" w:hAnsi="仿宋" w:eastAsia="仿宋_GB2312" w:cs="仿宋_GB2312"/>
          <w:b/>
          <w:color w:val="auto"/>
          <w:sz w:val="36"/>
          <w:szCs w:val="36"/>
          <w:highlight w:val="none"/>
        </w:rPr>
      </w:pPr>
    </w:p>
    <w:p>
      <w:pPr>
        <w:pStyle w:val="388"/>
        <w:rPr>
          <w:rFonts w:ascii="仿宋" w:hAnsi="仿宋" w:eastAsia="仿宋"/>
          <w:color w:val="auto"/>
          <w:szCs w:val="24"/>
          <w:highlight w:val="none"/>
        </w:rPr>
      </w:pPr>
    </w:p>
    <w:p>
      <w:pPr>
        <w:pStyle w:val="388"/>
        <w:jc w:val="center"/>
        <w:rPr>
          <w:rFonts w:ascii="仿宋" w:hAnsi="仿宋" w:eastAsia="仿宋"/>
          <w:color w:val="auto"/>
          <w:szCs w:val="24"/>
          <w:highlight w:val="none"/>
        </w:rPr>
      </w:pPr>
    </w:p>
    <w:p>
      <w:pPr>
        <w:pStyle w:val="388"/>
        <w:rPr>
          <w:rFonts w:ascii="仿宋" w:hAnsi="仿宋" w:eastAsia="仿宋"/>
          <w:color w:val="auto"/>
          <w:szCs w:val="24"/>
          <w:highlight w:val="none"/>
        </w:rPr>
      </w:pPr>
    </w:p>
    <w:p>
      <w:pPr>
        <w:pStyle w:val="388"/>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pStyle w:val="285"/>
        <w:spacing w:before="120" w:line="22" w:lineRule="atLeast"/>
        <w:jc w:val="center"/>
        <w:rPr>
          <w:rFonts w:ascii="仿宋" w:hAnsi="仿宋" w:eastAsia="仿宋"/>
          <w:color w:val="auto"/>
          <w:szCs w:val="24"/>
          <w:highlight w:val="none"/>
        </w:rPr>
      </w:pPr>
      <w:r>
        <w:rPr>
          <w:rFonts w:hint="eastAsia" w:ascii="仿宋" w:hAnsi="仿宋" w:eastAsia="仿宋"/>
          <w:color w:val="auto"/>
          <w:sz w:val="24"/>
          <w:highlight w:val="none"/>
          <w:lang w:eastAsia="zh-CN"/>
        </w:rPr>
        <w:t>良渚街道市民客厅四至六楼运营服务项目</w:t>
      </w: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headerReference r:id="rId3" w:type="default"/>
          <w:footerReference r:id="rId4" w:type="default"/>
          <w:pgSz w:w="11907" w:h="16840"/>
          <w:pgMar w:top="1474" w:right="1814" w:bottom="1474" w:left="1814" w:header="851" w:footer="851" w:gutter="0"/>
          <w:cols w:space="720" w:num="1"/>
        </w:sectPr>
      </w:pPr>
    </w:p>
    <w:p>
      <w:pPr>
        <w:pStyle w:val="35"/>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甲方：（买方）</w:t>
      </w:r>
    </w:p>
    <w:p>
      <w:pPr>
        <w:pStyle w:val="35"/>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乙方：（卖方）</w:t>
      </w:r>
    </w:p>
    <w:p>
      <w:pPr>
        <w:pStyle w:val="35"/>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甲、乙双方根据                  项目（项目编号：</w:t>
      </w:r>
      <w:r>
        <w:rPr>
          <w:rFonts w:hint="eastAsia"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）公开招标的结果，签署本合同。</w:t>
      </w:r>
    </w:p>
    <w:p>
      <w:pPr>
        <w:spacing w:line="560" w:lineRule="exact"/>
        <w:ind w:firstLine="482" w:firstLineChars="200"/>
        <w:rPr>
          <w:rFonts w:hint="eastAsia" w:ascii="仿宋" w:hAnsi="仿宋" w:eastAsia="仿宋" w:cs="Arial"/>
          <w:b/>
          <w:snapToGrid w:val="0"/>
          <w:color w:val="auto"/>
          <w:kern w:val="2"/>
          <w:sz w:val="24"/>
          <w:szCs w:val="21"/>
          <w:highlight w:val="none"/>
          <w:lang w:val="en-US" w:eastAsia="zh-CN" w:bidi="ar-SA"/>
        </w:rPr>
      </w:pPr>
      <w:r>
        <w:rPr>
          <w:rFonts w:hint="eastAsia" w:ascii="仿宋" w:hAnsi="仿宋" w:eastAsia="仿宋" w:cs="Arial"/>
          <w:b/>
          <w:snapToGrid w:val="0"/>
          <w:color w:val="auto"/>
          <w:kern w:val="2"/>
          <w:sz w:val="24"/>
          <w:szCs w:val="21"/>
          <w:highlight w:val="none"/>
          <w:lang w:val="en-US" w:eastAsia="zh-CN" w:bidi="ar-SA"/>
        </w:rPr>
        <w:t>1、服务内容</w:t>
      </w:r>
    </w:p>
    <w:p>
      <w:pPr>
        <w:pStyle w:val="35"/>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仿宋" w:hAnsi="仿宋" w:eastAsia="仿宋"/>
          <w:b/>
          <w:color w:val="auto"/>
          <w:sz w:val="24"/>
          <w:highlight w:val="none"/>
          <w:lang w:val="en-US" w:eastAsia="zh-CN"/>
        </w:rPr>
        <w:t>2、</w:t>
      </w:r>
      <w:r>
        <w:rPr>
          <w:rFonts w:hint="eastAsia" w:ascii="仿宋" w:hAnsi="仿宋" w:eastAsia="仿宋"/>
          <w:b/>
          <w:color w:val="auto"/>
          <w:sz w:val="24"/>
          <w:highlight w:val="none"/>
        </w:rPr>
        <w:t>价款</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pStyle w:val="35"/>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5"/>
        <w:adjustRightInd w:val="0"/>
        <w:snapToGrid w:val="0"/>
        <w:spacing w:line="360" w:lineRule="auto"/>
        <w:ind w:left="0" w:leftChars="0" w:right="0"/>
        <w:outlineLvl w:val="9"/>
        <w:rPr>
          <w:rFonts w:hint="eastAsia" w:ascii="仿宋" w:hAnsi="仿宋" w:eastAsia="仿宋" w:cs="Times New Roman"/>
          <w:bCs w:val="0"/>
          <w:color w:val="auto"/>
          <w:kern w:val="0"/>
          <w:sz w:val="24"/>
          <w:szCs w:val="20"/>
          <w:highlight w:val="none"/>
          <w:lang w:val="en-US" w:eastAsia="zh-CN" w:bidi="ar-SA"/>
        </w:rPr>
      </w:pPr>
      <w:r>
        <w:rPr>
          <w:rFonts w:hint="eastAsia" w:ascii="宋体" w:hAnsi="宋体" w:eastAsia="宋体" w:cs="宋体"/>
          <w:bCs/>
          <w:color w:val="auto"/>
          <w:sz w:val="24"/>
          <w:szCs w:val="24"/>
          <w:highlight w:val="none"/>
        </w:rPr>
        <w:t xml:space="preserve">  </w:t>
      </w:r>
      <w:r>
        <w:rPr>
          <w:rFonts w:hint="eastAsia" w:ascii="仿宋" w:hAnsi="仿宋" w:eastAsia="仿宋" w:cs="Times New Roman"/>
          <w:bCs w:val="0"/>
          <w:color w:val="auto"/>
          <w:kern w:val="0"/>
          <w:sz w:val="24"/>
          <w:szCs w:val="20"/>
          <w:highlight w:val="none"/>
          <w:lang w:val="en-US" w:eastAsia="zh-CN" w:bidi="ar-SA"/>
        </w:rPr>
        <w:t xml:space="preserve">  3.1乙方应按招标文件规定的时间向甲方提供实施方案。</w:t>
      </w:r>
    </w:p>
    <w:p>
      <w:pPr>
        <w:adjustRightInd w:val="0"/>
        <w:snapToGrid/>
        <w:spacing w:line="360" w:lineRule="auto"/>
        <w:ind w:left="0" w:leftChars="0" w:right="0" w:firstLine="480" w:firstLineChars="200"/>
        <w:outlineLvl w:val="9"/>
        <w:rPr>
          <w:rFonts w:hint="eastAsia" w:ascii="仿宋" w:hAnsi="仿宋" w:eastAsia="仿宋" w:cs="Times New Roman"/>
          <w:b w:val="0"/>
          <w:color w:val="auto"/>
          <w:sz w:val="24"/>
          <w:szCs w:val="20"/>
          <w:highlight w:val="none"/>
        </w:rPr>
      </w:pPr>
      <w:r>
        <w:rPr>
          <w:rFonts w:hint="eastAsia" w:ascii="仿宋" w:hAnsi="仿宋" w:eastAsia="仿宋" w:cs="Times New Roman"/>
          <w:bCs w:val="0"/>
          <w:color w:val="auto"/>
          <w:kern w:val="0"/>
          <w:sz w:val="24"/>
          <w:szCs w:val="20"/>
          <w:highlight w:val="none"/>
          <w:lang w:val="en-US" w:eastAsia="zh-CN"/>
        </w:rPr>
        <w:t>3.2</w:t>
      </w:r>
      <w:r>
        <w:rPr>
          <w:rFonts w:hint="eastAsia" w:ascii="仿宋" w:hAnsi="仿宋" w:eastAsia="仿宋" w:cs="Times New Roman"/>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宋体" w:hAnsi="宋体" w:eastAsia="宋体" w:cs="宋体"/>
          <w:b/>
          <w:bCs w:val="0"/>
          <w:color w:val="auto"/>
          <w:sz w:val="24"/>
          <w:szCs w:val="24"/>
          <w:highlight w:val="none"/>
        </w:rPr>
      </w:pPr>
      <w:r>
        <w:rPr>
          <w:rFonts w:hint="eastAsia" w:ascii="宋体" w:hAnsi="宋体" w:cs="宋体"/>
          <w:b/>
          <w:color w:val="auto"/>
          <w:sz w:val="24"/>
          <w:szCs w:val="24"/>
          <w:highlight w:val="none"/>
          <w:lang w:val="en-US" w:eastAsia="zh-CN"/>
        </w:rPr>
        <w:t xml:space="preserve"> 4</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4.1</w:t>
      </w:r>
      <w:r>
        <w:rPr>
          <w:rFonts w:hint="eastAsia" w:ascii="仿宋" w:hAnsi="仿宋" w:eastAsia="仿宋" w:cs="Times New Roman"/>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4.2</w:t>
      </w:r>
      <w:r>
        <w:rPr>
          <w:rFonts w:hint="eastAsia" w:ascii="仿宋" w:hAnsi="仿宋" w:eastAsia="仿宋" w:cs="Times New Roman"/>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 5</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履约保证金</w:t>
      </w:r>
      <w:r>
        <w:rPr>
          <w:rFonts w:hint="eastAsia" w:ascii="宋体" w:hAnsi="宋体" w:cs="宋体"/>
          <w:b/>
          <w:color w:val="auto"/>
          <w:sz w:val="24"/>
          <w:szCs w:val="24"/>
          <w:highlight w:val="none"/>
          <w:lang w:eastAsia="zh-CN"/>
        </w:rPr>
        <w:t>：无</w:t>
      </w:r>
    </w:p>
    <w:p>
      <w:pPr>
        <w:adjustRightInd w:val="0"/>
        <w:snapToGrid w:val="0"/>
        <w:spacing w:line="360" w:lineRule="auto"/>
        <w:ind w:left="0" w:leftChars="0" w:right="0" w:firstLine="352" w:firstLineChars="147"/>
        <w:outlineLvl w:val="9"/>
        <w:rPr>
          <w:rFonts w:hint="eastAsia" w:ascii="宋体" w:hAnsi="宋体" w:eastAsia="宋体" w:cs="宋体"/>
          <w:b/>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转包</w:t>
      </w:r>
      <w:r>
        <w:rPr>
          <w:rFonts w:hint="eastAsia" w:ascii="宋体" w:hAnsi="宋体" w:eastAsia="宋体" w:cs="宋体"/>
          <w:b/>
          <w:color w:val="auto"/>
          <w:sz w:val="24"/>
          <w:szCs w:val="24"/>
          <w:highlight w:val="none"/>
        </w:rPr>
        <w:t>或分包</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ascii="仿宋" w:hAnsi="仿宋" w:eastAsia="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ascii="仿宋" w:hAnsi="仿宋" w:eastAsia="仿宋"/>
          <w:color w:val="auto"/>
          <w:sz w:val="24"/>
          <w:highlight w:val="none"/>
        </w:rPr>
        <w:t>.2乙方采取分包方式履行合同的，甲方可直接向分包供应商支付款项。</w:t>
      </w:r>
    </w:p>
    <w:p>
      <w:pPr>
        <w:spacing w:line="360" w:lineRule="auto"/>
        <w:outlineLvl w:val="0"/>
        <w:rPr>
          <w:rFonts w:ascii="仿宋" w:hAnsi="仿宋" w:eastAsia="仿宋"/>
          <w:b/>
          <w:color w:val="auto"/>
          <w:sz w:val="24"/>
          <w:highlight w:val="none"/>
        </w:rPr>
      </w:pPr>
      <w:r>
        <w:rPr>
          <w:rFonts w:hint="eastAsia" w:ascii="宋体" w:hAnsi="宋体" w:cs="宋体"/>
          <w:b/>
          <w:bCs w:val="0"/>
          <w:color w:val="auto"/>
          <w:sz w:val="24"/>
          <w:szCs w:val="24"/>
          <w:highlight w:val="none"/>
          <w:lang w:val="en-US" w:eastAsia="zh-CN"/>
        </w:rPr>
        <w:t xml:space="preserve">  7.</w:t>
      </w:r>
      <w:r>
        <w:rPr>
          <w:rFonts w:hint="eastAsia" w:ascii="宋体" w:hAnsi="宋体" w:eastAsia="宋体" w:cs="宋体"/>
          <w:b/>
          <w:color w:val="auto"/>
          <w:sz w:val="24"/>
          <w:highlight w:val="none"/>
        </w:rPr>
        <w:t>付款方式、时间和条件</w:t>
      </w:r>
    </w:p>
    <w:p>
      <w:pPr>
        <w:pStyle w:val="620"/>
        <w:spacing w:before="0" w:beforeAutospacing="0" w:after="0" w:afterAutospacing="0" w:line="360" w:lineRule="auto"/>
        <w:ind w:firstLine="48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7.</w:t>
      </w:r>
      <w:r>
        <w:rPr>
          <w:rFonts w:ascii="仿宋" w:hAnsi="仿宋" w:eastAsia="仿宋" w:cs="Times New Roman"/>
          <w:color w:val="auto"/>
          <w:highlight w:val="none"/>
        </w:rPr>
        <w:t>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hint="eastAsia" w:ascii="仿宋" w:hAnsi="仿宋" w:eastAsia="仿宋" w:cs="Times New Roman"/>
          <w:color w:val="auto"/>
          <w:highlight w:val="none"/>
          <w:lang w:val="en-US" w:eastAsia="zh-CN"/>
        </w:rPr>
        <w:t>7</w:t>
      </w:r>
      <w:r>
        <w:rPr>
          <w:rFonts w:ascii="仿宋" w:hAnsi="仿宋" w:eastAsia="仿宋" w:cs="Times New Roman"/>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7</w:t>
      </w:r>
      <w:r>
        <w:rPr>
          <w:rFonts w:ascii="仿宋" w:hAnsi="仿宋" w:eastAsia="仿宋"/>
          <w:color w:val="auto"/>
          <w:sz w:val="24"/>
          <w:highlight w:val="none"/>
        </w:rPr>
        <w:t>.2甲方在政府采购合同中约定预付款，预付款比例</w:t>
      </w:r>
      <w:r>
        <w:rPr>
          <w:rFonts w:hint="eastAsia" w:ascii="仿宋" w:hAnsi="仿宋" w:eastAsia="仿宋"/>
          <w:color w:val="auto"/>
          <w:sz w:val="24"/>
          <w:highlight w:val="none"/>
        </w:rPr>
        <w:t>为</w:t>
      </w:r>
      <w:r>
        <w:rPr>
          <w:rFonts w:ascii="仿宋" w:hAnsi="仿宋" w:eastAsia="仿宋"/>
          <w:color w:val="auto"/>
          <w:sz w:val="24"/>
          <w:highlight w:val="none"/>
        </w:rPr>
        <w:t>合同金额的</w:t>
      </w:r>
      <w:r>
        <w:rPr>
          <w:rFonts w:hint="eastAsia" w:ascii="仿宋" w:hAnsi="仿宋" w:eastAsia="仿宋"/>
          <w:color w:val="auto"/>
          <w:sz w:val="24"/>
          <w:highlight w:val="none"/>
          <w:lang w:val="en-US" w:eastAsia="zh-CN"/>
        </w:rPr>
        <w:t>40</w:t>
      </w:r>
      <w:r>
        <w:rPr>
          <w:rFonts w:ascii="仿宋" w:hAnsi="仿宋" w:eastAsia="仿宋"/>
          <w:color w:val="auto"/>
          <w:sz w:val="24"/>
          <w:highlight w:val="none"/>
        </w:rPr>
        <w:t>％；项目分年安排预算的，每年预付款比例</w:t>
      </w:r>
      <w:r>
        <w:rPr>
          <w:rFonts w:hint="eastAsia" w:ascii="仿宋" w:hAnsi="仿宋" w:eastAsia="仿宋"/>
          <w:color w:val="auto"/>
          <w:sz w:val="24"/>
          <w:highlight w:val="none"/>
        </w:rPr>
        <w:t>为</w:t>
      </w:r>
      <w:r>
        <w:rPr>
          <w:rFonts w:ascii="仿宋" w:hAnsi="仿宋" w:eastAsia="仿宋"/>
          <w:color w:val="auto"/>
          <w:sz w:val="24"/>
          <w:highlight w:val="none"/>
        </w:rPr>
        <w:t>项目年度计划支付资金额的</w:t>
      </w:r>
      <w:r>
        <w:rPr>
          <w:rFonts w:hint="eastAsia" w:ascii="仿宋" w:hAnsi="仿宋" w:eastAsia="仿宋"/>
          <w:color w:val="auto"/>
          <w:sz w:val="24"/>
          <w:highlight w:val="none"/>
          <w:lang w:val="en-US" w:eastAsia="zh-CN"/>
        </w:rPr>
        <w:t>40</w:t>
      </w:r>
      <w:r>
        <w:rPr>
          <w:rFonts w:ascii="仿宋" w:hAnsi="仿宋" w:eastAsia="仿宋"/>
          <w:color w:val="auto"/>
          <w:sz w:val="24"/>
          <w:highlight w:val="none"/>
        </w:rPr>
        <w:t>％。采购项目实施以人工投入为主的，可适当降低预付款比例，但不低于</w:t>
      </w:r>
      <w:r>
        <w:rPr>
          <w:rFonts w:hint="eastAsia" w:ascii="仿宋" w:hAnsi="仿宋" w:eastAsia="仿宋"/>
          <w:color w:val="auto"/>
          <w:sz w:val="24"/>
          <w:highlight w:val="none"/>
          <w:lang w:val="en-US" w:eastAsia="zh-CN"/>
        </w:rPr>
        <w:t>20</w:t>
      </w:r>
      <w:r>
        <w:rPr>
          <w:rFonts w:ascii="仿宋" w:hAnsi="仿宋" w:eastAsia="仿宋"/>
          <w:color w:val="auto"/>
          <w:sz w:val="24"/>
          <w:highlight w:val="none"/>
        </w:rPr>
        <w:t>%。甲方可以根据项目特点、乙方信用等实际情况提高预付款比例，最高预付比例可以达到</w:t>
      </w:r>
      <w:r>
        <w:rPr>
          <w:rFonts w:hint="eastAsia" w:ascii="仿宋" w:hAnsi="仿宋" w:eastAsia="仿宋"/>
          <w:color w:val="auto"/>
          <w:sz w:val="24"/>
          <w:highlight w:val="none"/>
          <w:lang w:val="en-US" w:eastAsia="zh-CN"/>
        </w:rPr>
        <w:t>70</w:t>
      </w:r>
      <w:r>
        <w:rPr>
          <w:rFonts w:ascii="仿宋" w:hAnsi="仿宋" w:eastAsia="仿宋"/>
          <w:color w:val="auto"/>
          <w:sz w:val="24"/>
          <w:highlight w:val="none"/>
        </w:rPr>
        <w:t>%。</w:t>
      </w:r>
      <w:r>
        <w:rPr>
          <w:rFonts w:hint="eastAsia" w:ascii="仿宋" w:hAnsi="仿宋" w:eastAsia="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7</w:t>
      </w:r>
      <w:r>
        <w:rPr>
          <w:rFonts w:ascii="仿宋" w:hAnsi="仿宋" w:eastAsia="仿宋"/>
          <w:color w:val="auto"/>
          <w:sz w:val="24"/>
          <w:highlight w:val="none"/>
        </w:rPr>
        <w:t>.3</w:t>
      </w:r>
      <w:r>
        <w:rPr>
          <w:rFonts w:hint="eastAsia" w:ascii="仿宋" w:hAnsi="仿宋" w:eastAsia="仿宋"/>
          <w:color w:val="auto"/>
          <w:sz w:val="24"/>
          <w:highlight w:val="none"/>
        </w:rPr>
        <w:t>甲方迟延支付乙方款项的，向乙方支付逾期利息。双方可以在合同专用条款中约定逾期利率，约定利率不得低于合同订立时</w:t>
      </w:r>
      <w:r>
        <w:rPr>
          <w:rFonts w:ascii="仿宋" w:hAnsi="仿宋" w:eastAsia="仿宋"/>
          <w:color w:val="auto"/>
          <w:sz w:val="24"/>
          <w:highlight w:val="none"/>
        </w:rPr>
        <w:t>1年</w:t>
      </w:r>
      <w:r>
        <w:rPr>
          <w:rFonts w:hint="eastAsia" w:ascii="仿宋" w:hAnsi="仿宋" w:eastAsia="仿宋"/>
          <w:color w:val="auto"/>
          <w:sz w:val="24"/>
          <w:highlight w:val="none"/>
        </w:rPr>
        <w:t>期贷款市场报价利率；未作约定的，按照每日利率万分之五支付逾期利息。</w:t>
      </w:r>
    </w:p>
    <w:p>
      <w:pPr>
        <w:spacing w:line="360" w:lineRule="auto"/>
        <w:ind w:firstLine="480" w:firstLineChars="200"/>
        <w:outlineLvl w:val="0"/>
        <w:rPr>
          <w:rFonts w:ascii="仿宋" w:hAnsi="仿宋" w:eastAsia="仿宋"/>
          <w:color w:val="auto"/>
          <w:sz w:val="24"/>
          <w:highlight w:val="none"/>
        </w:rPr>
      </w:pPr>
      <w:r>
        <w:rPr>
          <w:rFonts w:hint="eastAsia" w:ascii="仿宋" w:hAnsi="仿宋" w:eastAsia="仿宋"/>
          <w:color w:val="auto"/>
          <w:sz w:val="24"/>
          <w:highlight w:val="none"/>
          <w:lang w:val="en-US" w:eastAsia="zh-CN"/>
        </w:rPr>
        <w:t>7</w:t>
      </w:r>
      <w:r>
        <w:rPr>
          <w:rFonts w:ascii="仿宋" w:hAnsi="仿宋" w:eastAsia="仿宋"/>
          <w:color w:val="auto"/>
          <w:sz w:val="24"/>
          <w:highlight w:val="none"/>
        </w:rPr>
        <w:t>.4资金支付的方式、时间和条</w:t>
      </w:r>
      <w:r>
        <w:rPr>
          <w:rFonts w:hint="eastAsia" w:ascii="仿宋" w:hAnsi="仿宋" w:eastAsia="仿宋"/>
          <w:color w:val="auto"/>
          <w:sz w:val="24"/>
          <w:highlight w:val="none"/>
          <w:lang w:val="en-US" w:eastAsia="zh-CN"/>
        </w:rPr>
        <w:t>件：</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w:t>
      </w:r>
    </w:p>
    <w:p>
      <w:pPr>
        <w:spacing w:line="360" w:lineRule="auto"/>
        <w:ind w:firstLine="480" w:firstLineChars="200"/>
        <w:outlineLvl w:val="0"/>
        <w:rPr>
          <w:rFonts w:ascii="仿宋" w:hAnsi="仿宋" w:eastAsia="仿宋"/>
          <w:color w:val="auto"/>
          <w:sz w:val="24"/>
          <w:highlight w:val="none"/>
        </w:rPr>
      </w:pPr>
      <w:r>
        <w:rPr>
          <w:rFonts w:hint="eastAsia" w:ascii="仿宋" w:hAnsi="仿宋" w:eastAsia="仿宋"/>
          <w:color w:val="auto"/>
          <w:sz w:val="24"/>
          <w:highlight w:val="none"/>
          <w:lang w:val="en-US" w:eastAsia="zh-CN"/>
        </w:rPr>
        <w:t>7</w:t>
      </w:r>
      <w:r>
        <w:rPr>
          <w:rFonts w:ascii="仿宋" w:hAnsi="仿宋" w:eastAsia="仿宋"/>
          <w:color w:val="auto"/>
          <w:sz w:val="24"/>
          <w:highlight w:val="none"/>
        </w:rPr>
        <w:t>.5</w:t>
      </w:r>
      <w:r>
        <w:rPr>
          <w:rFonts w:hint="eastAsia" w:ascii="仿宋" w:hAnsi="仿宋" w:eastAsia="仿宋"/>
          <w:color w:val="auto"/>
          <w:sz w:val="24"/>
          <w:highlight w:val="none"/>
        </w:rPr>
        <w:t>乙方</w:t>
      </w:r>
      <w:r>
        <w:rPr>
          <w:rFonts w:ascii="仿宋" w:hAnsi="仿宋" w:eastAsia="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highlight w:val="none"/>
        </w:rPr>
        <w:t>杭财采监〔</w:t>
      </w:r>
      <w:r>
        <w:rPr>
          <w:rFonts w:ascii="仿宋" w:hAnsi="仿宋" w:eastAsia="仿宋"/>
          <w:color w:val="auto"/>
          <w:sz w:val="24"/>
          <w:highlight w:val="none"/>
        </w:rPr>
        <w:t>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宋体" w:hAnsi="宋体" w:cs="宋体"/>
          <w:bCs/>
          <w:color w:val="auto"/>
          <w:sz w:val="24"/>
          <w:szCs w:val="24"/>
          <w:highlight w:val="none"/>
          <w:lang w:val="en-US" w:eastAsia="zh-CN"/>
        </w:rPr>
        <w:t xml:space="preserve"> 8</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9.</w:t>
      </w:r>
      <w:r>
        <w:rPr>
          <w:rFonts w:hint="eastAsia" w:ascii="仿宋" w:hAnsi="仿宋" w:eastAsia="仿宋" w:cs="仿宋"/>
          <w:b/>
          <w:color w:val="auto"/>
          <w:sz w:val="24"/>
          <w:szCs w:val="24"/>
          <w:highlight w:val="none"/>
        </w:rPr>
        <w:t>违约责任</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 xml:space="preserve">1  </w:t>
      </w:r>
      <w:r>
        <w:rPr>
          <w:rFonts w:hint="eastAsia" w:ascii="仿宋" w:hAnsi="仿宋" w:eastAsia="仿宋"/>
          <w:color w:val="auto"/>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%计算，最高限额为本合同总价的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9.2</w:t>
      </w:r>
      <w:r>
        <w:rPr>
          <w:rFonts w:ascii="仿宋" w:hAnsi="仿宋" w:eastAsia="仿宋"/>
          <w:color w:val="auto"/>
          <w:sz w:val="24"/>
          <w:highlight w:val="none"/>
        </w:rPr>
        <w:t xml:space="preserve"> </w:t>
      </w:r>
      <w:r>
        <w:rPr>
          <w:rFonts w:hint="eastAsia" w:ascii="仿宋" w:hAnsi="仿宋" w:eastAsia="仿宋"/>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w:t>
      </w:r>
      <w:r>
        <w:rPr>
          <w:rFonts w:hint="eastAsia" w:ascii="仿宋" w:hAnsi="仿宋" w:eastAsia="仿宋"/>
          <w:color w:val="auto"/>
          <w:sz w:val="24"/>
          <w:highlight w:val="none"/>
          <w:lang w:val="en-US" w:eastAsia="zh-CN"/>
        </w:rPr>
        <w:t>3</w:t>
      </w:r>
      <w:r>
        <w:rPr>
          <w:rFonts w:ascii="仿宋" w:hAnsi="仿宋" w:eastAsia="仿宋"/>
          <w:color w:val="auto"/>
          <w:sz w:val="24"/>
          <w:highlight w:val="none"/>
        </w:rPr>
        <w:t xml:space="preserve"> </w:t>
      </w:r>
      <w:r>
        <w:rPr>
          <w:rFonts w:hint="eastAsia" w:ascii="仿宋" w:hAnsi="仿宋" w:eastAsia="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w:t>
      </w:r>
      <w:r>
        <w:rPr>
          <w:rFonts w:hint="eastAsia" w:ascii="仿宋" w:hAnsi="仿宋" w:eastAsia="仿宋"/>
          <w:color w:val="auto"/>
          <w:sz w:val="24"/>
          <w:highlight w:val="none"/>
          <w:lang w:val="en-US" w:eastAsia="zh-CN"/>
        </w:rPr>
        <w:t>4</w:t>
      </w:r>
      <w:r>
        <w:rPr>
          <w:rFonts w:ascii="仿宋" w:hAnsi="仿宋" w:eastAsia="仿宋"/>
          <w:color w:val="auto"/>
          <w:sz w:val="24"/>
          <w:highlight w:val="none"/>
        </w:rPr>
        <w:t xml:space="preserve"> </w:t>
      </w:r>
      <w:r>
        <w:rPr>
          <w:rFonts w:hint="eastAsia" w:ascii="仿宋" w:hAnsi="仿宋" w:eastAsia="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9</w:t>
      </w:r>
      <w:r>
        <w:rPr>
          <w:rFonts w:ascii="仿宋" w:hAnsi="仿宋" w:eastAsia="仿宋"/>
          <w:color w:val="auto"/>
          <w:sz w:val="24"/>
          <w:highlight w:val="none"/>
        </w:rPr>
        <w:t>.</w:t>
      </w: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 </w:t>
      </w:r>
      <w:r>
        <w:rPr>
          <w:rFonts w:hint="eastAsia" w:ascii="仿宋" w:hAnsi="仿宋" w:eastAsia="仿宋"/>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color w:val="auto"/>
          <w:highlight w:val="none"/>
        </w:rPr>
      </w:pPr>
      <w:r>
        <w:rPr>
          <w:rFonts w:hint="eastAsia" w:ascii="仿宋" w:hAnsi="仿宋" w:eastAsia="仿宋"/>
          <w:color w:val="auto"/>
          <w:sz w:val="24"/>
          <w:highlight w:val="none"/>
          <w:lang w:val="en-US" w:eastAsia="zh-CN"/>
        </w:rPr>
        <w:t>9</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6</w:t>
      </w:r>
      <w:r>
        <w:rPr>
          <w:rFonts w:hint="eastAsia" w:ascii="仿宋" w:hAnsi="仿宋" w:eastAsia="仿宋"/>
          <w:color w:val="auto"/>
          <w:sz w:val="24"/>
          <w:highlight w:val="none"/>
        </w:rPr>
        <w:t>违约责任</w:t>
      </w:r>
      <w:r>
        <w:rPr>
          <w:rFonts w:hint="eastAsia" w:ascii="仿宋" w:hAnsi="仿宋" w:eastAsia="仿宋"/>
          <w:color w:val="auto"/>
          <w:sz w:val="24"/>
          <w:highlight w:val="none"/>
          <w:lang w:val="en-US" w:eastAsia="zh-CN"/>
        </w:rPr>
        <w:t>采购人</w:t>
      </w:r>
      <w:r>
        <w:rPr>
          <w:rFonts w:hint="eastAsia" w:ascii="仿宋" w:hAnsi="仿宋" w:eastAsia="仿宋"/>
          <w:color w:val="auto"/>
          <w:sz w:val="24"/>
          <w:highlight w:val="none"/>
        </w:rPr>
        <w:t>另有约定的</w:t>
      </w:r>
      <w:r>
        <w:rPr>
          <w:rFonts w:hint="eastAsia" w:ascii="仿宋" w:hAnsi="仿宋" w:eastAsia="仿宋"/>
          <w:color w:val="auto"/>
          <w:sz w:val="24"/>
          <w:highlight w:val="none"/>
          <w:lang w:eastAsia="zh-CN"/>
        </w:rPr>
        <w:t>：</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10.</w:t>
      </w:r>
      <w:r>
        <w:rPr>
          <w:rFonts w:hint="eastAsia" w:ascii="仿宋" w:hAnsi="仿宋" w:eastAsia="仿宋" w:cs="仿宋"/>
          <w:b/>
          <w:bCs/>
          <w:color w:val="auto"/>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15.1</w:t>
      </w:r>
      <w:r>
        <w:rPr>
          <w:rFonts w:hint="eastAsia" w:ascii="仿宋" w:hAnsi="仿宋" w:eastAsia="仿宋" w:cs="仿宋"/>
          <w:color w:val="auto"/>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15.2</w:t>
      </w:r>
      <w:r>
        <w:rPr>
          <w:rFonts w:hint="eastAsia" w:ascii="仿宋" w:hAnsi="仿宋" w:eastAsia="仿宋" w:cs="仿宋"/>
          <w:color w:val="auto"/>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15.3</w:t>
      </w:r>
      <w:r>
        <w:rPr>
          <w:rFonts w:hint="eastAsia" w:ascii="仿宋" w:hAnsi="仿宋" w:eastAsia="仿宋" w:cs="仿宋"/>
          <w:color w:val="auto"/>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11.</w:t>
      </w:r>
      <w:r>
        <w:rPr>
          <w:rFonts w:hint="eastAsia" w:ascii="仿宋" w:hAnsi="仿宋" w:eastAsia="仿宋" w:cs="仿宋"/>
          <w:b/>
          <w:bCs/>
          <w:color w:val="auto"/>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12.</w:t>
      </w:r>
      <w:r>
        <w:rPr>
          <w:rFonts w:hint="eastAsia" w:ascii="仿宋" w:hAnsi="仿宋" w:eastAsia="仿宋" w:cs="仿宋"/>
          <w:b/>
          <w:bCs/>
          <w:color w:val="auto"/>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12.1</w:t>
      </w:r>
      <w:r>
        <w:rPr>
          <w:rFonts w:hint="eastAsia" w:ascii="仿宋" w:hAnsi="仿宋" w:eastAsia="仿宋" w:cs="仿宋"/>
          <w:color w:val="auto"/>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12.2</w:t>
      </w:r>
      <w:r>
        <w:rPr>
          <w:rFonts w:hint="eastAsia" w:ascii="仿宋" w:hAnsi="仿宋" w:eastAsia="仿宋" w:cs="仿宋"/>
          <w:color w:val="auto"/>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12.3</w:t>
      </w:r>
      <w:r>
        <w:rPr>
          <w:rFonts w:hint="eastAsia" w:ascii="仿宋" w:hAnsi="仿宋" w:eastAsia="仿宋" w:cs="仿宋"/>
          <w:color w:val="auto"/>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2.4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12.5</w:t>
      </w:r>
      <w:r>
        <w:rPr>
          <w:rFonts w:hint="eastAsia" w:ascii="仿宋" w:hAnsi="仿宋" w:eastAsia="仿宋" w:cs="仿宋"/>
          <w:color w:val="auto"/>
          <w:sz w:val="24"/>
          <w:highlight w:val="none"/>
        </w:rPr>
        <w:t>本合同未尽事宜，遵照《合同法》有关条文执行。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12.6</w:t>
      </w:r>
      <w:r>
        <w:rPr>
          <w:rFonts w:hint="eastAsia" w:ascii="仿宋" w:hAnsi="仿宋" w:eastAsia="仿宋" w:cs="仿宋"/>
          <w:color w:val="auto"/>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签约时间：      年    月   日</w:t>
      </w: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签约地点： </w:t>
      </w:r>
    </w:p>
    <w:p>
      <w:pPr>
        <w:wordWrap/>
        <w:spacing w:line="360" w:lineRule="auto"/>
        <w:jc w:val="both"/>
        <w:rPr>
          <w:rFonts w:hint="eastAsia" w:ascii="仿宋" w:hAnsi="仿宋" w:eastAsia="仿宋" w:cs="仿宋"/>
          <w:color w:val="auto"/>
          <w:sz w:val="24"/>
          <w:highlight w:val="none"/>
        </w:rPr>
      </w:pP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b/>
          <w:bCs/>
          <w:color w:val="auto"/>
          <w:sz w:val="24"/>
          <w:highlight w:val="none"/>
        </w:rPr>
      </w:pPr>
      <w:bookmarkStart w:id="398" w:name="_Toc326765771"/>
      <w:bookmarkStart w:id="399" w:name="_Toc350327365"/>
      <w:bookmarkStart w:id="400" w:name="_Toc349721554"/>
      <w:bookmarkStart w:id="401" w:name="_Toc339872468"/>
      <w:bookmarkStart w:id="402" w:name="_Toc328381300"/>
      <w:bookmarkStart w:id="403" w:name="_Toc868"/>
      <w:r>
        <w:rPr>
          <w:rFonts w:hint="eastAsia" w:ascii="仿宋" w:hAnsi="仿宋" w:eastAsia="仿宋" w:cs="仿宋"/>
          <w:b/>
          <w:bCs/>
          <w:color w:val="auto"/>
          <w:sz w:val="24"/>
          <w:highlight w:val="none"/>
        </w:rPr>
        <w:t xml:space="preserve"> 此仅为合同书样本，中标单位需根据实际情况和采购人签订相应的合同！</w:t>
      </w:r>
      <w:bookmarkEnd w:id="398"/>
      <w:bookmarkEnd w:id="399"/>
      <w:bookmarkEnd w:id="400"/>
      <w:bookmarkEnd w:id="401"/>
      <w:bookmarkEnd w:id="402"/>
      <w:bookmarkEnd w:id="403"/>
    </w:p>
    <w:p>
      <w:pPr>
        <w:snapToGrid/>
        <w:spacing w:before="0" w:beforeLines="0" w:after="0" w:line="360" w:lineRule="auto"/>
        <w:rPr>
          <w:rFonts w:hint="eastAsia" w:ascii="仿宋" w:hAnsi="仿宋" w:eastAsia="仿宋" w:cs="仿宋"/>
          <w:b/>
          <w:bCs/>
          <w:color w:val="auto"/>
          <w:sz w:val="24"/>
          <w:highlight w:val="none"/>
        </w:rPr>
        <w:sectPr>
          <w:pgSz w:w="11906" w:h="16838"/>
          <w:pgMar w:top="1558" w:right="1531" w:bottom="468" w:left="1531" w:header="851" w:footer="851" w:gutter="0"/>
          <w:cols w:space="720" w:num="1"/>
          <w:titlePg/>
          <w:docGrid w:type="lines" w:linePitch="312" w:charSpace="0"/>
        </w:sectPr>
      </w:pPr>
      <w:bookmarkStart w:id="404" w:name="_Toc194217895"/>
    </w:p>
    <w:bookmarkEnd w:id="404"/>
    <w:p>
      <w:pPr>
        <w:pStyle w:val="3"/>
        <w:rPr>
          <w:color w:val="auto"/>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6"/>
      <w:r>
        <w:rPr>
          <w:rFonts w:ascii="仿宋" w:hAnsi="仿宋" w:eastAsia="仿宋" w:cs="仿宋_GB2312"/>
          <w:b/>
          <w:color w:val="auto"/>
          <w:sz w:val="36"/>
          <w:szCs w:val="20"/>
          <w:highlight w:val="none"/>
        </w:rPr>
        <w:t xml:space="preserve"> </w:t>
      </w:r>
      <w:bookmarkEnd w:id="397"/>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项目编号</w:t>
      </w:r>
      <w:r>
        <w:rPr>
          <w:rFonts w:hint="eastAsia" w:ascii="仿宋_GB2312" w:hAnsi="仿宋" w:eastAsia="仿宋_GB2312" w:cs="仿宋_GB2312"/>
          <w:color w:val="auto"/>
          <w:sz w:val="24"/>
          <w:highlight w:val="none"/>
        </w:rPr>
        <w:t>：</w:t>
      </w:r>
      <w:r>
        <w:rPr>
          <w:rFonts w:hint="eastAsia" w:hAnsi="宋体" w:cs="宋体"/>
          <w:b/>
          <w:bCs/>
          <w:color w:val="auto"/>
          <w:sz w:val="24"/>
          <w:szCs w:val="24"/>
          <w:highlight w:val="none"/>
          <w:lang w:val="en-US" w:eastAsia="zh-CN"/>
        </w:rPr>
        <w:t xml:space="preserve">   </w:t>
      </w:r>
      <w:r>
        <w:rPr>
          <w:rFonts w:hint="eastAsia" w:ascii="仿宋_GB2312" w:hAnsi="仿宋" w:eastAsia="仿宋_GB2312" w:cs="仿宋_GB2312"/>
          <w:color w:val="auto"/>
          <w:sz w:val="24"/>
          <w:highlight w:val="none"/>
        </w:rPr>
        <w:t>】政府采购活动，郑重承诺：</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Times New Roman"/>
          <w:color w:val="auto"/>
          <w:sz w:val="24"/>
          <w:highlight w:val="none"/>
        </w:rPr>
        <w:t>（一）</w:t>
      </w:r>
      <w:r>
        <w:rPr>
          <w:rFonts w:hint="eastAsia" w:ascii="仿宋_GB2312" w:hAnsi="仿宋" w:eastAsia="仿宋_GB2312"/>
          <w:color w:val="auto"/>
          <w:sz w:val="24"/>
          <w:szCs w:val="24"/>
          <w:highlight w:val="none"/>
        </w:rPr>
        <w:t>符合参与政府采购活动的资格条件并且没有税收缴纳、社会保障等方面的失信记录的承诺函</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lang w:val="en-US" w:eastAsia="zh-CN"/>
        </w:rPr>
        <w:t>二</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3"/>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3"/>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3"/>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3"/>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ascii="仿宋_GB2312" w:hAnsi="仿宋" w:eastAsia="仿宋_GB2312" w:cs="仿宋_GB2312"/>
          <w:b/>
          <w:color w:val="auto"/>
          <w:kern w:val="0"/>
          <w:sz w:val="36"/>
          <w:szCs w:val="36"/>
          <w:highlight w:val="none"/>
        </w:rPr>
        <w:br w:type="page"/>
      </w:r>
    </w:p>
    <w:p>
      <w:pPr>
        <w:pStyle w:val="3"/>
        <w:rPr>
          <w:color w:val="auto"/>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hint="eastAsia"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7</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投标标的清单</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8</w:t>
      </w:r>
      <w:r>
        <w:rPr>
          <w:rFonts w:ascii="仿宋_GB2312" w:hAnsi="仿宋" w:eastAsia="仿宋_GB2312" w:cs="仿宋_GB2312"/>
          <w:color w:val="auto"/>
          <w:sz w:val="24"/>
          <w:highlight w:val="none"/>
        </w:rPr>
        <w:t>）商务技术偏离表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lang w:val="en-US" w:eastAsia="zh-CN"/>
        </w:rPr>
        <w:t>9</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both"/>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highlight w:val="none"/>
          <w:lang w:val="en-US" w:eastAsia="zh-CN"/>
        </w:rPr>
        <w:t>10</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cs="仿宋_GB2312"/>
          <w:color w:val="auto"/>
          <w:highlight w:val="none"/>
        </w:rPr>
        <w:t>…………………………………</w:t>
      </w:r>
      <w:r>
        <w:rPr>
          <w:rFonts w:hint="eastAsia" w:cs="仿宋_GB2312"/>
          <w:color w:val="auto"/>
          <w:highlight w:val="none"/>
          <w:lang w:val="en-US" w:eastAsia="zh-CN"/>
        </w:rPr>
        <w:t xml:space="preserve"> </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pStyle w:val="3"/>
        <w:rPr>
          <w:color w:val="auto"/>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9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before="0" w:beforeAutospacing="0" w:after="0" w:afterAutospacing="0" w:line="360" w:lineRule="auto"/>
              <w:ind w:left="0" w:right="0"/>
              <w:rPr>
                <w:rFonts w:hint="eastAsia" w:ascii="仿宋_GB2312" w:hAnsi="仿宋" w:eastAsia="仿宋_GB2312" w:cs="Times New Roman"/>
                <w:bCs/>
                <w:color w:val="auto"/>
                <w:sz w:val="24"/>
                <w:szCs w:val="20"/>
                <w:highlight w:val="none"/>
              </w:rPr>
            </w:pPr>
            <w:r>
              <w:rPr>
                <w:rFonts w:hint="eastAsia" w:ascii="仿宋_GB2312" w:hAnsi="仿宋" w:eastAsia="仿宋_GB2312" w:cs="Times New Roman"/>
                <w:bCs/>
                <w:color w:val="auto"/>
                <w:sz w:val="24"/>
                <w:szCs w:val="20"/>
                <w:highlight w:val="none"/>
              </w:rPr>
              <w:t>正面：                                 反面：</w:t>
            </w:r>
          </w:p>
          <w:p>
            <w:pPr>
              <w:pStyle w:val="90"/>
              <w:adjustRightInd w:val="0"/>
              <w:spacing w:before="0" w:beforeAutospacing="0" w:after="0" w:afterAutospacing="0" w:line="360" w:lineRule="auto"/>
              <w:ind w:left="0" w:right="0"/>
              <w:rPr>
                <w:rFonts w:hint="eastAsia" w:ascii="仿宋_GB2312" w:hAnsi="仿宋" w:eastAsia="仿宋_GB2312" w:cs="Times New Roman"/>
                <w:bCs/>
                <w:color w:val="auto"/>
                <w:sz w:val="24"/>
                <w:szCs w:val="20"/>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3"/>
        <w:rPr>
          <w:color w:val="auto"/>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3"/>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hint="eastAsia"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投标文件中的</w:t>
            </w:r>
          </w:p>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highlight w:val="none"/>
              </w:rPr>
            </w:pPr>
            <w:r>
              <w:rPr>
                <w:rFonts w:hint="eastAsia" w:ascii="仿宋" w:hAnsi="仿宋" w:eastAsia="仿宋" w:cs="Times New Roman"/>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1</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_GB2312"/>
                <w:color w:val="auto"/>
                <w:sz w:val="24"/>
                <w:szCs w:val="20"/>
                <w:highlight w:val="none"/>
              </w:rPr>
            </w:pPr>
          </w:p>
          <w:p>
            <w:pPr>
              <w:spacing w:before="0" w:beforeAutospacing="0" w:after="0" w:afterAutospacing="0"/>
              <w:ind w:left="0" w:right="0"/>
              <w:rPr>
                <w:rFonts w:hint="eastAsia"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见投标文件</w:t>
            </w:r>
          </w:p>
          <w:p>
            <w:pP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Times New Roman" w:eastAsia="仿宋" w:cs="仿宋_GB2312"/>
                <w:color w:val="auto"/>
                <w:sz w:val="24"/>
                <w:szCs w:val="20"/>
                <w:highlight w:val="none"/>
              </w:rPr>
              <w:t>第</w:t>
            </w:r>
            <w:r>
              <w:rPr>
                <w:rFonts w:hint="eastAsia" w:ascii="仿宋" w:hAnsi="Times New Roman" w:eastAsia="仿宋" w:cs="仿宋_GB2312"/>
                <w:color w:val="auto"/>
                <w:sz w:val="24"/>
                <w:szCs w:val="20"/>
                <w:highlight w:val="none"/>
                <w:u w:val="single"/>
              </w:rPr>
              <w:t xml:space="preserve">  </w:t>
            </w:r>
            <w:r>
              <w:rPr>
                <w:rFonts w:hint="eastAsia" w:ascii="仿宋" w:hAnsi="Times New Roman" w:eastAsia="仿宋" w:cs="仿宋_GB2312"/>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2</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_GB2312" w:hAnsi="仿宋" w:eastAsia="仿宋_GB2312" w:cs="仿宋_GB2312"/>
                <w:color w:val="auto"/>
                <w:sz w:val="24"/>
                <w:szCs w:val="20"/>
                <w:highlight w:val="none"/>
              </w:rPr>
              <w:t>节能产品认证证书（本项目</w:t>
            </w:r>
            <w:r>
              <w:rPr>
                <w:rFonts w:hint="eastAsia" w:ascii="仿宋_GB2312" w:hAnsi="仿宋" w:eastAsia="仿宋_GB2312" w:cs="Times New Roman"/>
                <w:color w:val="auto"/>
                <w:sz w:val="24"/>
                <w:szCs w:val="20"/>
                <w:highlight w:val="none"/>
              </w:rPr>
              <w:t>拟采购的产品不属于政府强制采购的节能产品品目清单范围的</w:t>
            </w:r>
            <w:r>
              <w:rPr>
                <w:rFonts w:hint="eastAsia" w:ascii="仿宋_GB2312" w:hAnsi="仿宋" w:eastAsia="仿宋_GB2312" w:cs="仿宋_GB2312"/>
                <w:color w:val="auto"/>
                <w:sz w:val="24"/>
                <w:szCs w:val="20"/>
                <w:highlight w:val="none"/>
              </w:rPr>
              <w:t>，无需提供）</w:t>
            </w:r>
          </w:p>
        </w:tc>
        <w:tc>
          <w:tcPr>
            <w:tcW w:w="1418" w:type="dxa"/>
            <w:vAlign w:val="top"/>
          </w:tcPr>
          <w:p>
            <w:pPr>
              <w:spacing w:before="0" w:beforeAutospacing="0" w:after="0" w:afterAutospacing="0"/>
              <w:ind w:left="0" w:right="0"/>
              <w:rPr>
                <w:rFonts w:hint="eastAsia" w:ascii="仿宋" w:hAnsi="仿宋" w:eastAsia="仿宋" w:cs="仿宋_GB2312"/>
                <w:color w:val="auto"/>
                <w:sz w:val="24"/>
                <w:szCs w:val="20"/>
                <w:highlight w:val="none"/>
              </w:rPr>
            </w:pPr>
          </w:p>
          <w:p>
            <w:pPr>
              <w:spacing w:before="0" w:beforeAutospacing="0" w:after="0" w:afterAutospacing="0"/>
              <w:ind w:left="0" w:right="0"/>
              <w:rPr>
                <w:rFonts w:hint="eastAsia" w:ascii="仿宋" w:hAnsi="仿宋" w:eastAsia="仿宋" w:cs="仿宋_GB2312"/>
                <w:color w:val="auto"/>
                <w:sz w:val="24"/>
                <w:szCs w:val="20"/>
                <w:highlight w:val="none"/>
              </w:rPr>
            </w:pPr>
          </w:p>
          <w:p>
            <w:pPr>
              <w:spacing w:before="0" w:beforeAutospacing="0" w:after="0" w:afterAutospacing="0"/>
              <w:ind w:left="0" w:right="0"/>
              <w:rPr>
                <w:rFonts w:hint="eastAsia" w:ascii="仿宋" w:hAnsi="仿宋" w:eastAsia="仿宋" w:cs="仿宋_GB2312"/>
                <w:color w:val="auto"/>
                <w:sz w:val="24"/>
                <w:szCs w:val="20"/>
                <w:highlight w:val="none"/>
              </w:rPr>
            </w:pPr>
            <w:r>
              <w:rPr>
                <w:rFonts w:hint="eastAsia" w:ascii="仿宋" w:hAnsi="仿宋" w:eastAsia="仿宋" w:cs="仿宋_GB2312"/>
                <w:color w:val="auto"/>
                <w:sz w:val="24"/>
                <w:szCs w:val="20"/>
                <w:highlight w:val="none"/>
              </w:rPr>
              <w:t>见投标文件</w:t>
            </w:r>
          </w:p>
          <w:p>
            <w:pPr>
              <w:pStyle w:val="3"/>
              <w:spacing w:before="0" w:beforeAutospacing="0" w:after="0" w:afterAutospacing="0"/>
              <w:ind w:right="0"/>
              <w:rPr>
                <w:rFonts w:hint="eastAsia" w:ascii="Times New Roman" w:hAnsi="Times New Roman" w:cs="Times New Roman"/>
                <w:color w:val="auto"/>
                <w:sz w:val="20"/>
                <w:szCs w:val="20"/>
                <w:highlight w:val="none"/>
                <w:lang w:val="en-US"/>
              </w:rPr>
            </w:pPr>
            <w:r>
              <w:rPr>
                <w:rFonts w:hint="eastAsia" w:ascii="仿宋" w:hAnsi="Times New Roman" w:eastAsia="仿宋" w:cs="仿宋_GB2312"/>
                <w:b w:val="0"/>
                <w:bCs w:val="0"/>
                <w:color w:val="auto"/>
                <w:sz w:val="24"/>
                <w:szCs w:val="24"/>
                <w:highlight w:val="none"/>
                <w:lang w:val="en-US"/>
              </w:rPr>
              <w:t>第</w:t>
            </w:r>
            <w:r>
              <w:rPr>
                <w:rFonts w:hint="eastAsia" w:ascii="仿宋" w:hAnsi="Times New Roman" w:eastAsia="仿宋" w:cs="仿宋_GB2312"/>
                <w:b w:val="0"/>
                <w:bCs w:val="0"/>
                <w:color w:val="auto"/>
                <w:sz w:val="24"/>
                <w:szCs w:val="24"/>
                <w:highlight w:val="none"/>
                <w:u w:val="single"/>
                <w:lang w:val="en-US"/>
              </w:rPr>
              <w:t xml:space="preserve">  </w:t>
            </w:r>
            <w:r>
              <w:rPr>
                <w:rFonts w:hint="eastAsia" w:ascii="仿宋" w:hAnsi="Times New Roman"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3</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color w:val="auto"/>
                <w:sz w:val="24"/>
                <w:szCs w:val="20"/>
                <w:highlight w:val="none"/>
              </w:rPr>
            </w:pPr>
            <w:r>
              <w:rPr>
                <w:rFonts w:hint="eastAsia" w:ascii="仿宋_GB2312" w:hAnsi="仿宋" w:eastAsia="仿宋_GB2312" w:cs="Times New Roman"/>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投标函</w:t>
            </w:r>
          </w:p>
        </w:tc>
        <w:tc>
          <w:tcPr>
            <w:tcW w:w="1418" w:type="dxa"/>
            <w:vAlign w:val="top"/>
          </w:tcPr>
          <w:p>
            <w:pP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仿宋" w:eastAsia="仿宋" w:cs="仿宋_GB2312"/>
                <w:color w:val="auto"/>
                <w:sz w:val="24"/>
                <w:szCs w:val="20"/>
                <w:highlight w:val="none"/>
              </w:rPr>
              <w:t>见投标文件第</w:t>
            </w:r>
            <w:r>
              <w:rPr>
                <w:rFonts w:hint="eastAsia" w:ascii="仿宋" w:hAnsi="仿宋" w:eastAsia="仿宋" w:cs="仿宋_GB2312"/>
                <w:color w:val="auto"/>
                <w:sz w:val="24"/>
                <w:szCs w:val="20"/>
                <w:highlight w:val="none"/>
                <w:u w:val="single"/>
              </w:rPr>
              <w:t xml:space="preserve">  </w:t>
            </w:r>
            <w:r>
              <w:rPr>
                <w:rFonts w:hint="eastAsia" w:ascii="仿宋" w:hAnsi="仿宋" w:eastAsia="仿宋" w:cs="仿宋_GB2312"/>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 w:hAnsi="仿宋" w:eastAsia="仿宋" w:cs="Times New Roman"/>
                <w:color w:val="auto"/>
                <w:sz w:val="24"/>
                <w:szCs w:val="20"/>
                <w:highlight w:val="none"/>
              </w:rPr>
              <w:t>4</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highlight w:val="none"/>
              </w:rPr>
            </w:pPr>
            <w:r>
              <w:rPr>
                <w:rFonts w:hint="eastAsia" w:ascii="仿宋_GB2312" w:hAnsi="仿宋" w:eastAsia="仿宋_GB2312" w:cs="仿宋_GB2312"/>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Times New Roman" w:hAnsi="Times New Roman" w:cs="Times New Roman"/>
                <w:color w:val="auto"/>
                <w:sz w:val="20"/>
                <w:szCs w:val="20"/>
                <w:highlight w:val="none"/>
              </w:rPr>
            </w:pPr>
            <w:r>
              <w:rPr>
                <w:rFonts w:hint="eastAsia" w:ascii="仿宋" w:hAnsi="仿宋" w:eastAsia="仿宋" w:cs="仿宋_GB2312"/>
                <w:color w:val="auto"/>
                <w:sz w:val="24"/>
                <w:szCs w:val="20"/>
                <w:highlight w:val="none"/>
              </w:rPr>
              <w:t>见投标文件第</w:t>
            </w:r>
            <w:r>
              <w:rPr>
                <w:rFonts w:hint="eastAsia" w:ascii="仿宋" w:hAnsi="仿宋" w:eastAsia="仿宋" w:cs="仿宋_GB2312"/>
                <w:color w:val="auto"/>
                <w:sz w:val="24"/>
                <w:szCs w:val="20"/>
                <w:highlight w:val="none"/>
                <w:u w:val="single"/>
              </w:rPr>
              <w:t xml:space="preserve">  </w:t>
            </w:r>
            <w:r>
              <w:rPr>
                <w:rFonts w:hint="eastAsia" w:ascii="仿宋" w:hAnsi="仿宋" w:eastAsia="仿宋" w:cs="仿宋_GB2312"/>
                <w:color w:val="auto"/>
                <w:sz w:val="24"/>
                <w:szCs w:val="20"/>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3"/>
        <w:rPr>
          <w:color w:val="auto"/>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pStyle w:val="3"/>
        <w:rPr>
          <w:rFonts w:hint="eastAsia"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p>
    <w:p>
      <w:pPr>
        <w:pStyle w:val="3"/>
        <w:rPr>
          <w:rFonts w:hint="eastAsia" w:ascii="仿宋_GB2312" w:hAnsi="仿宋" w:eastAsia="仿宋_GB2312" w:cs="仿宋_GB2312"/>
          <w:b/>
          <w:color w:val="auto"/>
          <w:kern w:val="0"/>
          <w:sz w:val="32"/>
          <w:szCs w:val="32"/>
          <w:highlight w:val="none"/>
        </w:rPr>
      </w:pPr>
    </w:p>
    <w:p>
      <w:pPr>
        <w:rPr>
          <w:rFonts w:hint="eastAsia"/>
          <w:color w:val="auto"/>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八</w:t>
      </w:r>
      <w:r>
        <w:rPr>
          <w:rFonts w:hint="eastAsia" w:ascii="仿宋_GB2312" w:hAnsi="仿宋" w:eastAsia="仿宋_GB2312" w:cs="仿宋_GB2312"/>
          <w:b/>
          <w:color w:val="auto"/>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spacing w:before="0" w:beforeAutospacing="0" w:after="0" w:afterAutospacing="0"/>
              <w:ind w:left="0" w:right="0"/>
              <w:jc w:val="center"/>
              <w:rPr>
                <w:rFonts w:hint="eastAsia"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2</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1911" w:firstLineChars="595"/>
        <w:rPr>
          <w:rFonts w:hint="eastAsia" w:ascii="仿宋_GB2312" w:hAnsi="仿宋" w:eastAsia="仿宋_GB2312" w:cs="仿宋_GB2312"/>
          <w:b/>
          <w:color w:val="auto"/>
          <w:kern w:val="0"/>
          <w:sz w:val="32"/>
          <w:szCs w:val="32"/>
          <w:highlight w:val="none"/>
          <w:lang w:val="en-US" w:eastAsia="zh-CN"/>
        </w:rPr>
      </w:pPr>
      <w:r>
        <w:rPr>
          <w:rFonts w:hint="eastAsia" w:ascii="仿宋_GB2312" w:hAnsi="仿宋" w:eastAsia="仿宋_GB2312" w:cs="仿宋_GB2312"/>
          <w:b/>
          <w:color w:val="auto"/>
          <w:kern w:val="0"/>
          <w:sz w:val="32"/>
          <w:szCs w:val="32"/>
          <w:highlight w:val="none"/>
          <w:lang w:val="en-US" w:eastAsia="zh-CN"/>
        </w:rPr>
        <w:br w:type="page"/>
      </w: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t>九</w:t>
      </w:r>
      <w:r>
        <w:rPr>
          <w:rFonts w:hint="eastAsia" w:ascii="仿宋_GB2312" w:hAnsi="仿宋" w:eastAsia="仿宋_GB2312" w:cs="仿宋_GB2312"/>
          <w:b/>
          <w:color w:val="auto"/>
          <w:kern w:val="0"/>
          <w:sz w:val="32"/>
          <w:szCs w:val="32"/>
          <w:highlight w:val="none"/>
        </w:rPr>
        <w:t>、</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both"/>
        <w:rPr>
          <w:rFonts w:ascii="仿宋_GB2312" w:hAnsi="仿宋" w:eastAsia="仿宋_GB2312" w:cs="仿宋_GB2312"/>
          <w:b/>
          <w:color w:val="auto"/>
          <w:kern w:val="0"/>
          <w:sz w:val="32"/>
          <w:szCs w:val="32"/>
          <w:highlight w:val="none"/>
        </w:rPr>
      </w:pP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lang w:eastAsia="zh-CN"/>
        </w:rPr>
        <w:t>）</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379"/>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pStyle w:val="379"/>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3"/>
        <w:tblW w:w="10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4665"/>
        <w:gridCol w:w="2028"/>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273" w:type="dxa"/>
            <w:vAlign w:val="center"/>
          </w:tcPr>
          <w:p>
            <w:pPr>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Times New Roman"/>
                <w:b/>
                <w:color w:val="auto"/>
                <w:sz w:val="24"/>
                <w:szCs w:val="20"/>
                <w:highlight w:val="none"/>
              </w:rPr>
              <w:t>序号</w:t>
            </w:r>
          </w:p>
        </w:tc>
        <w:tc>
          <w:tcPr>
            <w:tcW w:w="4665" w:type="dxa"/>
            <w:vAlign w:val="center"/>
          </w:tcPr>
          <w:p>
            <w:pPr>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Times New Roman"/>
                <w:b/>
                <w:color w:val="auto"/>
                <w:sz w:val="24"/>
                <w:szCs w:val="20"/>
                <w:highlight w:val="none"/>
              </w:rPr>
              <w:t>名称</w:t>
            </w:r>
          </w:p>
        </w:tc>
        <w:tc>
          <w:tcPr>
            <w:tcW w:w="2028" w:type="dxa"/>
            <w:vAlign w:val="center"/>
          </w:tcPr>
          <w:p>
            <w:pPr>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Times New Roman"/>
                <w:b/>
                <w:color w:val="auto"/>
                <w:sz w:val="24"/>
                <w:szCs w:val="20"/>
                <w:highlight w:val="none"/>
              </w:rPr>
              <w:t>总价</w:t>
            </w:r>
          </w:p>
        </w:tc>
        <w:tc>
          <w:tcPr>
            <w:tcW w:w="2916" w:type="dxa"/>
            <w:vAlign w:val="center"/>
          </w:tcPr>
          <w:p>
            <w:pPr>
              <w:spacing w:before="0" w:beforeAutospacing="0" w:after="0" w:afterAutospacing="0" w:line="360" w:lineRule="auto"/>
              <w:ind w:left="0" w:right="0"/>
              <w:jc w:val="center"/>
              <w:rPr>
                <w:rFonts w:hint="eastAsia" w:ascii="仿宋_GB2312" w:hAnsi="仿宋" w:eastAsia="仿宋_GB2312" w:cs="Times New Roman"/>
                <w:b/>
                <w:color w:val="auto"/>
                <w:sz w:val="24"/>
                <w:szCs w:val="20"/>
                <w:highlight w:val="none"/>
              </w:rPr>
            </w:pPr>
          </w:p>
          <w:p>
            <w:pPr>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Times New Roman"/>
                <w:b/>
                <w:color w:val="auto"/>
                <w:sz w:val="24"/>
                <w:szCs w:val="20"/>
                <w:highlight w:val="none"/>
              </w:rPr>
              <w:t>服务要求（年限）</w:t>
            </w:r>
          </w:p>
          <w:p>
            <w:pPr>
              <w:spacing w:before="0" w:beforeAutospacing="0" w:after="0" w:afterAutospacing="0" w:line="360" w:lineRule="auto"/>
              <w:ind w:left="0" w:right="0"/>
              <w:jc w:val="center"/>
              <w:rPr>
                <w:rFonts w:hint="eastAsia" w:ascii="仿宋_GB2312" w:hAnsi="仿宋" w:eastAsia="仿宋_GB2312" w:cs="Times New Roman"/>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273" w:type="dxa"/>
            <w:vAlign w:val="center"/>
          </w:tcPr>
          <w:p>
            <w:pPr>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1</w:t>
            </w:r>
          </w:p>
          <w:p>
            <w:pPr>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tc>
        <w:tc>
          <w:tcPr>
            <w:tcW w:w="4665" w:type="dxa"/>
            <w:vAlign w:val="center"/>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良渚街道市民客厅四至六楼运营服务项目</w:t>
            </w: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tc>
        <w:tc>
          <w:tcPr>
            <w:tcW w:w="2028" w:type="dxa"/>
            <w:vAlign w:val="center"/>
          </w:tcPr>
          <w:p>
            <w:pPr>
              <w:spacing w:before="0" w:beforeAutospacing="0" w:after="0" w:afterAutospacing="0" w:line="360" w:lineRule="auto"/>
              <w:ind w:left="0" w:right="0"/>
              <w:jc w:val="center"/>
              <w:rPr>
                <w:rFonts w:hint="default" w:ascii="仿宋_GB2312" w:hAnsi="仿宋" w:eastAsia="仿宋_GB2312" w:cs="仿宋_GB2312"/>
                <w:color w:val="auto"/>
                <w:sz w:val="24"/>
                <w:szCs w:val="20"/>
                <w:highlight w:val="none"/>
                <w:lang w:val="en-US" w:eastAsia="zh-CN"/>
              </w:rPr>
            </w:pPr>
            <w:r>
              <w:rPr>
                <w:rFonts w:hint="eastAsia" w:ascii="仿宋_GB2312" w:hAnsi="仿宋" w:eastAsia="仿宋_GB2312" w:cs="仿宋_GB2312"/>
                <w:color w:val="auto"/>
                <w:sz w:val="24"/>
                <w:szCs w:val="20"/>
                <w:highlight w:val="none"/>
                <w:lang w:val="en-US" w:eastAsia="zh-CN"/>
              </w:rPr>
              <w:t>100万元整</w:t>
            </w:r>
          </w:p>
        </w:tc>
        <w:tc>
          <w:tcPr>
            <w:tcW w:w="2916" w:type="dxa"/>
            <w:vAlign w:val="center"/>
          </w:tcPr>
          <w:p>
            <w:pPr>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lang w:val="en-US" w:eastAsia="zh-CN"/>
              </w:rPr>
            </w:pPr>
            <w:r>
              <w:rPr>
                <w:rFonts w:hint="eastAsia" w:ascii="仿宋_GB2312" w:hAnsi="仿宋" w:eastAsia="仿宋_GB2312" w:cs="仿宋_GB2312"/>
                <w:color w:val="auto"/>
                <w:sz w:val="24"/>
                <w:szCs w:val="20"/>
                <w:highlight w:val="none"/>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5938" w:type="dxa"/>
            <w:gridSpan w:val="2"/>
            <w:vAlign w:val="center"/>
          </w:tcPr>
          <w:p>
            <w:pPr>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投标报价（小写）</w:t>
            </w:r>
          </w:p>
        </w:tc>
        <w:tc>
          <w:tcPr>
            <w:tcW w:w="4944" w:type="dxa"/>
            <w:gridSpan w:val="2"/>
            <w:vAlign w:val="center"/>
          </w:tcPr>
          <w:p>
            <w:pPr>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938" w:type="dxa"/>
            <w:gridSpan w:val="2"/>
            <w:vAlign w:val="center"/>
          </w:tcPr>
          <w:p>
            <w:pPr>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投标报价（大写）</w:t>
            </w:r>
          </w:p>
        </w:tc>
        <w:tc>
          <w:tcPr>
            <w:tcW w:w="4944" w:type="dxa"/>
            <w:gridSpan w:val="2"/>
            <w:vAlign w:val="center"/>
          </w:tcPr>
          <w:p>
            <w:pPr>
              <w:spacing w:before="0" w:beforeAutospacing="0" w:after="0" w:afterAutospacing="0" w:line="360" w:lineRule="auto"/>
              <w:ind w:left="0" w:right="0"/>
              <w:jc w:val="center"/>
              <w:rPr>
                <w:rFonts w:hint="eastAsia" w:ascii="仿宋_GB2312" w:hAnsi="仿宋" w:eastAsia="仿宋_GB2312" w:cs="仿宋_GB2312"/>
                <w:color w:val="auto"/>
                <w:sz w:val="24"/>
                <w:szCs w:val="20"/>
                <w:highlight w:val="none"/>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3</w:t>
      </w:r>
      <w:r>
        <w:rPr>
          <w:rFonts w:ascii="仿宋_GB2312" w:hAnsi="仿宋" w:eastAsia="仿宋_GB2312" w:cs="仿宋_GB2312"/>
          <w:color w:val="auto"/>
          <w:kern w:val="0"/>
          <w:sz w:val="24"/>
          <w:highlight w:val="none"/>
          <w:lang w:val="zh-CN"/>
        </w:rPr>
        <w:t>、特别提示：采购机构将对</w:t>
      </w:r>
      <w:r>
        <w:rPr>
          <w:rFonts w:hint="eastAsia" w:ascii="仿宋_GB2312" w:hAnsi="仿宋" w:eastAsia="仿宋_GB2312" w:cs="仿宋_GB2312"/>
          <w:color w:val="auto"/>
          <w:kern w:val="0"/>
          <w:sz w:val="24"/>
          <w:highlight w:val="none"/>
          <w:lang w:val="zh-CN"/>
        </w:rPr>
        <w:t>良渚街道市民客厅四至六楼运营服务项目</w:t>
      </w:r>
      <w:r>
        <w:rPr>
          <w:rFonts w:ascii="仿宋_GB2312" w:hAnsi="仿宋" w:eastAsia="仿宋_GB2312" w:cs="仿宋_GB2312"/>
          <w:color w:val="auto"/>
          <w:kern w:val="0"/>
          <w:sz w:val="24"/>
          <w:highlight w:val="none"/>
          <w:lang w:val="zh-CN"/>
        </w:rPr>
        <w:t>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ind w:firstLine="480" w:firstLineChars="200"/>
        <w:jc w:val="left"/>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r>
        <w:rPr>
          <w:rFonts w:hint="eastAsia" w:ascii="仿宋_GB2312" w:hAnsi="仿宋" w:eastAsia="仿宋_GB2312" w:cs="仿宋_GB2312"/>
          <w:color w:val="auto"/>
          <w:kern w:val="0"/>
          <w:sz w:val="24"/>
          <w:szCs w:val="22"/>
          <w:highlight w:val="none"/>
          <w:lang w:val="en-US" w:eastAsia="zh-CN"/>
        </w:rPr>
        <w:t>4</w:t>
      </w:r>
      <w:r>
        <w:rPr>
          <w:rFonts w:ascii="仿宋_GB2312" w:hAnsi="仿宋" w:eastAsia="仿宋_GB2312" w:cs="仿宋_GB2312"/>
          <w:color w:val="auto"/>
          <w:kern w:val="0"/>
          <w:sz w:val="24"/>
          <w:szCs w:val="22"/>
          <w:highlight w:val="none"/>
          <w:lang w:val="zh-CN"/>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379"/>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hint="eastAsia"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br w:type="page"/>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3"/>
        <w:numPr>
          <w:ilvl w:val="0"/>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3"/>
        <w:numPr>
          <w:ilvl w:val="0"/>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2"/>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405" w:name="_Toc465665161"/>
      <w:r>
        <w:rPr>
          <w:rFonts w:hint="eastAsia" w:ascii="仿宋_GB2312" w:hAnsi="仿宋" w:eastAsia="仿宋_GB2312"/>
          <w:color w:val="auto"/>
          <w:highlight w:val="none"/>
        </w:rPr>
        <w:t>附件</w:t>
      </w:r>
      <w:bookmarkEnd w:id="405"/>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406" w:name="OLE_LINK14"/>
      <w:bookmarkStart w:id="407" w:name="OLE_LINK13"/>
      <w:r>
        <w:rPr>
          <w:rFonts w:hint="eastAsia" w:ascii="仿宋_GB2312" w:hAnsi="仿宋" w:eastAsia="仿宋_GB2312"/>
          <w:b/>
          <w:color w:val="auto"/>
          <w:spacing w:val="6"/>
          <w:sz w:val="32"/>
          <w:szCs w:val="32"/>
          <w:highlight w:val="none"/>
        </w:rPr>
        <w:t>残疾人福利性单位声明函</w:t>
      </w:r>
    </w:p>
    <w:bookmarkEnd w:id="406"/>
    <w:bookmarkEnd w:id="407"/>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rPr>
          <w:color w:val="auto"/>
          <w:highlight w:val="none"/>
        </w:rPr>
      </w:pPr>
      <w:r>
        <w:rPr>
          <w:color w:val="auto"/>
          <w:highlight w:val="none"/>
        </w:rPr>
        <w:br w:type="page"/>
      </w:r>
    </w:p>
    <w:p>
      <w:pPr>
        <w:pStyle w:val="3"/>
        <w:rPr>
          <w:color w:val="auto"/>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w:t>
      </w:r>
      <w:r>
        <w:rPr>
          <w:rFonts w:hint="eastAsia" w:ascii="仿宋_GB2312" w:hAnsi="仿宋" w:eastAsia="仿宋_GB2312"/>
          <w:color w:val="auto"/>
          <w:sz w:val="24"/>
          <w:highlight w:val="none"/>
          <w:lang w:eastAsia="zh-CN"/>
        </w:rPr>
        <w:t>良渚街道市民客厅四至六楼运营服务项目</w:t>
      </w:r>
      <w:r>
        <w:rPr>
          <w:rFonts w:hint="eastAsia" w:ascii="仿宋_GB2312" w:hAnsi="仿宋" w:eastAsia="仿宋_GB2312"/>
          <w:color w:val="auto"/>
          <w:sz w:val="24"/>
          <w:highlight w:val="none"/>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良渚街道市民客厅四至六楼运营服务项目</w:t>
      </w:r>
      <w:r>
        <w:rPr>
          <w:rFonts w:hint="eastAsia" w:ascii="仿宋_GB2312" w:hAnsi="仿宋" w:eastAsia="仿宋_GB2312" w:cs="仿宋_GB2312"/>
          <w:color w:val="auto"/>
          <w:sz w:val="24"/>
          <w:highlight w:val="none"/>
        </w:rPr>
        <w:t>）项目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eastAsia="zh-CN"/>
        </w:rPr>
        <w:t>良渚街道市民客厅四至六楼运营服务项目</w:t>
      </w:r>
      <w:r>
        <w:rPr>
          <w:rFonts w:hint="eastAsia" w:ascii="仿宋_GB2312" w:hAnsi="宋体" w:eastAsia="仿宋_GB2312"/>
          <w:color w:val="auto"/>
          <w:sz w:val="24"/>
          <w:highlight w:val="none"/>
        </w:rPr>
        <w:t>）</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hint="eastAsia"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br w:type="page"/>
      </w: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eastAsia="zh-CN"/>
        </w:rPr>
        <w:t>良渚街道市民客厅四至六楼运营服务项目</w:t>
      </w:r>
      <w:r>
        <w:rPr>
          <w:rFonts w:hint="eastAsia" w:ascii="仿宋_GB2312" w:hAnsi="宋体" w:eastAsia="仿宋_GB2312"/>
          <w:color w:val="auto"/>
          <w:sz w:val="24"/>
          <w:highlight w:val="none"/>
        </w:rPr>
        <w:t>）</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14" w:type="first"/>
      <w:footerReference r:id="rId17" w:type="first"/>
      <w:headerReference r:id="rId13" w:type="default"/>
      <w:footerReference r:id="rId15" w:type="default"/>
      <w:footerReference r:id="rId16"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Chinese Quot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separate"/>
    </w:r>
    <w:r>
      <w:rPr>
        <w:rStyle w:val="74"/>
      </w:rPr>
      <w:t>8</w:t>
    </w:r>
    <w:r>
      <w:fldChar w:fldCharType="end"/>
    </w:r>
  </w:p>
  <w:p>
    <w:pPr>
      <w:pStyle w:val="4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8" w:name="_Toc164085800"/>
    <w:bookmarkStart w:id="409" w:name="_Toc36110187"/>
    <w:bookmarkStart w:id="410" w:name="_Toc91899912"/>
    <w:bookmarkStart w:id="411" w:name="_Toc131845147"/>
    <w:r>
      <w:rPr>
        <w:rFonts w:hint="eastAsia" w:ascii="仿宋_GB2312" w:eastAsia="仿宋_GB2312"/>
        <w:kern w:val="0"/>
        <w:szCs w:val="21"/>
      </w:rPr>
      <w:t xml:space="preserve"> 页</w:t>
    </w:r>
    <w:bookmarkEnd w:id="408"/>
    <w:bookmarkEnd w:id="409"/>
    <w:bookmarkEnd w:id="410"/>
    <w:bookmarkEnd w:id="41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B6145"/>
    <w:multiLevelType w:val="singleLevel"/>
    <w:tmpl w:val="07EB6145"/>
    <w:lvl w:ilvl="0" w:tentative="0">
      <w:start w:val="1"/>
      <w:numFmt w:val="decimal"/>
      <w:suff w:val="nothing"/>
      <w:lvlText w:val="（%1）"/>
      <w:lvlJc w:val="left"/>
      <w:pPr>
        <w:ind w:left="420" w:leftChars="0" w:firstLine="0" w:firstLineChars="0"/>
      </w:pPr>
    </w:lvl>
  </w:abstractNum>
  <w:abstractNum w:abstractNumId="1">
    <w:nsid w:val="4D3985C8"/>
    <w:multiLevelType w:val="singleLevel"/>
    <w:tmpl w:val="4D3985C8"/>
    <w:lvl w:ilvl="0" w:tentative="0">
      <w:start w:val="2"/>
      <w:numFmt w:val="decimal"/>
      <w:suff w:val="nothing"/>
      <w:lvlText w:val="%1、"/>
      <w:lvlJc w:val="left"/>
      <w:pPr>
        <w:ind w:left="-210"/>
      </w:pPr>
    </w:lvl>
  </w:abstractNum>
  <w:abstractNum w:abstractNumId="2">
    <w:nsid w:val="7492C29A"/>
    <w:multiLevelType w:val="singleLevel"/>
    <w:tmpl w:val="7492C29A"/>
    <w:lvl w:ilvl="0" w:tentative="0">
      <w:start w:val="3"/>
      <w:numFmt w:val="chineseCounting"/>
      <w:suff w:val="nothing"/>
      <w:lvlText w:val="（%1）"/>
      <w:lvlJc w:val="left"/>
      <w:pPr>
        <w:ind w:left="-21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2"/>
  <w:bordersDoNotSurroundHeader w:val="0"/>
  <w:bordersDoNotSurroundFooter w:val="0"/>
  <w:trackRevisions w:val="1"/>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jRjMTE4OWQ3MjAxMGUzMGVmYmE2OGNjY2Q5Y2U3MW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036"/>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BB9"/>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6DF"/>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91ECA"/>
    <w:rsid w:val="011F6449"/>
    <w:rsid w:val="01236AFB"/>
    <w:rsid w:val="019F7441"/>
    <w:rsid w:val="01B37585"/>
    <w:rsid w:val="01D55165"/>
    <w:rsid w:val="01DF6BF8"/>
    <w:rsid w:val="01EC2C57"/>
    <w:rsid w:val="026B2E25"/>
    <w:rsid w:val="02824D4D"/>
    <w:rsid w:val="02DC4B10"/>
    <w:rsid w:val="02DD76CE"/>
    <w:rsid w:val="02F36323"/>
    <w:rsid w:val="02F5619C"/>
    <w:rsid w:val="03190CB5"/>
    <w:rsid w:val="0326446A"/>
    <w:rsid w:val="032D5555"/>
    <w:rsid w:val="036634D2"/>
    <w:rsid w:val="03DD35E4"/>
    <w:rsid w:val="03E312C3"/>
    <w:rsid w:val="04076900"/>
    <w:rsid w:val="041A5A3B"/>
    <w:rsid w:val="042311BA"/>
    <w:rsid w:val="042B157A"/>
    <w:rsid w:val="044258EB"/>
    <w:rsid w:val="046E4E16"/>
    <w:rsid w:val="048F763B"/>
    <w:rsid w:val="049F330E"/>
    <w:rsid w:val="04A40DFC"/>
    <w:rsid w:val="04AA775C"/>
    <w:rsid w:val="04AF1889"/>
    <w:rsid w:val="04F66F48"/>
    <w:rsid w:val="05251E14"/>
    <w:rsid w:val="05A16594"/>
    <w:rsid w:val="05A7762D"/>
    <w:rsid w:val="060E5941"/>
    <w:rsid w:val="06110FAF"/>
    <w:rsid w:val="06220C56"/>
    <w:rsid w:val="06493CA7"/>
    <w:rsid w:val="065A6178"/>
    <w:rsid w:val="06667154"/>
    <w:rsid w:val="066F1CF3"/>
    <w:rsid w:val="06930BB8"/>
    <w:rsid w:val="07245D42"/>
    <w:rsid w:val="07264C62"/>
    <w:rsid w:val="07621156"/>
    <w:rsid w:val="0779354C"/>
    <w:rsid w:val="07995600"/>
    <w:rsid w:val="07A5497E"/>
    <w:rsid w:val="07C231CA"/>
    <w:rsid w:val="07C54D6B"/>
    <w:rsid w:val="08061376"/>
    <w:rsid w:val="082C7B94"/>
    <w:rsid w:val="08452D77"/>
    <w:rsid w:val="086401F8"/>
    <w:rsid w:val="08751CAA"/>
    <w:rsid w:val="087E4C40"/>
    <w:rsid w:val="08D66AD6"/>
    <w:rsid w:val="08DA33A3"/>
    <w:rsid w:val="08E80F13"/>
    <w:rsid w:val="09335624"/>
    <w:rsid w:val="093A3938"/>
    <w:rsid w:val="0944690F"/>
    <w:rsid w:val="09535675"/>
    <w:rsid w:val="095F057D"/>
    <w:rsid w:val="09642282"/>
    <w:rsid w:val="09733572"/>
    <w:rsid w:val="09772C16"/>
    <w:rsid w:val="098353B5"/>
    <w:rsid w:val="09A92330"/>
    <w:rsid w:val="09B06B87"/>
    <w:rsid w:val="09C13146"/>
    <w:rsid w:val="09E04166"/>
    <w:rsid w:val="0A0D36A8"/>
    <w:rsid w:val="0A147970"/>
    <w:rsid w:val="0A1C0718"/>
    <w:rsid w:val="0A3E7710"/>
    <w:rsid w:val="0A5B7E63"/>
    <w:rsid w:val="0AA374A5"/>
    <w:rsid w:val="0AAB7649"/>
    <w:rsid w:val="0ABC5606"/>
    <w:rsid w:val="0AC42132"/>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0B2C6C"/>
    <w:rsid w:val="0D184CFB"/>
    <w:rsid w:val="0D4A7419"/>
    <w:rsid w:val="0D827401"/>
    <w:rsid w:val="0D84094E"/>
    <w:rsid w:val="0D8A00E9"/>
    <w:rsid w:val="0D8D589E"/>
    <w:rsid w:val="0D985DAE"/>
    <w:rsid w:val="0DA01C73"/>
    <w:rsid w:val="0DC147A8"/>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26E26"/>
    <w:rsid w:val="0F7B0511"/>
    <w:rsid w:val="0F7B76D9"/>
    <w:rsid w:val="0F816ACD"/>
    <w:rsid w:val="0F9832DB"/>
    <w:rsid w:val="0FBF3FD2"/>
    <w:rsid w:val="0FBF7FF3"/>
    <w:rsid w:val="10646583"/>
    <w:rsid w:val="107D4B15"/>
    <w:rsid w:val="108A3C80"/>
    <w:rsid w:val="10C26171"/>
    <w:rsid w:val="10F26336"/>
    <w:rsid w:val="10F33360"/>
    <w:rsid w:val="10FC16EA"/>
    <w:rsid w:val="110F1D40"/>
    <w:rsid w:val="11266F33"/>
    <w:rsid w:val="118963A1"/>
    <w:rsid w:val="11C6522A"/>
    <w:rsid w:val="11E104CC"/>
    <w:rsid w:val="11E20309"/>
    <w:rsid w:val="11EB4164"/>
    <w:rsid w:val="12255233"/>
    <w:rsid w:val="12530213"/>
    <w:rsid w:val="126812AD"/>
    <w:rsid w:val="127723A9"/>
    <w:rsid w:val="12862074"/>
    <w:rsid w:val="12883966"/>
    <w:rsid w:val="129E45B4"/>
    <w:rsid w:val="12D81596"/>
    <w:rsid w:val="13072A44"/>
    <w:rsid w:val="134A0A16"/>
    <w:rsid w:val="135F4BE2"/>
    <w:rsid w:val="13714420"/>
    <w:rsid w:val="13787CE1"/>
    <w:rsid w:val="137A4BC0"/>
    <w:rsid w:val="139B1A0A"/>
    <w:rsid w:val="139D25C7"/>
    <w:rsid w:val="13BF3CE4"/>
    <w:rsid w:val="13C60ADB"/>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074A52"/>
    <w:rsid w:val="172F2D79"/>
    <w:rsid w:val="17557BEF"/>
    <w:rsid w:val="175F3F5B"/>
    <w:rsid w:val="17D349C1"/>
    <w:rsid w:val="17FD0E3A"/>
    <w:rsid w:val="1830729E"/>
    <w:rsid w:val="183B11C6"/>
    <w:rsid w:val="1870062C"/>
    <w:rsid w:val="18817102"/>
    <w:rsid w:val="18830A15"/>
    <w:rsid w:val="18852B28"/>
    <w:rsid w:val="188B5321"/>
    <w:rsid w:val="192C65E3"/>
    <w:rsid w:val="19637C67"/>
    <w:rsid w:val="196453DF"/>
    <w:rsid w:val="19932372"/>
    <w:rsid w:val="19A20DD5"/>
    <w:rsid w:val="19AE03F1"/>
    <w:rsid w:val="1A071A03"/>
    <w:rsid w:val="1A1F16AE"/>
    <w:rsid w:val="1A3B5C77"/>
    <w:rsid w:val="1A984BAD"/>
    <w:rsid w:val="1AB8220E"/>
    <w:rsid w:val="1AC217DA"/>
    <w:rsid w:val="1AE4166C"/>
    <w:rsid w:val="1AF06CFB"/>
    <w:rsid w:val="1AF11B8D"/>
    <w:rsid w:val="1AF85A85"/>
    <w:rsid w:val="1B11359C"/>
    <w:rsid w:val="1B2A271F"/>
    <w:rsid w:val="1B46204F"/>
    <w:rsid w:val="1B530544"/>
    <w:rsid w:val="1B713184"/>
    <w:rsid w:val="1B741675"/>
    <w:rsid w:val="1B7E5700"/>
    <w:rsid w:val="1BA209CF"/>
    <w:rsid w:val="1BB4777D"/>
    <w:rsid w:val="1BC258DA"/>
    <w:rsid w:val="1BD57D32"/>
    <w:rsid w:val="1BD75AB8"/>
    <w:rsid w:val="1BD818F2"/>
    <w:rsid w:val="1C0459C2"/>
    <w:rsid w:val="1C1B3B4A"/>
    <w:rsid w:val="1C7F79FA"/>
    <w:rsid w:val="1C88086E"/>
    <w:rsid w:val="1C965875"/>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D923D3"/>
    <w:rsid w:val="1F0A0FF3"/>
    <w:rsid w:val="1F5771FF"/>
    <w:rsid w:val="1FE868A9"/>
    <w:rsid w:val="20034907"/>
    <w:rsid w:val="20173E4B"/>
    <w:rsid w:val="203C5673"/>
    <w:rsid w:val="204E48BC"/>
    <w:rsid w:val="205A7A05"/>
    <w:rsid w:val="208921B3"/>
    <w:rsid w:val="20973DEB"/>
    <w:rsid w:val="20A7041A"/>
    <w:rsid w:val="20B26522"/>
    <w:rsid w:val="20B44310"/>
    <w:rsid w:val="210B4E19"/>
    <w:rsid w:val="211116EB"/>
    <w:rsid w:val="2133151A"/>
    <w:rsid w:val="216133FC"/>
    <w:rsid w:val="21D56769"/>
    <w:rsid w:val="21E52EF3"/>
    <w:rsid w:val="21FB5D7B"/>
    <w:rsid w:val="220B1C3D"/>
    <w:rsid w:val="221D1D20"/>
    <w:rsid w:val="22334A87"/>
    <w:rsid w:val="22681CF7"/>
    <w:rsid w:val="228F28EA"/>
    <w:rsid w:val="22BE6801"/>
    <w:rsid w:val="233500BF"/>
    <w:rsid w:val="23377FF7"/>
    <w:rsid w:val="23513A41"/>
    <w:rsid w:val="23593133"/>
    <w:rsid w:val="236B425F"/>
    <w:rsid w:val="23836192"/>
    <w:rsid w:val="23901F29"/>
    <w:rsid w:val="239C0061"/>
    <w:rsid w:val="23B908A4"/>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637EA"/>
    <w:rsid w:val="25BE27CC"/>
    <w:rsid w:val="25F654BC"/>
    <w:rsid w:val="25F74A5C"/>
    <w:rsid w:val="261467A0"/>
    <w:rsid w:val="2628662C"/>
    <w:rsid w:val="262D45DE"/>
    <w:rsid w:val="26A02F87"/>
    <w:rsid w:val="26A53EF9"/>
    <w:rsid w:val="26A94201"/>
    <w:rsid w:val="26AC274F"/>
    <w:rsid w:val="27044A29"/>
    <w:rsid w:val="270867A7"/>
    <w:rsid w:val="270E32FC"/>
    <w:rsid w:val="27106BE8"/>
    <w:rsid w:val="271D34C8"/>
    <w:rsid w:val="276142BF"/>
    <w:rsid w:val="27783712"/>
    <w:rsid w:val="278B3C24"/>
    <w:rsid w:val="27907362"/>
    <w:rsid w:val="28084A26"/>
    <w:rsid w:val="28333E1D"/>
    <w:rsid w:val="28454BD6"/>
    <w:rsid w:val="28455253"/>
    <w:rsid w:val="285070AD"/>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967F6"/>
    <w:rsid w:val="2A7D76B4"/>
    <w:rsid w:val="2B2251B9"/>
    <w:rsid w:val="2B437463"/>
    <w:rsid w:val="2B7807EE"/>
    <w:rsid w:val="2BBF00EC"/>
    <w:rsid w:val="2BC33EED"/>
    <w:rsid w:val="2BC37CFD"/>
    <w:rsid w:val="2BD5237F"/>
    <w:rsid w:val="2BE536CE"/>
    <w:rsid w:val="2BE758D9"/>
    <w:rsid w:val="2C09049E"/>
    <w:rsid w:val="2C0A653C"/>
    <w:rsid w:val="2C191F85"/>
    <w:rsid w:val="2C4E7785"/>
    <w:rsid w:val="2CE101E6"/>
    <w:rsid w:val="2CE82D6F"/>
    <w:rsid w:val="2CF24727"/>
    <w:rsid w:val="2D343236"/>
    <w:rsid w:val="2DD15014"/>
    <w:rsid w:val="2DF72DE4"/>
    <w:rsid w:val="2E0220AF"/>
    <w:rsid w:val="2E4B082A"/>
    <w:rsid w:val="2E5D4E86"/>
    <w:rsid w:val="2E5D790B"/>
    <w:rsid w:val="2E704F66"/>
    <w:rsid w:val="2E9A3C18"/>
    <w:rsid w:val="2EBB0FEE"/>
    <w:rsid w:val="2EC63002"/>
    <w:rsid w:val="2F0A6B38"/>
    <w:rsid w:val="2F946CCB"/>
    <w:rsid w:val="2FD25781"/>
    <w:rsid w:val="2FFD7934"/>
    <w:rsid w:val="30733ACD"/>
    <w:rsid w:val="30846027"/>
    <w:rsid w:val="308C3862"/>
    <w:rsid w:val="309379D8"/>
    <w:rsid w:val="30A270F7"/>
    <w:rsid w:val="30DF1478"/>
    <w:rsid w:val="30EC586F"/>
    <w:rsid w:val="318A64AB"/>
    <w:rsid w:val="319C6071"/>
    <w:rsid w:val="31AC537E"/>
    <w:rsid w:val="31E3679B"/>
    <w:rsid w:val="31E732FD"/>
    <w:rsid w:val="32517576"/>
    <w:rsid w:val="32BE5C2C"/>
    <w:rsid w:val="32FB6478"/>
    <w:rsid w:val="33196747"/>
    <w:rsid w:val="33263B3F"/>
    <w:rsid w:val="336963EB"/>
    <w:rsid w:val="33757D46"/>
    <w:rsid w:val="33816EEB"/>
    <w:rsid w:val="33B80AE5"/>
    <w:rsid w:val="33EB55CD"/>
    <w:rsid w:val="33EC4C02"/>
    <w:rsid w:val="340D2360"/>
    <w:rsid w:val="3410665D"/>
    <w:rsid w:val="34211214"/>
    <w:rsid w:val="342E63AB"/>
    <w:rsid w:val="34950E68"/>
    <w:rsid w:val="34986E94"/>
    <w:rsid w:val="34AF62C9"/>
    <w:rsid w:val="34CB4388"/>
    <w:rsid w:val="34FA6E12"/>
    <w:rsid w:val="356A7CA7"/>
    <w:rsid w:val="357C0776"/>
    <w:rsid w:val="358D5588"/>
    <w:rsid w:val="36023CCE"/>
    <w:rsid w:val="363A3B40"/>
    <w:rsid w:val="365302AE"/>
    <w:rsid w:val="36607A0A"/>
    <w:rsid w:val="366E227C"/>
    <w:rsid w:val="366F2E0D"/>
    <w:rsid w:val="367B6A5C"/>
    <w:rsid w:val="36A74ADA"/>
    <w:rsid w:val="36AD60D5"/>
    <w:rsid w:val="36B224F9"/>
    <w:rsid w:val="36EC0CC9"/>
    <w:rsid w:val="373F410B"/>
    <w:rsid w:val="37EE7094"/>
    <w:rsid w:val="37FC027B"/>
    <w:rsid w:val="38120769"/>
    <w:rsid w:val="38296C89"/>
    <w:rsid w:val="383002EB"/>
    <w:rsid w:val="38586797"/>
    <w:rsid w:val="38BC0149"/>
    <w:rsid w:val="38BC34BF"/>
    <w:rsid w:val="38D87D1C"/>
    <w:rsid w:val="38EC33C3"/>
    <w:rsid w:val="39403EAB"/>
    <w:rsid w:val="39636459"/>
    <w:rsid w:val="396B7F6C"/>
    <w:rsid w:val="398A029A"/>
    <w:rsid w:val="39B417A9"/>
    <w:rsid w:val="39FC5695"/>
    <w:rsid w:val="3A006D8E"/>
    <w:rsid w:val="3A1F234D"/>
    <w:rsid w:val="3A23749D"/>
    <w:rsid w:val="3A3176DF"/>
    <w:rsid w:val="3A3651E5"/>
    <w:rsid w:val="3A744481"/>
    <w:rsid w:val="3A8C7BEF"/>
    <w:rsid w:val="3A906246"/>
    <w:rsid w:val="3B2349B7"/>
    <w:rsid w:val="3B3D2948"/>
    <w:rsid w:val="3B3E362E"/>
    <w:rsid w:val="3B616CFF"/>
    <w:rsid w:val="3B6259F6"/>
    <w:rsid w:val="3B7326DD"/>
    <w:rsid w:val="3B976654"/>
    <w:rsid w:val="3BC01EFC"/>
    <w:rsid w:val="3BCA786A"/>
    <w:rsid w:val="3BD31E2F"/>
    <w:rsid w:val="3BF15831"/>
    <w:rsid w:val="3C105946"/>
    <w:rsid w:val="3C471448"/>
    <w:rsid w:val="3C5F759A"/>
    <w:rsid w:val="3C6C525A"/>
    <w:rsid w:val="3CCE23CB"/>
    <w:rsid w:val="3CD17D17"/>
    <w:rsid w:val="3D104065"/>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8072C"/>
    <w:rsid w:val="3EAF4836"/>
    <w:rsid w:val="3EC33DFA"/>
    <w:rsid w:val="3F060E16"/>
    <w:rsid w:val="3F0A50EA"/>
    <w:rsid w:val="3F1D1096"/>
    <w:rsid w:val="3F2F0234"/>
    <w:rsid w:val="3F35117A"/>
    <w:rsid w:val="3F6363FE"/>
    <w:rsid w:val="3F756B8F"/>
    <w:rsid w:val="3F95482B"/>
    <w:rsid w:val="4019356B"/>
    <w:rsid w:val="40592157"/>
    <w:rsid w:val="406E1CAE"/>
    <w:rsid w:val="40A0133A"/>
    <w:rsid w:val="40C31A53"/>
    <w:rsid w:val="40FF545D"/>
    <w:rsid w:val="410067C8"/>
    <w:rsid w:val="41586BC4"/>
    <w:rsid w:val="418F0D2A"/>
    <w:rsid w:val="41D01505"/>
    <w:rsid w:val="41F6425E"/>
    <w:rsid w:val="42474939"/>
    <w:rsid w:val="424C3C57"/>
    <w:rsid w:val="42613FF3"/>
    <w:rsid w:val="42660D96"/>
    <w:rsid w:val="428667D2"/>
    <w:rsid w:val="42A930FC"/>
    <w:rsid w:val="42CD1CE0"/>
    <w:rsid w:val="42E1381E"/>
    <w:rsid w:val="42E7535F"/>
    <w:rsid w:val="42EA34EA"/>
    <w:rsid w:val="42ED6459"/>
    <w:rsid w:val="42F1391A"/>
    <w:rsid w:val="42FE58DD"/>
    <w:rsid w:val="43036A81"/>
    <w:rsid w:val="43174B3D"/>
    <w:rsid w:val="434B790E"/>
    <w:rsid w:val="4360274F"/>
    <w:rsid w:val="43670860"/>
    <w:rsid w:val="43977AB6"/>
    <w:rsid w:val="43A3342B"/>
    <w:rsid w:val="43C77C27"/>
    <w:rsid w:val="43DE09EE"/>
    <w:rsid w:val="44002FAD"/>
    <w:rsid w:val="442F02B5"/>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D812FA"/>
    <w:rsid w:val="477B778F"/>
    <w:rsid w:val="478203EC"/>
    <w:rsid w:val="47A230CD"/>
    <w:rsid w:val="47B025FA"/>
    <w:rsid w:val="47FE5912"/>
    <w:rsid w:val="4809698F"/>
    <w:rsid w:val="4811697D"/>
    <w:rsid w:val="486F6CFB"/>
    <w:rsid w:val="487A3E25"/>
    <w:rsid w:val="488B5503"/>
    <w:rsid w:val="48937E21"/>
    <w:rsid w:val="489A0361"/>
    <w:rsid w:val="48B94FF3"/>
    <w:rsid w:val="48D6451F"/>
    <w:rsid w:val="48E37AAB"/>
    <w:rsid w:val="48FD4B4C"/>
    <w:rsid w:val="490A68E0"/>
    <w:rsid w:val="491055FE"/>
    <w:rsid w:val="4957480F"/>
    <w:rsid w:val="495F5B3E"/>
    <w:rsid w:val="496F77D7"/>
    <w:rsid w:val="497654FD"/>
    <w:rsid w:val="49B64211"/>
    <w:rsid w:val="49F6167F"/>
    <w:rsid w:val="4A064FA0"/>
    <w:rsid w:val="4A16615C"/>
    <w:rsid w:val="4A183041"/>
    <w:rsid w:val="4A4424D7"/>
    <w:rsid w:val="4AB82D0F"/>
    <w:rsid w:val="4AEB7664"/>
    <w:rsid w:val="4AFD7C19"/>
    <w:rsid w:val="4B0567D1"/>
    <w:rsid w:val="4B236AAE"/>
    <w:rsid w:val="4B43204C"/>
    <w:rsid w:val="4B707271"/>
    <w:rsid w:val="4B714BCD"/>
    <w:rsid w:val="4B9739F7"/>
    <w:rsid w:val="4B991F60"/>
    <w:rsid w:val="4BEE2503"/>
    <w:rsid w:val="4C245A30"/>
    <w:rsid w:val="4CB6685F"/>
    <w:rsid w:val="4CC367FE"/>
    <w:rsid w:val="4D077F3C"/>
    <w:rsid w:val="4D123355"/>
    <w:rsid w:val="4D2A3B31"/>
    <w:rsid w:val="4D312C52"/>
    <w:rsid w:val="4D50197D"/>
    <w:rsid w:val="4D905305"/>
    <w:rsid w:val="4D964A72"/>
    <w:rsid w:val="4D9C1254"/>
    <w:rsid w:val="4E63157D"/>
    <w:rsid w:val="4E793892"/>
    <w:rsid w:val="4E800872"/>
    <w:rsid w:val="4EC569ED"/>
    <w:rsid w:val="4ED50EA1"/>
    <w:rsid w:val="4EEC050C"/>
    <w:rsid w:val="4F104EC3"/>
    <w:rsid w:val="4F47354A"/>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2E4CC3"/>
    <w:rsid w:val="5244713B"/>
    <w:rsid w:val="52615633"/>
    <w:rsid w:val="528224EA"/>
    <w:rsid w:val="52977FD4"/>
    <w:rsid w:val="52A25790"/>
    <w:rsid w:val="52A443C6"/>
    <w:rsid w:val="52A96B6F"/>
    <w:rsid w:val="52B45975"/>
    <w:rsid w:val="52D65847"/>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502974"/>
    <w:rsid w:val="58917D2F"/>
    <w:rsid w:val="5894085C"/>
    <w:rsid w:val="58AE4F0C"/>
    <w:rsid w:val="58B85899"/>
    <w:rsid w:val="58BA4188"/>
    <w:rsid w:val="58D97A4B"/>
    <w:rsid w:val="58E363A9"/>
    <w:rsid w:val="59120131"/>
    <w:rsid w:val="59326988"/>
    <w:rsid w:val="593763AB"/>
    <w:rsid w:val="595E1678"/>
    <w:rsid w:val="59686533"/>
    <w:rsid w:val="596D5BD4"/>
    <w:rsid w:val="597E3DD8"/>
    <w:rsid w:val="59914276"/>
    <w:rsid w:val="59C940E8"/>
    <w:rsid w:val="59F80043"/>
    <w:rsid w:val="5A09252F"/>
    <w:rsid w:val="5A0B2778"/>
    <w:rsid w:val="5A2A7C7B"/>
    <w:rsid w:val="5A3C0E89"/>
    <w:rsid w:val="5A3E2560"/>
    <w:rsid w:val="5A5D3B6E"/>
    <w:rsid w:val="5A637A76"/>
    <w:rsid w:val="5A6D33BA"/>
    <w:rsid w:val="5A792B1F"/>
    <w:rsid w:val="5A806BCE"/>
    <w:rsid w:val="5A874767"/>
    <w:rsid w:val="5A902780"/>
    <w:rsid w:val="5AAD6F28"/>
    <w:rsid w:val="5AD63A24"/>
    <w:rsid w:val="5AEB34F6"/>
    <w:rsid w:val="5B0031FB"/>
    <w:rsid w:val="5B024457"/>
    <w:rsid w:val="5B091AC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10CAB"/>
    <w:rsid w:val="5FE34A5B"/>
    <w:rsid w:val="5FFE1E36"/>
    <w:rsid w:val="60232584"/>
    <w:rsid w:val="603354CB"/>
    <w:rsid w:val="607330CE"/>
    <w:rsid w:val="60825176"/>
    <w:rsid w:val="609E592D"/>
    <w:rsid w:val="609F2AC4"/>
    <w:rsid w:val="60E752AD"/>
    <w:rsid w:val="60FA2EE8"/>
    <w:rsid w:val="61054A27"/>
    <w:rsid w:val="610A52BC"/>
    <w:rsid w:val="611D2366"/>
    <w:rsid w:val="61421856"/>
    <w:rsid w:val="615227C4"/>
    <w:rsid w:val="61654E3F"/>
    <w:rsid w:val="6182292A"/>
    <w:rsid w:val="619145DE"/>
    <w:rsid w:val="619F7F92"/>
    <w:rsid w:val="61A54D73"/>
    <w:rsid w:val="61B51E9A"/>
    <w:rsid w:val="61E3027B"/>
    <w:rsid w:val="61F94C26"/>
    <w:rsid w:val="62000E56"/>
    <w:rsid w:val="624F3E49"/>
    <w:rsid w:val="62557CB5"/>
    <w:rsid w:val="62632286"/>
    <w:rsid w:val="62885958"/>
    <w:rsid w:val="62A36DC8"/>
    <w:rsid w:val="62F40B65"/>
    <w:rsid w:val="62FC2CFE"/>
    <w:rsid w:val="63024505"/>
    <w:rsid w:val="635B1DB5"/>
    <w:rsid w:val="63711FED"/>
    <w:rsid w:val="63880DDC"/>
    <w:rsid w:val="638D750D"/>
    <w:rsid w:val="63AC6CC0"/>
    <w:rsid w:val="63FC1843"/>
    <w:rsid w:val="64055776"/>
    <w:rsid w:val="64240056"/>
    <w:rsid w:val="643E143A"/>
    <w:rsid w:val="648B6EEF"/>
    <w:rsid w:val="64C158BF"/>
    <w:rsid w:val="64CE2EAA"/>
    <w:rsid w:val="65055500"/>
    <w:rsid w:val="653C3090"/>
    <w:rsid w:val="65854376"/>
    <w:rsid w:val="658767BE"/>
    <w:rsid w:val="65892531"/>
    <w:rsid w:val="66125E6A"/>
    <w:rsid w:val="66195831"/>
    <w:rsid w:val="662E75B1"/>
    <w:rsid w:val="66342C2E"/>
    <w:rsid w:val="663E784C"/>
    <w:rsid w:val="668B6A45"/>
    <w:rsid w:val="66C03831"/>
    <w:rsid w:val="67175E17"/>
    <w:rsid w:val="672F3F24"/>
    <w:rsid w:val="673E055F"/>
    <w:rsid w:val="67430B21"/>
    <w:rsid w:val="67551CE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B96DBB"/>
    <w:rsid w:val="68CA2805"/>
    <w:rsid w:val="68E937A3"/>
    <w:rsid w:val="690518FE"/>
    <w:rsid w:val="693E15D3"/>
    <w:rsid w:val="69627681"/>
    <w:rsid w:val="6977531D"/>
    <w:rsid w:val="69A2559F"/>
    <w:rsid w:val="69CC2BFF"/>
    <w:rsid w:val="69EC2FA3"/>
    <w:rsid w:val="69FD55B8"/>
    <w:rsid w:val="6A0B1C62"/>
    <w:rsid w:val="6A2406C8"/>
    <w:rsid w:val="6A9D7623"/>
    <w:rsid w:val="6ADE0BD1"/>
    <w:rsid w:val="6AE96859"/>
    <w:rsid w:val="6B017495"/>
    <w:rsid w:val="6B147746"/>
    <w:rsid w:val="6B24787C"/>
    <w:rsid w:val="6B4074FD"/>
    <w:rsid w:val="6B573233"/>
    <w:rsid w:val="6B5B6274"/>
    <w:rsid w:val="6B795CEF"/>
    <w:rsid w:val="6B8E6844"/>
    <w:rsid w:val="6B935D53"/>
    <w:rsid w:val="6BE96690"/>
    <w:rsid w:val="6BEC5E02"/>
    <w:rsid w:val="6C196F71"/>
    <w:rsid w:val="6C226FCB"/>
    <w:rsid w:val="6C31226F"/>
    <w:rsid w:val="6C552F0B"/>
    <w:rsid w:val="6C5F420E"/>
    <w:rsid w:val="6C8C67B7"/>
    <w:rsid w:val="6C9D744C"/>
    <w:rsid w:val="6D167928"/>
    <w:rsid w:val="6D26299B"/>
    <w:rsid w:val="6D4772EC"/>
    <w:rsid w:val="6D9078AF"/>
    <w:rsid w:val="6D956F05"/>
    <w:rsid w:val="6DAA3FEF"/>
    <w:rsid w:val="6DC0172B"/>
    <w:rsid w:val="6DCB690C"/>
    <w:rsid w:val="6DD41A5B"/>
    <w:rsid w:val="6DF43C2E"/>
    <w:rsid w:val="6DF51CA3"/>
    <w:rsid w:val="6E7F2DDF"/>
    <w:rsid w:val="6E8335BD"/>
    <w:rsid w:val="6E8E12EF"/>
    <w:rsid w:val="6E972936"/>
    <w:rsid w:val="6ECD3B4B"/>
    <w:rsid w:val="6ED446C5"/>
    <w:rsid w:val="6EFA5469"/>
    <w:rsid w:val="6F2A7D94"/>
    <w:rsid w:val="6F8331F1"/>
    <w:rsid w:val="6FAE1A09"/>
    <w:rsid w:val="6FC723AE"/>
    <w:rsid w:val="6FD75BF8"/>
    <w:rsid w:val="707723D0"/>
    <w:rsid w:val="70F5661B"/>
    <w:rsid w:val="71360107"/>
    <w:rsid w:val="713B688E"/>
    <w:rsid w:val="71565065"/>
    <w:rsid w:val="716F0815"/>
    <w:rsid w:val="71D43752"/>
    <w:rsid w:val="71F1796A"/>
    <w:rsid w:val="72154626"/>
    <w:rsid w:val="72262B5D"/>
    <w:rsid w:val="72283FF7"/>
    <w:rsid w:val="722E7212"/>
    <w:rsid w:val="723A0474"/>
    <w:rsid w:val="725923E4"/>
    <w:rsid w:val="72654D0D"/>
    <w:rsid w:val="726C657A"/>
    <w:rsid w:val="72864BF7"/>
    <w:rsid w:val="729023FC"/>
    <w:rsid w:val="73C0646E"/>
    <w:rsid w:val="742222F5"/>
    <w:rsid w:val="74476126"/>
    <w:rsid w:val="74706664"/>
    <w:rsid w:val="74750E52"/>
    <w:rsid w:val="747F3682"/>
    <w:rsid w:val="749C4185"/>
    <w:rsid w:val="75034C56"/>
    <w:rsid w:val="75067759"/>
    <w:rsid w:val="752E6DCD"/>
    <w:rsid w:val="75342268"/>
    <w:rsid w:val="754A11EA"/>
    <w:rsid w:val="7551380D"/>
    <w:rsid w:val="75600BE5"/>
    <w:rsid w:val="7564475C"/>
    <w:rsid w:val="7583797F"/>
    <w:rsid w:val="75C611E8"/>
    <w:rsid w:val="75D20F1D"/>
    <w:rsid w:val="75DA2C18"/>
    <w:rsid w:val="75F54412"/>
    <w:rsid w:val="761D08E0"/>
    <w:rsid w:val="765D347C"/>
    <w:rsid w:val="76826699"/>
    <w:rsid w:val="769036F1"/>
    <w:rsid w:val="76C87133"/>
    <w:rsid w:val="76CD08D5"/>
    <w:rsid w:val="76DB4B92"/>
    <w:rsid w:val="77052AA4"/>
    <w:rsid w:val="77136511"/>
    <w:rsid w:val="77340A39"/>
    <w:rsid w:val="77351FD0"/>
    <w:rsid w:val="77472422"/>
    <w:rsid w:val="777F31F2"/>
    <w:rsid w:val="77A71D85"/>
    <w:rsid w:val="77D1700D"/>
    <w:rsid w:val="77EC04CC"/>
    <w:rsid w:val="78510AC5"/>
    <w:rsid w:val="78590B7C"/>
    <w:rsid w:val="78775729"/>
    <w:rsid w:val="78A42DB0"/>
    <w:rsid w:val="78A656AB"/>
    <w:rsid w:val="78B2245C"/>
    <w:rsid w:val="78DA4DFB"/>
    <w:rsid w:val="78E172CC"/>
    <w:rsid w:val="78EA1D1F"/>
    <w:rsid w:val="7904172F"/>
    <w:rsid w:val="790F7E27"/>
    <w:rsid w:val="792A231A"/>
    <w:rsid w:val="79316829"/>
    <w:rsid w:val="797E66A9"/>
    <w:rsid w:val="79A97383"/>
    <w:rsid w:val="79E27E8B"/>
    <w:rsid w:val="79F43223"/>
    <w:rsid w:val="79F850CE"/>
    <w:rsid w:val="79FD443C"/>
    <w:rsid w:val="7A1D1975"/>
    <w:rsid w:val="7A3E5150"/>
    <w:rsid w:val="7A4670D6"/>
    <w:rsid w:val="7A534B63"/>
    <w:rsid w:val="7A615382"/>
    <w:rsid w:val="7A67303B"/>
    <w:rsid w:val="7A747570"/>
    <w:rsid w:val="7A9B5A0D"/>
    <w:rsid w:val="7AAB1D04"/>
    <w:rsid w:val="7ABA4368"/>
    <w:rsid w:val="7AD05746"/>
    <w:rsid w:val="7B257FFD"/>
    <w:rsid w:val="7B343476"/>
    <w:rsid w:val="7B5A2978"/>
    <w:rsid w:val="7B5A7E4C"/>
    <w:rsid w:val="7B667AF9"/>
    <w:rsid w:val="7B7468F8"/>
    <w:rsid w:val="7BEE0103"/>
    <w:rsid w:val="7C0A0FE4"/>
    <w:rsid w:val="7C254906"/>
    <w:rsid w:val="7C3F076A"/>
    <w:rsid w:val="7C590818"/>
    <w:rsid w:val="7C6304D2"/>
    <w:rsid w:val="7C7C10F6"/>
    <w:rsid w:val="7C853BEA"/>
    <w:rsid w:val="7C881368"/>
    <w:rsid w:val="7CE27788"/>
    <w:rsid w:val="7D0C32F1"/>
    <w:rsid w:val="7D0F408D"/>
    <w:rsid w:val="7D491C6C"/>
    <w:rsid w:val="7D5429C0"/>
    <w:rsid w:val="7D6E6D43"/>
    <w:rsid w:val="7DB57A34"/>
    <w:rsid w:val="7DE60973"/>
    <w:rsid w:val="7DEF0916"/>
    <w:rsid w:val="7E1E5218"/>
    <w:rsid w:val="7E4D77A1"/>
    <w:rsid w:val="7E823736"/>
    <w:rsid w:val="7E9A4E1F"/>
    <w:rsid w:val="7EA7723A"/>
    <w:rsid w:val="7EF56FBB"/>
    <w:rsid w:val="7F0768EB"/>
    <w:rsid w:val="7F143BEC"/>
    <w:rsid w:val="7F712CCC"/>
    <w:rsid w:val="7F715AF2"/>
    <w:rsid w:val="7F886E69"/>
    <w:rsid w:val="7FCA6F85"/>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link w:val="71"/>
    <w:unhideWhenUsed/>
    <w:qFormat/>
    <w:uiPriority w:val="1"/>
    <w:rPr>
      <w:rFonts w:ascii="仿宋_GB2312" w:eastAsia="仿宋_GB2312"/>
      <w:b/>
      <w:sz w:val="32"/>
      <w:szCs w:val="32"/>
    </w:rPr>
  </w:style>
  <w:style w:type="table" w:default="1" w:styleId="63">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link w:val="72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4"/>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9"/>
    <w:qFormat/>
    <w:uiPriority w:val="0"/>
    <w:pPr>
      <w:shd w:val="clear" w:color="auto" w:fill="000080"/>
    </w:pPr>
  </w:style>
  <w:style w:type="paragraph" w:styleId="19">
    <w:name w:val="annotation text"/>
    <w:basedOn w:val="1"/>
    <w:link w:val="857"/>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0">
    <w:name w:val="Salutation"/>
    <w:basedOn w:val="1"/>
    <w:next w:val="1"/>
    <w:link w:val="817"/>
    <w:qFormat/>
    <w:uiPriority w:val="0"/>
    <w:rPr>
      <w:rFonts w:ascii="仿宋_GB2312" w:eastAsia="仿宋_GB2312"/>
      <w:sz w:val="28"/>
      <w:szCs w:val="20"/>
    </w:rPr>
  </w:style>
  <w:style w:type="paragraph" w:styleId="21">
    <w:name w:val="Body Text 3"/>
    <w:basedOn w:val="1"/>
    <w:link w:val="845"/>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4"/>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836"/>
    <w:qFormat/>
    <w:uiPriority w:val="0"/>
    <w:pPr>
      <w:ind w:firstLine="420"/>
    </w:pPr>
    <w:rPr>
      <w:rFonts w:hAnsi="Calibri" w:cs="Times New Roman"/>
      <w:szCs w:val="20"/>
    </w:rPr>
  </w:style>
  <w:style w:type="paragraph" w:styleId="25">
    <w:name w:val="toc 6"/>
    <w:basedOn w:val="1"/>
    <w:next w:val="1"/>
    <w:qFormat/>
    <w:uiPriority w:val="0"/>
    <w:pPr>
      <w:ind w:left="2100" w:leftChars="1000"/>
    </w:pPr>
  </w:style>
  <w:style w:type="paragraph" w:styleId="26">
    <w:name w:val="Body Text Indent"/>
    <w:basedOn w:val="1"/>
    <w:next w:val="27"/>
    <w:link w:val="785"/>
    <w:qFormat/>
    <w:uiPriority w:val="0"/>
    <w:pPr>
      <w:spacing w:line="480" w:lineRule="exact"/>
      <w:ind w:firstLine="480" w:firstLineChars="200"/>
    </w:pPr>
    <w:rPr>
      <w:rFonts w:ascii="宋体" w:hAnsi="宋体"/>
      <w:sz w:val="24"/>
    </w:rPr>
  </w:style>
  <w:style w:type="paragraph" w:customStyle="1" w:styleId="27">
    <w:name w:val="正文文本首行缩进 21"/>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1"/>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1"/>
    <w:qFormat/>
    <w:uiPriority w:val="0"/>
    <w:pPr>
      <w:ind w:left="100" w:leftChars="2500"/>
    </w:pPr>
    <w:rPr>
      <w:rFonts w:ascii="宋体"/>
      <w:sz w:val="24"/>
      <w:szCs w:val="21"/>
      <w:lang w:val="zh-CN"/>
    </w:rPr>
  </w:style>
  <w:style w:type="paragraph" w:styleId="39">
    <w:name w:val="Body Text Indent 2"/>
    <w:basedOn w:val="1"/>
    <w:link w:val="825"/>
    <w:qFormat/>
    <w:uiPriority w:val="0"/>
    <w:pPr>
      <w:spacing w:line="360" w:lineRule="auto"/>
      <w:ind w:firstLine="601"/>
      <w:textAlignment w:val="baseline"/>
    </w:pPr>
    <w:rPr>
      <w:rFonts w:ascii="宋体"/>
      <w:kern w:val="0"/>
      <w:sz w:val="28"/>
      <w:szCs w:val="20"/>
    </w:rPr>
  </w:style>
  <w:style w:type="paragraph" w:styleId="40">
    <w:name w:val="endnote text"/>
    <w:basedOn w:val="1"/>
    <w:link w:val="942"/>
    <w:qFormat/>
    <w:uiPriority w:val="0"/>
    <w:rPr>
      <w:lang w:val="zh-CN"/>
    </w:rPr>
  </w:style>
  <w:style w:type="paragraph" w:styleId="41">
    <w:name w:val="Balloon Text"/>
    <w:basedOn w:val="1"/>
    <w:link w:val="718"/>
    <w:qFormat/>
    <w:uiPriority w:val="0"/>
    <w:rPr>
      <w:sz w:val="18"/>
      <w:szCs w:val="18"/>
    </w:rPr>
  </w:style>
  <w:style w:type="paragraph" w:styleId="42">
    <w:name w:val="footer"/>
    <w:basedOn w:val="1"/>
    <w:link w:val="893"/>
    <w:qFormat/>
    <w:uiPriority w:val="99"/>
    <w:pPr>
      <w:tabs>
        <w:tab w:val="center" w:pos="4153"/>
        <w:tab w:val="right" w:pos="8306"/>
      </w:tabs>
      <w:snapToGrid w:val="0"/>
      <w:jc w:val="left"/>
    </w:pPr>
    <w:rPr>
      <w:sz w:val="18"/>
      <w:szCs w:val="18"/>
    </w:rPr>
  </w:style>
  <w:style w:type="paragraph" w:styleId="43">
    <w:name w:val="header"/>
    <w:basedOn w:val="1"/>
    <w:link w:val="90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8"/>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7"/>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1"/>
    <w:qFormat/>
    <w:uiPriority w:val="0"/>
    <w:pPr>
      <w:spacing w:after="120" w:line="480" w:lineRule="auto"/>
    </w:pPr>
  </w:style>
  <w:style w:type="paragraph" w:styleId="58">
    <w:name w:val="HTML Preformatted"/>
    <w:basedOn w:val="1"/>
    <w:link w:val="8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5"/>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4"/>
    <w:qFormat/>
    <w:uiPriority w:val="0"/>
    <w:rPr>
      <w:b/>
      <w:bCs/>
    </w:rPr>
  </w:style>
  <w:style w:type="paragraph" w:styleId="62">
    <w:name w:val="Body Text First Indent 2"/>
    <w:basedOn w:val="26"/>
    <w:link w:val="657"/>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1">
    <w:name w:val="Char Char Char Char Char Char Char Char Char Char Char Char Char"/>
    <w:basedOn w:val="1"/>
    <w:link w:val="70"/>
    <w:qFormat/>
    <w:uiPriority w:val="0"/>
    <w:rPr>
      <w:rFonts w:ascii="仿宋_GB2312" w:eastAsia="仿宋_GB2312"/>
      <w:b/>
      <w:sz w:val="32"/>
      <w:szCs w:val="32"/>
    </w:r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0"/>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0"/>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NormalIndent"/>
    <w:basedOn w:val="1"/>
    <w:qFormat/>
    <w:uiPriority w:val="0"/>
    <w:pPr>
      <w:ind w:firstLine="420"/>
      <w:jc w:val="both"/>
      <w:textAlignment w:val="baseline"/>
    </w:pPr>
    <w:rPr>
      <w:rFonts w:ascii="Calibri" w:hAnsi="Calibri" w:eastAsia="宋体"/>
      <w:kern w:val="2"/>
      <w:sz w:val="21"/>
      <w:szCs w:val="20"/>
      <w:lang w:val="en-US" w:eastAsia="zh-CN" w:bidi="ar-SA"/>
    </w:rPr>
  </w:style>
  <w:style w:type="paragraph" w:customStyle="1" w:styleId="82">
    <w:name w:val="正文文本首行缩进 2"/>
    <w:basedOn w:val="26"/>
    <w:qFormat/>
    <w:uiPriority w:val="99"/>
    <w:pPr>
      <w:spacing w:line="200" w:lineRule="atLeast"/>
      <w:ind w:firstLine="420"/>
    </w:pPr>
    <w:rPr>
      <w:rFonts w:ascii="宋体" w:hAnsi="Courier New"/>
      <w:spacing w:val="-4"/>
      <w:sz w:val="18"/>
    </w:rPr>
  </w:style>
  <w:style w:type="paragraph" w:customStyle="1" w:styleId="83">
    <w:name w:val="表格非标题文字"/>
    <w:link w:val="62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4"/>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32"/>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9"/>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5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6"/>
    <w:qFormat/>
    <w:uiPriority w:val="0"/>
    <w:pPr>
      <w:spacing w:before="156" w:line="360" w:lineRule="auto"/>
      <w:ind w:firstLine="510" w:firstLineChars="200"/>
    </w:pPr>
    <w:rPr>
      <w:sz w:val="24"/>
      <w:szCs w:val="20"/>
    </w:rPr>
  </w:style>
  <w:style w:type="paragraph" w:customStyle="1" w:styleId="89">
    <w:name w:val="无间隔1"/>
    <w:link w:val="674"/>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82"/>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92"/>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3"/>
    <w:link w:val="701"/>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21"/>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7"/>
    <w:qFormat/>
    <w:uiPriority w:val="0"/>
    <w:pPr>
      <w:ind w:left="0" w:right="466" w:firstLine="288"/>
    </w:pPr>
    <w:rPr>
      <w:rFonts w:hAnsi="宋体"/>
    </w:rPr>
  </w:style>
  <w:style w:type="paragraph" w:customStyle="1" w:styleId="96">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6"/>
    <w:link w:val="74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51"/>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9"/>
    <w:qFormat/>
    <w:uiPriority w:val="0"/>
    <w:pPr>
      <w:adjustRightInd/>
      <w:spacing w:line="360" w:lineRule="auto"/>
      <w:ind w:firstLine="480" w:firstLineChars="200"/>
    </w:pPr>
    <w:rPr>
      <w:kern w:val="0"/>
      <w:sz w:val="24"/>
    </w:rPr>
  </w:style>
  <w:style w:type="paragraph" w:customStyle="1" w:styleId="101">
    <w:name w:val="gf正文1"/>
    <w:basedOn w:val="1"/>
    <w:link w:val="77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800"/>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2"/>
    <w:qFormat/>
    <w:uiPriority w:val="0"/>
    <w:pPr>
      <w:tabs>
        <w:tab w:val="left" w:pos="2356"/>
      </w:tabs>
    </w:pPr>
  </w:style>
  <w:style w:type="paragraph" w:customStyle="1" w:styleId="106">
    <w:name w:val="样式 标题 4h4H4Fab-4T5Ref Heading 1rh1Heading sqlsect 1.2.3...."/>
    <w:basedOn w:val="6"/>
    <w:link w:val="9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5"/>
    <w:qFormat/>
    <w:uiPriority w:val="0"/>
    <w:pPr>
      <w:adjustRightInd/>
    </w:pPr>
    <w:rPr>
      <w:rFonts w:ascii="宋体" w:hAnsi="Courier New"/>
      <w:kern w:val="0"/>
      <w:sz w:val="20"/>
      <w:szCs w:val="20"/>
    </w:rPr>
  </w:style>
  <w:style w:type="paragraph" w:customStyle="1" w:styleId="109">
    <w:name w:val="正文说明"/>
    <w:basedOn w:val="1"/>
    <w:link w:val="847"/>
    <w:qFormat/>
    <w:uiPriority w:val="0"/>
    <w:pPr>
      <w:adjustRightInd/>
      <w:spacing w:line="360" w:lineRule="auto"/>
    </w:pPr>
    <w:rPr>
      <w:kern w:val="0"/>
      <w:sz w:val="24"/>
    </w:rPr>
  </w:style>
  <w:style w:type="paragraph" w:customStyle="1" w:styleId="110">
    <w:name w:val="Table Text"/>
    <w:basedOn w:val="1"/>
    <w:link w:val="853"/>
    <w:qFormat/>
    <w:uiPriority w:val="0"/>
    <w:pPr>
      <w:widowControl/>
      <w:spacing w:before="60" w:after="60"/>
      <w:jc w:val="left"/>
    </w:pPr>
    <w:rPr>
      <w:kern w:val="0"/>
      <w:sz w:val="24"/>
    </w:rPr>
  </w:style>
  <w:style w:type="paragraph" w:customStyle="1" w:styleId="111">
    <w:name w:val="公文正文"/>
    <w:basedOn w:val="1"/>
    <w:link w:val="865"/>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9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8"/>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5"/>
    <w:qFormat/>
    <w:uiPriority w:val="0"/>
    <w:pPr>
      <w:widowControl/>
      <w:snapToGrid w:val="0"/>
      <w:spacing w:after="156" w:afterLines="50"/>
      <w:ind w:firstLine="200" w:firstLineChars="200"/>
    </w:pPr>
    <w:rPr>
      <w:kern w:val="0"/>
      <w:sz w:val="24"/>
      <w:szCs w:val="20"/>
    </w:rPr>
  </w:style>
  <w:style w:type="paragraph" w:customStyle="1" w:styleId="116">
    <w:name w:val="冯广丽"/>
    <w:basedOn w:val="1"/>
    <w:link w:val="908"/>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4"/>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21"/>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5"/>
    <w:link w:val="93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6"/>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312"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spacing w:before="0" w:after="0"/>
      <w:outlineLvl w:val="5"/>
    </w:pPr>
  </w:style>
  <w:style w:type="paragraph" w:customStyle="1" w:styleId="160">
    <w:name w:val="5级标题"/>
    <w:basedOn w:val="161"/>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3"/>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4"/>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7"/>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4"/>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6"/>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qFormat/>
    <w:uiPriority w:val="0"/>
    <w:rPr>
      <w:rFonts w:ascii="宋体" w:eastAsia="宋体" w:cs="Times New Roman"/>
      <w:color w:val="auto"/>
    </w:rPr>
  </w:style>
  <w:style w:type="paragraph" w:customStyle="1" w:styleId="2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156"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7"/>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2"/>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156"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0" w:beforeLines="0" w:after="0" w:afterLines="0"/>
      <w:ind w:left="1680"/>
      <w:outlineLvl w:val="2"/>
    </w:pPr>
  </w:style>
  <w:style w:type="paragraph" w:customStyle="1" w:styleId="344">
    <w:name w:val="章标题"/>
    <w:next w:val="32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6"/>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9"/>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3"/>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6"/>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1"/>
    <w:next w:val="326"/>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0"/>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18"/>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8"/>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4"/>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5"/>
    <w:qFormat/>
    <w:uiPriority w:val="0"/>
    <w:rPr>
      <w:b w:val="0"/>
      <w:sz w:val="20"/>
    </w:rPr>
  </w:style>
  <w:style w:type="paragraph" w:customStyle="1" w:styleId="580">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7"/>
    <w:next w:val="1"/>
    <w:qFormat/>
    <w:uiPriority w:val="0"/>
    <w:pPr>
      <w:tabs>
        <w:tab w:val="left" w:pos="1080"/>
        <w:tab w:val="clear" w:pos="1008"/>
      </w:tabs>
      <w:ind w:left="1080" w:hanging="1080"/>
    </w:pPr>
  </w:style>
  <w:style w:type="paragraph" w:customStyle="1" w:styleId="583">
    <w:name w:val="数字标题1"/>
    <w:basedOn w:val="2"/>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29"/>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8"/>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4"/>
    <w:qFormat/>
    <w:uiPriority w:val="0"/>
    <w:pPr>
      <w:adjustRightInd/>
      <w:spacing w:line="360" w:lineRule="auto"/>
      <w:ind w:firstLine="480" w:firstLineChars="200"/>
    </w:pPr>
    <w:rPr>
      <w:rFonts w:cs="宋体"/>
      <w:sz w:val="24"/>
      <w:szCs w:val="20"/>
    </w:rPr>
  </w:style>
  <w:style w:type="paragraph" w:customStyle="1" w:styleId="609">
    <w:name w:val="_Style 947"/>
    <w:basedOn w:val="1"/>
    <w:next w:val="103"/>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622">
    <w:name w:val="[Normal]"/>
    <w:qFormat/>
    <w:uiPriority w:val="0"/>
    <w:rPr>
      <w:rFonts w:ascii="宋体" w:hAnsi="宋体" w:eastAsia="宋体" w:cs="Times New Roman"/>
      <w:sz w:val="24"/>
      <w:szCs w:val="22"/>
      <w:lang w:val="zh-CN" w:eastAsia="zh-CN" w:bidi="ar-SA"/>
    </w:rPr>
  </w:style>
  <w:style w:type="character" w:customStyle="1" w:styleId="623">
    <w:name w:val="表格非标题文字 Char"/>
    <w:link w:val="83"/>
    <w:qFormat/>
    <w:uiPriority w:val="0"/>
    <w:rPr>
      <w:rFonts w:ascii="Futura Bk" w:hAnsi="Futura Bk"/>
      <w:kern w:val="2"/>
      <w:sz w:val="18"/>
      <w:szCs w:val="21"/>
      <w:lang w:val="en-US" w:eastAsia="zh-CN" w:bidi="ar-SA"/>
    </w:rPr>
  </w:style>
  <w:style w:type="character" w:customStyle="1" w:styleId="624">
    <w:name w:val="*正文 Char"/>
    <w:link w:val="84"/>
    <w:qFormat/>
    <w:locked/>
    <w:uiPriority w:val="0"/>
    <w:rPr>
      <w:rFonts w:ascii="宋体" w:hAnsi="宋体"/>
      <w:sz w:val="24"/>
    </w:rPr>
  </w:style>
  <w:style w:type="character" w:customStyle="1" w:styleId="625">
    <w:name w:val="Char Char71"/>
    <w:semiHidden/>
    <w:qFormat/>
    <w:uiPriority w:val="0"/>
    <w:rPr>
      <w:rFonts w:eastAsia="宋体"/>
      <w:kern w:val="2"/>
      <w:sz w:val="21"/>
      <w:szCs w:val="24"/>
      <w:lang w:val="en-US" w:eastAsia="zh-CN" w:bidi="ar-SA"/>
    </w:rPr>
  </w:style>
  <w:style w:type="character" w:customStyle="1" w:styleId="626">
    <w:name w:val="Char Char6"/>
    <w:qFormat/>
    <w:uiPriority w:val="0"/>
    <w:rPr>
      <w:rFonts w:eastAsia="宋体"/>
      <w:kern w:val="2"/>
      <w:sz w:val="21"/>
      <w:szCs w:val="24"/>
      <w:lang w:val="en-US" w:eastAsia="zh-CN" w:bidi="ar-SA"/>
    </w:rPr>
  </w:style>
  <w:style w:type="character" w:customStyle="1" w:styleId="627">
    <w:name w:val="正文缩进 Char"/>
    <w:qFormat/>
    <w:uiPriority w:val="0"/>
    <w:rPr>
      <w:rFonts w:eastAsia="宋体"/>
      <w:kern w:val="2"/>
      <w:sz w:val="21"/>
      <w:lang w:val="en-US" w:eastAsia="zh-CN"/>
    </w:rPr>
  </w:style>
  <w:style w:type="character" w:customStyle="1" w:styleId="628">
    <w:name w:val="正文首行缩进 Char1"/>
    <w:qFormat/>
    <w:uiPriority w:val="0"/>
    <w:rPr>
      <w:rFonts w:ascii="宋体" w:hAnsi="Times New Roman" w:eastAsia="宋体" w:cs="Times New Roman"/>
      <w:snapToGrid w:val="0"/>
      <w:kern w:val="2"/>
      <w:sz w:val="24"/>
      <w:szCs w:val="21"/>
      <w:lang w:val="zh-CN"/>
    </w:rPr>
  </w:style>
  <w:style w:type="character" w:customStyle="1" w:styleId="629">
    <w:name w:val="Char Char28"/>
    <w:qFormat/>
    <w:uiPriority w:val="6"/>
    <w:rPr>
      <w:rFonts w:ascii="仿宋_GB2312" w:hAnsi="仿宋_GB2312" w:eastAsia="仿宋_GB2312"/>
      <w:kern w:val="1"/>
      <w:sz w:val="28"/>
    </w:rPr>
  </w:style>
  <w:style w:type="character" w:customStyle="1" w:styleId="63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1">
    <w:name w:val="Heading 1 Char"/>
    <w:qFormat/>
    <w:uiPriority w:val="6"/>
    <w:rPr>
      <w:rFonts w:ascii="Times New Roman" w:hAnsi="Times New Roman" w:eastAsia="黑体" w:cs="Times New Roman"/>
      <w:b/>
      <w:kern w:val="0"/>
      <w:sz w:val="24"/>
      <w:szCs w:val="24"/>
    </w:rPr>
  </w:style>
  <w:style w:type="character" w:customStyle="1" w:styleId="632">
    <w:name w:val="U_正文 Char"/>
    <w:link w:val="85"/>
    <w:qFormat/>
    <w:uiPriority w:val="0"/>
    <w:rPr>
      <w:sz w:val="24"/>
      <w:szCs w:val="24"/>
    </w:rPr>
  </w:style>
  <w:style w:type="character" w:customStyle="1" w:styleId="633">
    <w:name w:val="HTML 地址 Char1"/>
    <w:qFormat/>
    <w:uiPriority w:val="0"/>
    <w:rPr>
      <w:rFonts w:ascii="Times New Roman" w:hAnsi="Times New Roman" w:eastAsia="宋体" w:cs="Times New Roman"/>
      <w:i/>
      <w:iCs/>
      <w:szCs w:val="24"/>
    </w:rPr>
  </w:style>
  <w:style w:type="character" w:customStyle="1" w:styleId="634">
    <w:name w:val="批注主题 Char1"/>
    <w:link w:val="61"/>
    <w:qFormat/>
    <w:uiPriority w:val="0"/>
    <w:rPr>
      <w:b/>
      <w:bCs/>
      <w:kern w:val="2"/>
      <w:sz w:val="21"/>
      <w:szCs w:val="24"/>
    </w:rPr>
  </w:style>
  <w:style w:type="character" w:customStyle="1" w:styleId="635">
    <w:name w:val="Char Char51"/>
    <w:qFormat/>
    <w:uiPriority w:val="0"/>
    <w:rPr>
      <w:rFonts w:ascii="宋体" w:hAnsi="Courier New" w:eastAsia="宋体"/>
      <w:kern w:val="2"/>
      <w:sz w:val="21"/>
      <w:lang w:val="en-US" w:eastAsia="zh-CN"/>
    </w:rPr>
  </w:style>
  <w:style w:type="character" w:customStyle="1" w:styleId="636">
    <w:name w:val="表正文 Char"/>
    <w:qFormat/>
    <w:uiPriority w:val="0"/>
    <w:rPr>
      <w:rFonts w:ascii="宋体" w:eastAsia="宋体"/>
      <w:snapToGrid w:val="0"/>
      <w:color w:val="000000"/>
      <w:kern w:val="28"/>
      <w:sz w:val="28"/>
      <w:lang w:val="en-US" w:eastAsia="zh-CN" w:bidi="ar-SA"/>
    </w:rPr>
  </w:style>
  <w:style w:type="character" w:customStyle="1" w:styleId="637">
    <w:name w:val="Char Char34"/>
    <w:qFormat/>
    <w:uiPriority w:val="6"/>
    <w:rPr>
      <w:b/>
      <w:kern w:val="1"/>
      <w:sz w:val="28"/>
      <w:szCs w:val="28"/>
    </w:rPr>
  </w:style>
  <w:style w:type="character" w:customStyle="1" w:styleId="6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9">
    <w:name w:val="哈哈正文 Char"/>
    <w:link w:val="86"/>
    <w:qFormat/>
    <w:uiPriority w:val="0"/>
    <w:rPr>
      <w:rFonts w:ascii="宋体" w:hAnsi="宋体" w:eastAsia="宋体"/>
      <w:kern w:val="2"/>
      <w:sz w:val="24"/>
      <w:lang w:bidi="ar-SA"/>
    </w:rPr>
  </w:style>
  <w:style w:type="character" w:customStyle="1" w:styleId="640">
    <w:name w:val="未处理的提及1"/>
    <w:qFormat/>
    <w:uiPriority w:val="0"/>
    <w:rPr>
      <w:color w:val="808080"/>
      <w:shd w:val="clear" w:color="auto" w:fill="E6E6E6"/>
    </w:rPr>
  </w:style>
  <w:style w:type="character" w:customStyle="1" w:styleId="641">
    <w:name w:val="txt"/>
    <w:qFormat/>
    <w:uiPriority w:val="0"/>
    <w:rPr>
      <w:rFonts w:ascii="仿宋_GB2312" w:eastAsia="微软雅黑"/>
      <w:b/>
      <w:kern w:val="2"/>
      <w:sz w:val="32"/>
      <w:szCs w:val="32"/>
      <w:lang w:val="en-US" w:eastAsia="zh-CN" w:bidi="ar-SA"/>
    </w:rPr>
  </w:style>
  <w:style w:type="character" w:customStyle="1" w:styleId="642">
    <w:name w:val="二级标题 Char Char"/>
    <w:qFormat/>
    <w:uiPriority w:val="0"/>
    <w:rPr>
      <w:rFonts w:ascii="宋体" w:hAnsi="宋体" w:eastAsia="宋体"/>
      <w:b/>
      <w:snapToGrid w:val="0"/>
      <w:kern w:val="2"/>
      <w:sz w:val="24"/>
      <w:szCs w:val="24"/>
      <w:lang w:val="en-US" w:eastAsia="zh-CN" w:bidi="ar-SA"/>
    </w:rPr>
  </w:style>
  <w:style w:type="character" w:customStyle="1" w:styleId="643">
    <w:name w:val="Char Char32"/>
    <w:qFormat/>
    <w:uiPriority w:val="6"/>
    <w:rPr>
      <w:b/>
      <w:kern w:val="1"/>
      <w:sz w:val="24"/>
      <w:szCs w:val="24"/>
    </w:rPr>
  </w:style>
  <w:style w:type="character" w:customStyle="1" w:styleId="644">
    <w:name w:val="PI Char1"/>
    <w:qFormat/>
    <w:uiPriority w:val="0"/>
    <w:rPr>
      <w:rFonts w:ascii="宋体" w:hAnsi="宋体"/>
      <w:kern w:val="2"/>
      <w:sz w:val="24"/>
      <w:szCs w:val="24"/>
    </w:rPr>
  </w:style>
  <w:style w:type="character" w:customStyle="1" w:styleId="645">
    <w:name w:val="tw4winTerm"/>
    <w:qFormat/>
    <w:uiPriority w:val="0"/>
    <w:rPr>
      <w:color w:val="0000FF"/>
    </w:rPr>
  </w:style>
  <w:style w:type="character" w:customStyle="1" w:styleId="646">
    <w:name w:val="Footer Char"/>
    <w:qFormat/>
    <w:locked/>
    <w:uiPriority w:val="0"/>
    <w:rPr>
      <w:rFonts w:eastAsia="宋体"/>
      <w:kern w:val="2"/>
      <w:sz w:val="18"/>
      <w:lang w:val="en-US" w:eastAsia="zh-CN" w:bidi="ar-SA"/>
    </w:rPr>
  </w:style>
  <w:style w:type="character" w:customStyle="1" w:styleId="647">
    <w:name w:val="普通文字 Char Char1"/>
    <w:qFormat/>
    <w:uiPriority w:val="0"/>
    <w:rPr>
      <w:rFonts w:ascii="宋体" w:hAnsi="Courier New"/>
      <w:kern w:val="2"/>
      <w:sz w:val="21"/>
    </w:rPr>
  </w:style>
  <w:style w:type="character" w:customStyle="1" w:styleId="648">
    <w:name w:val="Char Char101"/>
    <w:qFormat/>
    <w:uiPriority w:val="6"/>
    <w:rPr>
      <w:rFonts w:ascii="宋体" w:hAnsi="宋体"/>
      <w:kern w:val="2"/>
      <w:sz w:val="21"/>
      <w:szCs w:val="24"/>
      <w:lang w:val="en-US" w:eastAsia="zh-CN"/>
    </w:rPr>
  </w:style>
  <w:style w:type="character" w:customStyle="1" w:styleId="649">
    <w:name w:val="标题 4 Char"/>
    <w:qFormat/>
    <w:uiPriority w:val="0"/>
    <w:rPr>
      <w:rFonts w:ascii="Arial" w:hAnsi="Arial" w:eastAsia="黑体"/>
      <w:b/>
      <w:kern w:val="2"/>
      <w:sz w:val="28"/>
    </w:rPr>
  </w:style>
  <w:style w:type="character" w:customStyle="1" w:styleId="650">
    <w:name w:val="链接"/>
    <w:qFormat/>
    <w:uiPriority w:val="0"/>
    <w:rPr>
      <w:color w:val="0000FF"/>
      <w:sz w:val="21"/>
      <w:szCs w:val="21"/>
      <w:u w:val="single"/>
    </w:rPr>
  </w:style>
  <w:style w:type="character" w:customStyle="1" w:styleId="651">
    <w:name w:val="h4 Char"/>
    <w:qFormat/>
    <w:uiPriority w:val="0"/>
    <w:rPr>
      <w:rFonts w:ascii="Arial" w:hAnsi="Arial" w:eastAsia="黑体"/>
      <w:b/>
      <w:bCs/>
      <w:kern w:val="2"/>
      <w:sz w:val="28"/>
      <w:szCs w:val="28"/>
      <w:lang w:val="zh-CN" w:eastAsia="zh-CN" w:bidi="ar-SA"/>
    </w:rPr>
  </w:style>
  <w:style w:type="character" w:customStyle="1" w:styleId="652">
    <w:name w:val="5正文 Char"/>
    <w:link w:val="87"/>
    <w:qFormat/>
    <w:uiPriority w:val="0"/>
    <w:rPr>
      <w:rFonts w:ascii="仿宋_GB2312" w:hAnsi="微软雅黑" w:eastAsia="仿宋_GB2312"/>
      <w:sz w:val="28"/>
      <w:szCs w:val="21"/>
    </w:rPr>
  </w:style>
  <w:style w:type="character" w:customStyle="1" w:styleId="653">
    <w:name w:val="标题 3 字符"/>
    <w:qFormat/>
    <w:uiPriority w:val="9"/>
    <w:rPr>
      <w:b/>
      <w:bCs/>
      <w:kern w:val="2"/>
      <w:sz w:val="32"/>
      <w:szCs w:val="32"/>
    </w:rPr>
  </w:style>
  <w:style w:type="character" w:customStyle="1" w:styleId="654">
    <w:name w:val="样式6 Char"/>
    <w:qFormat/>
    <w:uiPriority w:val="0"/>
    <w:rPr>
      <w:rFonts w:ascii="仿宋_GB2312" w:hAnsi="宋体" w:eastAsia="仿宋_GB2312"/>
      <w:b/>
      <w:bCs/>
      <w:kern w:val="2"/>
      <w:sz w:val="24"/>
      <w:szCs w:val="24"/>
      <w:lang w:val="en-US" w:eastAsia="zh-CN" w:bidi="ar-SA"/>
    </w:rPr>
  </w:style>
  <w:style w:type="character" w:customStyle="1" w:styleId="655">
    <w:name w:val="Char Char14"/>
    <w:qFormat/>
    <w:uiPriority w:val="6"/>
    <w:rPr>
      <w:rFonts w:ascii="黑体" w:hAnsi="黑体" w:eastAsia="黑体"/>
    </w:rPr>
  </w:style>
  <w:style w:type="character" w:customStyle="1" w:styleId="656">
    <w:name w:val="Heading 2 Hidden Char"/>
    <w:qFormat/>
    <w:uiPriority w:val="0"/>
    <w:rPr>
      <w:rFonts w:ascii="仿宋_GB2312" w:eastAsia="仿宋_GB2312"/>
      <w:b/>
      <w:bCs/>
      <w:kern w:val="2"/>
      <w:sz w:val="24"/>
      <w:szCs w:val="24"/>
      <w:lang w:val="zh-CN" w:eastAsia="zh-CN" w:bidi="ar-SA"/>
    </w:rPr>
  </w:style>
  <w:style w:type="character" w:customStyle="1" w:styleId="657">
    <w:name w:val="正文首行缩进 2 Char"/>
    <w:link w:val="62"/>
    <w:qFormat/>
    <w:uiPriority w:val="0"/>
    <w:rPr>
      <w:rFonts w:ascii="宋体" w:hAnsi="宋体"/>
      <w:kern w:val="2"/>
      <w:sz w:val="21"/>
      <w:szCs w:val="24"/>
    </w:rPr>
  </w:style>
  <w:style w:type="character" w:customStyle="1" w:styleId="658">
    <w:name w:val="font11"/>
    <w:qFormat/>
    <w:uiPriority w:val="0"/>
    <w:rPr>
      <w:rFonts w:hint="default" w:ascii="Times New Roman" w:hAnsi="Times New Roman" w:cs="Times New Roman"/>
      <w:color w:val="000000"/>
      <w:sz w:val="22"/>
      <w:szCs w:val="22"/>
      <w:u w:val="none"/>
    </w:rPr>
  </w:style>
  <w:style w:type="character" w:customStyle="1" w:styleId="659">
    <w:name w:val="表正文 Char1"/>
    <w:qFormat/>
    <w:uiPriority w:val="0"/>
    <w:rPr>
      <w:rFonts w:ascii="宋体" w:eastAsia="宋体"/>
      <w:snapToGrid w:val="0"/>
      <w:color w:val="000000"/>
      <w:kern w:val="28"/>
      <w:sz w:val="28"/>
    </w:rPr>
  </w:style>
  <w:style w:type="character" w:customStyle="1" w:styleId="660">
    <w:name w:val="blue1"/>
    <w:basedOn w:val="70"/>
    <w:qFormat/>
    <w:uiPriority w:val="0"/>
    <w:rPr>
      <w:rFonts w:ascii="Arial" w:hAnsi="Arial" w:eastAsia="黑体" w:cs="Arial"/>
      <w:snapToGrid w:val="0"/>
      <w:kern w:val="0"/>
      <w:szCs w:val="21"/>
    </w:rPr>
  </w:style>
  <w:style w:type="character" w:customStyle="1" w:styleId="661">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2">
    <w:name w:val="标书1 Char"/>
    <w:qFormat/>
    <w:uiPriority w:val="0"/>
    <w:rPr>
      <w:rFonts w:eastAsia="宋体"/>
      <w:b/>
      <w:bCs/>
      <w:kern w:val="44"/>
      <w:sz w:val="44"/>
      <w:szCs w:val="44"/>
      <w:lang w:val="en-US" w:eastAsia="zh-CN" w:bidi="ar-SA"/>
    </w:rPr>
  </w:style>
  <w:style w:type="character" w:customStyle="1" w:styleId="663">
    <w:name w:val="样式5 Char"/>
    <w:qFormat/>
    <w:uiPriority w:val="0"/>
    <w:rPr>
      <w:rFonts w:ascii="仿宋_GB2312" w:hAnsi="仿宋" w:eastAsia="仿宋_GB2312"/>
      <w:kern w:val="2"/>
      <w:sz w:val="24"/>
      <w:szCs w:val="24"/>
    </w:rPr>
  </w:style>
  <w:style w:type="character" w:customStyle="1" w:styleId="664">
    <w:name w:val="样式4 Char"/>
    <w:qFormat/>
    <w:uiPriority w:val="0"/>
    <w:rPr>
      <w:rFonts w:ascii="仿宋_GB2312" w:hAnsi="仿宋" w:eastAsia="仿宋_GB2312"/>
      <w:b/>
      <w:kern w:val="2"/>
      <w:sz w:val="32"/>
      <w:szCs w:val="32"/>
      <w:lang w:bidi="ar-SA"/>
    </w:rPr>
  </w:style>
  <w:style w:type="character" w:customStyle="1" w:styleId="665">
    <w:name w:val="插图说明 Char"/>
    <w:qFormat/>
    <w:uiPriority w:val="0"/>
    <w:rPr>
      <w:rFonts w:eastAsia="黑体"/>
      <w:sz w:val="24"/>
      <w:lang w:val="en-US" w:eastAsia="zh-CN"/>
    </w:rPr>
  </w:style>
  <w:style w:type="character" w:customStyle="1" w:styleId="666">
    <w:name w:val="正文2 Char Char"/>
    <w:link w:val="88"/>
    <w:qFormat/>
    <w:uiPriority w:val="0"/>
    <w:rPr>
      <w:rFonts w:eastAsia="宋体"/>
      <w:kern w:val="2"/>
      <w:sz w:val="24"/>
      <w:lang w:val="en-US" w:eastAsia="zh-CN" w:bidi="ar-SA"/>
    </w:rPr>
  </w:style>
  <w:style w:type="character" w:customStyle="1" w:styleId="667">
    <w:name w:val="Char Char24"/>
    <w:qFormat/>
    <w:uiPriority w:val="6"/>
    <w:rPr>
      <w:kern w:val="1"/>
      <w:sz w:val="21"/>
    </w:rPr>
  </w:style>
  <w:style w:type="character" w:customStyle="1" w:styleId="668">
    <w:name w:val="副标题 Char"/>
    <w:link w:val="49"/>
    <w:qFormat/>
    <w:uiPriority w:val="0"/>
    <w:rPr>
      <w:rFonts w:ascii="Arial" w:hAnsi="Arial" w:eastAsia="隶书"/>
      <w:b/>
      <w:bCs/>
      <w:kern w:val="28"/>
      <w:sz w:val="44"/>
      <w:szCs w:val="32"/>
      <w:lang w:val="en-US" w:eastAsia="zh-CN" w:bidi="ar-SA"/>
    </w:rPr>
  </w:style>
  <w:style w:type="character" w:customStyle="1" w:styleId="669">
    <w:name w:val="普通文字 Char1 Char"/>
    <w:qFormat/>
    <w:uiPriority w:val="0"/>
    <w:rPr>
      <w:rFonts w:ascii="宋体" w:hAnsi="Courier New" w:eastAsia="宋体"/>
      <w:kern w:val="2"/>
      <w:sz w:val="21"/>
      <w:szCs w:val="24"/>
      <w:lang w:val="en-US" w:eastAsia="zh-CN" w:bidi="ar-SA"/>
    </w:rPr>
  </w:style>
  <w:style w:type="character" w:customStyle="1" w:styleId="670">
    <w:name w:val="h3 Char1"/>
    <w:qFormat/>
    <w:uiPriority w:val="0"/>
    <w:rPr>
      <w:rFonts w:eastAsia="宋体"/>
      <w:b/>
      <w:bCs/>
      <w:kern w:val="2"/>
      <w:sz w:val="32"/>
      <w:szCs w:val="32"/>
      <w:lang w:bidi="ar-SA"/>
    </w:rPr>
  </w:style>
  <w:style w:type="character" w:customStyle="1" w:styleId="671">
    <w:name w:val="标题 Char1"/>
    <w:qFormat/>
    <w:uiPriority w:val="0"/>
    <w:rPr>
      <w:rFonts w:ascii="Cambria" w:hAnsi="Cambria" w:eastAsia="宋体" w:cs="Times New Roman"/>
      <w:b/>
      <w:bCs/>
      <w:sz w:val="32"/>
      <w:szCs w:val="32"/>
      <w:lang w:bidi="ar-SA"/>
    </w:rPr>
  </w:style>
  <w:style w:type="character" w:customStyle="1" w:styleId="672">
    <w:name w:val="gf正文1 Char"/>
    <w:qFormat/>
    <w:uiPriority w:val="0"/>
    <w:rPr>
      <w:rFonts w:ascii="宋体" w:hAnsi="宋体" w:eastAsia="宋体" w:cs="宋体"/>
      <w:kern w:val="2"/>
      <w:sz w:val="24"/>
      <w:szCs w:val="24"/>
      <w:lang w:val="en-US" w:eastAsia="zh-CN" w:bidi="ar-SA"/>
    </w:rPr>
  </w:style>
  <w:style w:type="character" w:customStyle="1" w:styleId="673">
    <w:name w:val="正文文本缩进 Char1"/>
    <w:qFormat/>
    <w:uiPriority w:val="0"/>
    <w:rPr>
      <w:rFonts w:ascii="Calibri" w:hAnsi="Calibri"/>
      <w:sz w:val="28"/>
    </w:rPr>
  </w:style>
  <w:style w:type="character" w:customStyle="1" w:styleId="674">
    <w:name w:val="No Spacing Char"/>
    <w:link w:val="89"/>
    <w:qFormat/>
    <w:uiPriority w:val="1"/>
    <w:rPr>
      <w:sz w:val="22"/>
      <w:szCs w:val="22"/>
      <w:lang w:val="en-US" w:eastAsia="zh-CN" w:bidi="ar-SA"/>
    </w:rPr>
  </w:style>
  <w:style w:type="character" w:customStyle="1" w:styleId="675">
    <w:name w:val="样式7 Char"/>
    <w:qFormat/>
    <w:uiPriority w:val="0"/>
    <w:rPr>
      <w:rFonts w:ascii="仿宋_GB2312" w:hAnsi="仿宋" w:eastAsia="仿宋_GB2312"/>
      <w:b/>
      <w:kern w:val="2"/>
      <w:sz w:val="24"/>
      <w:szCs w:val="24"/>
    </w:rPr>
  </w:style>
  <w:style w:type="character" w:customStyle="1" w:styleId="676">
    <w:name w:val="font12gray1"/>
    <w:qFormat/>
    <w:uiPriority w:val="0"/>
    <w:rPr>
      <w:rFonts w:ascii="仿宋_GB2312" w:eastAsia="微软雅黑"/>
      <w:b/>
      <w:spacing w:val="300"/>
      <w:kern w:val="2"/>
      <w:sz w:val="18"/>
      <w:szCs w:val="18"/>
      <w:lang w:val="en-US" w:eastAsia="zh-CN" w:bidi="ar-SA"/>
    </w:rPr>
  </w:style>
  <w:style w:type="character" w:customStyle="1" w:styleId="677">
    <w:name w:val="Char Char7"/>
    <w:semiHidden/>
    <w:qFormat/>
    <w:uiPriority w:val="0"/>
    <w:rPr>
      <w:rFonts w:eastAsia="宋体"/>
      <w:kern w:val="2"/>
      <w:sz w:val="21"/>
      <w:szCs w:val="24"/>
      <w:lang w:val="en-US" w:eastAsia="zh-CN" w:bidi="ar-SA"/>
    </w:rPr>
  </w:style>
  <w:style w:type="character" w:customStyle="1" w:styleId="678">
    <w:name w:val="表名 Char"/>
    <w:qFormat/>
    <w:uiPriority w:val="0"/>
    <w:rPr>
      <w:rFonts w:eastAsia="宋体"/>
      <w:b/>
      <w:bCs/>
      <w:kern w:val="2"/>
      <w:sz w:val="24"/>
      <w:szCs w:val="24"/>
      <w:lang w:val="en-US" w:eastAsia="zh-CN" w:bidi="ar-SA"/>
    </w:rPr>
  </w:style>
  <w:style w:type="character" w:customStyle="1" w:styleId="679">
    <w:name w:val="Document Map Char"/>
    <w:qFormat/>
    <w:locked/>
    <w:uiPriority w:val="0"/>
    <w:rPr>
      <w:rFonts w:eastAsia="宋体"/>
      <w:kern w:val="2"/>
      <w:sz w:val="21"/>
      <w:szCs w:val="24"/>
      <w:lang w:val="en-US" w:eastAsia="zh-CN" w:bidi="ar-SA"/>
    </w:rPr>
  </w:style>
  <w:style w:type="character" w:customStyle="1" w:styleId="680">
    <w:name w:val="font41"/>
    <w:qFormat/>
    <w:uiPriority w:val="0"/>
    <w:rPr>
      <w:rFonts w:hint="eastAsia" w:ascii="仿宋_GB2312" w:eastAsia="仿宋_GB2312" w:cs="仿宋_GB2312"/>
      <w:color w:val="000000"/>
      <w:sz w:val="22"/>
      <w:szCs w:val="22"/>
      <w:u w:val="none"/>
    </w:rPr>
  </w:style>
  <w:style w:type="character" w:customStyle="1" w:styleId="681">
    <w:name w:val="标题 6 Char"/>
    <w:link w:val="8"/>
    <w:qFormat/>
    <w:uiPriority w:val="0"/>
    <w:rPr>
      <w:rFonts w:ascii="Arial" w:hAnsi="Arial" w:eastAsia="黑体"/>
      <w:b/>
      <w:bCs/>
      <w:kern w:val="2"/>
      <w:sz w:val="24"/>
      <w:szCs w:val="24"/>
    </w:rPr>
  </w:style>
  <w:style w:type="character" w:customStyle="1" w:styleId="682">
    <w:name w:val="纯文本 Char_0"/>
    <w:link w:val="90"/>
    <w:qFormat/>
    <w:uiPriority w:val="0"/>
    <w:rPr>
      <w:rFonts w:ascii="宋体" w:hAnsi="Courier New"/>
      <w:kern w:val="2"/>
      <w:sz w:val="21"/>
      <w:szCs w:val="21"/>
      <w:lang w:val="en-US" w:eastAsia="zh-CN"/>
    </w:rPr>
  </w:style>
  <w:style w:type="character" w:customStyle="1" w:styleId="683">
    <w:name w:val="Balloon Text Char"/>
    <w:qFormat/>
    <w:locked/>
    <w:uiPriority w:val="0"/>
    <w:rPr>
      <w:rFonts w:eastAsia="宋体"/>
      <w:kern w:val="2"/>
      <w:sz w:val="18"/>
      <w:szCs w:val="18"/>
      <w:lang w:val="en-US" w:eastAsia="zh-CN" w:bidi="ar-SA"/>
    </w:rPr>
  </w:style>
  <w:style w:type="character" w:customStyle="1" w:styleId="684">
    <w:name w:val="正文 项目2 Char"/>
    <w:basedOn w:val="685"/>
    <w:qFormat/>
    <w:uiPriority w:val="0"/>
    <w:rPr>
      <w:rFonts w:ascii="仿宋_GB2312" w:hAnsi="仿宋_GB2312" w:eastAsia="仿宋_GB2312"/>
      <w:kern w:val="2"/>
      <w:sz w:val="24"/>
      <w:lang w:bidi="ar-SA"/>
    </w:rPr>
  </w:style>
  <w:style w:type="character" w:customStyle="1" w:styleId="685">
    <w:name w:val="正文 项目 Char"/>
    <w:qFormat/>
    <w:uiPriority w:val="0"/>
    <w:rPr>
      <w:rFonts w:ascii="仿宋_GB2312" w:hAnsi="仿宋_GB2312" w:eastAsia="仿宋_GB2312"/>
      <w:kern w:val="2"/>
      <w:sz w:val="24"/>
      <w:lang w:bidi="ar-SA"/>
    </w:rPr>
  </w:style>
  <w:style w:type="character" w:customStyle="1" w:styleId="686">
    <w:name w:val="h Char Char1"/>
    <w:qFormat/>
    <w:uiPriority w:val="0"/>
    <w:rPr>
      <w:rFonts w:eastAsia="宋体"/>
      <w:kern w:val="2"/>
      <w:sz w:val="18"/>
      <w:szCs w:val="18"/>
      <w:lang w:val="en-US" w:eastAsia="zh-CN" w:bidi="ar-SA"/>
    </w:rPr>
  </w:style>
  <w:style w:type="character" w:customStyle="1" w:styleId="687">
    <w:name w:val="Char Char27"/>
    <w:qFormat/>
    <w:uiPriority w:val="6"/>
    <w:rPr>
      <w:rFonts w:ascii="宋体" w:hAnsi="宋体" w:eastAsia="宋体"/>
      <w:color w:val="000000"/>
      <w:kern w:val="1"/>
      <w:sz w:val="28"/>
      <w:lang w:val="en-US" w:eastAsia="zh-CN" w:bidi="ar-SA"/>
    </w:rPr>
  </w:style>
  <w:style w:type="character" w:customStyle="1" w:styleId="688">
    <w:name w:val="px14"/>
    <w:qFormat/>
    <w:uiPriority w:val="0"/>
    <w:rPr>
      <w:rFonts w:ascii="仿宋_GB2312" w:eastAsia="微软雅黑" w:cs="Times New Roman"/>
      <w:b/>
      <w:kern w:val="2"/>
      <w:sz w:val="32"/>
      <w:szCs w:val="32"/>
      <w:lang w:val="en-US" w:eastAsia="zh-CN" w:bidi="ar-SA"/>
    </w:rPr>
  </w:style>
  <w:style w:type="character" w:customStyle="1" w:styleId="689">
    <w:name w:val="HTML 预设格式 Char1"/>
    <w:qFormat/>
    <w:uiPriority w:val="0"/>
    <w:rPr>
      <w:rFonts w:ascii="Courier New" w:hAnsi="Courier New" w:eastAsia="宋体" w:cs="Courier New"/>
      <w:sz w:val="20"/>
      <w:szCs w:val="20"/>
    </w:rPr>
  </w:style>
  <w:style w:type="character" w:customStyle="1" w:styleId="690">
    <w:name w:val="普通文字 Char1"/>
    <w:qFormat/>
    <w:uiPriority w:val="0"/>
    <w:rPr>
      <w:rFonts w:ascii="宋体" w:hAnsi="Courier New" w:eastAsia="宋体"/>
      <w:kern w:val="2"/>
      <w:sz w:val="21"/>
      <w:lang w:val="en-US" w:eastAsia="zh-CN"/>
    </w:rPr>
  </w:style>
  <w:style w:type="character" w:customStyle="1" w:styleId="691">
    <w:name w:val="hei16b1"/>
    <w:qFormat/>
    <w:uiPriority w:val="0"/>
    <w:rPr>
      <w:rFonts w:hint="default" w:ascii="Arial" w:hAnsi="Arial" w:cs="Arial"/>
      <w:b/>
      <w:bCs/>
      <w:color w:val="000000"/>
      <w:sz w:val="24"/>
      <w:szCs w:val="24"/>
    </w:rPr>
  </w:style>
  <w:style w:type="character" w:customStyle="1" w:styleId="692">
    <w:name w:val="正文（绿盟科技） Char"/>
    <w:link w:val="92"/>
    <w:qFormat/>
    <w:uiPriority w:val="0"/>
    <w:rPr>
      <w:rFonts w:ascii="Arial" w:hAnsi="Arial"/>
      <w:sz w:val="21"/>
      <w:szCs w:val="21"/>
    </w:rPr>
  </w:style>
  <w:style w:type="character" w:customStyle="1" w:styleId="693">
    <w:name w:val="Char Char19"/>
    <w:qFormat/>
    <w:uiPriority w:val="6"/>
    <w:rPr>
      <w:rFonts w:ascii="宋体" w:hAnsi="宋体"/>
      <w:i/>
      <w:sz w:val="24"/>
      <w:szCs w:val="24"/>
    </w:rPr>
  </w:style>
  <w:style w:type="character" w:customStyle="1" w:styleId="694">
    <w:name w:val="页脚 Char"/>
    <w:qFormat/>
    <w:uiPriority w:val="0"/>
    <w:rPr>
      <w:rFonts w:eastAsia="仿宋_GB2312"/>
      <w:kern w:val="2"/>
      <w:sz w:val="18"/>
      <w:lang w:val="en-US" w:eastAsia="zh-CN"/>
    </w:rPr>
  </w:style>
  <w:style w:type="character" w:customStyle="1" w:styleId="695">
    <w:name w:val="批注主题 Char"/>
    <w:qFormat/>
    <w:uiPriority w:val="0"/>
    <w:rPr>
      <w:rFonts w:eastAsia="宋体"/>
      <w:b/>
      <w:bCs/>
      <w:kern w:val="2"/>
      <w:sz w:val="21"/>
      <w:szCs w:val="24"/>
      <w:lang w:val="en-US" w:eastAsia="zh-CN" w:bidi="ar-SA"/>
    </w:rPr>
  </w:style>
  <w:style w:type="character" w:customStyle="1" w:styleId="696">
    <w:name w:val="Comment Text Char"/>
    <w:qFormat/>
    <w:locked/>
    <w:uiPriority w:val="0"/>
    <w:rPr>
      <w:rFonts w:ascii="宋体" w:hAnsi="宋体" w:eastAsia="宋体"/>
      <w:kern w:val="2"/>
      <w:sz w:val="24"/>
      <w:lang w:val="en-US" w:eastAsia="zh-CN" w:bidi="ar-SA"/>
    </w:rPr>
  </w:style>
  <w:style w:type="character" w:customStyle="1" w:styleId="697">
    <w:name w:val="标题 2 字符"/>
    <w:qFormat/>
    <w:uiPriority w:val="1"/>
    <w:rPr>
      <w:rFonts w:ascii="仿宋_GB2312" w:hAnsi="Times New Roman" w:eastAsia="仿宋_GB2312" w:cs="Times New Roman"/>
      <w:b/>
      <w:kern w:val="2"/>
      <w:sz w:val="24"/>
      <w:lang w:val="zh-CN"/>
    </w:rPr>
  </w:style>
  <w:style w:type="character" w:customStyle="1" w:styleId="698">
    <w:name w:val="Char Char72"/>
    <w:qFormat/>
    <w:uiPriority w:val="0"/>
    <w:rPr>
      <w:rFonts w:eastAsia="宋体"/>
      <w:kern w:val="2"/>
      <w:sz w:val="21"/>
      <w:szCs w:val="24"/>
      <w:lang w:val="en-US" w:eastAsia="zh-CN" w:bidi="ar-SA"/>
    </w:rPr>
  </w:style>
  <w:style w:type="character" w:customStyle="1" w:styleId="699">
    <w:name w:val="正文文本缩进 Char2"/>
    <w:qFormat/>
    <w:uiPriority w:val="0"/>
    <w:rPr>
      <w:rFonts w:ascii="Times New Roman" w:hAnsi="Times New Roman" w:eastAsia="宋体" w:cs="Times New Roman"/>
      <w:snapToGrid w:val="0"/>
      <w:kern w:val="0"/>
      <w:szCs w:val="24"/>
    </w:rPr>
  </w:style>
  <w:style w:type="character" w:customStyle="1" w:styleId="700">
    <w:name w:val="样式2 Char"/>
    <w:qFormat/>
    <w:uiPriority w:val="0"/>
    <w:rPr>
      <w:rFonts w:ascii="仿宋_GB2312" w:hAnsi="仿宋" w:eastAsia="仿宋_GB2312" w:cs="仿宋_GB2312"/>
      <w:b/>
      <w:bCs/>
      <w:sz w:val="32"/>
      <w:szCs w:val="30"/>
      <w:lang w:val="zh-CN"/>
    </w:rPr>
  </w:style>
  <w:style w:type="character" w:customStyle="1" w:styleId="701">
    <w:name w:val="表格名称[858D7CFB-ED40-4347-BF05-701D383B685F]"/>
    <w:link w:val="93"/>
    <w:qFormat/>
    <w:uiPriority w:val="0"/>
    <w:rPr>
      <w:sz w:val="32"/>
    </w:rPr>
  </w:style>
  <w:style w:type="character" w:customStyle="1" w:styleId="702">
    <w:name w:val="Char Char4"/>
    <w:qFormat/>
    <w:uiPriority w:val="0"/>
    <w:rPr>
      <w:rFonts w:eastAsia="宋体"/>
      <w:b/>
      <w:sz w:val="24"/>
      <w:lang w:eastAsia="zh-CN" w:bidi="ar-SA"/>
    </w:rPr>
  </w:style>
  <w:style w:type="character" w:customStyle="1" w:styleId="703">
    <w:name w:val="c7 style3"/>
    <w:qFormat/>
    <w:uiPriority w:val="0"/>
  </w:style>
  <w:style w:type="character" w:customStyle="1" w:styleId="704">
    <w:name w:val="正文文本 3 Char1"/>
    <w:semiHidden/>
    <w:qFormat/>
    <w:uiPriority w:val="99"/>
    <w:rPr>
      <w:rFonts w:ascii="Times New Roman" w:hAnsi="Times New Roman" w:eastAsia="宋体" w:cs="Times New Roman"/>
      <w:sz w:val="16"/>
      <w:szCs w:val="16"/>
    </w:rPr>
  </w:style>
  <w:style w:type="character" w:customStyle="1" w:styleId="705">
    <w:name w:val="tw4winInternal"/>
    <w:qFormat/>
    <w:uiPriority w:val="0"/>
    <w:rPr>
      <w:rFonts w:ascii="Courier New" w:hAnsi="Courier New" w:cs="Courier New"/>
      <w:color w:val="FF0000"/>
      <w:lang w:val="en-US" w:eastAsia="zh-CN"/>
    </w:rPr>
  </w:style>
  <w:style w:type="character" w:customStyle="1" w:styleId="706">
    <w:name w:val="Char Char10"/>
    <w:semiHidden/>
    <w:qFormat/>
    <w:uiPriority w:val="0"/>
    <w:rPr>
      <w:rFonts w:ascii="宋体" w:hAnsi="宋体"/>
      <w:kern w:val="2"/>
      <w:sz w:val="21"/>
      <w:szCs w:val="24"/>
      <w:lang w:val="en-US" w:eastAsia="zh-CN"/>
    </w:rPr>
  </w:style>
  <w:style w:type="character" w:customStyle="1" w:styleId="707">
    <w:name w:val="shadow11"/>
    <w:qFormat/>
    <w:uiPriority w:val="0"/>
    <w:rPr>
      <w:color w:val="000000"/>
      <w:sz w:val="21"/>
    </w:rPr>
  </w:style>
  <w:style w:type="character" w:customStyle="1" w:styleId="708">
    <w:name w:val="正文非缩进 Char3"/>
    <w:qFormat/>
    <w:uiPriority w:val="0"/>
    <w:rPr>
      <w:rFonts w:ascii="宋体" w:eastAsia="宋体"/>
      <w:snapToGrid w:val="0"/>
      <w:color w:val="000000"/>
      <w:kern w:val="28"/>
      <w:sz w:val="28"/>
      <w:lang w:val="en-US" w:eastAsia="zh-CN" w:bidi="ar-SA"/>
    </w:rPr>
  </w:style>
  <w:style w:type="character" w:customStyle="1" w:styleId="709">
    <w:name w:val="Char Char"/>
    <w:qFormat/>
    <w:uiPriority w:val="0"/>
    <w:rPr>
      <w:rFonts w:ascii="宋体" w:hAnsi="Courier New" w:eastAsia="宋体"/>
      <w:kern w:val="2"/>
      <w:sz w:val="21"/>
      <w:lang w:val="en-US" w:eastAsia="zh-CN" w:bidi="ar-SA"/>
    </w:rPr>
  </w:style>
  <w:style w:type="character" w:customStyle="1" w:styleId="710">
    <w:name w:val="签名 Char1"/>
    <w:qFormat/>
    <w:uiPriority w:val="0"/>
    <w:rPr>
      <w:rFonts w:ascii="Times New Roman" w:hAnsi="Times New Roman" w:eastAsia="宋体" w:cs="Times New Roman"/>
      <w:szCs w:val="24"/>
    </w:rPr>
  </w:style>
  <w:style w:type="character" w:customStyle="1" w:styleId="711">
    <w:name w:val="日期 Char"/>
    <w:link w:val="38"/>
    <w:qFormat/>
    <w:uiPriority w:val="0"/>
    <w:rPr>
      <w:rFonts w:ascii="宋体"/>
      <w:kern w:val="2"/>
      <w:sz w:val="24"/>
      <w:szCs w:val="21"/>
      <w:lang w:val="zh-CN"/>
    </w:rPr>
  </w:style>
  <w:style w:type="character" w:customStyle="1" w:styleId="712">
    <w:name w:val="标题 9 Char"/>
    <w:link w:val="11"/>
    <w:qFormat/>
    <w:uiPriority w:val="0"/>
    <w:rPr>
      <w:rFonts w:ascii="Arial" w:hAnsi="Arial" w:eastAsia="黑体"/>
      <w:kern w:val="2"/>
      <w:sz w:val="21"/>
      <w:szCs w:val="21"/>
    </w:rPr>
  </w:style>
  <w:style w:type="character" w:customStyle="1" w:styleId="713">
    <w:name w:val="Char Char18"/>
    <w:qFormat/>
    <w:uiPriority w:val="6"/>
    <w:rPr>
      <w:rFonts w:ascii="宋体" w:hAnsi="宋体"/>
      <w:sz w:val="28"/>
    </w:rPr>
  </w:style>
  <w:style w:type="character" w:customStyle="1" w:styleId="714">
    <w:name w:val="批注文字 Char"/>
    <w:qFormat/>
    <w:uiPriority w:val="99"/>
    <w:rPr>
      <w:kern w:val="2"/>
      <w:sz w:val="21"/>
      <w:szCs w:val="24"/>
    </w:rPr>
  </w:style>
  <w:style w:type="character" w:customStyle="1" w:styleId="715">
    <w:name w:val="Char Char22"/>
    <w:qFormat/>
    <w:uiPriority w:val="6"/>
    <w:rPr>
      <w:rFonts w:ascii="宋体" w:hAnsi="宋体"/>
      <w:kern w:val="1"/>
      <w:sz w:val="24"/>
      <w:szCs w:val="24"/>
    </w:rPr>
  </w:style>
  <w:style w:type="character" w:customStyle="1" w:styleId="716">
    <w:name w:val="pt141"/>
    <w:qFormat/>
    <w:uiPriority w:val="0"/>
    <w:rPr>
      <w:color w:val="330066"/>
      <w:sz w:val="22"/>
      <w:szCs w:val="22"/>
    </w:rPr>
  </w:style>
  <w:style w:type="character" w:customStyle="1" w:styleId="717">
    <w:name w:val="正文文本缩进 2 Char1"/>
    <w:semiHidden/>
    <w:qFormat/>
    <w:uiPriority w:val="99"/>
    <w:rPr>
      <w:rFonts w:ascii="Times New Roman" w:hAnsi="Times New Roman" w:eastAsia="宋体" w:cs="Times New Roman"/>
      <w:szCs w:val="24"/>
    </w:rPr>
  </w:style>
  <w:style w:type="character" w:customStyle="1" w:styleId="718">
    <w:name w:val="批注框文本 Char"/>
    <w:link w:val="41"/>
    <w:qFormat/>
    <w:uiPriority w:val="0"/>
    <w:rPr>
      <w:kern w:val="2"/>
      <w:sz w:val="18"/>
      <w:szCs w:val="18"/>
    </w:rPr>
  </w:style>
  <w:style w:type="character" w:customStyle="1" w:styleId="719">
    <w:name w:val="Char Char611"/>
    <w:qFormat/>
    <w:uiPriority w:val="0"/>
    <w:rPr>
      <w:rFonts w:eastAsia="宋体"/>
      <w:kern w:val="2"/>
      <w:sz w:val="21"/>
      <w:szCs w:val="24"/>
      <w:lang w:val="en-US" w:eastAsia="zh-CN" w:bidi="ar-SA"/>
    </w:rPr>
  </w:style>
  <w:style w:type="character" w:customStyle="1" w:styleId="720">
    <w:name w:val="highlight1"/>
    <w:qFormat/>
    <w:uiPriority w:val="0"/>
    <w:rPr>
      <w:rFonts w:ascii="仿宋_GB2312" w:eastAsia="微软雅黑"/>
      <w:b/>
      <w:kern w:val="2"/>
      <w:sz w:val="23"/>
      <w:szCs w:val="23"/>
      <w:lang w:val="en-US" w:eastAsia="zh-CN" w:bidi="ar-SA"/>
    </w:rPr>
  </w:style>
  <w:style w:type="character" w:customStyle="1" w:styleId="721">
    <w:name w:val="my正文 Char"/>
    <w:link w:val="94"/>
    <w:qFormat/>
    <w:locked/>
    <w:uiPriority w:val="0"/>
    <w:rPr>
      <w:rFonts w:ascii="Tahoma" w:hAnsi="Tahoma"/>
      <w:sz w:val="24"/>
      <w:szCs w:val="24"/>
    </w:rPr>
  </w:style>
  <w:style w:type="character" w:customStyle="1" w:styleId="722">
    <w:name w:val="正文缩进 Char2"/>
    <w:link w:val="5"/>
    <w:qFormat/>
    <w:uiPriority w:val="0"/>
    <w:rPr>
      <w:rFonts w:ascii="宋体" w:eastAsia="宋体"/>
      <w:snapToGrid w:val="0"/>
      <w:color w:val="000000"/>
      <w:kern w:val="28"/>
      <w:sz w:val="28"/>
      <w:lang w:val="en-US" w:eastAsia="zh-CN" w:bidi="ar-SA"/>
    </w:rPr>
  </w:style>
  <w:style w:type="character" w:customStyle="1" w:styleId="723">
    <w:name w:val="Used by Word for text of Help footnotes Char Char1"/>
    <w:qFormat/>
    <w:uiPriority w:val="0"/>
    <w:rPr>
      <w:color w:val="0000FF"/>
      <w:sz w:val="21"/>
    </w:rPr>
  </w:style>
  <w:style w:type="character" w:customStyle="1" w:styleId="724">
    <w:name w:val="页眉 Char"/>
    <w:qFormat/>
    <w:uiPriority w:val="0"/>
    <w:rPr>
      <w:rFonts w:eastAsia="仿宋_GB2312"/>
      <w:kern w:val="2"/>
      <w:sz w:val="18"/>
      <w:lang w:val="en-US" w:eastAsia="zh-CN"/>
    </w:rPr>
  </w:style>
  <w:style w:type="character" w:customStyle="1" w:styleId="725">
    <w:name w:val="FA正文 Char Char"/>
    <w:qFormat/>
    <w:uiPriority w:val="0"/>
    <w:rPr>
      <w:rFonts w:hAnsi="宋体"/>
      <w:kern w:val="2"/>
      <w:sz w:val="24"/>
      <w:lang w:bidi="ar-SA"/>
    </w:rPr>
  </w:style>
  <w:style w:type="character" w:customStyle="1" w:styleId="726">
    <w:name w:val="纯文本 字符"/>
    <w:qFormat/>
    <w:uiPriority w:val="0"/>
    <w:rPr>
      <w:rFonts w:ascii="宋体" w:hAnsi="Courier New" w:eastAsia="宋体" w:cs="Arial"/>
      <w:snapToGrid w:val="0"/>
      <w:kern w:val="2"/>
      <w:sz w:val="21"/>
      <w:szCs w:val="21"/>
      <w:lang w:val="en-US" w:eastAsia="zh-CN" w:bidi="ar-SA"/>
    </w:rPr>
  </w:style>
  <w:style w:type="character" w:customStyle="1" w:styleId="727">
    <w:name w:val="3级 Char"/>
    <w:link w:val="95"/>
    <w:qFormat/>
    <w:uiPriority w:val="0"/>
    <w:rPr>
      <w:rFonts w:ascii="宋体" w:hAnsi="宋体"/>
      <w:b/>
      <w:bCs/>
      <w:sz w:val="28"/>
    </w:rPr>
  </w:style>
  <w:style w:type="character" w:customStyle="1" w:styleId="728">
    <w:name w:val="myp11"/>
    <w:qFormat/>
    <w:uiPriority w:val="0"/>
    <w:rPr>
      <w:rFonts w:ascii="仿宋_GB2312" w:eastAsia="微软雅黑"/>
      <w:b/>
      <w:kern w:val="2"/>
      <w:sz w:val="32"/>
      <w:szCs w:val="32"/>
      <w:lang w:val="en-US" w:eastAsia="zh-CN" w:bidi="ar-SA"/>
    </w:rPr>
  </w:style>
  <w:style w:type="character" w:customStyle="1" w:styleId="729">
    <w:name w:val="文档结构图 Char1"/>
    <w:link w:val="18"/>
    <w:qFormat/>
    <w:uiPriority w:val="0"/>
    <w:rPr>
      <w:kern w:val="2"/>
      <w:sz w:val="21"/>
      <w:szCs w:val="24"/>
      <w:shd w:val="clear" w:color="auto" w:fill="000080"/>
    </w:rPr>
  </w:style>
  <w:style w:type="character" w:customStyle="1" w:styleId="730">
    <w:name w:val="H6 Char"/>
    <w:qFormat/>
    <w:uiPriority w:val="0"/>
    <w:rPr>
      <w:rFonts w:ascii="Arial" w:hAnsi="Arial" w:eastAsia="黑体"/>
      <w:b/>
      <w:bCs/>
      <w:kern w:val="2"/>
      <w:sz w:val="24"/>
      <w:szCs w:val="24"/>
    </w:rPr>
  </w:style>
  <w:style w:type="character" w:customStyle="1" w:styleId="731">
    <w:name w:val="Char Char91"/>
    <w:qFormat/>
    <w:uiPriority w:val="0"/>
    <w:rPr>
      <w:rFonts w:eastAsia="宋体"/>
      <w:kern w:val="2"/>
      <w:sz w:val="18"/>
      <w:szCs w:val="18"/>
      <w:lang w:val="en-US" w:eastAsia="zh-CN" w:bidi="ar-SA"/>
    </w:rPr>
  </w:style>
  <w:style w:type="character" w:customStyle="1" w:styleId="732">
    <w:name w:val="副标题 Char1"/>
    <w:qFormat/>
    <w:uiPriority w:val="0"/>
    <w:rPr>
      <w:rFonts w:ascii="Cambria" w:hAnsi="Cambria" w:eastAsia="宋体" w:cs="Times New Roman"/>
      <w:b/>
      <w:bCs/>
      <w:snapToGrid w:val="0"/>
      <w:kern w:val="28"/>
      <w:sz w:val="32"/>
      <w:szCs w:val="32"/>
    </w:rPr>
  </w:style>
  <w:style w:type="character" w:customStyle="1" w:styleId="733">
    <w:name w:val="font61"/>
    <w:qFormat/>
    <w:uiPriority w:val="0"/>
    <w:rPr>
      <w:rFonts w:hint="eastAsia" w:ascii="仿宋" w:hAnsi="仿宋" w:eastAsia="仿宋" w:cs="仿宋"/>
      <w:color w:val="000000"/>
      <w:sz w:val="20"/>
      <w:szCs w:val="20"/>
      <w:u w:val="none"/>
    </w:rPr>
  </w:style>
  <w:style w:type="character" w:customStyle="1" w:styleId="73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5">
    <w:name w:val="Char Char211"/>
    <w:qFormat/>
    <w:uiPriority w:val="0"/>
    <w:rPr>
      <w:rFonts w:eastAsia="宋体"/>
      <w:b/>
      <w:bCs/>
      <w:kern w:val="2"/>
      <w:sz w:val="21"/>
      <w:szCs w:val="24"/>
      <w:lang w:val="en-US" w:eastAsia="zh-CN" w:bidi="ar-SA"/>
    </w:rPr>
  </w:style>
  <w:style w:type="character" w:customStyle="1" w:styleId="736">
    <w:name w:val="标题 2 Char"/>
    <w:qFormat/>
    <w:uiPriority w:val="0"/>
    <w:rPr>
      <w:rFonts w:ascii="Arial" w:hAnsi="Arial" w:eastAsia="黑体"/>
      <w:b/>
      <w:kern w:val="2"/>
      <w:sz w:val="32"/>
      <w:lang w:val="en-US" w:eastAsia="zh-CN"/>
    </w:rPr>
  </w:style>
  <w:style w:type="character" w:customStyle="1" w:styleId="737">
    <w:name w:val="maywed421"/>
    <w:qFormat/>
    <w:uiPriority w:val="0"/>
    <w:rPr>
      <w:color w:val="366FB6"/>
      <w:u w:val="none"/>
    </w:rPr>
  </w:style>
  <w:style w:type="character" w:customStyle="1" w:styleId="738">
    <w:name w:val="正文文本缩进 Char"/>
    <w:qFormat/>
    <w:uiPriority w:val="0"/>
    <w:rPr>
      <w:rFonts w:ascii="宋体" w:hAnsi="宋体"/>
      <w:kern w:val="2"/>
      <w:sz w:val="24"/>
      <w:szCs w:val="24"/>
    </w:rPr>
  </w:style>
  <w:style w:type="character" w:customStyle="1" w:styleId="739">
    <w:name w:val="Char Char102"/>
    <w:semiHidden/>
    <w:qFormat/>
    <w:uiPriority w:val="0"/>
    <w:rPr>
      <w:rFonts w:ascii="宋体" w:hAnsi="宋体"/>
      <w:kern w:val="2"/>
      <w:sz w:val="21"/>
      <w:szCs w:val="24"/>
      <w:lang w:val="en-US" w:eastAsia="zh-CN"/>
    </w:rPr>
  </w:style>
  <w:style w:type="character" w:customStyle="1" w:styleId="740">
    <w:name w:val="页眉 Char1"/>
    <w:qFormat/>
    <w:uiPriority w:val="0"/>
    <w:rPr>
      <w:rFonts w:eastAsia="宋体"/>
      <w:kern w:val="2"/>
      <w:sz w:val="18"/>
      <w:szCs w:val="18"/>
      <w:lang w:val="en-US" w:eastAsia="zh-CN" w:bidi="ar-SA"/>
    </w:rPr>
  </w:style>
  <w:style w:type="character" w:customStyle="1" w:styleId="741">
    <w:name w:val="md"/>
    <w:basedOn w:val="70"/>
    <w:qFormat/>
    <w:uiPriority w:val="0"/>
    <w:rPr>
      <w:rFonts w:ascii="Arial" w:hAnsi="Arial" w:eastAsia="黑体" w:cs="Arial"/>
      <w:snapToGrid w:val="0"/>
      <w:kern w:val="0"/>
      <w:szCs w:val="21"/>
    </w:rPr>
  </w:style>
  <w:style w:type="character" w:customStyle="1" w:styleId="742">
    <w:name w:val="big1"/>
    <w:qFormat/>
    <w:uiPriority w:val="0"/>
    <w:rPr>
      <w:rFonts w:hint="eastAsia" w:ascii="宋体" w:hAnsi="宋体" w:eastAsia="宋体"/>
      <w:color w:val="333333"/>
      <w:sz w:val="22"/>
      <w:szCs w:val="22"/>
    </w:rPr>
  </w:style>
  <w:style w:type="character" w:customStyle="1" w:styleId="743">
    <w:name w:val="Char Char311"/>
    <w:qFormat/>
    <w:uiPriority w:val="0"/>
    <w:rPr>
      <w:rFonts w:eastAsia="宋体"/>
      <w:kern w:val="2"/>
      <w:sz w:val="21"/>
      <w:szCs w:val="24"/>
      <w:lang w:val="en-US" w:eastAsia="zh-CN" w:bidi="ar-SA"/>
    </w:rPr>
  </w:style>
  <w:style w:type="character" w:customStyle="1" w:styleId="744">
    <w:name w:val="Char Char81"/>
    <w:qFormat/>
    <w:uiPriority w:val="6"/>
    <w:rPr>
      <w:rFonts w:eastAsia="宋体"/>
      <w:b/>
      <w:sz w:val="24"/>
      <w:lang w:eastAsia="zh-CN"/>
    </w:rPr>
  </w:style>
  <w:style w:type="character" w:customStyle="1" w:styleId="745">
    <w:name w:val="样式3 Char"/>
    <w:basedOn w:val="700"/>
    <w:qFormat/>
    <w:uiPriority w:val="0"/>
    <w:rPr>
      <w:rFonts w:ascii="仿宋_GB2312" w:hAnsi="仿宋" w:eastAsia="仿宋_GB2312" w:cs="仿宋_GB2312"/>
      <w:sz w:val="32"/>
      <w:szCs w:val="30"/>
      <w:lang w:val="zh-CN"/>
    </w:rPr>
  </w:style>
  <w:style w:type="character" w:customStyle="1" w:styleId="746">
    <w:name w:val="HTML 地址 Char"/>
    <w:link w:val="32"/>
    <w:qFormat/>
    <w:uiPriority w:val="0"/>
    <w:rPr>
      <w:rFonts w:ascii="宋体" w:hAnsi="宋体"/>
      <w:i/>
      <w:iCs/>
      <w:sz w:val="24"/>
      <w:szCs w:val="24"/>
    </w:rPr>
  </w:style>
  <w:style w:type="character" w:customStyle="1" w:styleId="747">
    <w:name w:val="正文首行缩进 2 Char1"/>
    <w:qFormat/>
    <w:uiPriority w:val="0"/>
    <w:rPr>
      <w:rFonts w:ascii="Times New Roman" w:hAnsi="Times New Roman" w:eastAsia="宋体" w:cs="Times New Roman"/>
      <w:kern w:val="2"/>
      <w:sz w:val="24"/>
      <w:szCs w:val="24"/>
    </w:rPr>
  </w:style>
  <w:style w:type="character" w:customStyle="1" w:styleId="748">
    <w:name w:val="副标题 Char2"/>
    <w:qFormat/>
    <w:uiPriority w:val="0"/>
    <w:rPr>
      <w:rFonts w:ascii="Cambria" w:hAnsi="Cambria" w:eastAsia="宋体" w:cs="Times New Roman"/>
      <w:b/>
      <w:bCs/>
      <w:snapToGrid w:val="0"/>
      <w:kern w:val="28"/>
      <w:sz w:val="32"/>
      <w:szCs w:val="32"/>
    </w:rPr>
  </w:style>
  <w:style w:type="character" w:customStyle="1" w:styleId="749">
    <w:name w:val="标题4-dyf Char"/>
    <w:link w:val="97"/>
    <w:qFormat/>
    <w:uiPriority w:val="0"/>
    <w:rPr>
      <w:rFonts w:ascii="Cambria" w:hAnsi="Cambria"/>
      <w:b/>
      <w:bCs/>
      <w:color w:val="000000"/>
      <w:kern w:val="2"/>
      <w:sz w:val="21"/>
      <w:szCs w:val="21"/>
    </w:rPr>
  </w:style>
  <w:style w:type="character" w:customStyle="1" w:styleId="750">
    <w:name w:val="dectext1"/>
    <w:qFormat/>
    <w:uiPriority w:val="0"/>
    <w:rPr>
      <w:rFonts w:ascii="宋体" w:hAnsi="宋体" w:eastAsia="宋体"/>
      <w:color w:val="333333"/>
      <w:sz w:val="21"/>
      <w:szCs w:val="21"/>
      <w:u w:val="none"/>
    </w:rPr>
  </w:style>
  <w:style w:type="character" w:customStyle="1" w:styleId="751">
    <w:name w:val="冯 Char"/>
    <w:link w:val="98"/>
    <w:qFormat/>
    <w:uiPriority w:val="0"/>
    <w:rPr>
      <w:rFonts w:ascii="宋体" w:hAnsi="宋体"/>
      <w:color w:val="000000"/>
      <w:sz w:val="24"/>
      <w:szCs w:val="24"/>
    </w:rPr>
  </w:style>
  <w:style w:type="character" w:customStyle="1" w:styleId="752">
    <w:name w:val="Header Char"/>
    <w:qFormat/>
    <w:locked/>
    <w:uiPriority w:val="0"/>
    <w:rPr>
      <w:rFonts w:eastAsia="宋体"/>
      <w:kern w:val="2"/>
      <w:sz w:val="18"/>
      <w:szCs w:val="18"/>
      <w:lang w:val="en-US" w:eastAsia="zh-CN" w:bidi="ar-SA"/>
    </w:rPr>
  </w:style>
  <w:style w:type="character" w:customStyle="1" w:styleId="753">
    <w:name w:val="Char Char12"/>
    <w:qFormat/>
    <w:uiPriority w:val="0"/>
    <w:rPr>
      <w:rFonts w:ascii="仿宋_GB2312" w:eastAsia="仿宋_GB2312"/>
      <w:b/>
      <w:bCs/>
      <w:kern w:val="2"/>
      <w:sz w:val="24"/>
      <w:szCs w:val="24"/>
      <w:lang w:val="zh-CN" w:eastAsia="zh-CN" w:bidi="ar-SA"/>
    </w:rPr>
  </w:style>
  <w:style w:type="character" w:customStyle="1" w:styleId="754">
    <w:name w:val="题注 Char"/>
    <w:link w:val="16"/>
    <w:qFormat/>
    <w:uiPriority w:val="0"/>
    <w:rPr>
      <w:b/>
      <w:kern w:val="2"/>
      <w:sz w:val="28"/>
    </w:rPr>
  </w:style>
  <w:style w:type="character" w:customStyle="1" w:styleId="755">
    <w:name w:val="普通文字 Char3"/>
    <w:qFormat/>
    <w:uiPriority w:val="0"/>
    <w:rPr>
      <w:rFonts w:ascii="宋体" w:hAnsi="Courier New" w:eastAsia="宋体"/>
      <w:kern w:val="2"/>
      <w:sz w:val="21"/>
      <w:lang w:val="en-US" w:eastAsia="zh-CN" w:bidi="ar-SA"/>
    </w:rPr>
  </w:style>
  <w:style w:type="character" w:customStyle="1" w:styleId="756">
    <w:name w:val="公文正文 Char"/>
    <w:qFormat/>
    <w:uiPriority w:val="0"/>
    <w:rPr>
      <w:rFonts w:ascii="仿宋_GB2312" w:eastAsia="仿宋_GB2312"/>
      <w:kern w:val="2"/>
      <w:sz w:val="24"/>
      <w:szCs w:val="24"/>
      <w:lang w:val="en-US" w:eastAsia="zh-CN" w:bidi="ar-SA"/>
    </w:rPr>
  </w:style>
  <w:style w:type="character" w:customStyle="1" w:styleId="757">
    <w:name w:val="正文首行缩进 Char Char Char Char Char"/>
    <w:qFormat/>
    <w:uiPriority w:val="0"/>
    <w:rPr>
      <w:rFonts w:ascii="宋体"/>
      <w:kern w:val="2"/>
      <w:sz w:val="24"/>
      <w:lang w:val="zh-CN"/>
    </w:rPr>
  </w:style>
  <w:style w:type="character" w:customStyle="1" w:styleId="758">
    <w:name w:val="PI Char"/>
    <w:qFormat/>
    <w:uiPriority w:val="0"/>
    <w:rPr>
      <w:rFonts w:ascii="宋体" w:hAnsi="宋体" w:eastAsia="宋体"/>
      <w:kern w:val="2"/>
      <w:sz w:val="24"/>
      <w:szCs w:val="24"/>
      <w:lang w:val="en-US" w:eastAsia="zh-CN" w:bidi="ar-SA"/>
    </w:rPr>
  </w:style>
  <w:style w:type="character" w:customStyle="1" w:styleId="759">
    <w:name w:val="Default Char"/>
    <w:link w:val="99"/>
    <w:qFormat/>
    <w:uiPriority w:val="0"/>
    <w:rPr>
      <w:rFonts w:ascii="仿宋_GB2312" w:eastAsia="仿宋_GB2312" w:cs="仿宋_GB2312"/>
      <w:color w:val="000000"/>
      <w:sz w:val="24"/>
      <w:szCs w:val="24"/>
      <w:lang w:val="en-US" w:eastAsia="zh-CN" w:bidi="ar-SA"/>
    </w:rPr>
  </w:style>
  <w:style w:type="character" w:customStyle="1" w:styleId="760">
    <w:name w:val="style91"/>
    <w:qFormat/>
    <w:uiPriority w:val="0"/>
    <w:rPr>
      <w:color w:val="333333"/>
    </w:rPr>
  </w:style>
  <w:style w:type="character" w:customStyle="1" w:styleId="761">
    <w:name w:val="列出段落 Char2"/>
    <w:qFormat/>
    <w:uiPriority w:val="34"/>
    <w:rPr>
      <w:rFonts w:ascii="Calibri" w:hAnsi="Calibri"/>
      <w:kern w:val="2"/>
      <w:sz w:val="28"/>
    </w:rPr>
  </w:style>
  <w:style w:type="character" w:customStyle="1" w:styleId="762">
    <w:name w:val="mdeck"/>
    <w:qFormat/>
    <w:uiPriority w:val="0"/>
    <w:rPr>
      <w:rFonts w:ascii="仿宋_GB2312" w:eastAsia="微软雅黑"/>
      <w:b/>
      <w:kern w:val="2"/>
      <w:sz w:val="32"/>
      <w:szCs w:val="32"/>
      <w:lang w:val="en-US" w:eastAsia="zh-CN" w:bidi="ar-SA"/>
    </w:rPr>
  </w:style>
  <w:style w:type="character" w:customStyle="1" w:styleId="763">
    <w:name w:val="unnamed11"/>
    <w:qFormat/>
    <w:uiPriority w:val="0"/>
    <w:rPr>
      <w:sz w:val="20"/>
      <w:szCs w:val="20"/>
    </w:rPr>
  </w:style>
  <w:style w:type="character" w:customStyle="1" w:styleId="764">
    <w:name w:val="正文文本 Char2"/>
    <w:semiHidden/>
    <w:qFormat/>
    <w:uiPriority w:val="99"/>
    <w:rPr>
      <w:rFonts w:ascii="Times New Roman" w:hAnsi="Times New Roman" w:eastAsia="宋体" w:cs="Times New Roman"/>
      <w:snapToGrid w:val="0"/>
      <w:kern w:val="0"/>
      <w:szCs w:val="24"/>
    </w:rPr>
  </w:style>
  <w:style w:type="character" w:customStyle="1" w:styleId="765">
    <w:name w:val="标书正文格式 Char"/>
    <w:qFormat/>
    <w:uiPriority w:val="0"/>
    <w:rPr>
      <w:rFonts w:eastAsia="楷体_GB2312"/>
      <w:kern w:val="2"/>
      <w:sz w:val="24"/>
      <w:szCs w:val="24"/>
      <w:lang w:bidi="ar-SA"/>
    </w:rPr>
  </w:style>
  <w:style w:type="character" w:customStyle="1" w:styleId="766">
    <w:name w:val="Char Char11"/>
    <w:qFormat/>
    <w:locked/>
    <w:uiPriority w:val="0"/>
    <w:rPr>
      <w:rFonts w:ascii="宋体" w:hAnsi="宋体" w:eastAsia="宋体"/>
      <w:b/>
      <w:kern w:val="2"/>
      <w:sz w:val="24"/>
      <w:szCs w:val="24"/>
      <w:lang w:val="en-US" w:eastAsia="zh-CN" w:bidi="ar-SA"/>
    </w:rPr>
  </w:style>
  <w:style w:type="character" w:customStyle="1" w:styleId="767">
    <w:name w:val="ca-131"/>
    <w:qFormat/>
    <w:uiPriority w:val="0"/>
    <w:rPr>
      <w:rFonts w:hint="eastAsia" w:ascii="仿宋_GB2312" w:eastAsia="仿宋_GB2312"/>
      <w:b/>
      <w:bCs/>
      <w:color w:val="000000"/>
      <w:spacing w:val="-20"/>
      <w:sz w:val="24"/>
      <w:szCs w:val="24"/>
    </w:rPr>
  </w:style>
  <w:style w:type="character" w:customStyle="1" w:styleId="768">
    <w:name w:val="tw4winMark"/>
    <w:qFormat/>
    <w:uiPriority w:val="0"/>
    <w:rPr>
      <w:rFonts w:ascii="Courier New" w:hAnsi="Courier New" w:cs="Courier New"/>
      <w:vanish/>
      <w:color w:val="800080"/>
      <w:sz w:val="24"/>
      <w:szCs w:val="24"/>
      <w:vertAlign w:val="subscript"/>
    </w:rPr>
  </w:style>
  <w:style w:type="character" w:customStyle="1" w:styleId="769">
    <w:name w:val="正文样式 Char"/>
    <w:link w:val="100"/>
    <w:qFormat/>
    <w:uiPriority w:val="0"/>
    <w:rPr>
      <w:rFonts w:ascii="Calibri" w:hAnsi="Calibri"/>
      <w:sz w:val="24"/>
      <w:szCs w:val="24"/>
    </w:rPr>
  </w:style>
  <w:style w:type="character" w:customStyle="1" w:styleId="770">
    <w:name w:val="表正文 Char3"/>
    <w:qFormat/>
    <w:uiPriority w:val="0"/>
    <w:rPr>
      <w:rFonts w:eastAsia="宋体"/>
    </w:rPr>
  </w:style>
  <w:style w:type="character" w:customStyle="1" w:styleId="771">
    <w:name w:val="H5 Char"/>
    <w:qFormat/>
    <w:uiPriority w:val="0"/>
    <w:rPr>
      <w:b/>
      <w:bCs/>
      <w:kern w:val="2"/>
      <w:sz w:val="28"/>
      <w:szCs w:val="28"/>
    </w:rPr>
  </w:style>
  <w:style w:type="character" w:customStyle="1" w:styleId="772">
    <w:name w:val="Char Char3"/>
    <w:qFormat/>
    <w:uiPriority w:val="0"/>
    <w:rPr>
      <w:rFonts w:eastAsia="宋体"/>
      <w:kern w:val="2"/>
      <w:sz w:val="21"/>
      <w:szCs w:val="24"/>
      <w:lang w:val="en-US" w:eastAsia="zh-CN" w:bidi="ar-SA"/>
    </w:rPr>
  </w:style>
  <w:style w:type="character" w:customStyle="1" w:styleId="773">
    <w:name w:val="正文 编号 Char"/>
    <w:qFormat/>
    <w:uiPriority w:val="0"/>
    <w:rPr>
      <w:rFonts w:ascii="仿宋_GB2312" w:hAnsi="仿宋_GB2312" w:eastAsia="仿宋_GB2312"/>
      <w:kern w:val="2"/>
      <w:sz w:val="24"/>
      <w:lang w:bidi="ar-SA"/>
    </w:rPr>
  </w:style>
  <w:style w:type="character" w:customStyle="1" w:styleId="774">
    <w:name w:val="question-title2"/>
    <w:qFormat/>
    <w:uiPriority w:val="6"/>
    <w:rPr>
      <w:rFonts w:ascii="Arial" w:hAnsi="Arial" w:eastAsia="黑体" w:cs="Arial"/>
      <w:snapToGrid w:val="0"/>
      <w:kern w:val="0"/>
      <w:szCs w:val="21"/>
    </w:rPr>
  </w:style>
  <w:style w:type="character" w:customStyle="1" w:styleId="775">
    <w:name w:val="gf正文1 Char Char"/>
    <w:link w:val="101"/>
    <w:qFormat/>
    <w:uiPriority w:val="0"/>
    <w:rPr>
      <w:rFonts w:ascii="宋体" w:hAnsi="宋体" w:cs="宋体"/>
      <w:kern w:val="2"/>
      <w:sz w:val="24"/>
      <w:szCs w:val="24"/>
    </w:rPr>
  </w:style>
  <w:style w:type="character" w:customStyle="1" w:styleId="776">
    <w:name w:val="Char Char15"/>
    <w:qFormat/>
    <w:uiPriority w:val="6"/>
    <w:rPr>
      <w:rFonts w:ascii="宋体" w:hAnsi="宋体"/>
      <w:kern w:val="1"/>
      <w:sz w:val="21"/>
    </w:rPr>
  </w:style>
  <w:style w:type="character" w:customStyle="1" w:styleId="777">
    <w:name w:val="正文缩进 Char3"/>
    <w:qFormat/>
    <w:uiPriority w:val="0"/>
    <w:rPr>
      <w:rFonts w:ascii="宋体" w:eastAsia="宋体"/>
      <w:snapToGrid w:val="0"/>
      <w:color w:val="000000"/>
      <w:kern w:val="28"/>
      <w:sz w:val="28"/>
      <w:lang w:val="en-US" w:eastAsia="zh-CN" w:bidi="ar-SA"/>
    </w:rPr>
  </w:style>
  <w:style w:type="character" w:customStyle="1" w:styleId="778">
    <w:name w:val="列出段落 Char1"/>
    <w:link w:val="102"/>
    <w:qFormat/>
    <w:uiPriority w:val="0"/>
    <w:rPr>
      <w:rFonts w:ascii="Calibri" w:hAnsi="Calibri"/>
      <w:sz w:val="24"/>
      <w:lang w:eastAsia="en-US"/>
    </w:rPr>
  </w:style>
  <w:style w:type="character" w:customStyle="1" w:styleId="779">
    <w:name w:val="Char Char8"/>
    <w:qFormat/>
    <w:uiPriority w:val="0"/>
    <w:rPr>
      <w:rFonts w:eastAsia="宋体"/>
      <w:b/>
      <w:sz w:val="24"/>
      <w:lang w:eastAsia="zh-CN"/>
    </w:rPr>
  </w:style>
  <w:style w:type="character" w:customStyle="1" w:styleId="780">
    <w:name w:val="Normal Indent Char Char"/>
    <w:qFormat/>
    <w:uiPriority w:val="0"/>
    <w:rPr>
      <w:rFonts w:eastAsia="宋体"/>
      <w:kern w:val="2"/>
      <w:sz w:val="21"/>
      <w:lang w:val="en-US" w:eastAsia="zh-CN" w:bidi="ar-SA"/>
    </w:rPr>
  </w:style>
  <w:style w:type="character" w:customStyle="1" w:styleId="781">
    <w:name w:val="列表段落 字符"/>
    <w:qFormat/>
    <w:uiPriority w:val="99"/>
  </w:style>
  <w:style w:type="character" w:customStyle="1" w:styleId="782">
    <w:name w:val="Ò³Ã¼ Char Char1"/>
    <w:qFormat/>
    <w:uiPriority w:val="0"/>
    <w:rPr>
      <w:rFonts w:eastAsia="宋体"/>
      <w:kern w:val="2"/>
      <w:sz w:val="18"/>
      <w:szCs w:val="18"/>
      <w:lang w:val="en-US" w:eastAsia="zh-CN" w:bidi="ar-SA"/>
    </w:rPr>
  </w:style>
  <w:style w:type="character" w:customStyle="1" w:styleId="783">
    <w:name w:val="方案正文 Char"/>
    <w:qFormat/>
    <w:uiPriority w:val="0"/>
    <w:rPr>
      <w:rFonts w:ascii="仿宋_GB2312" w:eastAsia="仿宋_GB2312"/>
      <w:b/>
      <w:color w:val="000000"/>
      <w:kern w:val="2"/>
      <w:sz w:val="24"/>
      <w:lang w:val="en-US" w:eastAsia="zh-CN" w:bidi="ar-SA"/>
    </w:rPr>
  </w:style>
  <w:style w:type="character" w:customStyle="1" w:styleId="784">
    <w:name w:val="Char Char30"/>
    <w:qFormat/>
    <w:uiPriority w:val="6"/>
    <w:rPr>
      <w:rFonts w:ascii="Arial" w:hAnsi="Arial" w:eastAsia="黑体"/>
      <w:kern w:val="1"/>
      <w:sz w:val="21"/>
      <w:szCs w:val="21"/>
    </w:rPr>
  </w:style>
  <w:style w:type="character" w:customStyle="1" w:styleId="785">
    <w:name w:val="正文文本缩进 Char3"/>
    <w:link w:val="26"/>
    <w:qFormat/>
    <w:uiPriority w:val="0"/>
    <w:rPr>
      <w:rFonts w:ascii="宋体" w:hAnsi="宋体"/>
      <w:kern w:val="2"/>
      <w:sz w:val="24"/>
      <w:szCs w:val="24"/>
    </w:rPr>
  </w:style>
  <w:style w:type="character" w:customStyle="1" w:styleId="786">
    <w:name w:val="font01"/>
    <w:qFormat/>
    <w:uiPriority w:val="0"/>
    <w:rPr>
      <w:rFonts w:hint="eastAsia" w:ascii="微软雅黑" w:hAnsi="微软雅黑" w:eastAsia="微软雅黑" w:cs="微软雅黑"/>
      <w:color w:val="000000"/>
      <w:sz w:val="20"/>
      <w:szCs w:val="20"/>
      <w:u w:val="none"/>
    </w:rPr>
  </w:style>
  <w:style w:type="character" w:customStyle="1" w:styleId="787">
    <w:name w:val="Char Char20"/>
    <w:qFormat/>
    <w:uiPriority w:val="6"/>
    <w:rPr>
      <w:kern w:val="1"/>
      <w:sz w:val="24"/>
    </w:rPr>
  </w:style>
  <w:style w:type="character" w:customStyle="1" w:styleId="788">
    <w:name w:val="tw4winExternal"/>
    <w:qFormat/>
    <w:uiPriority w:val="0"/>
    <w:rPr>
      <w:rFonts w:ascii="Courier New" w:hAnsi="Courier New" w:cs="Courier New"/>
      <w:color w:val="808080"/>
      <w:lang w:val="en-US" w:eastAsia="zh-CN"/>
    </w:rPr>
  </w:style>
  <w:style w:type="character" w:customStyle="1" w:styleId="789">
    <w:name w:val="标题 4 Char1"/>
    <w:qFormat/>
    <w:uiPriority w:val="9"/>
    <w:rPr>
      <w:rFonts w:ascii="Cambria" w:hAnsi="Cambria" w:eastAsia="宋体" w:cs="Times New Roman"/>
      <w:b/>
      <w:bCs/>
      <w:kern w:val="2"/>
      <w:sz w:val="28"/>
      <w:szCs w:val="28"/>
    </w:rPr>
  </w:style>
  <w:style w:type="character" w:customStyle="1" w:styleId="790">
    <w:name w:val="批注文字 Char2"/>
    <w:qFormat/>
    <w:uiPriority w:val="99"/>
    <w:rPr>
      <w:rFonts w:ascii="Times New Roman" w:hAnsi="Times New Roman" w:eastAsia="宋体" w:cs="Times New Roman"/>
      <w:snapToGrid w:val="0"/>
      <w:kern w:val="0"/>
      <w:szCs w:val="24"/>
    </w:rPr>
  </w:style>
  <w:style w:type="character" w:customStyle="1" w:styleId="791">
    <w:name w:val="正文文本 2 Char"/>
    <w:qFormat/>
    <w:uiPriority w:val="0"/>
    <w:rPr>
      <w:rFonts w:eastAsia="宋体"/>
      <w:kern w:val="2"/>
      <w:sz w:val="21"/>
      <w:szCs w:val="24"/>
      <w:lang w:val="en-US" w:eastAsia="zh-CN" w:bidi="ar-SA"/>
    </w:rPr>
  </w:style>
  <w:style w:type="character" w:customStyle="1" w:styleId="792">
    <w:name w:val="Ò³Ã¼ Char Char"/>
    <w:qFormat/>
    <w:uiPriority w:val="0"/>
    <w:rPr>
      <w:rFonts w:eastAsia="宋体"/>
      <w:kern w:val="2"/>
      <w:sz w:val="18"/>
      <w:lang w:val="en-US" w:eastAsia="zh-CN" w:bidi="ar-SA"/>
    </w:rPr>
  </w:style>
  <w:style w:type="character" w:customStyle="1" w:styleId="793">
    <w:name w:val="message1"/>
    <w:qFormat/>
    <w:uiPriority w:val="0"/>
    <w:rPr>
      <w:rFonts w:hint="default" w:ascii="Tahoma" w:hAnsi="Tahoma" w:cs="Tahoma"/>
      <w:sz w:val="18"/>
      <w:szCs w:val="18"/>
    </w:rPr>
  </w:style>
  <w:style w:type="character" w:customStyle="1" w:styleId="794">
    <w:name w:val="Char Char23"/>
    <w:qFormat/>
    <w:uiPriority w:val="6"/>
    <w:rPr>
      <w:color w:val="0000FF"/>
      <w:sz w:val="21"/>
    </w:rPr>
  </w:style>
  <w:style w:type="character" w:customStyle="1" w:styleId="795">
    <w:name w:val="批注框文本 字符"/>
    <w:qFormat/>
    <w:uiPriority w:val="0"/>
    <w:rPr>
      <w:rFonts w:ascii="Arial" w:hAnsi="Arial" w:eastAsia="黑体" w:cs="Arial"/>
      <w:snapToGrid w:val="0"/>
      <w:kern w:val="0"/>
      <w:sz w:val="18"/>
      <w:szCs w:val="18"/>
    </w:rPr>
  </w:style>
  <w:style w:type="character" w:customStyle="1" w:styleId="796">
    <w:name w:val="纯文本 Char2"/>
    <w:semiHidden/>
    <w:qFormat/>
    <w:uiPriority w:val="99"/>
    <w:rPr>
      <w:rFonts w:ascii="宋体" w:hAnsi="Courier New" w:eastAsia="宋体" w:cs="Courier New"/>
    </w:rPr>
  </w:style>
  <w:style w:type="character" w:customStyle="1" w:styleId="797">
    <w:name w:val="Char Char25"/>
    <w:qFormat/>
    <w:uiPriority w:val="6"/>
    <w:rPr>
      <w:rFonts w:ascii="宋体" w:hAnsi="宋体"/>
      <w:kern w:val="1"/>
      <w:sz w:val="24"/>
      <w:lang w:val="zh-CN"/>
    </w:rPr>
  </w:style>
  <w:style w:type="character" w:customStyle="1" w:styleId="798">
    <w:name w:val="Char Char411"/>
    <w:qFormat/>
    <w:uiPriority w:val="0"/>
    <w:rPr>
      <w:rFonts w:eastAsia="宋体"/>
      <w:b/>
      <w:sz w:val="24"/>
      <w:lang w:eastAsia="zh-CN" w:bidi="ar-SA"/>
    </w:rPr>
  </w:style>
  <w:style w:type="character" w:customStyle="1" w:styleId="799">
    <w:name w:val="Heading 7 Char"/>
    <w:qFormat/>
    <w:locked/>
    <w:uiPriority w:val="0"/>
    <w:rPr>
      <w:rFonts w:ascii="宋体" w:hAnsi="宋体" w:eastAsia="宋体"/>
      <w:b/>
      <w:bCs/>
      <w:kern w:val="2"/>
      <w:sz w:val="24"/>
      <w:szCs w:val="24"/>
      <w:lang w:val="en-US" w:eastAsia="zh-CN" w:bidi="ar-SA"/>
    </w:rPr>
  </w:style>
  <w:style w:type="character" w:customStyle="1" w:styleId="800">
    <w:name w:val="此正文 Char"/>
    <w:link w:val="104"/>
    <w:qFormat/>
    <w:uiPriority w:val="0"/>
    <w:rPr>
      <w:kern w:val="2"/>
      <w:sz w:val="24"/>
      <w:szCs w:val="24"/>
    </w:rPr>
  </w:style>
  <w:style w:type="character" w:customStyle="1" w:styleId="801">
    <w:name w:val="Char Char2"/>
    <w:qFormat/>
    <w:uiPriority w:val="0"/>
    <w:rPr>
      <w:rFonts w:eastAsia="宋体"/>
      <w:b/>
      <w:bCs/>
      <w:kern w:val="2"/>
      <w:sz w:val="21"/>
      <w:szCs w:val="24"/>
      <w:lang w:val="en-US" w:eastAsia="zh-CN" w:bidi="ar-SA"/>
    </w:rPr>
  </w:style>
  <w:style w:type="character" w:customStyle="1" w:styleId="802">
    <w:name w:val="标题 1 Char"/>
    <w:link w:val="2"/>
    <w:qFormat/>
    <w:uiPriority w:val="9"/>
    <w:rPr>
      <w:b/>
      <w:bCs/>
      <w:kern w:val="44"/>
      <w:sz w:val="44"/>
      <w:szCs w:val="44"/>
    </w:rPr>
  </w:style>
  <w:style w:type="character" w:customStyle="1" w:styleId="803">
    <w:name w:val="Footer-Even Char1"/>
    <w:qFormat/>
    <w:uiPriority w:val="0"/>
    <w:rPr>
      <w:rFonts w:eastAsia="宋体"/>
      <w:kern w:val="2"/>
      <w:sz w:val="18"/>
      <w:szCs w:val="18"/>
      <w:lang w:val="en-US" w:eastAsia="zh-CN" w:bidi="ar-SA"/>
    </w:rPr>
  </w:style>
  <w:style w:type="character" w:customStyle="1" w:styleId="804">
    <w:name w:val="Char Char29"/>
    <w:qFormat/>
    <w:uiPriority w:val="6"/>
    <w:rPr>
      <w:rFonts w:ascii="Arial" w:hAnsi="Arial" w:eastAsia="微软雅黑"/>
      <w:b/>
      <w:kern w:val="1"/>
      <w:sz w:val="44"/>
      <w:szCs w:val="32"/>
      <w:lang w:val="en-US" w:eastAsia="zh-CN" w:bidi="ar-SA"/>
    </w:rPr>
  </w:style>
  <w:style w:type="character" w:customStyle="1" w:styleId="805">
    <w:name w:val="标题 Char2"/>
    <w:link w:val="60"/>
    <w:qFormat/>
    <w:uiPriority w:val="10"/>
    <w:rPr>
      <w:b/>
      <w:sz w:val="24"/>
    </w:rPr>
  </w:style>
  <w:style w:type="character" w:customStyle="1" w:styleId="806">
    <w:name w:val="font81"/>
    <w:qFormat/>
    <w:uiPriority w:val="0"/>
    <w:rPr>
      <w:rFonts w:ascii="微软雅黑" w:hAnsi="微软雅黑" w:eastAsia="微软雅黑" w:cs="微软雅黑"/>
      <w:color w:val="000000"/>
      <w:sz w:val="20"/>
      <w:szCs w:val="20"/>
      <w:u w:val="none"/>
    </w:rPr>
  </w:style>
  <w:style w:type="character" w:customStyle="1" w:styleId="807">
    <w:name w:val="Char Char312"/>
    <w:qFormat/>
    <w:uiPriority w:val="0"/>
    <w:rPr>
      <w:rFonts w:ascii="Times New Roman" w:hAnsi="Times New Roman" w:eastAsia="宋体" w:cs="Times New Roman"/>
      <w:b/>
      <w:kern w:val="2"/>
      <w:sz w:val="32"/>
      <w:szCs w:val="24"/>
      <w:lang w:val="en-US" w:eastAsia="zh-CN" w:bidi="ar-SA"/>
    </w:rPr>
  </w:style>
  <w:style w:type="character" w:customStyle="1" w:styleId="808">
    <w:name w:val="t21"/>
    <w:qFormat/>
    <w:uiPriority w:val="0"/>
    <w:rPr>
      <w:rFonts w:ascii="仿宋_GB2312" w:eastAsia="微软雅黑"/>
      <w:b/>
      <w:kern w:val="2"/>
      <w:sz w:val="23"/>
      <w:szCs w:val="23"/>
      <w:lang w:val="en-US" w:eastAsia="zh-CN" w:bidi="ar-SA"/>
    </w:rPr>
  </w:style>
  <w:style w:type="character" w:customStyle="1" w:styleId="809">
    <w:name w:val="样式8 Char"/>
    <w:qFormat/>
    <w:uiPriority w:val="0"/>
    <w:rPr>
      <w:rFonts w:ascii="仿宋_GB2312" w:hAnsi="宋体" w:eastAsia="仿宋_GB2312"/>
      <w:b/>
      <w:bCs/>
      <w:kern w:val="2"/>
      <w:sz w:val="24"/>
      <w:szCs w:val="24"/>
    </w:rPr>
  </w:style>
  <w:style w:type="character" w:customStyle="1" w:styleId="810">
    <w:name w:val="表格 Char Char"/>
    <w:qFormat/>
    <w:uiPriority w:val="0"/>
    <w:rPr>
      <w:rFonts w:ascii="宋体" w:hAnsi="宋体" w:eastAsia="宋体"/>
      <w:lang w:bidi="ar-SA"/>
    </w:rPr>
  </w:style>
  <w:style w:type="character" w:customStyle="1" w:styleId="811">
    <w:name w:val="正文文本 字符1"/>
    <w:qFormat/>
    <w:uiPriority w:val="0"/>
    <w:rPr>
      <w:rFonts w:ascii="Calibri" w:hAnsi="Calibri" w:eastAsia="黑体" w:cs="Arial"/>
      <w:snapToGrid w:val="0"/>
      <w:kern w:val="2"/>
      <w:sz w:val="28"/>
      <w:szCs w:val="21"/>
    </w:rPr>
  </w:style>
  <w:style w:type="character" w:customStyle="1" w:styleId="812">
    <w:name w:val="标题 5 Char"/>
    <w:link w:val="7"/>
    <w:qFormat/>
    <w:uiPriority w:val="9"/>
    <w:rPr>
      <w:b/>
      <w:bCs/>
      <w:kern w:val="2"/>
      <w:sz w:val="28"/>
      <w:szCs w:val="28"/>
    </w:rPr>
  </w:style>
  <w:style w:type="character" w:customStyle="1" w:styleId="813">
    <w:name w:val="标题 6 Char1"/>
    <w:qFormat/>
    <w:uiPriority w:val="0"/>
    <w:rPr>
      <w:rFonts w:ascii="Arial" w:hAnsi="Arial" w:eastAsia="黑体" w:cs="Times New Roman"/>
      <w:b/>
      <w:sz w:val="24"/>
      <w:szCs w:val="20"/>
      <w:lang w:bidi="ar-SA"/>
    </w:rPr>
  </w:style>
  <w:style w:type="character" w:customStyle="1" w:styleId="814">
    <w:name w:val="带编号样式 Char"/>
    <w:qFormat/>
    <w:uiPriority w:val="0"/>
    <w:rPr>
      <w:rFonts w:ascii="仿宋_GB2312" w:eastAsia="仿宋_GB2312"/>
      <w:color w:val="000000"/>
      <w:sz w:val="24"/>
      <w:lang w:bidi="ar-SA"/>
    </w:rPr>
  </w:style>
  <w:style w:type="character" w:customStyle="1" w:styleId="815">
    <w:name w:val="unnamed31"/>
    <w:qFormat/>
    <w:uiPriority w:val="0"/>
    <w:rPr>
      <w:rFonts w:ascii="Tahoma" w:hAnsi="Tahoma" w:eastAsia="宋体"/>
      <w:b/>
      <w:kern w:val="2"/>
      <w:sz w:val="24"/>
      <w:szCs w:val="32"/>
      <w:u w:val="none"/>
      <w:lang w:val="en-US" w:eastAsia="zh-CN" w:bidi="ar-SA"/>
    </w:rPr>
  </w:style>
  <w:style w:type="character" w:customStyle="1" w:styleId="816">
    <w:name w:val="正文首行缩进 Char Char Char Char Char Char1"/>
    <w:qFormat/>
    <w:uiPriority w:val="0"/>
    <w:rPr>
      <w:rFonts w:ascii="宋体" w:eastAsia="宋体"/>
      <w:kern w:val="2"/>
      <w:sz w:val="24"/>
      <w:szCs w:val="24"/>
      <w:lang w:val="zh-CN" w:bidi="ar-SA"/>
    </w:rPr>
  </w:style>
  <w:style w:type="character" w:customStyle="1" w:styleId="817">
    <w:name w:val="称呼 Char"/>
    <w:link w:val="20"/>
    <w:qFormat/>
    <w:uiPriority w:val="0"/>
    <w:rPr>
      <w:rFonts w:ascii="仿宋_GB2312" w:eastAsia="仿宋_GB2312"/>
      <w:kern w:val="2"/>
      <w:sz w:val="28"/>
    </w:rPr>
  </w:style>
  <w:style w:type="character" w:customStyle="1" w:styleId="818">
    <w:name w:val="文本正文 Char Char"/>
    <w:qFormat/>
    <w:locked/>
    <w:uiPriority w:val="0"/>
    <w:rPr>
      <w:sz w:val="24"/>
      <w:lang w:bidi="ar-SA"/>
    </w:rPr>
  </w:style>
  <w:style w:type="character" w:customStyle="1" w:styleId="819">
    <w:name w:val="正文缩进 字符"/>
    <w:qFormat/>
    <w:uiPriority w:val="0"/>
    <w:rPr>
      <w:rFonts w:ascii="宋体" w:eastAsia="宋体"/>
      <w:snapToGrid w:val="0"/>
      <w:color w:val="000000"/>
      <w:kern w:val="28"/>
      <w:sz w:val="28"/>
      <w:lang w:val="en-US" w:eastAsia="zh-CN" w:bidi="ar-SA"/>
    </w:rPr>
  </w:style>
  <w:style w:type="character" w:customStyle="1" w:styleId="820">
    <w:name w:val="HTML 预设格式 Char"/>
    <w:link w:val="58"/>
    <w:qFormat/>
    <w:uiPriority w:val="0"/>
    <w:rPr>
      <w:rFonts w:ascii="黑体" w:hAnsi="Courier New" w:eastAsia="黑体"/>
    </w:rPr>
  </w:style>
  <w:style w:type="character" w:customStyle="1" w:styleId="821">
    <w:name w:val="正文文本 2 Char1"/>
    <w:link w:val="57"/>
    <w:qFormat/>
    <w:uiPriority w:val="0"/>
    <w:rPr>
      <w:kern w:val="2"/>
      <w:sz w:val="21"/>
      <w:szCs w:val="24"/>
    </w:rPr>
  </w:style>
  <w:style w:type="character" w:customStyle="1" w:styleId="822">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3">
    <w:name w:val="正文非缩进 Char"/>
    <w:qFormat/>
    <w:uiPriority w:val="0"/>
    <w:rPr>
      <w:rFonts w:ascii="宋体" w:eastAsia="宋体"/>
      <w:snapToGrid w:val="0"/>
      <w:color w:val="000000"/>
      <w:kern w:val="28"/>
      <w:sz w:val="28"/>
      <w:lang w:val="en-US" w:eastAsia="zh-CN" w:bidi="ar-SA"/>
    </w:rPr>
  </w:style>
  <w:style w:type="character" w:customStyle="1" w:styleId="824">
    <w:name w:val="标题 7 Char"/>
    <w:link w:val="9"/>
    <w:qFormat/>
    <w:uiPriority w:val="0"/>
    <w:rPr>
      <w:b/>
      <w:bCs/>
      <w:kern w:val="2"/>
      <w:sz w:val="24"/>
      <w:szCs w:val="24"/>
    </w:rPr>
  </w:style>
  <w:style w:type="character" w:customStyle="1" w:styleId="825">
    <w:name w:val="正文文本缩进 2 Char"/>
    <w:link w:val="39"/>
    <w:qFormat/>
    <w:uiPriority w:val="0"/>
    <w:rPr>
      <w:rFonts w:ascii="宋体"/>
      <w:sz w:val="28"/>
    </w:rPr>
  </w:style>
  <w:style w:type="character" w:customStyle="1" w:styleId="826">
    <w:name w:val="Char Char5"/>
    <w:qFormat/>
    <w:uiPriority w:val="0"/>
    <w:rPr>
      <w:rFonts w:ascii="宋体" w:hAnsi="Courier New" w:eastAsia="宋体"/>
      <w:kern w:val="2"/>
      <w:sz w:val="21"/>
      <w:lang w:val="en-US" w:eastAsia="zh-CN"/>
    </w:rPr>
  </w:style>
  <w:style w:type="character" w:customStyle="1" w:styleId="827">
    <w:name w:val="脚注文本 Char"/>
    <w:link w:val="52"/>
    <w:qFormat/>
    <w:uiPriority w:val="0"/>
    <w:rPr>
      <w:color w:val="0000FF"/>
      <w:sz w:val="21"/>
    </w:rPr>
  </w:style>
  <w:style w:type="character" w:customStyle="1" w:styleId="828">
    <w:name w:val="称呼 Char1"/>
    <w:qFormat/>
    <w:uiPriority w:val="0"/>
    <w:rPr>
      <w:rFonts w:ascii="Times New Roman" w:hAnsi="Times New Roman" w:eastAsia="宋体" w:cs="Times New Roman"/>
      <w:szCs w:val="24"/>
    </w:rPr>
  </w:style>
  <w:style w:type="character" w:customStyle="1" w:styleId="829">
    <w:name w:val="正文1 Char"/>
    <w:qFormat/>
    <w:uiPriority w:val="0"/>
    <w:rPr>
      <w:rFonts w:ascii="宋体" w:eastAsia="宋体"/>
      <w:snapToGrid w:val="0"/>
      <w:color w:val="000000"/>
      <w:kern w:val="28"/>
      <w:sz w:val="28"/>
      <w:lang w:val="en-US" w:eastAsia="zh-CN" w:bidi="ar-SA"/>
    </w:rPr>
  </w:style>
  <w:style w:type="character" w:customStyle="1" w:styleId="830">
    <w:name w:val="正文缩进 Char1"/>
    <w:qFormat/>
    <w:uiPriority w:val="0"/>
    <w:rPr>
      <w:rFonts w:ascii="宋体" w:eastAsia="宋体"/>
      <w:snapToGrid w:val="0"/>
      <w:color w:val="000000"/>
      <w:kern w:val="28"/>
      <w:sz w:val="28"/>
      <w:lang w:val="en-US" w:eastAsia="zh-CN" w:bidi="ar-SA"/>
    </w:rPr>
  </w:style>
  <w:style w:type="character" w:customStyle="1" w:styleId="831">
    <w:name w:val="font21"/>
    <w:qFormat/>
    <w:uiPriority w:val="0"/>
    <w:rPr>
      <w:rFonts w:hint="eastAsia" w:ascii="宋体" w:hAnsi="宋体" w:eastAsia="宋体"/>
      <w:kern w:val="2"/>
      <w:sz w:val="28"/>
      <w:szCs w:val="28"/>
      <w:lang w:val="en-US" w:eastAsia="zh-CN" w:bidi="ar-SA"/>
    </w:rPr>
  </w:style>
  <w:style w:type="character" w:customStyle="1" w:styleId="832">
    <w:name w:val="Char Char26"/>
    <w:qFormat/>
    <w:uiPriority w:val="6"/>
    <w:rPr>
      <w:kern w:val="1"/>
      <w:sz w:val="21"/>
      <w:szCs w:val="24"/>
    </w:rPr>
  </w:style>
  <w:style w:type="character" w:customStyle="1" w:styleId="833">
    <w:name w:val="Item List Char"/>
    <w:link w:val="107"/>
    <w:qFormat/>
    <w:uiPriority w:val="0"/>
    <w:rPr>
      <w:rFonts w:ascii="Arial"/>
      <w:bCs/>
      <w:sz w:val="21"/>
      <w:szCs w:val="21"/>
      <w:lang w:val="en-US" w:eastAsia="zh-CN" w:bidi="ar-SA"/>
    </w:rPr>
  </w:style>
  <w:style w:type="character" w:customStyle="1" w:styleId="834">
    <w:name w:val="批注框文本 Char1"/>
    <w:qFormat/>
    <w:uiPriority w:val="0"/>
    <w:rPr>
      <w:rFonts w:ascii="Times New Roman" w:hAnsi="Times New Roman" w:eastAsia="宋体" w:cs="Times New Roman"/>
      <w:sz w:val="18"/>
      <w:szCs w:val="18"/>
    </w:rPr>
  </w:style>
  <w:style w:type="character" w:customStyle="1" w:styleId="835">
    <w:name w:val="纯文本 Char1"/>
    <w:link w:val="108"/>
    <w:qFormat/>
    <w:uiPriority w:val="0"/>
    <w:rPr>
      <w:rFonts w:ascii="宋体" w:hAnsi="Courier New"/>
    </w:rPr>
  </w:style>
  <w:style w:type="character" w:customStyle="1" w:styleId="836">
    <w:name w:val="正文首行缩进 Char"/>
    <w:link w:val="24"/>
    <w:qFormat/>
    <w:uiPriority w:val="0"/>
    <w:rPr>
      <w:rFonts w:ascii="宋体"/>
      <w:kern w:val="2"/>
      <w:sz w:val="24"/>
      <w:lang w:val="zh-CN"/>
    </w:rPr>
  </w:style>
  <w:style w:type="character" w:customStyle="1" w:styleId="837">
    <w:name w:val="h3 Char"/>
    <w:qFormat/>
    <w:uiPriority w:val="0"/>
    <w:rPr>
      <w:rFonts w:eastAsia="宋体"/>
      <w:b/>
      <w:kern w:val="2"/>
      <w:sz w:val="32"/>
      <w:lang w:val="en-US" w:eastAsia="zh-CN" w:bidi="ar-SA"/>
    </w:rPr>
  </w:style>
  <w:style w:type="character" w:customStyle="1" w:styleId="838">
    <w:name w:val="dandyren_title1"/>
    <w:qFormat/>
    <w:uiPriority w:val="0"/>
    <w:rPr>
      <w:b/>
      <w:bCs/>
      <w:color w:val="FF6633"/>
      <w:sz w:val="18"/>
      <w:szCs w:val="18"/>
    </w:rPr>
  </w:style>
  <w:style w:type="character" w:customStyle="1" w:styleId="839">
    <w:name w:val="Char Char31"/>
    <w:qFormat/>
    <w:uiPriority w:val="6"/>
    <w:rPr>
      <w:rFonts w:ascii="Arial" w:hAnsi="Arial" w:eastAsia="黑体"/>
      <w:kern w:val="1"/>
      <w:sz w:val="24"/>
      <w:szCs w:val="24"/>
    </w:rPr>
  </w:style>
  <w:style w:type="character" w:customStyle="1" w:styleId="840">
    <w:name w:val="h Char1"/>
    <w:qFormat/>
    <w:uiPriority w:val="0"/>
    <w:rPr>
      <w:sz w:val="18"/>
      <w:szCs w:val="18"/>
    </w:rPr>
  </w:style>
  <w:style w:type="character" w:customStyle="1" w:styleId="841">
    <w:name w:val="solutionfonts"/>
    <w:qFormat/>
    <w:uiPriority w:val="0"/>
  </w:style>
  <w:style w:type="character" w:customStyle="1" w:styleId="842">
    <w:name w:val="标题 4 Char2"/>
    <w:link w:val="6"/>
    <w:qFormat/>
    <w:uiPriority w:val="9"/>
    <w:rPr>
      <w:rFonts w:ascii="Arial" w:hAnsi="Arial" w:eastAsia="黑体"/>
      <w:b/>
      <w:bCs/>
      <w:kern w:val="2"/>
      <w:sz w:val="28"/>
      <w:szCs w:val="28"/>
      <w:lang w:val="zh-CN"/>
    </w:rPr>
  </w:style>
  <w:style w:type="character" w:customStyle="1" w:styleId="843">
    <w:name w:val="首行缩进 Char"/>
    <w:qFormat/>
    <w:uiPriority w:val="0"/>
    <w:rPr>
      <w:rFonts w:ascii="宋体" w:eastAsia="宋体"/>
      <w:kern w:val="2"/>
      <w:sz w:val="24"/>
      <w:lang w:val="en-US" w:eastAsia="zh-CN" w:bidi="ar-SA"/>
    </w:rPr>
  </w:style>
  <w:style w:type="character" w:customStyle="1" w:styleId="844">
    <w:name w:val="Char Char52"/>
    <w:qFormat/>
    <w:uiPriority w:val="0"/>
    <w:rPr>
      <w:rFonts w:ascii="宋体" w:hAnsi="Courier New" w:eastAsia="宋体"/>
      <w:kern w:val="2"/>
      <w:sz w:val="21"/>
      <w:lang w:val="en-US" w:eastAsia="zh-CN"/>
    </w:rPr>
  </w:style>
  <w:style w:type="character" w:customStyle="1" w:styleId="845">
    <w:name w:val="正文文本 3 Char"/>
    <w:link w:val="21"/>
    <w:qFormat/>
    <w:uiPriority w:val="0"/>
    <w:rPr>
      <w:kern w:val="2"/>
      <w:sz w:val="21"/>
    </w:rPr>
  </w:style>
  <w:style w:type="character" w:customStyle="1" w:styleId="846">
    <w:name w:val="font31"/>
    <w:qFormat/>
    <w:uiPriority w:val="0"/>
    <w:rPr>
      <w:rFonts w:hint="eastAsia" w:ascii="仿宋" w:hAnsi="仿宋" w:eastAsia="仿宋" w:cs="仿宋"/>
      <w:color w:val="000000"/>
      <w:sz w:val="20"/>
      <w:szCs w:val="20"/>
      <w:u w:val="none"/>
    </w:rPr>
  </w:style>
  <w:style w:type="character" w:customStyle="1" w:styleId="847">
    <w:name w:val="正文说明 Char"/>
    <w:link w:val="109"/>
    <w:qFormat/>
    <w:uiPriority w:val="0"/>
    <w:rPr>
      <w:sz w:val="24"/>
      <w:szCs w:val="24"/>
    </w:rPr>
  </w:style>
  <w:style w:type="character" w:customStyle="1" w:styleId="848">
    <w:name w:val="脚注文本 Char1"/>
    <w:qFormat/>
    <w:uiPriority w:val="0"/>
    <w:rPr>
      <w:rFonts w:ascii="Times New Roman" w:hAnsi="Times New Roman" w:eastAsia="宋体" w:cs="Times New Roman"/>
      <w:sz w:val="18"/>
      <w:szCs w:val="18"/>
    </w:rPr>
  </w:style>
  <w:style w:type="character" w:customStyle="1" w:styleId="849">
    <w:name w:val="Char Char1211"/>
    <w:qFormat/>
    <w:uiPriority w:val="0"/>
    <w:rPr>
      <w:rFonts w:ascii="仿宋_GB2312" w:eastAsia="仿宋_GB2312"/>
      <w:b/>
      <w:bCs/>
      <w:kern w:val="2"/>
      <w:sz w:val="24"/>
      <w:szCs w:val="24"/>
      <w:lang w:val="zh-CN" w:eastAsia="zh-CN" w:bidi="ar-SA"/>
    </w:rPr>
  </w:style>
  <w:style w:type="character" w:customStyle="1" w:styleId="850">
    <w:name w:val="标题 Char"/>
    <w:qFormat/>
    <w:uiPriority w:val="0"/>
    <w:rPr>
      <w:rFonts w:eastAsia="宋体"/>
      <w:b/>
      <w:sz w:val="24"/>
      <w:lang w:eastAsia="zh-CN" w:bidi="ar-SA"/>
    </w:rPr>
  </w:style>
  <w:style w:type="character" w:customStyle="1" w:styleId="851">
    <w:name w:val="Char Char35"/>
    <w:qFormat/>
    <w:uiPriority w:val="6"/>
    <w:rPr>
      <w:rFonts w:ascii="Arial" w:hAnsi="Arial" w:eastAsia="黑体"/>
      <w:b/>
      <w:kern w:val="1"/>
      <w:sz w:val="28"/>
      <w:szCs w:val="28"/>
      <w:lang w:val="zh-CN"/>
    </w:rPr>
  </w:style>
  <w:style w:type="character" w:customStyle="1" w:styleId="852">
    <w:name w:val="纯文本 Char Char Char"/>
    <w:qFormat/>
    <w:uiPriority w:val="0"/>
    <w:rPr>
      <w:rFonts w:ascii="宋体" w:hAnsi="Courier New" w:eastAsia="宋体"/>
      <w:kern w:val="2"/>
      <w:sz w:val="21"/>
      <w:lang w:val="en-US" w:eastAsia="zh-CN" w:bidi="ar-SA"/>
    </w:rPr>
  </w:style>
  <w:style w:type="character" w:customStyle="1" w:styleId="853">
    <w:name w:val="Table Text Char"/>
    <w:link w:val="110"/>
    <w:qFormat/>
    <w:uiPriority w:val="0"/>
    <w:rPr>
      <w:sz w:val="24"/>
      <w:szCs w:val="24"/>
    </w:rPr>
  </w:style>
  <w:style w:type="character" w:customStyle="1" w:styleId="854">
    <w:name w:val="正文1 Char1"/>
    <w:qFormat/>
    <w:uiPriority w:val="0"/>
    <w:rPr>
      <w:rFonts w:ascii="仿宋_GB2312" w:hAnsi="Courier New" w:eastAsia="仿宋_GB2312"/>
      <w:kern w:val="28"/>
      <w:sz w:val="24"/>
      <w:szCs w:val="24"/>
      <w:lang w:val="en-US" w:eastAsia="zh-CN"/>
    </w:rPr>
  </w:style>
  <w:style w:type="character" w:customStyle="1" w:styleId="855">
    <w:name w:val="页脚 Char1"/>
    <w:qFormat/>
    <w:uiPriority w:val="0"/>
    <w:rPr>
      <w:rFonts w:eastAsia="宋体"/>
      <w:kern w:val="2"/>
      <w:sz w:val="18"/>
      <w:szCs w:val="18"/>
      <w:lang w:val="en-US" w:eastAsia="zh-CN" w:bidi="ar-SA"/>
    </w:rPr>
  </w:style>
  <w:style w:type="character" w:customStyle="1" w:styleId="856">
    <w:name w:val="Bold"/>
    <w:qFormat/>
    <w:uiPriority w:val="0"/>
    <w:rPr>
      <w:rFonts w:ascii="Arial" w:hAnsi="Arial" w:eastAsia="黑体" w:cs="Times New Roman"/>
      <w:b/>
      <w:kern w:val="2"/>
      <w:sz w:val="32"/>
      <w:szCs w:val="32"/>
      <w:lang w:val="en-US" w:eastAsia="zh-CN" w:bidi="ar-SA"/>
    </w:rPr>
  </w:style>
  <w:style w:type="character" w:customStyle="1" w:styleId="857">
    <w:name w:val="批注文字 Char1"/>
    <w:link w:val="19"/>
    <w:qFormat/>
    <w:uiPriority w:val="0"/>
    <w:rPr>
      <w:kern w:val="2"/>
      <w:sz w:val="21"/>
      <w:szCs w:val="24"/>
    </w:rPr>
  </w:style>
  <w:style w:type="character" w:customStyle="1" w:styleId="858">
    <w:name w:val="签名 Char"/>
    <w:link w:val="44"/>
    <w:qFormat/>
    <w:uiPriority w:val="0"/>
    <w:rPr>
      <w:rFonts w:eastAsia="仿宋_GB2312"/>
      <w:sz w:val="24"/>
    </w:rPr>
  </w:style>
  <w:style w:type="character" w:customStyle="1" w:styleId="859">
    <w:name w:val="hui3"/>
    <w:qFormat/>
    <w:uiPriority w:val="0"/>
    <w:rPr>
      <w:color w:val="333333"/>
    </w:rPr>
  </w:style>
  <w:style w:type="character" w:customStyle="1" w:styleId="860">
    <w:name w:val="Char Char17"/>
    <w:qFormat/>
    <w:uiPriority w:val="6"/>
    <w:rPr>
      <w:rFonts w:eastAsia="仿宋_GB2312"/>
      <w:sz w:val="24"/>
    </w:rPr>
  </w:style>
  <w:style w:type="character" w:customStyle="1" w:styleId="861">
    <w:name w:val="标题 4 字符"/>
    <w:qFormat/>
    <w:uiPriority w:val="9"/>
    <w:rPr>
      <w:rFonts w:ascii="等线 Light" w:hAnsi="等线 Light" w:eastAsia="等线 Light" w:cs="Times New Roman"/>
      <w:b/>
      <w:bCs/>
      <w:snapToGrid w:val="0"/>
      <w:kern w:val="0"/>
      <w:sz w:val="28"/>
      <w:szCs w:val="28"/>
    </w:rPr>
  </w:style>
  <w:style w:type="character" w:customStyle="1" w:styleId="862">
    <w:name w:val="Char Char37"/>
    <w:qFormat/>
    <w:uiPriority w:val="6"/>
    <w:rPr>
      <w:b/>
      <w:kern w:val="1"/>
      <w:sz w:val="44"/>
      <w:szCs w:val="44"/>
    </w:rPr>
  </w:style>
  <w:style w:type="character" w:customStyle="1" w:styleId="863">
    <w:name w:val="列出段落 Char"/>
    <w:qFormat/>
    <w:uiPriority w:val="0"/>
    <w:rPr>
      <w:rFonts w:eastAsia="楷体_GB2312" w:cs="Lucida Sans"/>
      <w:kern w:val="2"/>
      <w:sz w:val="24"/>
      <w:szCs w:val="24"/>
      <w:lang w:val="en-US" w:eastAsia="zh-CN" w:bidi="ar-SA"/>
    </w:rPr>
  </w:style>
  <w:style w:type="character" w:customStyle="1" w:styleId="864">
    <w:name w:val="正文文本缩进 3 Char1"/>
    <w:semiHidden/>
    <w:qFormat/>
    <w:uiPriority w:val="99"/>
    <w:rPr>
      <w:rFonts w:ascii="Times New Roman" w:hAnsi="Times New Roman" w:eastAsia="宋体" w:cs="Times New Roman"/>
      <w:sz w:val="16"/>
      <w:szCs w:val="16"/>
    </w:rPr>
  </w:style>
  <w:style w:type="character" w:customStyle="1" w:styleId="865">
    <w:name w:val="公文正文 Char Char"/>
    <w:link w:val="111"/>
    <w:qFormat/>
    <w:uiPriority w:val="0"/>
    <w:rPr>
      <w:rFonts w:ascii="仿宋_GB2312" w:eastAsia="仿宋_GB2312"/>
      <w:kern w:val="2"/>
      <w:sz w:val="24"/>
      <w:szCs w:val="24"/>
    </w:rPr>
  </w:style>
  <w:style w:type="character" w:customStyle="1" w:styleId="866">
    <w:name w:val="Table Text Char1"/>
    <w:qFormat/>
    <w:uiPriority w:val="0"/>
    <w:rPr>
      <w:rFonts w:eastAsia="宋体"/>
      <w:sz w:val="24"/>
      <w:szCs w:val="24"/>
      <w:lang w:val="en-US" w:eastAsia="zh-CN" w:bidi="ar-SA"/>
    </w:rPr>
  </w:style>
  <w:style w:type="character" w:customStyle="1" w:styleId="867">
    <w:name w:val="标题 1 Char Char"/>
    <w:qFormat/>
    <w:uiPriority w:val="0"/>
    <w:rPr>
      <w:rFonts w:hint="eastAsia" w:ascii="宋体" w:hAnsi="宋体" w:eastAsia="宋体"/>
      <w:b/>
      <w:spacing w:val="-2"/>
      <w:sz w:val="24"/>
      <w:lang w:val="en-US" w:eastAsia="zh-CN" w:bidi="ar-SA"/>
    </w:rPr>
  </w:style>
  <w:style w:type="character" w:customStyle="1" w:styleId="868">
    <w:name w:val="正文（缩进2汉字） Char"/>
    <w:link w:val="112"/>
    <w:qFormat/>
    <w:uiPriority w:val="0"/>
    <w:rPr>
      <w:rFonts w:ascii="宋体"/>
    </w:rPr>
  </w:style>
  <w:style w:type="character" w:customStyle="1" w:styleId="869">
    <w:name w:val="标题 8 Char"/>
    <w:link w:val="10"/>
    <w:qFormat/>
    <w:uiPriority w:val="0"/>
    <w:rPr>
      <w:rFonts w:ascii="Arial" w:hAnsi="Arial" w:eastAsia="黑体"/>
      <w:kern w:val="2"/>
      <w:sz w:val="24"/>
      <w:szCs w:val="24"/>
    </w:rPr>
  </w:style>
  <w:style w:type="character" w:customStyle="1" w:styleId="870">
    <w:name w:val="标书表格字体格式 Char"/>
    <w:qFormat/>
    <w:uiPriority w:val="0"/>
    <w:rPr>
      <w:kern w:val="2"/>
      <w:sz w:val="21"/>
      <w:szCs w:val="24"/>
      <w:lang w:bidi="ar-SA"/>
    </w:rPr>
  </w:style>
  <w:style w:type="character" w:customStyle="1" w:styleId="871">
    <w:name w:val="tw4winError"/>
    <w:qFormat/>
    <w:uiPriority w:val="0"/>
    <w:rPr>
      <w:rFonts w:ascii="Courier New" w:hAnsi="Courier New" w:cs="Courier New"/>
      <w:color w:val="00FF00"/>
      <w:sz w:val="40"/>
      <w:szCs w:val="40"/>
    </w:rPr>
  </w:style>
  <w:style w:type="character" w:customStyle="1" w:styleId="872">
    <w:name w:val="Body Text(ch) Char Char"/>
    <w:qFormat/>
    <w:uiPriority w:val="0"/>
    <w:rPr>
      <w:rFonts w:ascii="宋体"/>
      <w:kern w:val="2"/>
      <w:sz w:val="24"/>
      <w:szCs w:val="21"/>
      <w:lang w:val="zh-CN"/>
    </w:rPr>
  </w:style>
  <w:style w:type="character" w:customStyle="1" w:styleId="873">
    <w:name w:val="正文首行缩进两字 Char"/>
    <w:qFormat/>
    <w:uiPriority w:val="0"/>
    <w:rPr>
      <w:sz w:val="24"/>
      <w:szCs w:val="24"/>
      <w:lang w:val="en-US" w:eastAsia="zh-CN" w:bidi="ar-SA"/>
    </w:rPr>
  </w:style>
  <w:style w:type="character" w:customStyle="1" w:styleId="874">
    <w:name w:val="正文文本 Char"/>
    <w:link w:val="23"/>
    <w:qFormat/>
    <w:uiPriority w:val="0"/>
    <w:rPr>
      <w:rFonts w:eastAsia="宋体"/>
      <w:kern w:val="2"/>
      <w:sz w:val="24"/>
      <w:szCs w:val="24"/>
      <w:lang w:val="en-US" w:eastAsia="zh-CN" w:bidi="ar-SA"/>
    </w:rPr>
  </w:style>
  <w:style w:type="character" w:customStyle="1" w:styleId="875">
    <w:name w:val="文档结构图 字符1"/>
    <w:qFormat/>
    <w:uiPriority w:val="0"/>
    <w:rPr>
      <w:rFonts w:ascii="宋体" w:hAnsi="Calibri" w:eastAsia="黑体" w:cs="Arial"/>
      <w:snapToGrid w:val="0"/>
      <w:kern w:val="2"/>
      <w:sz w:val="18"/>
      <w:szCs w:val="18"/>
    </w:rPr>
  </w:style>
  <w:style w:type="character" w:customStyle="1" w:styleId="876">
    <w:name w:val="content"/>
    <w:qFormat/>
    <w:uiPriority w:val="0"/>
  </w:style>
  <w:style w:type="character" w:customStyle="1" w:styleId="877">
    <w:name w:val="tw4winPopup"/>
    <w:qFormat/>
    <w:uiPriority w:val="0"/>
    <w:rPr>
      <w:rFonts w:ascii="Courier New" w:hAnsi="Courier New" w:cs="Courier New"/>
      <w:color w:val="008000"/>
      <w:lang w:val="en-US" w:eastAsia="zh-CN"/>
    </w:rPr>
  </w:style>
  <w:style w:type="character" w:customStyle="1" w:styleId="878">
    <w:name w:val="param-name"/>
    <w:qFormat/>
    <w:uiPriority w:val="99"/>
    <w:rPr>
      <w:rFonts w:ascii="Arial" w:hAnsi="Arial" w:eastAsia="黑体" w:cs="Arial"/>
      <w:snapToGrid w:val="0"/>
      <w:kern w:val="0"/>
      <w:szCs w:val="21"/>
    </w:rPr>
  </w:style>
  <w:style w:type="character" w:customStyle="1" w:styleId="879">
    <w:name w:val="标准正文格式 Char"/>
    <w:qFormat/>
    <w:uiPriority w:val="0"/>
    <w:rPr>
      <w:rFonts w:ascii="宋体" w:eastAsia="仿宋_GB2312" w:cs="宋体"/>
      <w:color w:val="000000"/>
      <w:sz w:val="24"/>
      <w:lang w:val="en-US" w:eastAsia="zh-CN" w:bidi="ar-SA"/>
    </w:rPr>
  </w:style>
  <w:style w:type="character" w:customStyle="1" w:styleId="880">
    <w:name w:val="Char Char212"/>
    <w:qFormat/>
    <w:uiPriority w:val="0"/>
    <w:rPr>
      <w:rFonts w:eastAsia="宋体"/>
      <w:b/>
      <w:bCs/>
      <w:kern w:val="2"/>
      <w:sz w:val="21"/>
      <w:szCs w:val="24"/>
      <w:lang w:val="en-US" w:eastAsia="zh-CN" w:bidi="ar-SA"/>
    </w:rPr>
  </w:style>
  <w:style w:type="character" w:customStyle="1" w:styleId="881">
    <w:name w:val="文档结构图 Char"/>
    <w:qFormat/>
    <w:uiPriority w:val="0"/>
    <w:rPr>
      <w:rFonts w:eastAsia="宋体"/>
      <w:kern w:val="2"/>
      <w:sz w:val="21"/>
      <w:szCs w:val="24"/>
      <w:lang w:val="en-US" w:eastAsia="zh-CN" w:bidi="ar-SA"/>
    </w:rPr>
  </w:style>
  <w:style w:type="character" w:customStyle="1" w:styleId="882">
    <w:name w:val="zbggmain style9"/>
    <w:qFormat/>
    <w:uiPriority w:val="0"/>
  </w:style>
  <w:style w:type="character" w:customStyle="1" w:styleId="883">
    <w:name w:val="Char Char16"/>
    <w:qFormat/>
    <w:uiPriority w:val="6"/>
    <w:rPr>
      <w:kern w:val="1"/>
      <w:sz w:val="18"/>
      <w:szCs w:val="18"/>
    </w:rPr>
  </w:style>
  <w:style w:type="character" w:customStyle="1" w:styleId="884">
    <w:name w:val="font51"/>
    <w:qFormat/>
    <w:uiPriority w:val="0"/>
    <w:rPr>
      <w:rFonts w:hint="eastAsia" w:ascii="仿宋" w:hAnsi="仿宋" w:eastAsia="仿宋" w:cs="仿宋"/>
      <w:color w:val="000000"/>
      <w:sz w:val="20"/>
      <w:szCs w:val="20"/>
      <w:u w:val="none"/>
    </w:rPr>
  </w:style>
  <w:style w:type="character" w:customStyle="1" w:styleId="885">
    <w:name w:val="Char Char82"/>
    <w:qFormat/>
    <w:uiPriority w:val="0"/>
    <w:rPr>
      <w:rFonts w:eastAsia="宋体"/>
      <w:b/>
      <w:sz w:val="24"/>
      <w:lang w:eastAsia="zh-CN"/>
    </w:rPr>
  </w:style>
  <w:style w:type="character" w:customStyle="1" w:styleId="886">
    <w:name w:val="正文文本缩进 3 Char"/>
    <w:link w:val="54"/>
    <w:qFormat/>
    <w:uiPriority w:val="0"/>
    <w:rPr>
      <w:kern w:val="2"/>
      <w:sz w:val="24"/>
    </w:rPr>
  </w:style>
  <w:style w:type="character" w:customStyle="1" w:styleId="887">
    <w:name w:val="日期 Char1"/>
    <w:semiHidden/>
    <w:qFormat/>
    <w:uiPriority w:val="99"/>
    <w:rPr>
      <w:rFonts w:ascii="Times New Roman" w:hAnsi="Times New Roman" w:eastAsia="宋体" w:cs="Times New Roman"/>
      <w:szCs w:val="24"/>
    </w:rPr>
  </w:style>
  <w:style w:type="character" w:customStyle="1" w:styleId="888">
    <w:name w:val="页眉 字符"/>
    <w:qFormat/>
    <w:uiPriority w:val="99"/>
    <w:rPr>
      <w:kern w:val="2"/>
      <w:sz w:val="18"/>
      <w:szCs w:val="18"/>
    </w:rPr>
  </w:style>
  <w:style w:type="character" w:customStyle="1" w:styleId="889">
    <w:name w:val="Char Char33"/>
    <w:qFormat/>
    <w:uiPriority w:val="6"/>
    <w:rPr>
      <w:rFonts w:ascii="Arial" w:hAnsi="Arial" w:eastAsia="黑体"/>
      <w:b/>
      <w:kern w:val="1"/>
      <w:sz w:val="24"/>
      <w:szCs w:val="24"/>
    </w:rPr>
  </w:style>
  <w:style w:type="character" w:customStyle="1" w:styleId="890">
    <w:name w:val="b11_01b Char"/>
    <w:link w:val="113"/>
    <w:qFormat/>
    <w:uiPriority w:val="0"/>
    <w:rPr>
      <w:rFonts w:ascii="Verdana" w:hAnsi="Verdana"/>
      <w:b/>
      <w:bCs/>
      <w:color w:val="4A82CA"/>
      <w:sz w:val="17"/>
      <w:szCs w:val="17"/>
    </w:rPr>
  </w:style>
  <w:style w:type="character" w:customStyle="1" w:styleId="891">
    <w:name w:val="Char Char121"/>
    <w:qFormat/>
    <w:uiPriority w:val="6"/>
    <w:rPr>
      <w:rFonts w:ascii="仿宋_GB2312" w:eastAsia="仿宋_GB2312"/>
      <w:b/>
      <w:bCs/>
      <w:kern w:val="2"/>
      <w:sz w:val="24"/>
      <w:szCs w:val="24"/>
      <w:lang w:val="zh-CN" w:eastAsia="zh-CN" w:bidi="ar-SA"/>
    </w:rPr>
  </w:style>
  <w:style w:type="character" w:customStyle="1" w:styleId="892">
    <w:name w:val="Footer-Even Char"/>
    <w:qFormat/>
    <w:uiPriority w:val="0"/>
    <w:rPr>
      <w:rFonts w:eastAsia="宋体"/>
      <w:kern w:val="2"/>
      <w:sz w:val="18"/>
      <w:lang w:val="en-US" w:eastAsia="zh-CN" w:bidi="ar-SA"/>
    </w:rPr>
  </w:style>
  <w:style w:type="character" w:customStyle="1" w:styleId="893">
    <w:name w:val="页脚 Char2"/>
    <w:link w:val="42"/>
    <w:qFormat/>
    <w:locked/>
    <w:uiPriority w:val="99"/>
    <w:rPr>
      <w:kern w:val="2"/>
      <w:sz w:val="18"/>
      <w:szCs w:val="18"/>
    </w:rPr>
  </w:style>
  <w:style w:type="character" w:customStyle="1" w:styleId="894">
    <w:name w:val="Char Char36"/>
    <w:qFormat/>
    <w:uiPriority w:val="6"/>
    <w:rPr>
      <w:rFonts w:ascii="仿宋_GB2312" w:hAnsi="仿宋_GB2312" w:eastAsia="仿宋_GB2312" w:cs="Arial"/>
      <w:b/>
      <w:kern w:val="1"/>
      <w:sz w:val="32"/>
      <w:szCs w:val="32"/>
      <w:lang w:val="zh-CN" w:eastAsia="zh-CN" w:bidi="ar-SA"/>
    </w:rPr>
  </w:style>
  <w:style w:type="character" w:customStyle="1" w:styleId="895">
    <w:name w:val="Char Char61"/>
    <w:qFormat/>
    <w:uiPriority w:val="6"/>
    <w:rPr>
      <w:rFonts w:eastAsia="宋体"/>
      <w:kern w:val="2"/>
      <w:sz w:val="21"/>
      <w:szCs w:val="24"/>
      <w:lang w:val="en-US" w:eastAsia="zh-CN" w:bidi="ar-SA"/>
    </w:rPr>
  </w:style>
  <w:style w:type="character" w:customStyle="1" w:styleId="896">
    <w:name w:val="正文文字缩进 2 Char Char"/>
    <w:qFormat/>
    <w:uiPriority w:val="0"/>
    <w:rPr>
      <w:rFonts w:ascii="宋体"/>
      <w:sz w:val="28"/>
    </w:rPr>
  </w:style>
  <w:style w:type="character" w:customStyle="1" w:styleId="897">
    <w:name w:val="f141"/>
    <w:qFormat/>
    <w:uiPriority w:val="0"/>
    <w:rPr>
      <w:rFonts w:ascii="Tahoma" w:hAnsi="Tahoma" w:eastAsia="宋体"/>
      <w:b/>
      <w:kern w:val="2"/>
      <w:sz w:val="21"/>
      <w:szCs w:val="21"/>
      <w:lang w:val="en-US" w:eastAsia="zh-CN" w:bidi="ar-SA"/>
    </w:rPr>
  </w:style>
  <w:style w:type="character" w:customStyle="1" w:styleId="898">
    <w:name w:val="段落 Char Char"/>
    <w:link w:val="114"/>
    <w:qFormat/>
    <w:uiPriority w:val="0"/>
    <w:rPr>
      <w:rFonts w:ascii="宋体" w:hAnsi="宋体"/>
      <w:sz w:val="24"/>
    </w:rPr>
  </w:style>
  <w:style w:type="character" w:customStyle="1" w:styleId="899">
    <w:name w:val="标题 3 Char2"/>
    <w:qFormat/>
    <w:uiPriority w:val="0"/>
    <w:rPr>
      <w:rFonts w:eastAsia="宋体"/>
      <w:b/>
      <w:bCs/>
      <w:kern w:val="2"/>
      <w:sz w:val="32"/>
      <w:szCs w:val="32"/>
      <w:lang w:val="en-US" w:eastAsia="zh-CN" w:bidi="ar-SA"/>
    </w:rPr>
  </w:style>
  <w:style w:type="character" w:customStyle="1" w:styleId="900">
    <w:name w:val="apple-converted-space"/>
    <w:qFormat/>
    <w:uiPriority w:val="0"/>
  </w:style>
  <w:style w:type="character" w:customStyle="1" w:styleId="901">
    <w:name w:val="页眉 Char2"/>
    <w:link w:val="43"/>
    <w:qFormat/>
    <w:uiPriority w:val="99"/>
    <w:rPr>
      <w:kern w:val="2"/>
      <w:sz w:val="18"/>
      <w:szCs w:val="18"/>
    </w:rPr>
  </w:style>
  <w:style w:type="character" w:customStyle="1" w:styleId="902">
    <w:name w:val="Char Char9"/>
    <w:qFormat/>
    <w:uiPriority w:val="0"/>
    <w:rPr>
      <w:rFonts w:eastAsia="宋体"/>
      <w:kern w:val="2"/>
      <w:sz w:val="18"/>
      <w:szCs w:val="18"/>
      <w:lang w:val="en-US" w:eastAsia="zh-CN" w:bidi="ar-SA"/>
    </w:rPr>
  </w:style>
  <w:style w:type="character" w:customStyle="1" w:styleId="903">
    <w:name w:val="Char Char41"/>
    <w:qFormat/>
    <w:uiPriority w:val="0"/>
    <w:rPr>
      <w:rFonts w:eastAsia="宋体"/>
      <w:b/>
      <w:sz w:val="24"/>
      <w:lang w:eastAsia="zh-CN" w:bidi="ar-SA"/>
    </w:rPr>
  </w:style>
  <w:style w:type="character" w:customStyle="1" w:styleId="904">
    <w:name w:val="large1"/>
    <w:qFormat/>
    <w:uiPriority w:val="0"/>
    <w:rPr>
      <w:rFonts w:hint="eastAsia" w:ascii="宋体" w:hAnsi="宋体" w:eastAsia="宋体"/>
      <w:sz w:val="21"/>
      <w:szCs w:val="21"/>
    </w:rPr>
  </w:style>
  <w:style w:type="character" w:customStyle="1" w:styleId="905">
    <w:name w:val="正文段 Char"/>
    <w:link w:val="115"/>
    <w:qFormat/>
    <w:uiPriority w:val="0"/>
    <w:rPr>
      <w:sz w:val="24"/>
    </w:rPr>
  </w:style>
  <w:style w:type="character" w:customStyle="1" w:styleId="906">
    <w:name w:val="Char Char13"/>
    <w:qFormat/>
    <w:uiPriority w:val="6"/>
    <w:rPr>
      <w:rFonts w:ascii="宋体" w:hAnsi="宋体"/>
      <w:kern w:val="1"/>
      <w:sz w:val="21"/>
      <w:szCs w:val="24"/>
    </w:rPr>
  </w:style>
  <w:style w:type="character" w:customStyle="1" w:styleId="90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16"/>
    <w:qFormat/>
    <w:uiPriority w:val="0"/>
    <w:rPr>
      <w:rFonts w:ascii="宋体" w:hAnsi="宋体"/>
      <w:kern w:val="2"/>
      <w:sz w:val="24"/>
      <w:szCs w:val="22"/>
    </w:rPr>
  </w:style>
  <w:style w:type="character" w:customStyle="1" w:styleId="909">
    <w:name w:val="批注文字 字符"/>
    <w:qFormat/>
    <w:uiPriority w:val="0"/>
    <w:rPr>
      <w:rFonts w:ascii="Arial" w:hAnsi="Arial" w:eastAsia="黑体" w:cs="Arial"/>
      <w:snapToGrid w:val="0"/>
      <w:kern w:val="0"/>
      <w:szCs w:val="21"/>
    </w:rPr>
  </w:style>
  <w:style w:type="character" w:customStyle="1" w:styleId="910">
    <w:name w:val="Char Char161"/>
    <w:qFormat/>
    <w:uiPriority w:val="0"/>
    <w:rPr>
      <w:rFonts w:eastAsia="宋体"/>
      <w:b/>
      <w:kern w:val="2"/>
      <w:sz w:val="32"/>
      <w:lang w:val="en-US" w:eastAsia="zh-CN"/>
    </w:rPr>
  </w:style>
  <w:style w:type="character" w:customStyle="1" w:styleId="911">
    <w:name w:val="javascript"/>
    <w:qFormat/>
    <w:uiPriority w:val="0"/>
  </w:style>
  <w:style w:type="character" w:customStyle="1" w:styleId="912">
    <w:name w:val="图名 Char"/>
    <w:qFormat/>
    <w:uiPriority w:val="0"/>
    <w:rPr>
      <w:rFonts w:ascii="Arial" w:hAnsi="Arial" w:eastAsia="黑体"/>
      <w:kern w:val="2"/>
      <w:sz w:val="24"/>
      <w:szCs w:val="24"/>
      <w:lang w:val="en-US" w:eastAsia="zh-CN" w:bidi="ar-SA"/>
    </w:rPr>
  </w:style>
  <w:style w:type="character" w:customStyle="1" w:styleId="913">
    <w:name w:val="Used by Word for text of Help footnotes Char Char"/>
    <w:qFormat/>
    <w:uiPriority w:val="0"/>
    <w:rPr>
      <w:rFonts w:ascii="Times New Roman" w:hAnsi="Times New Roman" w:eastAsia="宋体" w:cs="Times New Roman"/>
      <w:sz w:val="20"/>
      <w:szCs w:val="20"/>
    </w:rPr>
  </w:style>
  <w:style w:type="character" w:customStyle="1" w:styleId="914">
    <w:name w:val="编号，小四 Char"/>
    <w:link w:val="117"/>
    <w:qFormat/>
    <w:uiPriority w:val="0"/>
    <w:rPr>
      <w:rFonts w:ascii="Arial" w:hAnsi="Arial"/>
      <w:sz w:val="24"/>
    </w:rPr>
  </w:style>
  <w:style w:type="character" w:customStyle="1" w:styleId="915">
    <w:name w:val="Font Style82"/>
    <w:qFormat/>
    <w:uiPriority w:val="99"/>
    <w:rPr>
      <w:rFonts w:ascii="宋体" w:eastAsia="宋体" w:cs="宋体"/>
      <w:color w:val="000000"/>
      <w:sz w:val="14"/>
      <w:szCs w:val="14"/>
    </w:rPr>
  </w:style>
  <w:style w:type="character" w:customStyle="1" w:styleId="916">
    <w:name w:val="标题 2 Char Char"/>
    <w:qFormat/>
    <w:uiPriority w:val="0"/>
    <w:rPr>
      <w:rFonts w:ascii="楷体_GB2312" w:hAnsi="Arial" w:eastAsia="楷体_GB2312"/>
      <w:b/>
      <w:bCs/>
      <w:kern w:val="2"/>
      <w:sz w:val="24"/>
      <w:szCs w:val="32"/>
      <w:lang w:val="en-US" w:eastAsia="zh-CN" w:bidi="ar-SA"/>
    </w:rPr>
  </w:style>
  <w:style w:type="character" w:customStyle="1" w:styleId="917">
    <w:name w:val="未用 Char"/>
    <w:qFormat/>
    <w:uiPriority w:val="0"/>
    <w:rPr>
      <w:rFonts w:ascii="Arial" w:hAnsi="Arial" w:eastAsia="黑体"/>
      <w:kern w:val="2"/>
      <w:sz w:val="21"/>
      <w:szCs w:val="21"/>
      <w:lang w:val="en-US" w:eastAsia="zh-CN" w:bidi="ar-SA"/>
    </w:rPr>
  </w:style>
  <w:style w:type="character" w:customStyle="1" w:styleId="918">
    <w:name w:val="myp1111"/>
    <w:qFormat/>
    <w:uiPriority w:val="0"/>
    <w:rPr>
      <w:rFonts w:hint="default" w:ascii="ˎ̥" w:hAnsi="ˎ̥"/>
      <w:color w:val="000000"/>
      <w:sz w:val="20"/>
      <w:szCs w:val="20"/>
      <w:u w:val="none"/>
    </w:rPr>
  </w:style>
  <w:style w:type="character" w:customStyle="1" w:styleId="919">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20">
    <w:name w:val="h Char Char"/>
    <w:qFormat/>
    <w:uiPriority w:val="0"/>
    <w:rPr>
      <w:rFonts w:eastAsia="宋体"/>
      <w:kern w:val="2"/>
      <w:sz w:val="18"/>
      <w:lang w:val="en-US" w:eastAsia="zh-CN" w:bidi="ar-SA"/>
    </w:rPr>
  </w:style>
  <w:style w:type="character" w:customStyle="1" w:styleId="921">
    <w:name w:val="仿宋正文 Char"/>
    <w:link w:val="118"/>
    <w:qFormat/>
    <w:uiPriority w:val="0"/>
    <w:rPr>
      <w:rFonts w:ascii="仿宋_GB2312" w:eastAsia="仿宋_GB2312"/>
      <w:kern w:val="2"/>
      <w:sz w:val="24"/>
      <w:lang w:val="en-US" w:eastAsia="zh-CN" w:bidi="ar-SA"/>
    </w:rPr>
  </w:style>
  <w:style w:type="character" w:customStyle="1" w:styleId="922">
    <w:name w:val="正文首行缩进 Char Char Char Char Char Char"/>
    <w:qFormat/>
    <w:uiPriority w:val="0"/>
    <w:rPr>
      <w:rFonts w:ascii="宋体" w:eastAsia="宋体"/>
      <w:kern w:val="2"/>
      <w:sz w:val="24"/>
      <w:lang w:val="zh-CN" w:bidi="ar-SA"/>
    </w:rPr>
  </w:style>
  <w:style w:type="character" w:customStyle="1" w:styleId="923">
    <w:name w:val="样式 宋体"/>
    <w:qFormat/>
    <w:uiPriority w:val="0"/>
    <w:rPr>
      <w:rFonts w:ascii="宋体" w:hAnsi="宋体"/>
      <w:sz w:val="24"/>
    </w:rPr>
  </w:style>
  <w:style w:type="character" w:customStyle="1" w:styleId="924">
    <w:name w:val="tw4winJump"/>
    <w:qFormat/>
    <w:uiPriority w:val="0"/>
    <w:rPr>
      <w:rFonts w:ascii="Courier New" w:hAnsi="Courier New" w:cs="Courier New"/>
      <w:color w:val="008080"/>
      <w:lang w:val="en-US" w:eastAsia="zh-CN"/>
    </w:rPr>
  </w:style>
  <w:style w:type="character" w:customStyle="1" w:styleId="925">
    <w:name w:val="标题 1 字符"/>
    <w:qFormat/>
    <w:uiPriority w:val="9"/>
    <w:rPr>
      <w:rFonts w:ascii="Arial" w:hAnsi="Arial" w:eastAsia="黑体" w:cs="Arial"/>
      <w:b/>
      <w:bCs/>
      <w:snapToGrid w:val="0"/>
      <w:kern w:val="44"/>
      <w:sz w:val="44"/>
      <w:szCs w:val="44"/>
    </w:rPr>
  </w:style>
  <w:style w:type="character" w:customStyle="1" w:styleId="926">
    <w:name w:val="style36"/>
    <w:basedOn w:val="70"/>
    <w:qFormat/>
    <w:uiPriority w:val="0"/>
    <w:rPr>
      <w:rFonts w:ascii="Arial" w:hAnsi="Arial" w:eastAsia="黑体" w:cs="Arial"/>
      <w:snapToGrid w:val="0"/>
      <w:kern w:val="0"/>
      <w:szCs w:val="21"/>
    </w:rPr>
  </w:style>
  <w:style w:type="character" w:customStyle="1" w:styleId="927">
    <w:name w:val="pt9"/>
    <w:qFormat/>
    <w:uiPriority w:val="0"/>
    <w:rPr>
      <w:rFonts w:ascii="仿宋_GB2312" w:eastAsia="微软雅黑"/>
      <w:b/>
      <w:kern w:val="2"/>
      <w:sz w:val="32"/>
      <w:szCs w:val="32"/>
      <w:lang w:val="en-US" w:eastAsia="zh-CN" w:bidi="ar-SA"/>
    </w:rPr>
  </w:style>
  <w:style w:type="character" w:customStyle="1" w:styleId="928">
    <w:name w:val="DO_NOT_TRANSLATE"/>
    <w:qFormat/>
    <w:uiPriority w:val="0"/>
    <w:rPr>
      <w:rFonts w:ascii="Courier New" w:hAnsi="Courier New" w:cs="Courier New"/>
      <w:color w:val="800000"/>
      <w:lang w:val="en-US" w:eastAsia="zh-CN"/>
    </w:rPr>
  </w:style>
  <w:style w:type="character" w:customStyle="1" w:styleId="929">
    <w:name w:val="标书1 Char1"/>
    <w:qFormat/>
    <w:uiPriority w:val="0"/>
    <w:rPr>
      <w:rFonts w:eastAsia="宋体"/>
      <w:b/>
      <w:bCs/>
      <w:kern w:val="44"/>
      <w:sz w:val="44"/>
      <w:szCs w:val="44"/>
      <w:lang w:val="en-US" w:eastAsia="zh-CN" w:bidi="ar-SA"/>
    </w:rPr>
  </w:style>
  <w:style w:type="character" w:customStyle="1" w:styleId="930">
    <w:name w:val="页脚 字符"/>
    <w:qFormat/>
    <w:uiPriority w:val="99"/>
    <w:rPr>
      <w:kern w:val="2"/>
      <w:sz w:val="18"/>
      <w:szCs w:val="18"/>
    </w:rPr>
  </w:style>
  <w:style w:type="character" w:customStyle="1" w:styleId="931">
    <w:name w:val="正文2 Char"/>
    <w:qFormat/>
    <w:uiPriority w:val="0"/>
    <w:rPr>
      <w:rFonts w:eastAsia="宋体"/>
      <w:kern w:val="2"/>
      <w:sz w:val="24"/>
      <w:lang w:val="en-US" w:eastAsia="zh-CN" w:bidi="ar-SA"/>
    </w:rPr>
  </w:style>
  <w:style w:type="character" w:customStyle="1" w:styleId="932">
    <w:name w:val="Char Char21"/>
    <w:qFormat/>
    <w:uiPriority w:val="6"/>
    <w:rPr>
      <w:rFonts w:ascii="宋体" w:hAnsi="宋体"/>
      <w:kern w:val="1"/>
      <w:sz w:val="24"/>
      <w:szCs w:val="21"/>
      <w:lang w:val="zh-CN"/>
    </w:rPr>
  </w:style>
  <w:style w:type="character" w:customStyle="1" w:styleId="933">
    <w:name w:val="样式 正文缩进 + 首行缩进:  2 字符 Char Char"/>
    <w:link w:val="119"/>
    <w:qFormat/>
    <w:uiPriority w:val="0"/>
    <w:rPr>
      <w:rFonts w:cs="宋体"/>
      <w:kern w:val="2"/>
      <w:sz w:val="24"/>
    </w:rPr>
  </w:style>
  <w:style w:type="character" w:customStyle="1" w:styleId="934">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5">
    <w:name w:val="gray6"/>
    <w:basedOn w:val="70"/>
    <w:qFormat/>
    <w:uiPriority w:val="0"/>
    <w:rPr>
      <w:rFonts w:ascii="Arial" w:hAnsi="Arial" w:eastAsia="黑体" w:cs="Arial"/>
      <w:snapToGrid w:val="0"/>
      <w:kern w:val="0"/>
      <w:szCs w:val="21"/>
    </w:rPr>
  </w:style>
  <w:style w:type="character" w:customStyle="1" w:styleId="936">
    <w:name w:val="hui"/>
    <w:basedOn w:val="70"/>
    <w:qFormat/>
    <w:uiPriority w:val="0"/>
    <w:rPr>
      <w:rFonts w:ascii="Arial" w:hAnsi="Arial" w:eastAsia="黑体" w:cs="Arial"/>
      <w:snapToGrid w:val="0"/>
      <w:kern w:val="0"/>
      <w:szCs w:val="21"/>
    </w:rPr>
  </w:style>
  <w:style w:type="character" w:customStyle="1" w:styleId="937">
    <w:name w:val="哈哈正文 Char Char"/>
    <w:qFormat/>
    <w:uiPriority w:val="0"/>
    <w:rPr>
      <w:rFonts w:ascii="宋体" w:hAnsi="宋体" w:eastAsia="宋体" w:cs="宋体"/>
      <w:kern w:val="2"/>
      <w:sz w:val="24"/>
      <w:lang w:val="en-US" w:eastAsia="zh-CN" w:bidi="ar-SA"/>
    </w:rPr>
  </w:style>
  <w:style w:type="character" w:customStyle="1" w:styleId="938">
    <w:name w:val="交叉引用"/>
    <w:qFormat/>
    <w:uiPriority w:val="1"/>
    <w:rPr>
      <w:rFonts w:ascii="Arial" w:hAnsi="Arial" w:eastAsia="黑体"/>
      <w:snapToGrid w:val="0"/>
      <w:color w:val="0000FF"/>
      <w:kern w:val="0"/>
      <w:sz w:val="20"/>
      <w:szCs w:val="21"/>
      <w:u w:val="single"/>
      <w:lang w:val="en-US" w:eastAsia="zh-CN"/>
    </w:rPr>
  </w:style>
  <w:style w:type="character" w:customStyle="1" w:styleId="939">
    <w:name w:val="正文缩进 字符1"/>
    <w:qFormat/>
    <w:uiPriority w:val="0"/>
    <w:rPr>
      <w:rFonts w:ascii="宋体" w:eastAsia="宋体"/>
      <w:snapToGrid w:val="0"/>
      <w:color w:val="000000"/>
      <w:kern w:val="28"/>
      <w:sz w:val="28"/>
      <w:lang w:val="en-US" w:eastAsia="zh-CN" w:bidi="ar-SA"/>
    </w:rPr>
  </w:style>
  <w:style w:type="character" w:customStyle="1" w:styleId="940">
    <w:name w:val="页脚 字符1"/>
    <w:qFormat/>
    <w:locked/>
    <w:uiPriority w:val="99"/>
    <w:rPr>
      <w:kern w:val="2"/>
      <w:sz w:val="18"/>
      <w:szCs w:val="18"/>
    </w:rPr>
  </w:style>
  <w:style w:type="character" w:customStyle="1" w:styleId="941">
    <w:name w:val="页眉 字符1"/>
    <w:qFormat/>
    <w:uiPriority w:val="99"/>
    <w:rPr>
      <w:kern w:val="2"/>
      <w:sz w:val="18"/>
      <w:szCs w:val="18"/>
    </w:rPr>
  </w:style>
  <w:style w:type="character" w:customStyle="1" w:styleId="942">
    <w:name w:val="尾注文本 Char"/>
    <w:link w:val="40"/>
    <w:qFormat/>
    <w:uiPriority w:val="0"/>
    <w:rPr>
      <w:kern w:val="2"/>
      <w:sz w:val="21"/>
      <w:szCs w:val="24"/>
      <w:lang w:val="zh-CN"/>
    </w:rPr>
  </w:style>
  <w:style w:type="character" w:customStyle="1" w:styleId="943">
    <w:name w:val="无间隔 Char"/>
    <w:link w:val="169"/>
    <w:qFormat/>
    <w:uiPriority w:val="99"/>
    <w:rPr>
      <w:kern w:val="2"/>
      <w:sz w:val="21"/>
      <w:szCs w:val="22"/>
    </w:rPr>
  </w:style>
  <w:style w:type="character" w:customStyle="1" w:styleId="944">
    <w:name w:val="标准文本 Char Char"/>
    <w:link w:val="608"/>
    <w:qFormat/>
    <w:uiPriority w:val="0"/>
    <w:rPr>
      <w:rFonts w:cs="宋体"/>
      <w:kern w:val="2"/>
      <w:sz w:val="24"/>
    </w:rPr>
  </w:style>
  <w:style w:type="character" w:customStyle="1" w:styleId="945">
    <w:name w:val="Char Char213"/>
    <w:qFormat/>
    <w:uiPriority w:val="0"/>
    <w:rPr>
      <w:rFonts w:eastAsia="Century Gothic"/>
      <w:b/>
      <w:bCs/>
      <w:kern w:val="44"/>
      <w:sz w:val="32"/>
      <w:szCs w:val="44"/>
      <w:lang w:val="en-US" w:eastAsia="zh-CN" w:bidi="ar-SA"/>
    </w:rPr>
  </w:style>
  <w:style w:type="character" w:customStyle="1" w:styleId="946">
    <w:name w:val="apple-style-span"/>
    <w:qFormat/>
    <w:uiPriority w:val="0"/>
    <w:rPr>
      <w:rFonts w:ascii="Arial" w:hAnsi="Arial" w:eastAsia="黑体" w:cs="Arial"/>
      <w:snapToGrid w:val="0"/>
      <w:kern w:val="0"/>
      <w:szCs w:val="21"/>
    </w:rPr>
  </w:style>
  <w:style w:type="character" w:customStyle="1" w:styleId="947">
    <w:name w:val="15"/>
    <w:qFormat/>
    <w:uiPriority w:val="0"/>
    <w:rPr>
      <w:rFonts w:hint="default" w:ascii="Calibri" w:hAnsi="Calibri"/>
      <w:color w:val="0000FF"/>
      <w:u w:val="single"/>
    </w:rPr>
  </w:style>
  <w:style w:type="character" w:customStyle="1" w:styleId="948">
    <w:name w:val="16"/>
    <w:qFormat/>
    <w:uiPriority w:val="0"/>
    <w:rPr>
      <w:rFonts w:hint="eastAsia" w:ascii="宋体" w:hAnsi="宋体" w:eastAsia="宋体"/>
      <w:color w:val="000000"/>
      <w:sz w:val="20"/>
      <w:szCs w:val="20"/>
    </w:rPr>
  </w:style>
  <w:style w:type="character" w:customStyle="1" w:styleId="949">
    <w:name w:val="edui-unclickable"/>
    <w:qFormat/>
    <w:uiPriority w:val="0"/>
    <w:rPr>
      <w:color w:val="808080"/>
    </w:rPr>
  </w:style>
  <w:style w:type="character" w:customStyle="1" w:styleId="950">
    <w:name w:val="tpc_content1"/>
    <w:qFormat/>
    <w:uiPriority w:val="0"/>
    <w:rPr>
      <w:sz w:val="20"/>
      <w:szCs w:val="20"/>
    </w:rPr>
  </w:style>
  <w:style w:type="character" w:customStyle="1" w:styleId="951">
    <w:name w:val="正文文本缩进 字符"/>
    <w:qFormat/>
    <w:uiPriority w:val="0"/>
    <w:rPr>
      <w:rFonts w:ascii="Century Gothic" w:hAnsi="Century Gothic" w:eastAsia="Century Gothic"/>
      <w:kern w:val="2"/>
      <w:sz w:val="24"/>
      <w:lang w:val="en-US" w:eastAsia="zh-CN" w:bidi="ar-SA"/>
    </w:rPr>
  </w:style>
  <w:style w:type="character" w:customStyle="1" w:styleId="952">
    <w:name w:val="正文文本 2 字符"/>
    <w:qFormat/>
    <w:uiPriority w:val="0"/>
    <w:rPr>
      <w:rFonts w:ascii="Arial" w:hAnsi="Arial" w:eastAsia="宋体"/>
      <w:kern w:val="2"/>
      <w:sz w:val="24"/>
      <w:szCs w:val="24"/>
      <w:lang w:val="en-US" w:eastAsia="zh-CN" w:bidi="ar-SA"/>
    </w:rPr>
  </w:style>
  <w:style w:type="character" w:customStyle="1" w:styleId="953">
    <w:name w:val="edui-clickable2"/>
    <w:qFormat/>
    <w:uiPriority w:val="0"/>
    <w:rPr>
      <w:color w:val="0000FF"/>
      <w:u w:val="single"/>
    </w:rPr>
  </w:style>
  <w:style w:type="character" w:customStyle="1" w:styleId="954">
    <w:name w:val="style1"/>
    <w:qFormat/>
    <w:uiPriority w:val="0"/>
    <w:rPr>
      <w:rFonts w:ascii="Arial" w:hAnsi="Arial" w:eastAsia="黑体" w:cs="Arial"/>
      <w:snapToGrid w:val="0"/>
      <w:kern w:val="0"/>
      <w:szCs w:val="21"/>
    </w:rPr>
  </w:style>
  <w:style w:type="character" w:customStyle="1" w:styleId="955">
    <w:name w:val="zbggtop11 style5"/>
    <w:qFormat/>
    <w:uiPriority w:val="0"/>
    <w:rPr>
      <w:rFonts w:ascii="Arial" w:hAnsi="Arial" w:eastAsia="黑体" w:cs="Arial"/>
      <w:snapToGrid w:val="0"/>
      <w:kern w:val="0"/>
      <w:szCs w:val="21"/>
    </w:rPr>
  </w:style>
  <w:style w:type="character" w:customStyle="1" w:styleId="95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7">
    <w:name w:val="bulletintext1"/>
    <w:qFormat/>
    <w:uiPriority w:val="0"/>
    <w:rPr>
      <w:color w:val="000000"/>
      <w:sz w:val="18"/>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NormalCharacter"/>
    <w:qFormat/>
    <w:uiPriority w:val="0"/>
  </w:style>
  <w:style w:type="table" w:customStyle="1" w:styleId="96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78</Pages>
  <Words>38190</Words>
  <Characters>39776</Characters>
  <Lines>287</Lines>
  <Paragraphs>81</Paragraphs>
  <TotalTime>14</TotalTime>
  <ScaleCrop>false</ScaleCrop>
  <LinksUpToDate>false</LinksUpToDate>
  <CharactersWithSpaces>45711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大梁</cp:lastModifiedBy>
  <cp:lastPrinted>2022-06-30T08:17:00Z</cp:lastPrinted>
  <dcterms:modified xsi:type="dcterms:W3CDTF">2022-08-05T05:10:38Z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eyJoZGlkIjoiZDE5NDQ1ZTQ2ZTBkYjJkNTk2Y2Y2NDhlMjY5MjZkNGYifQ==</vt:lpwstr>
  </property>
</Properties>
</file>