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auto"/>
          <w:sz w:val="24"/>
          <w:highlight w:val="none"/>
        </w:rPr>
      </w:pPr>
    </w:p>
    <w:p>
      <w:pPr>
        <w:spacing w:line="360" w:lineRule="auto"/>
        <w:jc w:val="center"/>
        <w:rPr>
          <w:rFonts w:ascii="仿宋" w:hAnsi="仿宋" w:eastAsia="仿宋" w:cs="仿宋_GB2312"/>
          <w:b/>
          <w:color w:val="auto"/>
          <w:sz w:val="24"/>
          <w:highlight w:val="none"/>
        </w:rPr>
      </w:pPr>
    </w:p>
    <w:p>
      <w:pPr>
        <w:adjustRightInd/>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b/>
          <w:color w:val="auto"/>
          <w:sz w:val="44"/>
          <w:szCs w:val="44"/>
          <w:highlight w:val="none"/>
        </w:rPr>
      </w:pPr>
    </w:p>
    <w:p>
      <w:pPr>
        <w:adjustRightInd/>
        <w:spacing w:line="360" w:lineRule="auto"/>
        <w:jc w:val="center"/>
        <w:rPr>
          <w:rFonts w:hint="default" w:ascii="仿宋" w:eastAsia="仿宋" w:cs="仿宋"/>
          <w:b/>
          <w:bCs/>
          <w:color w:val="auto"/>
          <w:sz w:val="44"/>
          <w:szCs w:val="44"/>
          <w:highlight w:val="none"/>
          <w:lang w:val="en-US" w:eastAsia="zh-CN"/>
        </w:rPr>
      </w:pPr>
      <w:r>
        <w:rPr>
          <w:rFonts w:hint="eastAsia" w:ascii="仿宋" w:eastAsia="仿宋" w:cs="仿宋"/>
          <w:b/>
          <w:bCs/>
          <w:color w:val="auto"/>
          <w:sz w:val="44"/>
          <w:szCs w:val="44"/>
          <w:highlight w:val="none"/>
          <w:lang w:val="en-US" w:eastAsia="zh-CN"/>
        </w:rPr>
        <w:t>亚运赛事（奥体中心网球中心）安保服务</w:t>
      </w:r>
    </w:p>
    <w:p>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招标文件</w:t>
      </w:r>
    </w:p>
    <w:p>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（电子招投标）</w:t>
      </w:r>
    </w:p>
    <w:p>
      <w:pPr>
        <w:snapToGrid w:val="0"/>
        <w:spacing w:line="360" w:lineRule="auto"/>
        <w:jc w:val="center"/>
        <w:rPr>
          <w:rFonts w:hint="eastAsia" w:ascii="仿宋" w:hAnsi="仿宋" w:eastAsia="仿宋" w:cs="仿宋_GB2312"/>
          <w:color w:val="auto"/>
          <w:sz w:val="30"/>
          <w:szCs w:val="30"/>
          <w:highlight w:val="none"/>
          <w:lang w:eastAsia="zh-CN"/>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bookmarkStart w:id="0" w:name="_Hlk98925549"/>
      <w:r>
        <w:rPr>
          <w:rFonts w:hint="eastAsia" w:ascii="仿宋" w:hAnsi="仿宋" w:eastAsia="仿宋" w:cs="仿宋"/>
          <w:color w:val="auto"/>
          <w:highlight w:val="none"/>
        </w:rPr>
        <w:t xml:space="preserve"> </w:t>
      </w:r>
      <w:bookmarkEnd w:id="0"/>
      <w:r>
        <w:rPr>
          <w:rFonts w:hint="eastAsia" w:ascii="仿宋" w:hAnsi="仿宋" w:eastAsia="仿宋" w:cs="仿宋"/>
          <w:color w:val="auto"/>
          <w:sz w:val="30"/>
          <w:szCs w:val="30"/>
          <w:highlight w:val="none"/>
          <w:lang w:eastAsia="zh-CN"/>
        </w:rPr>
        <w:t>HXHZ2023FG-014</w:t>
      </w:r>
    </w:p>
    <w:p>
      <w:pPr>
        <w:adjustRightInd/>
        <w:spacing w:line="360" w:lineRule="auto"/>
        <w:rPr>
          <w:rFonts w:ascii="仿宋" w:hAnsi="仿宋" w:eastAsia="仿宋" w:cs="仿宋_GB2312"/>
          <w:color w:val="auto"/>
          <w:sz w:val="28"/>
          <w:szCs w:val="20"/>
          <w:highlight w:val="none"/>
        </w:rPr>
      </w:pP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pStyle w:val="24"/>
        <w:rPr>
          <w:rFonts w:ascii="仿宋" w:hAnsi="仿宋" w:eastAsia="仿宋" w:cs="仿宋_GB2312"/>
          <w:color w:val="auto"/>
          <w:highlight w:val="none"/>
        </w:rPr>
      </w:pPr>
    </w:p>
    <w:p>
      <w:pPr>
        <w:pStyle w:val="25"/>
        <w:rPr>
          <w:color w:val="auto"/>
          <w:highlight w:val="none"/>
        </w:rPr>
      </w:pPr>
    </w:p>
    <w:p>
      <w:pPr>
        <w:spacing w:line="360" w:lineRule="auto"/>
        <w:rPr>
          <w:rFonts w:ascii="仿宋" w:hAnsi="仿宋" w:eastAsia="仿宋" w:cs="仿宋_GB2312"/>
          <w:color w:val="auto"/>
          <w:sz w:val="32"/>
          <w:szCs w:val="32"/>
          <w:highlight w:val="none"/>
        </w:rPr>
      </w:pPr>
    </w:p>
    <w:p>
      <w:pPr>
        <w:snapToGrid w:val="0"/>
        <w:spacing w:line="360" w:lineRule="auto"/>
        <w:ind w:firstLine="1280" w:firstLineChars="400"/>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   购   人：</w:t>
      </w:r>
      <w:r>
        <w:rPr>
          <w:rFonts w:hint="eastAsia" w:ascii="仿宋" w:hAnsi="仿宋" w:eastAsia="仿宋" w:cs="仿宋"/>
          <w:color w:val="auto"/>
          <w:sz w:val="32"/>
          <w:szCs w:val="32"/>
          <w:highlight w:val="none"/>
        </w:rPr>
        <w:t>杭州市公安局滨江区分局</w:t>
      </w:r>
    </w:p>
    <w:p>
      <w:pPr>
        <w:spacing w:line="360" w:lineRule="auto"/>
        <w:ind w:firstLine="1280" w:firstLineChars="400"/>
        <w:jc w:val="left"/>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采购代理机构：</w:t>
      </w:r>
      <w:r>
        <w:rPr>
          <w:rFonts w:hint="eastAsia" w:ascii="仿宋" w:hAnsi="仿宋" w:eastAsia="仿宋" w:cs="仿宋"/>
          <w:bCs/>
          <w:color w:val="auto"/>
          <w:sz w:val="32"/>
          <w:szCs w:val="32"/>
          <w:highlight w:val="none"/>
        </w:rPr>
        <w:t>北京华夏京诚咨询有限公司杭州分公司</w:t>
      </w:r>
    </w:p>
    <w:p>
      <w:pPr>
        <w:snapToGrid w:val="0"/>
        <w:spacing w:line="360" w:lineRule="auto"/>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宋体" w:hAnsi="宋体" w:eastAsia="仿宋_GB2312" w:cs="宋体"/>
          <w:bCs/>
          <w:color w:val="auto"/>
          <w:sz w:val="32"/>
          <w:szCs w:val="32"/>
          <w:highlight w:val="none"/>
        </w:rPr>
        <w:t>三</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八</w:t>
      </w:r>
      <w:r>
        <w:rPr>
          <w:rFonts w:hint="eastAsia" w:ascii="仿宋_GB2312" w:hAnsi="仿宋_GB2312" w:eastAsia="仿宋_GB2312" w:cs="仿宋_GB2312"/>
          <w:bCs/>
          <w:color w:val="auto"/>
          <w:sz w:val="32"/>
          <w:szCs w:val="32"/>
          <w:highlight w:val="none"/>
        </w:rPr>
        <w:t>月</w:t>
      </w:r>
    </w:p>
    <w:p>
      <w:pPr>
        <w:spacing w:line="360" w:lineRule="auto"/>
        <w:jc w:val="center"/>
        <w:rPr>
          <w:rFonts w:ascii="仿宋" w:hAnsi="仿宋" w:eastAsia="仿宋" w:cs="仿宋_GB2312"/>
          <w:color w:val="auto"/>
          <w:sz w:val="24"/>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pPr>
        <w:pStyle w:val="4"/>
        <w:rPr>
          <w:color w:val="auto"/>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 xml:space="preserve">第一部分 </w:t>
      </w:r>
      <w:r>
        <w:rPr>
          <w:rFonts w:hint="eastAsia" w:ascii="仿宋_GB2312" w:hAnsi="仿宋" w:eastAsia="仿宋_GB2312"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仿宋_GB2312" w:hAnsi="仿宋" w:eastAsia="仿宋_GB2312"/>
          <w:color w:val="auto"/>
          <w:sz w:val="24"/>
          <w:highlight w:val="none"/>
          <w:u w:val="single"/>
        </w:rPr>
      </w:pPr>
      <w:r>
        <w:rPr>
          <w:rFonts w:hint="eastAsia" w:ascii="仿宋" w:hAnsi="仿宋" w:eastAsia="仿宋" w:cs="仿宋"/>
          <w:b/>
          <w:bCs/>
          <w:color w:val="auto"/>
          <w:sz w:val="24"/>
          <w:highlight w:val="none"/>
          <w:u w:val="single"/>
          <w:lang w:eastAsia="zh-CN"/>
        </w:rPr>
        <w:t>亚运赛事（奥体中心网球中心）安保服务</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ascii="仿宋_GB2312" w:hAnsi="仿宋" w:eastAsia="仿宋_GB2312" w:cs="Times New Roman"/>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2023</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8</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25</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09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00</w:t>
      </w:r>
      <w:r>
        <w:rPr>
          <w:rFonts w:hint="eastAsia" w:ascii="仿宋_GB2312" w:hAnsi="仿宋" w:eastAsia="仿宋_GB2312"/>
          <w:color w:val="auto"/>
          <w:sz w:val="24"/>
          <w:highlight w:val="none"/>
          <w:u w:val="single"/>
        </w:rPr>
        <w:t>分</w:t>
      </w:r>
      <w:r>
        <w:rPr>
          <w:rFonts w:hint="eastAsia" w:ascii="仿宋_GB2312" w:hAnsi="仿宋" w:eastAsia="仿宋_GB2312"/>
          <w:color w:val="auto"/>
          <w:sz w:val="24"/>
          <w:highlight w:val="none"/>
          <w:u w:val="single"/>
          <w:lang w:val="en-US" w:eastAsia="zh-CN"/>
        </w:rPr>
        <w:t>00</w:t>
      </w:r>
      <w:r>
        <w:rPr>
          <w:rFonts w:hint="eastAsia" w:ascii="仿宋_GB2312" w:hAnsi="仿宋" w:eastAsia="仿宋_GB2312"/>
          <w:bCs/>
          <w:color w:val="auto"/>
          <w:sz w:val="24"/>
          <w:highlight w:val="none"/>
          <w:u w:val="single"/>
        </w:rPr>
        <w:t>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p>
    <w:p>
      <w:pPr>
        <w:spacing w:line="360" w:lineRule="auto"/>
        <w:rPr>
          <w:rFonts w:hint="eastAsia" w:ascii="仿宋_GB2312" w:hAnsi="仿宋" w:eastAsia="仿宋"/>
          <w:color w:val="auto"/>
          <w:sz w:val="24"/>
          <w:highlight w:val="none"/>
          <w:lang w:eastAsia="zh-CN"/>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 w:hAnsi="仿宋" w:eastAsia="仿宋" w:cs="仿宋"/>
          <w:b/>
          <w:bCs/>
          <w:color w:val="auto"/>
          <w:sz w:val="24"/>
          <w:highlight w:val="none"/>
          <w:lang w:eastAsia="zh-CN"/>
        </w:rPr>
        <w:t>HXHZ2023FG-014</w:t>
      </w:r>
    </w:p>
    <w:p>
      <w:pPr>
        <w:spacing w:line="360" w:lineRule="auto"/>
        <w:ind w:firstLine="480"/>
        <w:rPr>
          <w:rFonts w:ascii="仿宋_GB2312" w:hAnsi="仿宋" w:eastAsia="仿宋_GB2312"/>
          <w:color w:val="auto"/>
          <w:sz w:val="24"/>
          <w:highlight w:val="none"/>
        </w:rPr>
      </w:pPr>
      <w:r>
        <w:rPr>
          <w:rFonts w:ascii="仿宋_GB2312" w:hAnsi="仿宋" w:eastAsia="仿宋_GB2312"/>
          <w:b/>
          <w:color w:val="auto"/>
          <w:sz w:val="24"/>
          <w:highlight w:val="none"/>
        </w:rPr>
        <w:t>项目名称：</w:t>
      </w:r>
      <w:r>
        <w:rPr>
          <w:rFonts w:hint="eastAsia" w:ascii="仿宋" w:hAnsi="仿宋" w:eastAsia="仿宋" w:cs="仿宋"/>
          <w:b/>
          <w:bCs/>
          <w:color w:val="auto"/>
          <w:sz w:val="24"/>
          <w:highlight w:val="none"/>
          <w:lang w:eastAsia="zh-CN"/>
        </w:rPr>
        <w:t>亚运赛事（奥体中心网球中心）安保服务</w:t>
      </w:r>
      <w:r>
        <w:rPr>
          <w:rFonts w:ascii="仿宋_GB2312" w:hAnsi="仿宋" w:eastAsia="仿宋_GB2312"/>
          <w:color w:val="auto"/>
          <w:sz w:val="24"/>
          <w:highlight w:val="none"/>
        </w:rPr>
        <w:t xml:space="preserve">  </w:t>
      </w:r>
    </w:p>
    <w:p>
      <w:pPr>
        <w:spacing w:line="360" w:lineRule="auto"/>
        <w:ind w:firstLine="480"/>
        <w:rPr>
          <w:rFonts w:ascii="仿宋_GB2312" w:hAnsi="仿宋" w:eastAsia="仿宋_GB2312"/>
          <w:color w:val="auto"/>
          <w:sz w:val="24"/>
          <w:highlight w:val="none"/>
        </w:rPr>
      </w:pPr>
      <w:r>
        <w:rPr>
          <w:rFonts w:ascii="仿宋_GB2312" w:hAnsi="仿宋" w:eastAsia="仿宋_GB2312"/>
          <w:b/>
          <w:color w:val="auto"/>
          <w:sz w:val="24"/>
          <w:highlight w:val="none"/>
        </w:rPr>
        <w:t>预算金额（元）：</w:t>
      </w:r>
      <w:r>
        <w:rPr>
          <w:rFonts w:hint="eastAsia" w:ascii="仿宋_GB2312" w:hAnsi="仿宋" w:eastAsia="仿宋_GB2312"/>
          <w:b/>
          <w:color w:val="auto"/>
          <w:sz w:val="24"/>
          <w:highlight w:val="none"/>
          <w:lang w:val="en-US" w:eastAsia="zh-CN"/>
        </w:rPr>
        <w:t>8259522</w:t>
      </w:r>
      <w:r>
        <w:rPr>
          <w:rFonts w:hint="eastAsia" w:ascii="仿宋_GB2312" w:hAnsi="仿宋" w:eastAsia="仿宋_GB2312"/>
          <w:b/>
          <w:color w:val="auto"/>
          <w:sz w:val="24"/>
          <w:highlight w:val="none"/>
        </w:rPr>
        <w:t>元</w:t>
      </w:r>
    </w:p>
    <w:p>
      <w:pPr>
        <w:spacing w:line="360" w:lineRule="auto"/>
        <w:ind w:firstLine="480"/>
        <w:rPr>
          <w:rFonts w:hint="eastAsia" w:ascii="仿宋_GB2312" w:hAnsi="仿宋" w:eastAsia="仿宋_GB2312" w:cs="Times New Roman"/>
          <w:b/>
          <w:color w:val="auto"/>
          <w:sz w:val="24"/>
          <w:highlight w:val="none"/>
        </w:rPr>
      </w:pPr>
      <w:r>
        <w:rPr>
          <w:rFonts w:hint="eastAsia" w:ascii="仿宋_GB2312" w:hAnsi="仿宋" w:eastAsia="仿宋_GB2312"/>
          <w:b/>
          <w:color w:val="auto"/>
          <w:sz w:val="24"/>
          <w:highlight w:val="none"/>
        </w:rPr>
        <w:t>最高限价（元）：</w:t>
      </w:r>
      <w:r>
        <w:rPr>
          <w:rFonts w:hint="eastAsia" w:ascii="仿宋_GB2312" w:hAnsi="仿宋" w:eastAsia="仿宋_GB2312"/>
          <w:b/>
          <w:color w:val="auto"/>
          <w:sz w:val="24"/>
          <w:highlight w:val="none"/>
          <w:lang w:val="en-US" w:eastAsia="zh-CN"/>
        </w:rPr>
        <w:t>6999900</w:t>
      </w:r>
      <w:r>
        <w:rPr>
          <w:rFonts w:hint="eastAsia" w:ascii="仿宋_GB2312" w:hAnsi="仿宋" w:eastAsia="仿宋_GB2312" w:cs="Times New Roman"/>
          <w:b/>
          <w:color w:val="auto"/>
          <w:sz w:val="24"/>
          <w:highlight w:val="none"/>
        </w:rPr>
        <w:t>元</w:t>
      </w:r>
    </w:p>
    <w:p>
      <w:pPr>
        <w:pStyle w:val="16"/>
        <w:spacing w:line="360" w:lineRule="auto"/>
        <w:ind w:firstLine="480"/>
        <w:rPr>
          <w:rFonts w:ascii="仿宋_GB2312" w:hAnsi="仿宋" w:eastAsia="仿宋_GB2312"/>
          <w:bCs/>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 w:hAnsi="仿宋" w:eastAsia="仿宋" w:cs="仿宋"/>
          <w:b/>
          <w:bCs/>
          <w:color w:val="auto"/>
          <w:sz w:val="24"/>
          <w:highlight w:val="none"/>
          <w:u w:val="single"/>
          <w:lang w:eastAsia="zh-CN"/>
        </w:rPr>
        <w:t>亚运赛事（奥体中心网球中心）安保服务</w:t>
      </w:r>
      <w:r>
        <w:rPr>
          <w:rFonts w:hint="eastAsia" w:ascii="仿宋" w:hAnsi="仿宋" w:eastAsia="仿宋" w:cs="仿宋"/>
          <w:b/>
          <w:bCs/>
          <w:color w:val="auto"/>
          <w:sz w:val="24"/>
          <w:highlight w:val="none"/>
          <w:u w:val="single"/>
        </w:rPr>
        <w:t>。</w:t>
      </w:r>
      <w:r>
        <w:rPr>
          <w:rFonts w:hint="eastAsia" w:ascii="仿宋_GB2312" w:hAnsi="仿宋" w:eastAsia="仿宋_GB2312"/>
          <w:bCs/>
          <w:color w:val="auto"/>
          <w:kern w:val="2"/>
          <w:sz w:val="24"/>
          <w:szCs w:val="24"/>
          <w:highlight w:val="none"/>
        </w:rPr>
        <w:t>详见招标文件第三部分采购需求。</w:t>
      </w:r>
    </w:p>
    <w:p>
      <w:pPr>
        <w:pStyle w:val="128"/>
        <w:ind w:firstLine="482"/>
        <w:outlineLvl w:val="2"/>
        <w:rPr>
          <w:rFonts w:ascii="仿宋_GB2312" w:hAnsi="仿宋" w:eastAsia="仿宋_GB2312"/>
          <w:color w:val="auto"/>
          <w:highlight w:val="none"/>
        </w:rPr>
      </w:pPr>
      <w:r>
        <w:rPr>
          <w:rFonts w:hint="eastAsia" w:ascii="仿宋_GB2312" w:hAnsi="仿宋" w:eastAsia="仿宋_GB2312"/>
          <w:b/>
          <w:color w:val="auto"/>
          <w:highlight w:val="none"/>
        </w:rPr>
        <w:t>合同履约期限：</w:t>
      </w:r>
      <w:r>
        <w:rPr>
          <w:rFonts w:hint="eastAsia" w:ascii="仿宋_GB2312" w:hAnsi="仿宋" w:eastAsia="仿宋_GB2312"/>
          <w:b w:val="0"/>
          <w:bCs/>
          <w:color w:val="auto"/>
          <w:highlight w:val="none"/>
        </w:rPr>
        <w:t>自合同签订之日起至亚运会结束</w:t>
      </w:r>
      <w:r>
        <w:rPr>
          <w:rFonts w:hint="eastAsia" w:ascii="仿宋_GB2312" w:hAnsi="仿宋" w:eastAsia="仿宋_GB2312"/>
          <w:b w:val="0"/>
          <w:bCs/>
          <w:color w:val="auto"/>
          <w:highlight w:val="none"/>
          <w:lang w:val="en-US" w:eastAsia="zh-CN"/>
        </w:rPr>
        <w:t>之日止</w:t>
      </w:r>
      <w:r>
        <w:rPr>
          <w:rFonts w:hint="eastAsia" w:ascii="仿宋_GB2312" w:hAnsi="仿宋" w:eastAsia="仿宋_GB2312"/>
          <w:b w:val="0"/>
          <w:bCs/>
          <w:color w:val="auto"/>
          <w:highlight w:val="none"/>
        </w:rPr>
        <w:t>，</w:t>
      </w:r>
      <w:r>
        <w:rPr>
          <w:rFonts w:hint="eastAsia" w:ascii="仿宋_GB2312" w:hAnsi="仿宋" w:eastAsia="仿宋_GB2312"/>
          <w:b w:val="0"/>
          <w:bCs/>
          <w:color w:val="auto"/>
          <w:highlight w:val="none"/>
          <w:lang w:val="en-US" w:eastAsia="zh-CN"/>
        </w:rPr>
        <w:t>具体</w:t>
      </w:r>
      <w:r>
        <w:rPr>
          <w:rFonts w:hint="eastAsia" w:ascii="仿宋_GB2312" w:hAnsi="仿宋" w:eastAsia="仿宋_GB2312"/>
          <w:b w:val="0"/>
          <w:bCs/>
          <w:color w:val="auto"/>
          <w:highlight w:val="none"/>
        </w:rPr>
        <w:t>根据甲方工作安排，可适当微调。</w:t>
      </w:r>
      <w:r>
        <w:rPr>
          <w:rFonts w:hint="eastAsia" w:ascii="仿宋_GB2312" w:hAnsi="仿宋" w:eastAsia="仿宋_GB2312"/>
          <w:bCs/>
          <w:color w:val="auto"/>
          <w:kern w:val="2"/>
          <w:sz w:val="24"/>
          <w:szCs w:val="24"/>
          <w:highlight w:val="none"/>
        </w:rPr>
        <w:t>详见招标文件第三部分采购需求。</w:t>
      </w:r>
    </w:p>
    <w:p>
      <w:pPr>
        <w:pStyle w:val="16"/>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highlight w:val="none"/>
            </w:rPr>
            <w:t>þ</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_GB2312" w:hAnsi="仿宋" w:eastAsia="仿宋_GB2312"/>
          <w:color w:val="auto"/>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_GB2312" w:hAnsi="仿宋" w:eastAsia="仿宋_GB2312"/>
          <w:color w:val="auto"/>
          <w:sz w:val="24"/>
          <w:highlight w:val="none"/>
        </w:rPr>
        <w:t>落实政府采购政策需满足的资格要求：</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92861692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szCs w:val="24"/>
              <w:highlight w:val="none"/>
              <w:lang w:val="en-US" w:eastAsia="zh-CN" w:bidi="ar-SA"/>
            </w:rPr>
            <w:t>☐</w:t>
          </w:r>
        </w:sdtContent>
      </w:sdt>
      <w:r>
        <w:rPr>
          <w:rFonts w:hint="eastAsia" w:ascii="仿宋_GB2312" w:hAnsi="仿宋" w:eastAsia="仿宋_GB2312"/>
          <w:color w:val="auto"/>
          <w:sz w:val="24"/>
          <w:highlight w:val="none"/>
        </w:rPr>
        <w:t>无；</w:t>
      </w:r>
    </w:p>
    <w:p>
      <w:pPr>
        <w:pStyle w:val="4"/>
        <w:ind w:left="434" w:leftChars="202" w:hanging="10" w:hangingChars="4"/>
        <w:rPr>
          <w:rFonts w:hint="eastAsia" w:ascii="仿宋_GB2312" w:hAnsi="仿宋" w:eastAsia="仿宋_GB2312"/>
          <w:b w:val="0"/>
          <w:bCs w:val="0"/>
          <w:color w:val="auto"/>
          <w:sz w:val="24"/>
          <w:highlight w:val="none"/>
        </w:rPr>
      </w:pPr>
      <w:sdt>
        <w:sdtPr>
          <w:rPr>
            <w:rFonts w:hint="eastAsia" w:ascii="仿宋_GB2312" w:hAnsi="仿宋" w:eastAsia="仿宋_GB2312" w:cs="Arial"/>
            <w:color w:val="auto"/>
            <w:kern w:val="0"/>
            <w:sz w:val="24"/>
            <w:highlight w:val="none"/>
          </w:rPr>
          <w:id w:val="-1024704304"/>
          <w14:checkbox>
            <w14:checked w14:val="1"/>
            <w14:checkedState w14:val="00FE" w14:font="Wingdings"/>
            <w14:uncheckedState w14:val="2610" w14:font="MS Gothic"/>
          </w14:checkbox>
        </w:sdtPr>
        <w:sdtEndPr>
          <w:rPr>
            <w:rFonts w:hint="eastAsia" w:ascii="仿宋_GB2312" w:hAnsi="仿宋" w:eastAsia="仿宋_GB2312" w:cs="Arial"/>
            <w:b w:val="0"/>
            <w:bCs w:val="0"/>
            <w:color w:val="auto"/>
            <w:kern w:val="0"/>
            <w:sz w:val="24"/>
            <w:highlight w:val="none"/>
          </w:rPr>
        </w:sdtEndPr>
        <w:sdtContent>
          <w:r>
            <w:rPr>
              <w:rFonts w:hint="eastAsia" w:ascii="Wingdings" w:hAnsi="Wingdings" w:eastAsia="MS Gothic" w:cs="Arial"/>
              <w:b w:val="0"/>
              <w:bCs w:val="0"/>
              <w:color w:val="auto"/>
              <w:kern w:val="0"/>
              <w:sz w:val="24"/>
              <w:szCs w:val="24"/>
              <w:highlight w:val="none"/>
              <w:lang w:val="en-US" w:eastAsia="zh-CN" w:bidi="ar-SA"/>
            </w:rPr>
            <w:t>þ</w:t>
          </w:r>
        </w:sdtContent>
      </w:sdt>
      <w:r>
        <w:rPr>
          <w:rFonts w:hint="eastAsia" w:ascii="仿宋_GB2312" w:hAnsi="仿宋" w:eastAsia="仿宋_GB2312"/>
          <w:b w:val="0"/>
          <w:bCs w:val="0"/>
          <w:color w:val="auto"/>
          <w:sz w:val="24"/>
          <w:highlight w:val="none"/>
        </w:rPr>
        <w:t>专门面向中小企业</w:t>
      </w:r>
    </w:p>
    <w:p>
      <w:pPr>
        <w:pStyle w:val="4"/>
        <w:ind w:left="0" w:leftChars="0" w:firstLine="720" w:firstLineChars="300"/>
        <w:rPr>
          <w:rFonts w:hint="eastAsia" w:ascii="仿宋_GB2312" w:hAnsi="仿宋" w:eastAsia="仿宋_GB2312"/>
          <w:b w:val="0"/>
          <w:bCs w:val="0"/>
          <w:color w:val="auto"/>
          <w:sz w:val="24"/>
          <w:highlight w:val="none"/>
        </w:rPr>
      </w:pPr>
      <w:r>
        <w:rPr>
          <w:rFonts w:hint="eastAsia" w:ascii="仿宋_GB2312" w:hAnsi="仿宋" w:eastAsia="仿宋_GB2312"/>
          <w:b w:val="0"/>
          <w:bCs w:val="0"/>
          <w:color w:val="auto"/>
          <w:sz w:val="24"/>
          <w:highlight w:val="none"/>
        </w:rPr>
        <w:t>☐货物全部由符合政策要求的中小企业制造，提供中小企业声明函；</w:t>
      </w:r>
    </w:p>
    <w:p>
      <w:pPr>
        <w:pStyle w:val="4"/>
        <w:ind w:left="0" w:leftChars="0" w:firstLine="720" w:firstLineChars="300"/>
        <w:rPr>
          <w:rFonts w:hint="eastAsia" w:ascii="仿宋_GB2312" w:hAnsi="仿宋" w:eastAsia="仿宋_GB2312"/>
          <w:b w:val="0"/>
          <w:bCs w:val="0"/>
          <w:color w:val="auto"/>
          <w:sz w:val="24"/>
          <w:highlight w:val="none"/>
        </w:rPr>
      </w:pPr>
      <w:r>
        <w:rPr>
          <w:rFonts w:hint="eastAsia" w:ascii="仿宋_GB2312" w:hAnsi="仿宋" w:eastAsia="仿宋_GB2312"/>
          <w:b w:val="0"/>
          <w:bCs w:val="0"/>
          <w:color w:val="auto"/>
          <w:sz w:val="24"/>
          <w:highlight w:val="none"/>
        </w:rPr>
        <w:t>☐货物全部由符合政策要求的小微企业制造，提供中小企业声明函；</w:t>
      </w:r>
    </w:p>
    <w:p>
      <w:pPr>
        <w:pStyle w:val="4"/>
        <w:ind w:left="0" w:leftChars="0" w:firstLine="723" w:firstLineChars="300"/>
        <w:rPr>
          <w:rFonts w:hint="eastAsia" w:ascii="仿宋_GB2312" w:hAnsi="仿宋" w:eastAsia="仿宋_GB2312"/>
          <w:b w:val="0"/>
          <w:bCs w:val="0"/>
          <w:color w:val="auto"/>
          <w:sz w:val="24"/>
          <w:highlight w:val="none"/>
        </w:rPr>
      </w:pPr>
      <w:sdt>
        <w:sdtPr>
          <w:rPr>
            <w:rFonts w:hint="eastAsia" w:ascii="仿宋_GB2312" w:hAnsi="仿宋" w:eastAsia="仿宋_GB2312" w:cs="Arial"/>
            <w:color w:val="auto"/>
            <w:kern w:val="0"/>
            <w:sz w:val="24"/>
            <w:highlight w:val="none"/>
          </w:rPr>
          <w:id w:val="-1024704304"/>
          <w14:checkbox>
            <w14:checked w14:val="1"/>
            <w14:checkedState w14:val="00FE" w14:font="Wingdings"/>
            <w14:uncheckedState w14:val="2610" w14:font="MS Gothic"/>
          </w14:checkbox>
        </w:sdtPr>
        <w:sdtEndPr>
          <w:rPr>
            <w:rFonts w:hint="eastAsia" w:ascii="仿宋_GB2312" w:hAnsi="仿宋" w:eastAsia="仿宋_GB2312" w:cs="Arial"/>
            <w:b w:val="0"/>
            <w:bCs w:val="0"/>
            <w:color w:val="auto"/>
            <w:kern w:val="0"/>
            <w:sz w:val="24"/>
            <w:highlight w:val="none"/>
          </w:rPr>
        </w:sdtEndPr>
        <w:sdtContent>
          <w:r>
            <w:rPr>
              <w:rFonts w:hint="eastAsia" w:ascii="Wingdings" w:hAnsi="Wingdings" w:eastAsia="MS Gothic" w:cs="Arial"/>
              <w:b w:val="0"/>
              <w:bCs w:val="0"/>
              <w:color w:val="auto"/>
              <w:kern w:val="0"/>
              <w:sz w:val="24"/>
              <w:szCs w:val="24"/>
              <w:highlight w:val="none"/>
              <w:lang w:val="en-US" w:eastAsia="zh-CN" w:bidi="ar-SA"/>
            </w:rPr>
            <w:t>þ</w:t>
          </w:r>
        </w:sdtContent>
      </w:sdt>
      <w:r>
        <w:rPr>
          <w:rFonts w:hint="eastAsia" w:ascii="仿宋_GB2312" w:hAnsi="仿宋" w:eastAsia="仿宋_GB2312"/>
          <w:b w:val="0"/>
          <w:bCs w:val="0"/>
          <w:color w:val="auto"/>
          <w:sz w:val="24"/>
          <w:highlight w:val="none"/>
        </w:rPr>
        <w:t>服务全部由符合政策要求的中小企业承接，提供中小企业声明函；</w:t>
      </w:r>
    </w:p>
    <w:p>
      <w:pPr>
        <w:pStyle w:val="4"/>
        <w:ind w:left="0" w:firstLine="720" w:firstLineChars="300"/>
        <w:rPr>
          <w:b w:val="0"/>
          <w:bCs w:val="0"/>
          <w:color w:val="auto"/>
          <w:highlight w:val="none"/>
        </w:rPr>
      </w:pPr>
      <w:r>
        <w:rPr>
          <w:rFonts w:hint="eastAsia" w:ascii="仿宋_GB2312" w:hAnsi="仿宋" w:eastAsia="仿宋_GB2312"/>
          <w:b w:val="0"/>
          <w:bCs w:val="0"/>
          <w:color w:val="auto"/>
          <w:sz w:val="24"/>
          <w:highlight w:val="none"/>
        </w:rPr>
        <w:t>☐服务全部由符合政策要求的小微企业承接，提供中小企业声明函；</w:t>
      </w:r>
    </w:p>
    <w:p>
      <w:pPr>
        <w:spacing w:line="480" w:lineRule="auto"/>
        <w:ind w:firstLine="480" w:firstLineChars="200"/>
        <w:rPr>
          <w:rFonts w:ascii="仿宋_GB2312" w:hAnsi="仿宋" w:eastAsia="仿宋_GB2312"/>
          <w:color w:val="auto"/>
          <w:sz w:val="24"/>
          <w:highlight w:val="none"/>
        </w:rPr>
      </w:pPr>
      <w:r>
        <w:rPr>
          <w:rFonts w:hint="eastAsia" w:ascii="仿宋" w:hAnsi="仿宋" w:eastAsia="仿宋" w:cs="仿宋"/>
          <w:color w:val="auto"/>
          <w:sz w:val="24"/>
          <w:highlight w:val="none"/>
        </w:rPr>
        <w:sym w:font="Wingdings 2" w:char="00A3"/>
      </w:r>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olor w:val="auto"/>
          <w:sz w:val="24"/>
          <w:highlight w:val="none"/>
        </w:rPr>
        <w:t>其中</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w:t>
      </w:r>
      <w:r>
        <w:rPr>
          <w:rFonts w:hint="eastAsia"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olor w:val="auto"/>
          <w:sz w:val="24"/>
          <w:highlight w:val="none"/>
        </w:rPr>
        <w:t>如果供应商本身提供所有标的均由中小企业制造、承建或承接，视同符合了资格条件，无需再与其他中小企业组成联合体参加政府采购活动，无需提供联合协议；</w:t>
      </w:r>
    </w:p>
    <w:p>
      <w:pPr>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sym w:font="Wingdings 2" w:char="00A3"/>
      </w:r>
      <w:r>
        <w:rPr>
          <w:rFonts w:hint="eastAsia" w:ascii="仿宋" w:hAnsi="仿宋" w:eastAsia="仿宋"/>
          <w:color w:val="auto"/>
          <w:sz w:val="24"/>
          <w:highlight w:val="none"/>
        </w:rPr>
        <w:t>要</w:t>
      </w:r>
      <w:r>
        <w:rPr>
          <w:rFonts w:hint="eastAsia" w:ascii="仿宋_GB2312" w:hAnsi="仿宋" w:eastAsia="仿宋_GB2312"/>
          <w:color w:val="auto"/>
          <w:sz w:val="24"/>
          <w:highlight w:val="none"/>
        </w:rPr>
        <w:t>求合同分包，提供分包意向协议和中小企业声明函，分包意向协议中中小企业合同金额应当达到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olor w:val="auto"/>
          <w:sz w:val="24"/>
          <w:highlight w:val="none"/>
        </w:rPr>
        <w:t>如果供应商本身提供所有标的均由中小企业制造、承建或承接，视同符合了资格条件，无需再向中小企业分包，无需提供分包意向协议；</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3.本项目的特定资格要求：无</w:t>
      </w:r>
      <w:r>
        <w:rPr>
          <w:rFonts w:hint="eastAsia" w:ascii="仿宋_GB2312" w:hAnsi="仿宋" w:eastAsia="仿宋_GB2312"/>
          <w:color w:val="auto"/>
          <w:sz w:val="24"/>
          <w:highlight w:val="none"/>
        </w:rPr>
        <w:t>；</w:t>
      </w:r>
    </w:p>
    <w:p>
      <w:pPr>
        <w:snapToGrid w:val="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ascii="仿宋_GB2312" w:hAnsi="仿宋" w:eastAsia="仿宋_GB2312"/>
          <w:color w:val="auto"/>
          <w:sz w:val="24"/>
          <w:highlight w:val="none"/>
        </w:rPr>
        <w:t>为采购项目提供整体设计、规范编制或者项目管理、监理、检测等服务后</w:t>
      </w:r>
      <w:r>
        <w:rPr>
          <w:rFonts w:hint="eastAsia" w:ascii="仿宋_GB2312" w:hAnsi="仿宋" w:eastAsia="仿宋_GB2312"/>
          <w:color w:val="auto"/>
          <w:sz w:val="24"/>
          <w:highlight w:val="none"/>
        </w:rPr>
        <w:t>不得</w:t>
      </w:r>
      <w:r>
        <w:rPr>
          <w:rFonts w:ascii="仿宋_GB2312" w:hAnsi="仿宋" w:eastAsia="仿宋_GB2312"/>
          <w:color w:val="auto"/>
          <w:sz w:val="24"/>
          <w:highlight w:val="none"/>
        </w:rPr>
        <w:t>再参加该采购项目的其他采购活动</w:t>
      </w:r>
      <w:r>
        <w:rPr>
          <w:rFonts w:ascii="仿宋_GB2312" w:hAnsi="仿宋" w:eastAsia="仿宋_GB2312" w:cs="仿宋_GB2312"/>
          <w:color w:val="auto"/>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rPr>
        <w:t>2023</w:t>
      </w:r>
      <w:r>
        <w:rPr>
          <w:rFonts w:ascii="仿宋_GB2312" w:hAnsi="仿宋" w:eastAsia="仿宋_GB2312"/>
          <w:color w:val="auto"/>
          <w:sz w:val="24"/>
          <w:highlight w:val="none"/>
        </w:rPr>
        <w:t>年</w:t>
      </w:r>
      <w:r>
        <w:rPr>
          <w:rFonts w:hint="eastAsia" w:ascii="仿宋_GB2312" w:hAnsi="仿宋" w:eastAsia="仿宋_GB2312"/>
          <w:color w:val="auto"/>
          <w:sz w:val="24"/>
          <w:highlight w:val="none"/>
          <w:lang w:val="en-US" w:eastAsia="zh-CN"/>
        </w:rPr>
        <w:t>8</w:t>
      </w:r>
      <w:r>
        <w:rPr>
          <w:rFonts w:ascii="仿宋_GB2312" w:hAnsi="仿宋" w:eastAsia="仿宋_GB2312"/>
          <w:color w:val="auto"/>
          <w:sz w:val="24"/>
          <w:highlight w:val="none"/>
        </w:rPr>
        <w:t>月</w:t>
      </w:r>
      <w:r>
        <w:rPr>
          <w:rFonts w:hint="eastAsia" w:ascii="仿宋_GB2312" w:hAnsi="仿宋" w:eastAsia="仿宋_GB2312"/>
          <w:color w:val="auto"/>
          <w:sz w:val="24"/>
          <w:highlight w:val="none"/>
          <w:lang w:val="en-US" w:eastAsia="zh-CN"/>
        </w:rPr>
        <w:t>25</w:t>
      </w:r>
      <w:r>
        <w:rPr>
          <w:rFonts w:ascii="仿宋_GB2312" w:hAnsi="仿宋" w:eastAsia="仿宋_GB2312"/>
          <w:color w:val="auto"/>
          <w:sz w:val="24"/>
          <w:highlight w:val="non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00:00至12:00</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https://www.zcygov.cn/）</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https://www.zcygov.cn/在线申请获取采购文件（进入“项目采购”应用，在获取采购文件菜单中选择项目，申请获取采购文件）。</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0</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2023</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8</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25</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09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00</w:t>
      </w:r>
      <w:r>
        <w:rPr>
          <w:rFonts w:hint="eastAsia" w:ascii="仿宋_GB2312" w:hAnsi="仿宋" w:eastAsia="仿宋_GB2312"/>
          <w:color w:val="auto"/>
          <w:sz w:val="24"/>
          <w:highlight w:val="none"/>
          <w:u w:val="single"/>
        </w:rPr>
        <w:t>分</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https://www.zcygov.cn/）</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rPr>
        <w:t>2023</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8</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25</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09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00</w:t>
      </w:r>
      <w:r>
        <w:rPr>
          <w:rFonts w:hint="eastAsia" w:ascii="仿宋_GB2312" w:hAnsi="仿宋" w:eastAsia="仿宋_GB2312"/>
          <w:color w:val="auto"/>
          <w:sz w:val="24"/>
          <w:highlight w:val="none"/>
          <w:u w:val="single"/>
        </w:rPr>
        <w:t>分</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2.其他事项：（1）需要落实的政府采购政策：包括节约资源、保护环境、支持创新、促进中小企业发展等。详见招标文件的第二部分总则。（2）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pPr>
        <w:spacing w:line="360" w:lineRule="auto"/>
        <w:rPr>
          <w:rFonts w:ascii="仿宋" w:hAnsi="仿宋" w:eastAsia="仿宋" w:cs="仿宋"/>
          <w:color w:val="auto"/>
          <w:sz w:val="24"/>
          <w:highlight w:val="none"/>
        </w:rPr>
      </w:pPr>
      <w:r>
        <w:rPr>
          <w:rFonts w:ascii="仿宋_GB2312" w:hAnsi="仿宋" w:eastAsia="仿宋_GB2312"/>
          <w:color w:val="auto"/>
          <w:sz w:val="24"/>
          <w:highlight w:val="none"/>
        </w:rPr>
        <w:t xml:space="preserve">    名    称：</w:t>
      </w:r>
      <w:r>
        <w:rPr>
          <w:rFonts w:hint="eastAsia" w:ascii="仿宋" w:hAnsi="仿宋" w:eastAsia="仿宋" w:cs="仿宋"/>
          <w:color w:val="auto"/>
          <w:sz w:val="24"/>
          <w:highlight w:val="none"/>
        </w:rPr>
        <w:t>杭州市公安局滨江区分局</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 w:hAnsi="仿宋" w:eastAsia="仿宋" w:cs="仿宋"/>
          <w:color w:val="auto"/>
          <w:sz w:val="24"/>
          <w:highlight w:val="none"/>
        </w:rPr>
        <w:t>杭州市滨江区通和路71号</w:t>
      </w:r>
      <w:r>
        <w:rPr>
          <w:rFonts w:hint="eastAsia" w:ascii="仿宋" w:hAnsi="仿宋" w:eastAsia="仿宋" w:cs="仿宋_GB2312"/>
          <w:color w:val="auto"/>
          <w:sz w:val="24"/>
          <w:highlight w:val="none"/>
        </w:rPr>
        <w:t xml:space="preserve"> </w:t>
      </w:r>
      <w:r>
        <w:rPr>
          <w:rFonts w:ascii="仿宋_GB2312" w:hAnsi="仿宋" w:eastAsia="仿宋_GB2312"/>
          <w:color w:val="auto"/>
          <w:sz w:val="24"/>
          <w:highlight w:val="none"/>
        </w:rPr>
        <w:t xml:space="preserve">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w:t>
      </w:r>
      <w:r>
        <w:rPr>
          <w:rFonts w:hint="eastAsia" w:ascii="仿宋_GB2312" w:hAnsi="仿宋" w:eastAsia="仿宋_GB2312"/>
          <w:color w:val="auto"/>
          <w:sz w:val="24"/>
          <w:highlight w:val="none"/>
        </w:rPr>
        <w:t>/</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项目联系人（询问）：</w:t>
      </w:r>
      <w:r>
        <w:rPr>
          <w:rFonts w:hint="eastAsia" w:ascii="仿宋" w:hAnsi="仿宋" w:eastAsia="仿宋" w:cs="仿宋"/>
          <w:color w:val="auto"/>
          <w:sz w:val="24"/>
          <w:highlight w:val="none"/>
        </w:rPr>
        <w:t>汤警官</w:t>
      </w:r>
    </w:p>
    <w:p>
      <w:pPr>
        <w:spacing w:line="360" w:lineRule="auto"/>
        <w:rPr>
          <w:rFonts w:hint="eastAsia" w:ascii="仿宋_GB2312" w:hAnsi="仿宋" w:eastAsia="仿宋"/>
          <w:color w:val="auto"/>
          <w:sz w:val="24"/>
          <w:highlight w:val="none"/>
          <w:lang w:eastAsia="zh-CN"/>
        </w:rPr>
      </w:pPr>
      <w:r>
        <w:rPr>
          <w:rFonts w:ascii="仿宋_GB2312" w:hAnsi="仿宋" w:eastAsia="仿宋_GB2312"/>
          <w:color w:val="auto"/>
          <w:sz w:val="24"/>
          <w:highlight w:val="none"/>
        </w:rPr>
        <w:t xml:space="preserve">    项目联系方式（询问）：</w:t>
      </w:r>
      <w:r>
        <w:rPr>
          <w:rFonts w:hint="eastAsia" w:ascii="仿宋" w:hAnsi="仿宋" w:eastAsia="仿宋" w:cs="Arial"/>
          <w:bCs/>
          <w:color w:val="auto"/>
          <w:sz w:val="24"/>
          <w:highlight w:val="none"/>
        </w:rPr>
        <w:t>0571-8952069</w:t>
      </w:r>
      <w:r>
        <w:rPr>
          <w:rFonts w:hint="eastAsia" w:ascii="仿宋" w:hAnsi="仿宋" w:eastAsia="仿宋" w:cs="Arial"/>
          <w:bCs/>
          <w:color w:val="auto"/>
          <w:sz w:val="24"/>
          <w:highlight w:val="none"/>
          <w:lang w:val="en-US" w:eastAsia="zh-CN"/>
        </w:rPr>
        <w:t>0</w:t>
      </w:r>
    </w:p>
    <w:p>
      <w:pPr>
        <w:spacing w:line="360" w:lineRule="auto"/>
        <w:rPr>
          <w:rFonts w:ascii="仿宋"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 w:hAnsi="仿宋" w:eastAsia="仿宋" w:cs="仿宋"/>
          <w:color w:val="auto"/>
          <w:sz w:val="24"/>
          <w:highlight w:val="none"/>
        </w:rPr>
        <w:t>魏警官</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质疑联系方式：</w:t>
      </w:r>
      <w:r>
        <w:rPr>
          <w:rFonts w:hint="eastAsia" w:ascii="仿宋" w:hAnsi="仿宋" w:eastAsia="仿宋" w:cs="Arial"/>
          <w:bCs/>
          <w:color w:val="auto"/>
          <w:sz w:val="24"/>
          <w:highlight w:val="none"/>
        </w:rPr>
        <w:t>0571-89520692</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名称：</w:t>
      </w:r>
      <w:r>
        <w:rPr>
          <w:rFonts w:hint="eastAsia" w:ascii="仿宋" w:hAnsi="仿宋" w:eastAsia="仿宋" w:cs="仿宋"/>
          <w:color w:val="auto"/>
          <w:sz w:val="24"/>
          <w:highlight w:val="none"/>
        </w:rPr>
        <w:t>北京华夏京诚咨询有限公司杭州分公司</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地址：</w:t>
      </w:r>
      <w:r>
        <w:rPr>
          <w:rFonts w:hint="eastAsia" w:ascii="仿宋" w:hAnsi="仿宋" w:eastAsia="仿宋" w:cs="仿宋"/>
          <w:color w:val="auto"/>
          <w:sz w:val="24"/>
          <w:highlight w:val="none"/>
        </w:rPr>
        <w:t>杭州市萧山区金城路185号商会大厦B座802室</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传真：</w:t>
      </w: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 w:hAnsi="仿宋" w:eastAsia="仿宋" w:cs="仿宋"/>
          <w:color w:val="auto"/>
          <w:sz w:val="24"/>
          <w:highlight w:val="none"/>
        </w:rPr>
        <w:t xml:space="preserve">刘女士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 w:hAnsi="仿宋" w:eastAsia="仿宋" w:cs="仿宋"/>
          <w:color w:val="auto"/>
          <w:sz w:val="24"/>
          <w:highlight w:val="none"/>
        </w:rPr>
        <w:t>13634117509</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 w:hAnsi="仿宋" w:eastAsia="仿宋" w:cs="仿宋"/>
          <w:color w:val="auto"/>
          <w:sz w:val="24"/>
          <w:highlight w:val="none"/>
        </w:rPr>
        <w:t>刘女士</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 w:hAnsi="仿宋" w:eastAsia="仿宋" w:cs="仿宋"/>
          <w:color w:val="auto"/>
          <w:sz w:val="24"/>
          <w:highlight w:val="none"/>
        </w:rPr>
        <w:t xml:space="preserve">13634117509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名称：</w:t>
      </w:r>
      <w:r>
        <w:rPr>
          <w:rFonts w:hint="eastAsia" w:ascii="仿宋" w:hAnsi="仿宋" w:eastAsia="仿宋" w:cs="仿宋"/>
          <w:color w:val="auto"/>
          <w:sz w:val="24"/>
          <w:highlight w:val="none"/>
        </w:rPr>
        <w:t>杭州市高新区（滨江）财政局</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地址：</w:t>
      </w:r>
      <w:r>
        <w:rPr>
          <w:rFonts w:hint="eastAsia" w:ascii="仿宋" w:hAnsi="仿宋" w:eastAsia="仿宋" w:cs="仿宋"/>
          <w:color w:val="auto"/>
          <w:sz w:val="24"/>
          <w:highlight w:val="none"/>
        </w:rPr>
        <w:t>杭州市江南大道328号701办公室</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  传真：</w:t>
      </w: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w:t>
      </w:r>
      <w:r>
        <w:rPr>
          <w:rFonts w:hint="eastAsia" w:ascii="仿宋" w:hAnsi="仿宋" w:eastAsia="仿宋" w:cs="仿宋"/>
          <w:color w:val="auto"/>
          <w:sz w:val="24"/>
          <w:highlight w:val="none"/>
        </w:rPr>
        <w:t>何科</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监督投诉电话：</w:t>
      </w:r>
      <w:r>
        <w:rPr>
          <w:rFonts w:hint="eastAsia" w:ascii="仿宋_GB2312" w:hAnsi="仿宋" w:eastAsia="仿宋_GB2312"/>
          <w:color w:val="auto"/>
          <w:sz w:val="24"/>
          <w:highlight w:val="none"/>
        </w:rPr>
        <w:t>0571-87760023</w:t>
      </w:r>
      <w:r>
        <w:rPr>
          <w:rFonts w:hint="eastAsia" w:ascii="仿宋" w:hAnsi="仿宋" w:eastAsia="仿宋" w:cs="仿宋"/>
          <w:color w:val="auto"/>
          <w:sz w:val="24"/>
          <w:highlight w:val="none"/>
        </w:rPr>
        <w:t xml:space="preserve"> </w:t>
      </w:r>
    </w:p>
    <w:p>
      <w:pPr>
        <w:wordWrap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pStyle w:val="34"/>
        <w:spacing w:line="360" w:lineRule="auto"/>
        <w:rPr>
          <w:rFonts w:ascii="仿宋" w:hAnsi="仿宋" w:eastAsia="仿宋" w:cs="仿宋_GB2312"/>
          <w:color w:val="auto"/>
          <w:sz w:val="24"/>
          <w:szCs w:val="24"/>
          <w:highlight w:val="none"/>
        </w:rPr>
      </w:pP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hint="eastAsia" w:ascii="仿宋" w:hAnsi="仿宋" w:eastAsia="仿宋" w:cs="仿宋_GB2312"/>
          <w:b/>
          <w:color w:val="auto"/>
          <w:sz w:val="36"/>
          <w:szCs w:val="20"/>
          <w:highlight w:val="none"/>
        </w:rPr>
        <w:t xml:space="preserve"> </w:t>
      </w:r>
      <w:r>
        <w:rPr>
          <w:rFonts w:ascii="仿宋" w:hAnsi="仿宋" w:eastAsia="仿宋" w:cs="仿宋_GB2312"/>
          <w:b/>
          <w:color w:val="auto"/>
          <w:sz w:val="36"/>
          <w:szCs w:val="20"/>
          <w:highlight w:val="none"/>
        </w:rPr>
        <w:t>投标人须知</w:t>
      </w:r>
      <w:bookmarkEnd w:id="9"/>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lang w:val="zh-CN"/>
              </w:rPr>
              <w:t>有关本项目实施所需的所有费用（含税费）均计入报价。</w:t>
            </w:r>
            <w:r>
              <w:rPr>
                <w:rFonts w:hint="eastAsia" w:ascii="仿宋_GB2312" w:hAnsi="仿宋" w:eastAsia="仿宋_GB2312" w:cs="仿宋_GB2312"/>
                <w:color w:val="auto"/>
                <w:sz w:val="24"/>
                <w:highlight w:val="none"/>
              </w:rPr>
              <w:t>开标一览表（报价表）</w:t>
            </w:r>
            <w:r>
              <w:rPr>
                <w:rFonts w:hint="eastAsia" w:ascii="仿宋_GB2312" w:hAnsi="仿宋" w:eastAsia="仿宋_GB2312"/>
                <w:color w:val="auto"/>
                <w:sz w:val="24"/>
                <w:highlight w:val="none"/>
              </w:rPr>
              <w:t>是报价的唯一载体</w:t>
            </w:r>
            <w:r>
              <w:rPr>
                <w:rFonts w:hint="eastAsia" w:ascii="仿宋_GB2312" w:hAnsi="仿宋" w:eastAsia="仿宋_GB2312" w:cs="仿宋_GB2312"/>
                <w:color w:val="auto"/>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highlight w:val="none"/>
                <w:lang w:val="zh-CN"/>
              </w:rPr>
              <w:t>提醒：验收时检测费用由采购人承担，不包含在投标总价中。</w:t>
            </w:r>
          </w:p>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pPr>
              <w:snapToGrid w:val="0"/>
              <w:spacing w:line="360" w:lineRule="auto"/>
              <w:ind w:firstLine="482" w:firstLineChars="2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投标文件出现不是唯一的、有选择性投标报价的；</w:t>
            </w:r>
          </w:p>
          <w:p>
            <w:pPr>
              <w:snapToGrid w:val="0"/>
              <w:spacing w:line="360" w:lineRule="auto"/>
              <w:ind w:firstLine="482" w:firstLineChars="200"/>
              <w:jc w:val="left"/>
              <w:rPr>
                <w:rFonts w:ascii="仿宋_GB2312" w:hAnsi="仿宋" w:eastAsia="仿宋_GB2312"/>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投标报价超过招标文件中规定的预算金额或者最高限价的</w:t>
            </w:r>
            <w:r>
              <w:rPr>
                <w:rFonts w:ascii="仿宋_GB2312" w:hAnsi="仿宋" w:eastAsia="仿宋_GB2312"/>
                <w:b/>
                <w:color w:val="auto"/>
                <w:kern w:val="0"/>
                <w:sz w:val="24"/>
                <w:highlight w:val="none"/>
                <w:lang w:val="zh-CN"/>
              </w:rPr>
              <w:t>;</w:t>
            </w:r>
          </w:p>
          <w:p>
            <w:pPr>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highlight w:val="none"/>
              </w:rPr>
              <w:t>;</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47728692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szCs w:val="24"/>
                    <w:highlight w:val="none"/>
                    <w:lang w:val="en-US" w:eastAsia="zh-CN" w:bidi="ar-SA"/>
                  </w:rPr>
                  <w:t>þ</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同意将非主体、非关键性的</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资料整理</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工作分包。</w:t>
            </w:r>
          </w:p>
          <w:p>
            <w:pPr>
              <w:spacing w:line="360" w:lineRule="auto"/>
              <w:rPr>
                <w:rFonts w:ascii="仿宋_GB2312" w:hAnsi="仿宋" w:eastAsia="仿宋_GB2312" w:cs="仿宋_GB2312"/>
                <w:color w:val="auto"/>
                <w:sz w:val="24"/>
                <w:highlight w:val="none"/>
              </w:rPr>
            </w:pPr>
            <w:sdt>
              <w:sdtPr>
                <w:rPr>
                  <w:rFonts w:hint="eastAsia" w:ascii="仿宋_GB2312" w:hAnsi="仿宋" w:eastAsia="仿宋_GB2312" w:cs="Arial"/>
                  <w:color w:val="auto"/>
                  <w:kern w:val="0"/>
                  <w:sz w:val="24"/>
                  <w:highlight w:val="none"/>
                </w:rPr>
                <w:id w:val="-127633135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pPr>
              <w:spacing w:line="360" w:lineRule="auto"/>
              <w:rPr>
                <w:rFonts w:ascii="Arial" w:hAnsi="Arial" w:eastAsia="黑体" w:cs="Arial"/>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w:t>
            </w:r>
            <w:r>
              <w:rPr>
                <w:rFonts w:hint="eastAsia" w:ascii="仿宋_GB2312" w:hAnsi="仿宋" w:eastAsia="仿宋_GB2312"/>
                <w:color w:val="auto"/>
                <w:sz w:val="24"/>
                <w:highlight w:val="none"/>
              </w:rPr>
              <w:t>办法</w:t>
            </w:r>
            <w:r>
              <w:rPr>
                <w:rFonts w:ascii="仿宋_GB2312" w:hAnsi="仿宋" w:eastAsia="仿宋_GB2312"/>
                <w:color w:val="auto"/>
                <w:sz w:val="24"/>
                <w:highlight w:val="none"/>
              </w:rPr>
              <w:t>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21296641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highlight w:val="none"/>
                  </w:rPr>
                  <w:t>þ</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sz w:val="24"/>
                <w:szCs w:val="20"/>
                <w:highlight w:val="none"/>
              </w:rPr>
            </w:pPr>
            <w:sdt>
              <w:sdtPr>
                <w:rPr>
                  <w:rFonts w:hint="eastAsia" w:ascii="仿宋_GB2312" w:hAnsi="仿宋" w:eastAsia="仿宋_GB2312" w:cs="Arial"/>
                  <w:color w:val="auto"/>
                  <w:kern w:val="0"/>
                  <w:sz w:val="24"/>
                  <w:highlight w:val="none"/>
                </w:rPr>
                <w:id w:val="-99980297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,地点：</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，联系方式：</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639946486"/>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þ</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p>
            <w:pP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0268319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ascii="仿宋_GB2312" w:hAnsi="仿宋" w:eastAsia="仿宋_GB2312"/>
                <w:color w:val="auto"/>
                <w:kern w:val="0"/>
                <w:sz w:val="24"/>
                <w:highlight w:val="none"/>
              </w:rPr>
              <w:t>B</w:t>
            </w:r>
            <w:r>
              <w:rPr>
                <w:rFonts w:hint="eastAsia" w:ascii="仿宋_GB2312" w:hAnsi="仿宋" w:eastAsia="仿宋_GB2312"/>
                <w:color w:val="auto"/>
                <w:kern w:val="0"/>
                <w:sz w:val="24"/>
                <w:highlight w:val="none"/>
              </w:rPr>
              <w:t>要求提供，</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w:t>
            </w:r>
            <w:r>
              <w:rPr>
                <w:rFonts w:hint="eastAsia" w:ascii="仿宋" w:hAnsi="仿宋" w:eastAsia="仿宋"/>
                <w:snapToGrid w:val="0"/>
                <w:color w:val="auto"/>
                <w:kern w:val="28"/>
                <w:sz w:val="24"/>
                <w:highlight w:val="none"/>
              </w:rPr>
              <w:t>样品：</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w:t>
            </w:r>
            <w:r>
              <w:rPr>
                <w:rFonts w:hint="eastAsia" w:ascii="仿宋" w:hAnsi="仿宋" w:eastAsia="仿宋"/>
                <w:snapToGrid w:val="0"/>
                <w:color w:val="auto"/>
                <w:kern w:val="28"/>
                <w:sz w:val="24"/>
                <w:highlight w:val="none"/>
              </w:rPr>
              <w:t>样品制作的标准和要求：</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3）样品的评审方法以及评审标准</w:t>
            </w:r>
            <w:r>
              <w:rPr>
                <w:rFonts w:hint="eastAsia" w:ascii="仿宋" w:hAnsi="仿宋" w:eastAsia="仿宋"/>
                <w:snapToGrid w:val="0"/>
                <w:color w:val="auto"/>
                <w:kern w:val="28"/>
                <w:sz w:val="24"/>
                <w:highlight w:val="none"/>
              </w:rPr>
              <w:t>：详见</w:t>
            </w:r>
            <w:r>
              <w:rPr>
                <w:rFonts w:hint="eastAsia" w:ascii="仿宋_GB2312" w:hAnsi="仿宋" w:eastAsia="仿宋_GB2312"/>
                <w:color w:val="auto"/>
                <w:sz w:val="24"/>
                <w:highlight w:val="none"/>
                <w:u w:val="single"/>
              </w:rPr>
              <w:t>评标办法</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4）是否需要随样品提交检测报告</w:t>
            </w:r>
            <w:r>
              <w:rPr>
                <w:rFonts w:hint="eastAsia" w:ascii="仿宋_GB2312" w:hAnsi="仿宋" w:eastAsia="仿宋_GB2312"/>
                <w:color w:val="auto"/>
                <w:kern w:val="0"/>
                <w:sz w:val="24"/>
                <w:highlight w:val="none"/>
              </w:rPr>
              <w:t>：</w:t>
            </w:r>
            <w:sdt>
              <w:sdtPr>
                <w:rPr>
                  <w:rFonts w:hint="eastAsia" w:ascii="仿宋_GB2312" w:hAnsi="仿宋" w:eastAsia="仿宋_GB2312" w:cs="Arial"/>
                  <w:color w:val="auto"/>
                  <w:kern w:val="0"/>
                  <w:sz w:val="24"/>
                  <w:highlight w:val="none"/>
                </w:rPr>
                <w:id w:val="130342145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ascii="仿宋_GB2312" w:hAnsi="仿宋" w:eastAsia="仿宋_GB2312"/>
                <w:color w:val="auto"/>
                <w:kern w:val="0"/>
                <w:sz w:val="24"/>
                <w:highlight w:val="none"/>
              </w:rPr>
              <w:t>否；</w:t>
            </w:r>
            <w:sdt>
              <w:sdtPr>
                <w:rPr>
                  <w:rFonts w:hint="eastAsia" w:ascii="仿宋_GB2312" w:hAnsi="仿宋" w:eastAsia="仿宋_GB2312" w:cs="Arial"/>
                  <w:color w:val="auto"/>
                  <w:kern w:val="0"/>
                  <w:sz w:val="24"/>
                  <w:highlight w:val="none"/>
                </w:rPr>
                <w:id w:val="162172843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ascii="仿宋_GB2312" w:hAnsi="仿宋" w:eastAsia="仿宋_GB2312"/>
                <w:color w:val="auto"/>
                <w:kern w:val="0"/>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5）提供样品的时间：</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；地点：</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；联系人</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r>
              <w:rPr>
                <w:rFonts w:hint="eastAsia" w:ascii="仿宋_GB2312" w:hAnsi="仿宋" w:eastAsia="仿宋_GB2312"/>
                <w:color w:val="auto"/>
                <w:kern w:val="28"/>
                <w:sz w:val="24"/>
                <w:highlight w:val="none"/>
              </w:rPr>
              <w:t>联系电话：</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(6)采购活动结束后，对于未中标人提供的样品，</w:t>
            </w:r>
            <w:r>
              <w:rPr>
                <w:rFonts w:hint="eastAsia" w:ascii="仿宋_GB2312" w:hAnsi="仿宋" w:eastAsia="仿宋_GB2312"/>
                <w:color w:val="auto"/>
                <w:sz w:val="24"/>
                <w:highlight w:val="none"/>
              </w:rPr>
              <w:t>采购人、采购机构将通知</w:t>
            </w:r>
            <w:r>
              <w:rPr>
                <w:rFonts w:ascii="仿宋_GB2312" w:hAnsi="仿宋" w:eastAsia="仿宋_GB2312"/>
                <w:color w:val="auto"/>
                <w:sz w:val="24"/>
                <w:highlight w:val="none"/>
              </w:rPr>
              <w:t>未中标人</w:t>
            </w:r>
            <w:r>
              <w:rPr>
                <w:rFonts w:hint="eastAsia" w:ascii="仿宋_GB2312" w:hAnsi="仿宋" w:eastAsia="仿宋_GB2312"/>
                <w:color w:val="auto"/>
                <w:sz w:val="24"/>
                <w:highlight w:val="none"/>
              </w:rPr>
              <w:t>在规定的时间内取回，逾期未取回的，采购人、采购机构不负保管义务</w:t>
            </w:r>
            <w:r>
              <w:rPr>
                <w:rFonts w:ascii="仿宋_GB2312" w:hAnsi="仿宋" w:eastAsia="仿宋_GB2312"/>
                <w:color w:val="auto"/>
                <w:sz w:val="24"/>
                <w:highlight w:val="none"/>
              </w:rPr>
              <w:t>；对于中标人提供的样品，</w:t>
            </w:r>
            <w:r>
              <w:rPr>
                <w:rFonts w:hint="eastAsia" w:ascii="仿宋_GB2312" w:hAnsi="仿宋" w:eastAsia="仿宋_GB2312"/>
                <w:color w:val="auto"/>
                <w:sz w:val="24"/>
                <w:highlight w:val="none"/>
              </w:rPr>
              <w:t>采购人将进</w:t>
            </w:r>
            <w:r>
              <w:rPr>
                <w:rFonts w:ascii="仿宋_GB2312" w:hAnsi="仿宋" w:eastAsia="仿宋_GB2312"/>
                <w:color w:val="auto"/>
                <w:sz w:val="24"/>
                <w:highlight w:val="none"/>
              </w:rPr>
              <w:t>行保管、封存，并作为履约验收的参考。</w:t>
            </w:r>
          </w:p>
          <w:p>
            <w:pPr>
              <w:spacing w:line="360" w:lineRule="auto"/>
              <w:rPr>
                <w:rFonts w:ascii="仿宋_GB2312" w:hAnsi="仿宋" w:eastAsia="仿宋_GB2312"/>
                <w:b/>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7"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859348549"/>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17407171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szCs w:val="24"/>
                    <w:highlight w:val="none"/>
                    <w:lang w:val="en-US" w:eastAsia="zh-CN" w:bidi="ar-SA"/>
                  </w:rPr>
                  <w:t>þ</w:t>
                </w:r>
              </w:sdtContent>
            </w:sdt>
            <w:r>
              <w:rPr>
                <w:rFonts w:ascii="仿宋_GB2312" w:hAnsi="仿宋" w:eastAsia="仿宋_GB2312"/>
                <w:color w:val="auto"/>
                <w:kern w:val="0"/>
                <w:sz w:val="24"/>
                <w:highlight w:val="none"/>
              </w:rPr>
              <w:t>B组织</w:t>
            </w:r>
            <w:r>
              <w:rPr>
                <w:rFonts w:hint="eastAsia" w:ascii="仿宋_GB2312" w:hAnsi="仿宋" w:eastAsia="仿宋_GB2312"/>
                <w:color w:val="auto"/>
                <w:kern w:val="0"/>
                <w:sz w:val="24"/>
                <w:highlight w:val="none"/>
              </w:rPr>
              <w:t>，采</w:t>
            </w:r>
            <w:r>
              <w:rPr>
                <w:rFonts w:hint="eastAsia" w:ascii="仿宋_GB2312" w:hAnsi="仿宋" w:eastAsia="仿宋_GB2312"/>
                <w:color w:val="auto"/>
                <w:kern w:val="0"/>
                <w:sz w:val="24"/>
                <w:highlight w:val="none"/>
                <w:u w:val="none"/>
              </w:rPr>
              <w:t>用</w:t>
            </w:r>
            <w:r>
              <w:rPr>
                <w:rFonts w:hint="eastAsia" w:ascii="仿宋_GB2312" w:hAnsi="仿宋" w:eastAsia="仿宋_GB2312"/>
                <w:color w:val="auto"/>
                <w:kern w:val="0"/>
                <w:sz w:val="24"/>
                <w:highlight w:val="none"/>
                <w:u w:val="single"/>
                <w:lang w:val="en-US" w:eastAsia="zh-CN"/>
              </w:rPr>
              <w:t xml:space="preserve"> </w:t>
            </w:r>
            <w:r>
              <w:rPr>
                <w:rFonts w:hint="eastAsia" w:ascii="仿宋_GB2312" w:hAnsi="仿宋" w:eastAsia="仿宋_GB2312"/>
                <w:color w:val="auto"/>
                <w:kern w:val="0"/>
                <w:sz w:val="24"/>
                <w:highlight w:val="none"/>
                <w:u w:val="single"/>
              </w:rPr>
              <w:t>方式二</w:t>
            </w:r>
            <w:r>
              <w:rPr>
                <w:rFonts w:hint="eastAsia" w:ascii="仿宋_GB2312" w:hAnsi="仿宋" w:eastAsia="仿宋_GB2312"/>
                <w:color w:val="auto"/>
                <w:kern w:val="0"/>
                <w:sz w:val="24"/>
                <w:highlight w:val="none"/>
                <w:u w:val="single"/>
                <w:lang w:val="en-US" w:eastAsia="zh-CN"/>
              </w:rPr>
              <w:t xml:space="preserve"> </w:t>
            </w:r>
            <w:r>
              <w:rPr>
                <w:rFonts w:hint="eastAsia" w:ascii="仿宋_GB2312" w:hAnsi="仿宋" w:eastAsia="仿宋_GB2312"/>
                <w:color w:val="auto"/>
                <w:kern w:val="0"/>
                <w:sz w:val="24"/>
                <w:highlight w:val="none"/>
                <w:u w:val="single"/>
              </w:rPr>
              <w:t>。</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1）在评标时安排每个投标人进行方案讲解演示。每个投标人时间不超过</w:t>
            </w:r>
            <w:r>
              <w:rPr>
                <w:rFonts w:hint="eastAsia" w:ascii="仿宋_GB2312" w:hAnsi="仿宋" w:eastAsia="仿宋_GB2312"/>
                <w:color w:val="auto"/>
                <w:kern w:val="0"/>
                <w:sz w:val="24"/>
                <w:highlight w:val="none"/>
              </w:rPr>
              <w:t>15</w:t>
            </w:r>
            <w:r>
              <w:rPr>
                <w:rFonts w:ascii="仿宋_GB2312" w:hAnsi="仿宋" w:eastAsia="仿宋_GB2312"/>
                <w:color w:val="auto"/>
                <w:kern w:val="0"/>
                <w:sz w:val="24"/>
                <w:highlight w:val="none"/>
              </w:rPr>
              <w:t>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2）方案讲解演示可选择</w:t>
            </w:r>
            <w:r>
              <w:rPr>
                <w:rFonts w:hint="eastAsia" w:ascii="仿宋_GB2312" w:hAnsi="仿宋" w:eastAsia="仿宋_GB2312"/>
                <w:color w:val="auto"/>
                <w:kern w:val="0"/>
                <w:sz w:val="24"/>
                <w:highlight w:val="none"/>
              </w:rPr>
              <w:t>以下其中一种方式：</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jc w:val="left"/>
              <w:rPr>
                <w:rFonts w:ascii="仿宋" w:hAnsi="仿宋" w:eastAsia="仿宋" w:cs="仿宋"/>
                <w:color w:val="auto"/>
                <w:kern w:val="0"/>
                <w:sz w:val="24"/>
                <w:highlight w:val="none"/>
              </w:rPr>
            </w:pPr>
            <w:r>
              <w:rPr>
                <w:rFonts w:hint="eastAsia" w:ascii="仿宋_GB2312" w:hAnsi="仿宋" w:eastAsia="仿宋_GB2312"/>
                <w:color w:val="auto"/>
                <w:kern w:val="0"/>
                <w:sz w:val="24"/>
                <w:highlight w:val="none"/>
              </w:rPr>
              <w:t>方式二：现场讲解。现场讲解地点为 公安局滨江区分局老大楼-1楼（泰安路与丹枫路路口往东20米纪律检查委员会-1楼）；现场讲解时间为</w:t>
            </w:r>
            <w:r>
              <w:rPr>
                <w:rFonts w:hint="eastAsia" w:ascii="仿宋_GB2312" w:hAnsi="仿宋" w:eastAsia="仿宋_GB2312"/>
                <w:color w:val="auto"/>
                <w:sz w:val="24"/>
                <w:highlight w:val="none"/>
                <w:u w:val="single"/>
              </w:rPr>
              <w:t>2023</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8</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25</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09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00分前</w:t>
            </w:r>
            <w:r>
              <w:rPr>
                <w:rFonts w:hint="eastAsia" w:ascii="仿宋_GB2312" w:hAnsi="仿宋" w:eastAsia="仿宋_GB2312"/>
                <w:color w:val="auto"/>
                <w:kern w:val="0"/>
                <w:sz w:val="24"/>
                <w:highlight w:val="none"/>
              </w:rPr>
              <w:t>，讲解演示所用电脑等设备由投标人自备。现场讲解演示人员进场时提供讲解人员名单（加盖公章），否则不得讲解演示。演示内容详见：招标文件第四部分评标办法-评标办法前附表-</w:t>
            </w:r>
            <w:r>
              <w:rPr>
                <w:rFonts w:hint="eastAsia" w:ascii="仿宋" w:hAnsi="仿宋" w:eastAsia="仿宋" w:cs="仿宋"/>
                <w:color w:val="auto"/>
                <w:kern w:val="0"/>
                <w:sz w:val="24"/>
                <w:highlight w:val="none"/>
                <w:lang w:val="en-US" w:eastAsia="zh-CN"/>
              </w:rPr>
              <w:t>功能演示条款要求</w:t>
            </w:r>
            <w:r>
              <w:rPr>
                <w:rFonts w:hint="eastAsia" w:ascii="仿宋" w:hAnsi="仿宋" w:eastAsia="仿宋" w:cs="仿宋"/>
                <w:color w:val="auto"/>
                <w:kern w:val="0"/>
                <w:sz w:val="24"/>
                <w:highlight w:val="none"/>
              </w:rPr>
              <w:t>。</w:t>
            </w:r>
          </w:p>
          <w:p>
            <w:pPr>
              <w:pStyle w:val="4"/>
              <w:jc w:val="both"/>
              <w:rPr>
                <w:b w:val="0"/>
                <w:bCs w:val="0"/>
                <w:color w:val="auto"/>
                <w:kern w:val="0"/>
                <w:sz w:val="24"/>
                <w:szCs w:val="24"/>
                <w:highlight w:val="none"/>
                <w:lang w:val="en-US"/>
              </w:rPr>
            </w:pPr>
            <w:r>
              <w:rPr>
                <w:rFonts w:hint="eastAsia"/>
                <w:b w:val="0"/>
                <w:bCs w:val="0"/>
                <w:color w:val="auto"/>
                <w:kern w:val="0"/>
                <w:sz w:val="24"/>
                <w:szCs w:val="24"/>
                <w:highlight w:val="none"/>
                <w:lang w:val="en-US"/>
              </w:rPr>
              <w:t>方式三：以介质存储（U盘）的数据电文形式的项目演示</w:t>
            </w:r>
          </w:p>
          <w:p>
            <w:pPr>
              <w:pStyle w:val="4"/>
              <w:jc w:val="both"/>
              <w:rPr>
                <w:b w:val="0"/>
                <w:bCs w:val="0"/>
                <w:color w:val="auto"/>
                <w:kern w:val="0"/>
                <w:sz w:val="24"/>
                <w:szCs w:val="24"/>
                <w:highlight w:val="none"/>
                <w:lang w:val="en-US"/>
              </w:rPr>
            </w:pPr>
            <w:r>
              <w:rPr>
                <w:rFonts w:hint="eastAsia"/>
                <w:b w:val="0"/>
                <w:bCs w:val="0"/>
                <w:color w:val="auto"/>
                <w:kern w:val="0"/>
                <w:sz w:val="24"/>
                <w:szCs w:val="24"/>
                <w:highlight w:val="none"/>
                <w:lang w:val="en-US"/>
              </w:rPr>
              <w:t xml:space="preserve">文件，密封包装后（建议以顺丰快递形式）在2023年 月  </w:t>
            </w:r>
          </w:p>
          <w:p>
            <w:pPr>
              <w:pStyle w:val="4"/>
              <w:jc w:val="both"/>
              <w:rPr>
                <w:b w:val="0"/>
                <w:bCs w:val="0"/>
                <w:color w:val="auto"/>
                <w:kern w:val="0"/>
                <w:sz w:val="24"/>
                <w:szCs w:val="24"/>
                <w:highlight w:val="none"/>
                <w:lang w:val="en-US"/>
              </w:rPr>
            </w:pPr>
            <w:r>
              <w:rPr>
                <w:rFonts w:hint="eastAsia"/>
                <w:b w:val="0"/>
                <w:bCs w:val="0"/>
                <w:color w:val="auto"/>
                <w:kern w:val="0"/>
                <w:sz w:val="24"/>
                <w:szCs w:val="24"/>
                <w:highlight w:val="none"/>
                <w:lang w:val="en-US"/>
              </w:rPr>
              <w:t>日  时  分前由采购招标代理机构签收，不少于一份，邮</w:t>
            </w:r>
          </w:p>
          <w:p>
            <w:pPr>
              <w:pStyle w:val="4"/>
              <w:jc w:val="both"/>
              <w:rPr>
                <w:b w:val="0"/>
                <w:bCs w:val="0"/>
                <w:color w:val="auto"/>
                <w:kern w:val="0"/>
                <w:sz w:val="24"/>
                <w:szCs w:val="24"/>
                <w:highlight w:val="none"/>
                <w:lang w:val="en-US"/>
              </w:rPr>
            </w:pPr>
            <w:r>
              <w:rPr>
                <w:rFonts w:hint="eastAsia"/>
                <w:b w:val="0"/>
                <w:bCs w:val="0"/>
                <w:color w:val="auto"/>
                <w:kern w:val="0"/>
                <w:sz w:val="24"/>
                <w:szCs w:val="24"/>
                <w:highlight w:val="none"/>
                <w:lang w:val="en-US"/>
              </w:rPr>
              <w:t>寄地址：        联系方式：         ，投标人应加强U</w:t>
            </w:r>
          </w:p>
          <w:p>
            <w:pPr>
              <w:pStyle w:val="4"/>
              <w:jc w:val="both"/>
              <w:rPr>
                <w:b w:val="0"/>
                <w:bCs w:val="0"/>
                <w:color w:val="auto"/>
                <w:kern w:val="0"/>
                <w:sz w:val="24"/>
                <w:szCs w:val="24"/>
                <w:highlight w:val="none"/>
                <w:lang w:val="en-US"/>
              </w:rPr>
            </w:pPr>
            <w:r>
              <w:rPr>
                <w:rFonts w:hint="eastAsia"/>
                <w:b w:val="0"/>
                <w:bCs w:val="0"/>
                <w:color w:val="auto"/>
                <w:kern w:val="0"/>
                <w:sz w:val="24"/>
                <w:szCs w:val="24"/>
                <w:highlight w:val="none"/>
                <w:lang w:val="en-US"/>
              </w:rPr>
              <w:t>盘的包装与保护，因包装不当而造成项目演示文件损坏或</w:t>
            </w:r>
          </w:p>
          <w:p>
            <w:pPr>
              <w:pStyle w:val="4"/>
              <w:jc w:val="both"/>
              <w:rPr>
                <w:b w:val="0"/>
                <w:bCs w:val="0"/>
                <w:color w:val="auto"/>
                <w:kern w:val="0"/>
                <w:sz w:val="24"/>
                <w:szCs w:val="24"/>
                <w:highlight w:val="none"/>
                <w:lang w:val="en-US"/>
              </w:rPr>
            </w:pPr>
            <w:r>
              <w:rPr>
                <w:rFonts w:hint="eastAsia"/>
                <w:b w:val="0"/>
                <w:bCs w:val="0"/>
                <w:color w:val="auto"/>
                <w:kern w:val="0"/>
                <w:sz w:val="24"/>
                <w:szCs w:val="24"/>
                <w:highlight w:val="none"/>
                <w:lang w:val="en-US"/>
              </w:rPr>
              <w:t>不能在开评标现场设备上正确读取并播放的责任由投标人</w:t>
            </w:r>
          </w:p>
          <w:p>
            <w:pPr>
              <w:pStyle w:val="4"/>
              <w:jc w:val="both"/>
              <w:rPr>
                <w:b w:val="0"/>
                <w:bCs w:val="0"/>
                <w:color w:val="auto"/>
                <w:kern w:val="0"/>
                <w:sz w:val="24"/>
                <w:szCs w:val="24"/>
                <w:highlight w:val="none"/>
                <w:lang w:val="en-US"/>
              </w:rPr>
            </w:pPr>
            <w:r>
              <w:rPr>
                <w:rFonts w:hint="eastAsia"/>
                <w:b w:val="0"/>
                <w:bCs w:val="0"/>
                <w:color w:val="auto"/>
                <w:kern w:val="0"/>
                <w:sz w:val="24"/>
                <w:szCs w:val="24"/>
                <w:highlight w:val="none"/>
                <w:lang w:val="en-US"/>
              </w:rPr>
              <w:t>自负。</w:t>
            </w:r>
          </w:p>
          <w:p>
            <w:pPr>
              <w:snapToGrid w:val="0"/>
              <w:spacing w:line="360" w:lineRule="auto"/>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auto"/>
                <w:kern w:val="0"/>
                <w:sz w:val="24"/>
                <w:highlight w:val="none"/>
              </w:rPr>
            </w:pPr>
            <w:sdt>
              <w:sdtPr>
                <w:rPr>
                  <w:rFonts w:hint="eastAsia" w:ascii="仿宋_GB2312" w:hAnsi="仿宋" w:eastAsia="仿宋_GB2312" w:cs="Arial"/>
                  <w:color w:val="auto"/>
                  <w:kern w:val="0"/>
                  <w:sz w:val="24"/>
                  <w:highlight w:val="none"/>
                </w:rPr>
                <w:id w:val="-182842570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highlight w:val="none"/>
                  </w:rPr>
                  <w:t>þ</w:t>
                </w:r>
              </w:sdtContent>
            </w:sdt>
            <w:r>
              <w:rPr>
                <w:rFonts w:hint="eastAsia" w:ascii="仿宋_GB2312" w:hAnsi="仿宋" w:eastAsia="仿宋_GB2312" w:cs="Arial"/>
                <w:color w:val="auto"/>
                <w:kern w:val="0"/>
                <w:sz w:val="24"/>
                <w:highlight w:val="none"/>
              </w:rPr>
              <w:t>本项目不允许采购进口产品。</w:t>
            </w:r>
          </w:p>
          <w:p>
            <w:pPr>
              <w:spacing w:line="360" w:lineRule="auto"/>
              <w:rPr>
                <w:color w:val="auto"/>
                <w:highlight w:val="none"/>
              </w:rPr>
            </w:pPr>
            <w:sdt>
              <w:sdtPr>
                <w:rPr>
                  <w:rFonts w:hint="eastAsia" w:ascii="仿宋_GB2312" w:hAnsi="仿宋" w:eastAsia="仿宋_GB2312" w:cs="Arial"/>
                  <w:color w:val="auto"/>
                  <w:kern w:val="0"/>
                  <w:sz w:val="24"/>
                  <w:highlight w:val="none"/>
                </w:rPr>
                <w:id w:val="-5285282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872786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货物类，单一产品或</w:t>
            </w:r>
            <w:r>
              <w:rPr>
                <w:rFonts w:hint="eastAsia" w:ascii="仿宋_GB2312" w:hAnsi="仿宋" w:eastAsia="仿宋_GB2312"/>
                <w:color w:val="auto"/>
                <w:kern w:val="0"/>
                <w:sz w:val="24"/>
                <w:highlight w:val="none"/>
              </w:rPr>
              <w:t>核心产品为：</w:t>
            </w:r>
            <w:r>
              <w:rPr>
                <w:rFonts w:hint="eastAsia" w:ascii="仿宋_GB2312" w:hAnsi="仿宋" w:eastAsia="仿宋_GB2312"/>
                <w:color w:val="auto"/>
                <w:sz w:val="24"/>
                <w:highlight w:val="none"/>
                <w:u w:val="single"/>
              </w:rPr>
              <w:t>/</w:t>
            </w: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47488555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þ</w:t>
                </w:r>
              </w:sdtContent>
            </w:sdt>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w:t>
            </w:r>
            <w:r>
              <w:rPr>
                <w:rFonts w:ascii="仿宋_GB2312" w:hAnsi="仿宋" w:eastAsia="仿宋_GB2312" w:cs="Arial"/>
                <w:color w:val="auto"/>
                <w:kern w:val="0"/>
                <w:sz w:val="24"/>
                <w:highlight w:val="none"/>
              </w:rPr>
              <w:t>1</w:t>
            </w:r>
            <w:r>
              <w:rPr>
                <w:rFonts w:hint="eastAsia" w:ascii="仿宋_GB2312" w:hAnsi="仿宋" w:eastAsia="仿宋_GB2312" w:cs="Arial"/>
                <w:color w:val="auto"/>
                <w:kern w:val="0"/>
                <w:sz w:val="24"/>
                <w:highlight w:val="none"/>
              </w:rPr>
              <w:t>）标的：</w:t>
            </w:r>
            <w:r>
              <w:rPr>
                <w:rFonts w:hint="eastAsia" w:ascii="仿宋_GB2312" w:hAnsi="仿宋" w:eastAsia="仿宋_GB2312" w:cs="Arial"/>
                <w:color w:val="auto"/>
                <w:kern w:val="0"/>
                <w:sz w:val="24"/>
                <w:highlight w:val="none"/>
                <w:u w:val="single"/>
                <w:lang w:eastAsia="zh-CN"/>
              </w:rPr>
              <w:t>亚运赛事（奥体中心网球中心）安保服务</w:t>
            </w:r>
            <w:r>
              <w:rPr>
                <w:rFonts w:hint="eastAsia" w:ascii="仿宋_GB2312" w:hAnsi="仿宋" w:eastAsia="仿宋_GB2312" w:cs="Arial"/>
                <w:color w:val="auto"/>
                <w:kern w:val="0"/>
                <w:sz w:val="24"/>
                <w:highlight w:val="none"/>
              </w:rPr>
              <w:t>，属于</w:t>
            </w:r>
            <w:r>
              <w:rPr>
                <w:rFonts w:hint="eastAsia" w:ascii="仿宋_GB2312" w:hAnsi="仿宋" w:eastAsia="仿宋_GB2312" w:cs="Arial"/>
                <w:color w:val="auto"/>
                <w:kern w:val="0"/>
                <w:sz w:val="24"/>
                <w:highlight w:val="none"/>
                <w:u w:val="single"/>
                <w:lang w:val="en-US" w:eastAsia="zh-CN"/>
              </w:rPr>
              <w:t>租赁和商务服务业</w:t>
            </w:r>
            <w:r>
              <w:rPr>
                <w:rFonts w:hint="eastAsia" w:ascii="仿宋_GB2312" w:hAnsi="仿宋" w:eastAsia="仿宋_GB2312" w:cs="Arial"/>
                <w:color w:val="auto"/>
                <w:kern w:val="0"/>
                <w:sz w:val="24"/>
                <w:highlight w:val="none"/>
              </w:rPr>
              <w:t>；</w:t>
            </w:r>
          </w:p>
          <w:p>
            <w:pPr>
              <w:pStyle w:val="4"/>
              <w:rPr>
                <w:color w:val="auto"/>
                <w:highlight w:val="none"/>
                <w:lang w:val="en-US"/>
              </w:rPr>
            </w:pPr>
            <w:r>
              <w:rPr>
                <w:rFonts w:hint="eastAsia"/>
                <w:color w:val="auto"/>
                <w:sz w:val="24"/>
                <w:szCs w:val="24"/>
                <w:highlight w:val="none"/>
                <w:lang w:val="en-US"/>
              </w:rPr>
              <w:t>划分标准详见本文件附件6：大中小微型企业划分标准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0"/>
              <w:ind w:firstLine="480" w:firstLineChars="200"/>
              <w:rPr>
                <w:rFonts w:eastAsia="仿宋"/>
                <w:color w:val="auto"/>
                <w:highlight w:val="none"/>
              </w:rPr>
            </w:pPr>
            <w:r>
              <w:rPr>
                <w:rFonts w:hint="eastAsia" w:ascii="仿宋_GB2312" w:hAnsi="仿宋" w:eastAsia="仿宋_GB2312"/>
                <w:color w:val="auto"/>
                <w:sz w:val="24"/>
                <w:highlight w:val="none"/>
              </w:rPr>
              <w:t>采购人拟采购的产品属于品目清单范围的，采购人应列明本项目强制节能产品清单、优先节能产品清单、优先环保产品清单。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widowControl/>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snapToGrid w:val="0"/>
                <w:color w:val="auto"/>
                <w:kern w:val="28"/>
                <w:sz w:val="24"/>
                <w:highlight w:val="none"/>
              </w:rPr>
              <w:t>为支持和促进中小企业发展，进一步发挥政府采购政策功能，</w:t>
            </w:r>
            <w:r>
              <w:rPr>
                <w:rFonts w:ascii="仿宋_GB2312" w:hAnsi="仿宋" w:eastAsia="仿宋_GB2312"/>
                <w:color w:val="auto"/>
                <w:sz w:val="24"/>
                <w:highlight w:val="none"/>
              </w:rPr>
              <w:t>杭州市滨江区财政局出台了</w:t>
            </w:r>
            <w:r>
              <w:rPr>
                <w:rFonts w:hint="eastAsia" w:ascii="仿宋_GB2312" w:hAnsi="仿宋" w:eastAsia="仿宋_GB2312"/>
                <w:color w:val="auto"/>
                <w:sz w:val="24"/>
                <w:highlight w:val="none"/>
              </w:rPr>
              <w:t>《杭州高新开发区（滨江）政府采购支持中小企业信用融资暂行办法》。供应商中标后根据杭州市滨江区门户网站公示的滨江区政采贷合作银行及联系人信息表（</w:t>
            </w:r>
            <w:r>
              <w:rPr>
                <w:color w:val="auto"/>
                <w:highlight w:val="none"/>
              </w:rPr>
              <w:fldChar w:fldCharType="begin"/>
            </w:r>
            <w:r>
              <w:rPr>
                <w:color w:val="auto"/>
                <w:highlight w:val="none"/>
              </w:rPr>
              <w:instrText xml:space="preserve"> HYPERLINK "http://www.hhtz.gov.cn/art/2022/1/11/art_1487037_59039349.html" </w:instrText>
            </w:r>
            <w:r>
              <w:rPr>
                <w:color w:val="auto"/>
                <w:highlight w:val="none"/>
              </w:rPr>
              <w:fldChar w:fldCharType="separate"/>
            </w:r>
            <w:r>
              <w:rPr>
                <w:rStyle w:val="76"/>
                <w:rFonts w:ascii="Times New Roman" w:hAnsi="Times New Roman" w:eastAsia="宋体" w:cs="Times New Roman"/>
                <w:color w:val="auto"/>
                <w:kern w:val="2"/>
                <w:sz w:val="21"/>
                <w:szCs w:val="24"/>
                <w:highlight w:val="none"/>
              </w:rPr>
              <w:t>http://www.hhtz.gov.cn/art/2022/1/11/art_1487037_59039349.html</w:t>
            </w:r>
            <w:r>
              <w:rPr>
                <w:rStyle w:val="76"/>
                <w:rFonts w:ascii="Times New Roman" w:hAnsi="Times New Roman" w:eastAsia="宋体" w:cs="Times New Roman"/>
                <w:color w:val="auto"/>
                <w:kern w:val="2"/>
                <w:sz w:val="21"/>
                <w:szCs w:val="24"/>
                <w:highlight w:val="none"/>
              </w:rPr>
              <w:fldChar w:fldCharType="end"/>
            </w:r>
            <w:r>
              <w:rPr>
                <w:rFonts w:ascii="仿宋_GB2312" w:hAnsi="仿宋" w:eastAsia="仿宋_GB2312"/>
                <w:snapToGrid w:val="0"/>
                <w:color w:val="auto"/>
                <w:kern w:val="28"/>
                <w:sz w:val="24"/>
                <w:highlight w:val="none"/>
              </w:rPr>
              <w:t>）获取联系方式选择银行进行对接申请。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_GB2312" w:hAnsi="仿宋" w:eastAsia="仿宋_GB2312"/>
                <w:color w:val="auto"/>
                <w:kern w:val="28"/>
                <w:sz w:val="24"/>
                <w:highlight w:val="none"/>
              </w:rPr>
            </w:pPr>
            <w:r>
              <w:rPr>
                <w:rFonts w:hint="eastAsia" w:ascii="仿宋_GB2312" w:hAnsi="仿宋" w:eastAsia="仿宋_GB2312" w:cs="Times New Roman"/>
                <w:color w:val="auto"/>
                <w:kern w:val="28"/>
                <w:sz w:val="24"/>
                <w:szCs w:val="24"/>
                <w:highlight w:val="none"/>
              </w:rPr>
              <w:t>备份投标文件送达地点：</w:t>
            </w:r>
            <w:r>
              <w:rPr>
                <w:rFonts w:hint="eastAsia" w:ascii="仿宋_GB2312" w:hAnsi="仿宋" w:eastAsia="仿宋_GB2312" w:cs="Times New Roman"/>
                <w:b/>
                <w:bCs/>
                <w:color w:val="auto"/>
                <w:kern w:val="28"/>
                <w:sz w:val="24"/>
                <w:szCs w:val="24"/>
                <w:highlight w:val="none"/>
                <w:u w:val="single"/>
              </w:rPr>
              <w:t>杭州市萧山区金城路185号商会大厦B座802室（北京华夏京诚咨询有限公司杭州分公司）</w:t>
            </w:r>
            <w:r>
              <w:rPr>
                <w:rFonts w:hint="eastAsia" w:ascii="仿宋_GB2312" w:hAnsi="仿宋" w:eastAsia="仿宋_GB2312" w:cs="Times New Roman"/>
                <w:color w:val="auto"/>
                <w:kern w:val="28"/>
                <w:sz w:val="24"/>
                <w:szCs w:val="24"/>
                <w:highlight w:val="none"/>
              </w:rPr>
              <w:t>；备份投标文件签收人员联系电话：</w:t>
            </w:r>
            <w:r>
              <w:rPr>
                <w:rFonts w:hint="eastAsia" w:ascii="仿宋_GB2312" w:hAnsi="仿宋" w:eastAsia="仿宋_GB2312" w:cs="Times New Roman"/>
                <w:b/>
                <w:bCs/>
                <w:color w:val="auto"/>
                <w:kern w:val="28"/>
                <w:sz w:val="24"/>
                <w:szCs w:val="24"/>
                <w:highlight w:val="none"/>
                <w:u w:val="single"/>
              </w:rPr>
              <w:t>刘女士，13634117509</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pStyle w:val="721"/>
              <w:spacing w:line="300" w:lineRule="auto"/>
              <w:ind w:firstLine="0"/>
              <w:jc w:val="center"/>
              <w:rPr>
                <w:rFonts w:ascii="仿宋_GB2312" w:hAnsi="仿宋" w:eastAsia="仿宋_GB2312" w:cs="仿宋_GB2312"/>
                <w:b/>
                <w:color w:val="auto"/>
                <w:highlight w:val="none"/>
              </w:rPr>
            </w:pPr>
            <w:r>
              <w:rPr>
                <w:rFonts w:hint="eastAsia" w:ascii="仿宋" w:hAnsi="仿宋" w:eastAsia="仿宋" w:cs="仿宋"/>
                <w:b/>
                <w:bCs/>
                <w:color w:val="auto"/>
                <w:sz w:val="21"/>
                <w:szCs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采购代理服务费金额：以中标金额为计算基数，按照国家发改委“计价格【2002】1980号”、“发改办价格【2003】857号”等相关文件，向中标人收取代理服务费。采购代理费用由中标人领取中标通知书时向采购代理机构支付。</w:t>
            </w:r>
          </w:p>
          <w:tbl>
            <w:tblPr>
              <w:tblStyle w:val="63"/>
              <w:tblW w:w="6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413"/>
              <w:gridCol w:w="1374"/>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vAlign w:val="center"/>
                </w:tcPr>
                <w:p>
                  <w:pPr>
                    <w:pStyle w:val="2"/>
                    <w:ind w:firstLine="0" w:firstLineChars="0"/>
                    <w:rPr>
                      <w:color w:val="auto"/>
                      <w:highlight w:val="none"/>
                    </w:rPr>
                  </w:pPr>
                  <w:r>
                    <w:rPr>
                      <w:rFonts w:hint="eastAsia" w:ascii="仿宋_GB2312" w:eastAsia="仿宋_GB2312"/>
                      <w:b/>
                      <w:color w:val="auto"/>
                      <w:sz w:val="21"/>
                      <w:szCs w:val="21"/>
                      <w:highlight w:val="none"/>
                    </w:rPr>
                    <w:t>中标金额（万元）</w:t>
                  </w:r>
                </w:p>
              </w:tc>
              <w:tc>
                <w:tcPr>
                  <w:tcW w:w="1413" w:type="dxa"/>
                  <w:vAlign w:val="center"/>
                </w:tcPr>
                <w:p>
                  <w:pPr>
                    <w:spacing w:line="300" w:lineRule="auto"/>
                    <w:jc w:val="center"/>
                    <w:rPr>
                      <w:color w:val="auto"/>
                      <w:highlight w:val="none"/>
                    </w:rPr>
                  </w:pPr>
                  <w:r>
                    <w:rPr>
                      <w:rFonts w:hint="eastAsia" w:ascii="仿宋_GB2312" w:hAnsi="宋体" w:eastAsia="仿宋_GB2312"/>
                      <w:b/>
                      <w:color w:val="auto"/>
                      <w:szCs w:val="21"/>
                      <w:highlight w:val="none"/>
                    </w:rPr>
                    <w:t>货物招标</w:t>
                  </w:r>
                </w:p>
              </w:tc>
              <w:tc>
                <w:tcPr>
                  <w:tcW w:w="1374" w:type="dxa"/>
                  <w:vAlign w:val="center"/>
                </w:tcPr>
                <w:p>
                  <w:pPr>
                    <w:spacing w:line="300" w:lineRule="auto"/>
                    <w:jc w:val="center"/>
                    <w:rPr>
                      <w:color w:val="auto"/>
                      <w:highlight w:val="none"/>
                    </w:rPr>
                  </w:pPr>
                  <w:r>
                    <w:rPr>
                      <w:rFonts w:hint="eastAsia" w:ascii="仿宋_GB2312" w:hAnsi="宋体" w:eastAsia="仿宋_GB2312"/>
                      <w:b/>
                      <w:color w:val="auto"/>
                      <w:szCs w:val="21"/>
                      <w:highlight w:val="none"/>
                    </w:rPr>
                    <w:t>服务招标</w:t>
                  </w:r>
                </w:p>
              </w:tc>
              <w:tc>
                <w:tcPr>
                  <w:tcW w:w="1342" w:type="dxa"/>
                  <w:vAlign w:val="center"/>
                </w:tcPr>
                <w:p>
                  <w:pPr>
                    <w:spacing w:line="300" w:lineRule="auto"/>
                    <w:jc w:val="center"/>
                    <w:rPr>
                      <w:color w:val="auto"/>
                      <w:highlight w:val="none"/>
                    </w:rPr>
                  </w:pPr>
                  <w:r>
                    <w:rPr>
                      <w:rFonts w:hint="eastAsia" w:ascii="仿宋_GB2312" w:hAnsi="宋体" w:eastAsia="仿宋_GB2312"/>
                      <w:b/>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100以下</w:t>
                  </w:r>
                </w:p>
              </w:tc>
              <w:tc>
                <w:tcPr>
                  <w:tcW w:w="1413"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1.5%</w:t>
                  </w:r>
                </w:p>
              </w:tc>
              <w:tc>
                <w:tcPr>
                  <w:tcW w:w="1374"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1.5%</w:t>
                  </w:r>
                </w:p>
              </w:tc>
              <w:tc>
                <w:tcPr>
                  <w:tcW w:w="1342"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100-500</w:t>
                  </w:r>
                </w:p>
              </w:tc>
              <w:tc>
                <w:tcPr>
                  <w:tcW w:w="1413"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1.1%</w:t>
                  </w:r>
                </w:p>
              </w:tc>
              <w:tc>
                <w:tcPr>
                  <w:tcW w:w="1374"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0.8%</w:t>
                  </w:r>
                </w:p>
              </w:tc>
              <w:tc>
                <w:tcPr>
                  <w:tcW w:w="1342"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500-1000</w:t>
                  </w:r>
                </w:p>
              </w:tc>
              <w:tc>
                <w:tcPr>
                  <w:tcW w:w="1413"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0.8%</w:t>
                  </w:r>
                </w:p>
              </w:tc>
              <w:tc>
                <w:tcPr>
                  <w:tcW w:w="1374"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0.45%</w:t>
                  </w:r>
                </w:p>
              </w:tc>
              <w:tc>
                <w:tcPr>
                  <w:tcW w:w="1342"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1000-5000</w:t>
                  </w:r>
                </w:p>
              </w:tc>
              <w:tc>
                <w:tcPr>
                  <w:tcW w:w="1413"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0.5%</w:t>
                  </w:r>
                </w:p>
              </w:tc>
              <w:tc>
                <w:tcPr>
                  <w:tcW w:w="1374"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0.25%</w:t>
                  </w:r>
                </w:p>
              </w:tc>
              <w:tc>
                <w:tcPr>
                  <w:tcW w:w="1342"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5000-10000</w:t>
                  </w:r>
                </w:p>
              </w:tc>
              <w:tc>
                <w:tcPr>
                  <w:tcW w:w="1413"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0.25%</w:t>
                  </w:r>
                </w:p>
              </w:tc>
              <w:tc>
                <w:tcPr>
                  <w:tcW w:w="1374"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0.1%</w:t>
                  </w:r>
                </w:p>
              </w:tc>
              <w:tc>
                <w:tcPr>
                  <w:tcW w:w="1342"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10000-100000</w:t>
                  </w:r>
                </w:p>
              </w:tc>
              <w:tc>
                <w:tcPr>
                  <w:tcW w:w="1413"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0.05%</w:t>
                  </w:r>
                </w:p>
              </w:tc>
              <w:tc>
                <w:tcPr>
                  <w:tcW w:w="1374"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0.05%</w:t>
                  </w:r>
                </w:p>
              </w:tc>
              <w:tc>
                <w:tcPr>
                  <w:tcW w:w="1342"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1000000以上</w:t>
                  </w:r>
                </w:p>
              </w:tc>
              <w:tc>
                <w:tcPr>
                  <w:tcW w:w="1413"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0.01%</w:t>
                  </w:r>
                </w:p>
              </w:tc>
              <w:tc>
                <w:tcPr>
                  <w:tcW w:w="1374"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0.01%</w:t>
                  </w:r>
                </w:p>
              </w:tc>
              <w:tc>
                <w:tcPr>
                  <w:tcW w:w="1342"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0.01%</w:t>
                  </w:r>
                </w:p>
              </w:tc>
            </w:tr>
          </w:tbl>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开户名称：北京华夏京诚咨询有限公司杭州分公司</w:t>
            </w:r>
          </w:p>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开户银行：中国工商银行杭州白马湖支行</w:t>
            </w:r>
          </w:p>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银行账户：1202224809100031576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无</w:t>
            </w:r>
            <w:r>
              <w:rPr>
                <w:rFonts w:hint="eastAsia" w:ascii="仿宋_GB2312" w:hAnsi="仿宋" w:eastAsia="仿宋_GB2312" w:cs="宋体"/>
                <w:b/>
                <w:color w:val="auto"/>
                <w:kern w:val="0"/>
                <w:sz w:val="24"/>
                <w:highlight w:val="none"/>
              </w:rPr>
              <w:t>。</w:t>
            </w:r>
          </w:p>
        </w:tc>
      </w:tr>
    </w:tbl>
    <w:p>
      <w:pPr>
        <w:snapToGrid w:val="0"/>
        <w:spacing w:line="360" w:lineRule="auto"/>
        <w:jc w:val="center"/>
        <w:rPr>
          <w:rFonts w:ascii="仿宋" w:hAnsi="仿宋" w:eastAsia="仿宋" w:cs="仿宋_GB2312"/>
          <w:b/>
          <w:color w:val="auto"/>
          <w:sz w:val="32"/>
          <w:szCs w:val="20"/>
          <w:highlight w:val="none"/>
        </w:rPr>
      </w:pPr>
    </w:p>
    <w:bookmarkEnd w:id="10"/>
    <w:p>
      <w:pPr>
        <w:adjustRightInd/>
        <w:spacing w:line="360" w:lineRule="auto"/>
        <w:ind w:firstLine="3845" w:firstLineChars="1197"/>
        <w:outlineLvl w:val="0"/>
        <w:rPr>
          <w:rFonts w:ascii="仿宋_GB2312" w:hAnsi="仿宋" w:eastAsia="仿宋_GB2312" w:cs="仿宋_GB2312"/>
          <w:b/>
          <w:color w:val="auto"/>
          <w:sz w:val="32"/>
          <w:szCs w:val="20"/>
          <w:highlight w:val="none"/>
        </w:rPr>
      </w:pPr>
      <w:bookmarkStart w:id="11" w:name="_Toc164416483"/>
      <w:bookmarkStart w:id="12" w:name="第三部分"/>
      <w:r>
        <w:rPr>
          <w:rFonts w:hint="eastAsia" w:ascii="仿宋_GB2312" w:hAnsi="仿宋" w:eastAsia="仿宋_GB2312" w:cs="仿宋_GB2312"/>
          <w:b/>
          <w:color w:val="auto"/>
          <w:sz w:val="32"/>
          <w:szCs w:val="20"/>
          <w:highlight w:val="none"/>
        </w:rPr>
        <w:t>一、总则</w:t>
      </w:r>
    </w:p>
    <w:p>
      <w:pPr>
        <w:snapToGrid w:val="0"/>
        <w:spacing w:line="360" w:lineRule="auto"/>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1.</w:t>
      </w:r>
      <w:r>
        <w:rPr>
          <w:rFonts w:hint="eastAsia" w:ascii="仿宋_GB2312" w:hAnsi="仿宋" w:eastAsia="仿宋_GB2312"/>
          <w:b/>
          <w:color w:val="auto"/>
          <w:sz w:val="24"/>
          <w:highlight w:val="none"/>
        </w:rPr>
        <w:t>适用范围</w:t>
      </w:r>
    </w:p>
    <w:p>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2.定义</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2.1</w:t>
      </w:r>
      <w:r>
        <w:rPr>
          <w:rFonts w:hint="eastAsia" w:ascii="仿宋_GB2312" w:hAnsi="仿宋" w:eastAsia="仿宋_GB2312"/>
          <w:color w:val="auto"/>
          <w:sz w:val="24"/>
          <w:highlight w:val="none"/>
        </w:rPr>
        <w:t>“采购人”系指招标公告中载明的本项目的采购人。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2.2</w:t>
      </w:r>
      <w:r>
        <w:rPr>
          <w:rFonts w:hint="eastAsia" w:ascii="仿宋_GB2312" w:hAnsi="仿宋" w:eastAsia="仿宋_GB2312"/>
          <w:color w:val="auto"/>
          <w:sz w:val="24"/>
          <w:highlight w:val="none"/>
        </w:rPr>
        <w:t>“采购机构”系指招标公告中载明的本项目的采购机构。</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2.3</w:t>
      </w:r>
      <w:r>
        <w:rPr>
          <w:rFonts w:hint="eastAsia" w:ascii="仿宋_GB2312" w:hAnsi="仿宋" w:eastAsia="仿宋_GB2312"/>
          <w:color w:val="auto"/>
          <w:sz w:val="24"/>
          <w:highlight w:val="none"/>
        </w:rPr>
        <w:t>“投标人”系指响应招标、参加投标竞争的法人、其他组织或者自然人。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2.4</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_GB2312" w:hAnsi="仿宋" w:eastAsia="仿宋_GB2312"/>
          <w:color w:val="auto"/>
          <w:sz w:val="24"/>
          <w:highlight w:val="none"/>
        </w:rPr>
        <w:t>“公章”系指单位法定名称章。因特殊原因需要使用冠以法定名称的业务专用章的，投标时须提供《业务专用章使用说明函》（附件</w:t>
      </w:r>
      <w:r>
        <w:rPr>
          <w:rFonts w:ascii="仿宋_GB2312" w:hAnsi="仿宋" w:eastAsia="仿宋_GB2312"/>
          <w:color w:val="auto"/>
          <w:sz w:val="24"/>
          <w:highlight w:val="none"/>
        </w:rPr>
        <w:t>4）</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2.7</w:t>
      </w:r>
      <w:r>
        <w:rPr>
          <w:rFonts w:hint="eastAsia" w:ascii="仿宋_GB2312" w:hAnsi="仿宋" w:eastAsia="仿宋_GB2312"/>
          <w:color w:val="auto"/>
          <w:sz w:val="24"/>
          <w:highlight w:val="none"/>
        </w:rPr>
        <w:t>“▲”系指实质性要求条款，“★”系产品采购项目中单一产品或核心产品，“</w:t>
      </w:r>
      <w:sdt>
        <w:sdtPr>
          <w:rPr>
            <w:rFonts w:hint="eastAsia" w:ascii="仿宋_GB2312" w:hAnsi="仿宋" w:eastAsia="仿宋_GB2312" w:cs="Arial"/>
            <w:color w:val="auto"/>
            <w:kern w:val="0"/>
            <w:sz w:val="24"/>
            <w:highlight w:val="none"/>
          </w:rPr>
          <w:id w:val="512970236"/>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highlight w:val="none"/>
            </w:rPr>
            <w:t>þ</w:t>
          </w:r>
        </w:sdtContent>
      </w:sdt>
      <w:r>
        <w:rPr>
          <w:rFonts w:hint="eastAsia" w:ascii="仿宋_GB2312" w:hAnsi="仿宋" w:eastAsia="仿宋_GB2312"/>
          <w:color w:val="auto"/>
          <w:sz w:val="24"/>
          <w:highlight w:val="none"/>
        </w:rPr>
        <w:t>”系指适用本项目的要求，“</w:t>
      </w:r>
      <w:sdt>
        <w:sdtPr>
          <w:rPr>
            <w:rFonts w:hint="eastAsia" w:ascii="仿宋_GB2312" w:hAnsi="仿宋" w:eastAsia="仿宋_GB2312" w:cs="Arial"/>
            <w:color w:val="auto"/>
            <w:kern w:val="0"/>
            <w:sz w:val="24"/>
            <w:highlight w:val="none"/>
          </w:rPr>
          <w:id w:val="40488885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”系指不适用本项目的要求。</w:t>
      </w:r>
    </w:p>
    <w:p>
      <w:pPr>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hint="eastAsia" w:ascii="仿宋_GB2312" w:hAnsi="仿宋" w:eastAsia="仿宋_GB2312"/>
          <w:b/>
          <w:color w:val="auto"/>
          <w:sz w:val="24"/>
          <w:highlight w:val="none"/>
        </w:rPr>
        <w:t>采购项目需要落实的政府采购政策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3.1</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3.2</w:t>
      </w:r>
      <w:r>
        <w:rPr>
          <w:rFonts w:hint="eastAsia" w:ascii="仿宋_GB2312" w:hAnsi="仿宋" w:eastAsia="仿宋_GB2312"/>
          <w:color w:val="auto"/>
          <w:sz w:val="24"/>
          <w:highlight w:val="none"/>
        </w:rPr>
        <w:t>支持绿色发展</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highlight w:val="none"/>
        </w:rPr>
      </w:pPr>
      <w:r>
        <w:rPr>
          <w:rFonts w:ascii="仿宋_GB2312" w:hAnsi="仿宋" w:eastAsia="仿宋_GB2312"/>
          <w:color w:val="auto"/>
          <w:sz w:val="24"/>
          <w:highlight w:val="none"/>
        </w:rPr>
        <w:t>3.2.2</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w:t>
      </w:r>
      <w:r>
        <w:rPr>
          <w:rFonts w:hint="eastAsia" w:ascii="仿宋_GB2312" w:hAnsi="宋体" w:eastAsia="仿宋_GB2312" w:cs="宋体"/>
          <w:color w:val="auto"/>
          <w:kern w:val="0"/>
          <w:sz w:val="24"/>
          <w:highlight w:val="none"/>
        </w:rPr>
        <w:t>中华人民共和国民法典</w:t>
      </w:r>
      <w:r>
        <w:rPr>
          <w:rFonts w:ascii="仿宋_GB2312" w:hAnsi="宋体" w:eastAsia="仿宋_GB2312" w:cs="宋体"/>
          <w:color w:val="auto"/>
          <w:kern w:val="0"/>
          <w:sz w:val="24"/>
          <w:highlight w:val="none"/>
        </w:rPr>
        <w:t>》订立劳动合同的从业人员。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对于未预留份额专门面向中小企业的政府采购货物或服务项目，以及预留份额政府采购货物或服务项目中的非预留部分标项，对小型和微型企业的投标报价给予20</w:t>
      </w:r>
      <w:r>
        <w:rPr>
          <w:rFonts w:ascii="仿宋_GB2312" w:hAnsi="仿宋" w:eastAsia="仿宋_GB2312"/>
          <w:color w:val="auto"/>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rPr>
        <w:t>6</w:t>
      </w:r>
      <w:r>
        <w:rPr>
          <w:rFonts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3.4.1采购人优先采购被认定</w:t>
      </w:r>
      <w:r>
        <w:rPr>
          <w:rFonts w:hint="eastAsia" w:ascii="仿宋_GB2312" w:hAnsi="仿宋" w:eastAsia="仿宋_GB2312"/>
          <w:color w:val="auto"/>
          <w:sz w:val="24"/>
          <w:highlight w:val="none"/>
        </w:rPr>
        <w:t>为首台套产品和“制造精品”的自主创新产品。</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hint="eastAsia" w:ascii="仿宋_GB2312" w:hAnsi="仿宋" w:eastAsia="仿宋_GB2312"/>
          <w:color w:val="auto"/>
          <w:sz w:val="24"/>
          <w:highlight w:val="none"/>
          <w:lang w:val="en-US" w:eastAsia="zh-CN"/>
        </w:rPr>
        <w:t>3</w:t>
      </w:r>
      <w:r>
        <w:rPr>
          <w:rFonts w:ascii="仿宋_GB2312" w:hAnsi="仿宋" w:eastAsia="仿宋_GB2312"/>
          <w:color w:val="auto"/>
          <w:sz w:val="24"/>
          <w:highlight w:val="none"/>
        </w:rPr>
        <w:t>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hint="eastAsia" w:ascii="仿宋_GB2312" w:hAnsi="仿宋" w:eastAsia="仿宋_GB2312"/>
          <w:color w:val="auto"/>
          <w:sz w:val="24"/>
          <w:highlight w:val="none"/>
          <w:lang w:val="en-US" w:eastAsia="zh-CN"/>
        </w:rPr>
        <w:t>2</w:t>
      </w:r>
      <w:r>
        <w:rPr>
          <w:rFonts w:ascii="仿宋_GB2312" w:hAnsi="仿宋" w:eastAsia="仿宋_GB2312"/>
          <w:color w:val="auto"/>
          <w:sz w:val="24"/>
          <w:highlight w:val="none"/>
        </w:rPr>
        <w:t>年内视同已具备相应销售业绩，参加政府采购活动</w:t>
      </w:r>
      <w:r>
        <w:rPr>
          <w:rFonts w:hint="eastAsia" w:ascii="仿宋_GB2312" w:hAnsi="仿宋" w:eastAsia="仿宋_GB2312"/>
          <w:color w:val="auto"/>
          <w:sz w:val="24"/>
          <w:highlight w:val="none"/>
        </w:rPr>
        <w:t>时业绩分值为满分。</w:t>
      </w:r>
    </w:p>
    <w:p>
      <w:pPr>
        <w:wordWrap w:val="0"/>
        <w:spacing w:line="360" w:lineRule="auto"/>
        <w:ind w:firstLine="480" w:firstLineChars="200"/>
        <w:jc w:val="left"/>
        <w:rPr>
          <w:rFonts w:ascii="仿宋_GB2312" w:hAnsi="仿宋" w:eastAsia="仿宋_GB2312"/>
          <w:snapToGrid w:val="0"/>
          <w:color w:val="auto"/>
          <w:kern w:val="28"/>
          <w:sz w:val="24"/>
          <w:highlight w:val="none"/>
        </w:rPr>
      </w:pPr>
      <w:r>
        <w:rPr>
          <w:rFonts w:ascii="仿宋_GB2312" w:hAnsi="仿宋" w:eastAsia="仿宋_GB2312"/>
          <w:color w:val="auto"/>
          <w:sz w:val="24"/>
          <w:highlight w:val="none"/>
        </w:rPr>
        <w:t>3.5</w:t>
      </w:r>
      <w:r>
        <w:rPr>
          <w:rFonts w:ascii="仿宋_GB2312" w:hAnsi="仿宋" w:eastAsia="仿宋_GB2312" w:cs="微软雅黑"/>
          <w:color w:val="auto"/>
          <w:kern w:val="0"/>
          <w:sz w:val="24"/>
          <w:highlight w:val="none"/>
          <w:lang w:val="zh-CN"/>
        </w:rPr>
        <w:t>中小企业信用融资：为支持和促进中小企业发展，进一步发挥政府采购政策功能，杭州市滨江区财政局出台了《</w:t>
      </w:r>
      <w:r>
        <w:rPr>
          <w:rFonts w:hint="eastAsia" w:ascii="仿宋_GB2312" w:hAnsi="仿宋" w:eastAsia="仿宋_GB2312" w:cs="微软雅黑"/>
          <w:color w:val="auto"/>
          <w:kern w:val="0"/>
          <w:sz w:val="24"/>
          <w:highlight w:val="none"/>
          <w:lang w:val="zh-CN"/>
        </w:rPr>
        <w:t>关于印发《杭州高新开发区（滨江）政府采购支持中小企业信用融资暂行办法》的通知</w:t>
      </w:r>
      <w:r>
        <w:rPr>
          <w:rFonts w:ascii="仿宋_GB2312" w:hAnsi="仿宋" w:eastAsia="仿宋_GB2312" w:cs="微软雅黑"/>
          <w:color w:val="auto"/>
          <w:kern w:val="0"/>
          <w:sz w:val="24"/>
          <w:highlight w:val="none"/>
          <w:lang w:val="zh-CN"/>
        </w:rPr>
        <w:t>》。</w:t>
      </w:r>
      <w:r>
        <w:rPr>
          <w:rFonts w:hint="eastAsia" w:ascii="仿宋_GB2312" w:hAnsi="仿宋" w:eastAsia="仿宋_GB2312" w:cs="微软雅黑"/>
          <w:color w:val="auto"/>
          <w:kern w:val="0"/>
          <w:sz w:val="24"/>
          <w:highlight w:val="none"/>
          <w:lang w:val="zh-CN"/>
        </w:rPr>
        <w:t>供应商中标后根据滨江区门户网站公示的滨江区政采贷合作银行及联系人信息表（</w:t>
      </w:r>
      <w:r>
        <w:rPr>
          <w:color w:val="auto"/>
          <w:highlight w:val="none"/>
        </w:rPr>
        <w:fldChar w:fldCharType="begin"/>
      </w:r>
      <w:r>
        <w:rPr>
          <w:color w:val="auto"/>
          <w:highlight w:val="none"/>
        </w:rPr>
        <w:instrText xml:space="preserve"> HYPERLINK "http://www.hhtz.gov.cn/art/2022/1/11/art_1487037_59039349.html" </w:instrText>
      </w:r>
      <w:r>
        <w:rPr>
          <w:color w:val="auto"/>
          <w:highlight w:val="none"/>
        </w:rPr>
        <w:fldChar w:fldCharType="separate"/>
      </w:r>
      <w:r>
        <w:rPr>
          <w:rFonts w:ascii="仿宋_GB2312" w:hAnsi="仿宋" w:eastAsia="仿宋_GB2312" w:cs="微软雅黑"/>
          <w:snapToGrid w:val="0"/>
          <w:color w:val="auto"/>
          <w:kern w:val="0"/>
          <w:sz w:val="24"/>
          <w:highlight w:val="none"/>
          <w:lang w:val="zh-CN"/>
        </w:rPr>
        <w:t>http://www.hhtz.gov.cn/art/2022/1/11/art_1487037_59039349.html</w:t>
      </w:r>
      <w:r>
        <w:rPr>
          <w:rFonts w:ascii="仿宋_GB2312" w:hAnsi="仿宋" w:eastAsia="仿宋_GB2312" w:cs="微软雅黑"/>
          <w:snapToGrid w:val="0"/>
          <w:color w:val="auto"/>
          <w:kern w:val="0"/>
          <w:sz w:val="24"/>
          <w:highlight w:val="none"/>
          <w:lang w:val="zh-CN"/>
        </w:rPr>
        <w:fldChar w:fldCharType="end"/>
      </w:r>
      <w:r>
        <w:rPr>
          <w:rFonts w:ascii="仿宋_GB2312" w:hAnsi="仿宋" w:eastAsia="仿宋_GB2312" w:cs="微软雅黑"/>
          <w:color w:val="auto"/>
          <w:kern w:val="0"/>
          <w:sz w:val="24"/>
          <w:highlight w:val="none"/>
          <w:lang w:val="zh-CN"/>
        </w:rPr>
        <w:t>）获取联系方式，选择银行进行对接申请。</w:t>
      </w:r>
    </w:p>
    <w:p>
      <w:pPr>
        <w:spacing w:line="360" w:lineRule="auto"/>
        <w:jc w:val="left"/>
        <w:rPr>
          <w:rFonts w:ascii="仿宋_GB2312" w:hAnsi="仿宋" w:eastAsia="仿宋_GB2312"/>
          <w:color w:val="auto"/>
          <w:sz w:val="24"/>
          <w:highlight w:val="none"/>
        </w:rPr>
      </w:pPr>
      <w:r>
        <w:rPr>
          <w:rFonts w:ascii="仿宋_GB2312" w:hAnsi="仿宋" w:eastAsia="仿宋_GB2312"/>
          <w:b/>
          <w:color w:val="auto"/>
          <w:sz w:val="24"/>
          <w:highlight w:val="none"/>
        </w:rPr>
        <w:t>4.</w:t>
      </w:r>
      <w:r>
        <w:rPr>
          <w:rFonts w:hint="eastAsia" w:ascii="仿宋_GB2312" w:hAnsi="仿宋" w:eastAsia="仿宋_GB2312"/>
          <w:b/>
          <w:color w:val="auto"/>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.2供应商认为招标文件、采购过程和中标结果使自己的权益受到损害的，可以在知道或者应知其权益受到损害之日起七个工作日内，以书面形式向采购人、采购机构提出质疑，否则，采购人、采购机构不予受理。</w:t>
      </w:r>
    </w:p>
    <w:p>
      <w:pPr>
        <w:pStyle w:val="16"/>
        <w:spacing w:line="360" w:lineRule="auto"/>
        <w:ind w:firstLine="720" w:firstLineChars="300"/>
        <w:rPr>
          <w:rFonts w:ascii="仿宋_GB2312" w:hAnsi="仿宋" w:eastAsia="仿宋_GB2312"/>
          <w:color w:val="auto"/>
          <w:kern w:val="2"/>
          <w:sz w:val="24"/>
          <w:highlight w:val="none"/>
        </w:rPr>
      </w:pPr>
      <w:r>
        <w:rPr>
          <w:rFonts w:ascii="仿宋_GB2312" w:hAnsi="仿宋" w:eastAsia="仿宋_GB2312"/>
          <w:color w:val="auto"/>
          <w:kern w:val="2"/>
          <w:sz w:val="24"/>
          <w:highlight w:val="none"/>
        </w:rPr>
        <w:t>4.2.2.1对招标文件提出质疑的，质疑期限为供应商获得招标文件之日或者招标文件公告期限届满之日起计算。</w:t>
      </w:r>
    </w:p>
    <w:p>
      <w:pPr>
        <w:pStyle w:val="34"/>
        <w:spacing w:line="360" w:lineRule="auto"/>
        <w:ind w:firstLine="720" w:firstLineChars="3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pPr>
        <w:pStyle w:val="34"/>
        <w:spacing w:line="360" w:lineRule="auto"/>
        <w:ind w:firstLine="720" w:firstLineChars="3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pPr>
        <w:pStyle w:val="34"/>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.4</w:t>
      </w:r>
      <w:r>
        <w:rPr>
          <w:rFonts w:hint="eastAsia" w:ascii="仿宋_GB2312" w:hAnsi="仿宋" w:eastAsia="仿宋_GB2312"/>
          <w:color w:val="auto"/>
          <w:highlight w:val="none"/>
        </w:rPr>
        <w:t>采购人、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highlight w:val="none"/>
        </w:rPr>
        <w:t>2021〕17号）,</w:t>
      </w:r>
      <w:r>
        <w:rPr>
          <w:rFonts w:hint="eastAsia" w:ascii="仿宋_GB2312" w:hAnsi="仿宋" w:eastAsia="仿宋_GB2312"/>
          <w:color w:val="auto"/>
          <w:highlight w:val="none"/>
        </w:rPr>
        <w:t>采购人、采购机构在质疑回复后</w:t>
      </w:r>
      <w:r>
        <w:rPr>
          <w:rFonts w:ascii="仿宋_GB2312" w:hAnsi="仿宋" w:eastAsia="仿宋_GB2312"/>
          <w:color w:val="auto"/>
          <w:highlight w:val="none"/>
        </w:rPr>
        <w:t>5个工作日内，在浙江政府采购网的“其他公告”栏目公开质疑答复，答复内容应当完整。</w:t>
      </w:r>
      <w:r>
        <w:rPr>
          <w:rFonts w:hint="eastAsia" w:ascii="仿宋_GB2312" w:hAnsi="仿宋" w:eastAsia="仿宋_GB2312"/>
          <w:color w:val="auto"/>
          <w:highlight w:val="none"/>
        </w:rPr>
        <w:t>质疑答复公告时，如对采购文件质疑的，不公布质疑单位名称。涉及国家秘密、个人隐私、商业秘密以及法律法规规定应予保密的信息不公开。</w:t>
      </w:r>
      <w:r>
        <w:rPr>
          <w:rFonts w:ascii="仿宋_GB2312" w:hAnsi="仿宋" w:eastAsia="仿宋_GB2312"/>
          <w:color w:val="auto"/>
          <w:highlight w:val="none"/>
        </w:rPr>
        <w:t>质疑</w:t>
      </w:r>
      <w:r>
        <w:rPr>
          <w:rFonts w:hint="eastAsia" w:ascii="仿宋_GB2312" w:hAnsi="仿宋" w:eastAsia="仿宋_GB2312"/>
          <w:color w:val="auto"/>
          <w:highlight w:val="none"/>
        </w:rPr>
        <w:t>函作为附件上传。</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240" w:firstLineChars="100"/>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4.3.1质疑供应商对采购人、采购机构的答复不满意或者采购人、采购机构未在规定的时间内</w:t>
      </w:r>
      <w:r>
        <w:rPr>
          <w:rFonts w:hint="eastAsia" w:ascii="仿宋_GB2312" w:hAnsi="仿宋" w:eastAsia="仿宋_GB2312"/>
          <w:color w:val="auto"/>
          <w:highlight w:val="none"/>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hint="eastAsia" w:ascii="仿宋_GB2312" w:hAnsi="仿宋" w:eastAsia="仿宋_GB2312"/>
          <w:color w:val="auto"/>
          <w:highlight w:val="none"/>
        </w:rPr>
        <w:t>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pPr>
        <w:pStyle w:val="128"/>
        <w:snapToGrid w:val="0"/>
        <w:spacing w:before="0"/>
        <w:ind w:firstLine="360"/>
        <w:rPr>
          <w:rFonts w:ascii="仿宋_GB2312" w:hAnsi="仿宋" w:eastAsia="仿宋_GB2312" w:cs="仿宋_GB2312"/>
          <w:color w:val="auto"/>
          <w:sz w:val="18"/>
          <w:szCs w:val="18"/>
          <w:highlight w:val="none"/>
        </w:rPr>
      </w:pPr>
    </w:p>
    <w:p>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二、招标文件的构成、澄清、修改</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pPr>
        <w:pStyle w:val="34"/>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w:t>
      </w:r>
      <w:r>
        <w:rPr>
          <w:rFonts w:hint="eastAsia" w:ascii="仿宋_GB2312" w:hAnsi="仿宋" w:eastAsia="仿宋_GB2312" w:cs="仿宋_GB2312"/>
          <w:color w:val="auto"/>
          <w:sz w:val="24"/>
          <w:szCs w:val="24"/>
          <w:highlight w:val="none"/>
        </w:rPr>
        <w:t>招标文件包括下列文件及附件：</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6.</w:t>
      </w:r>
      <w:r>
        <w:rPr>
          <w:rFonts w:hint="eastAsia" w:ascii="仿宋_GB2312" w:hAnsi="仿宋" w:eastAsia="仿宋_GB2312" w:cs="仿宋_GB2312"/>
          <w:b/>
          <w:color w:val="auto"/>
          <w:sz w:val="24"/>
          <w:szCs w:val="24"/>
          <w:highlight w:val="none"/>
        </w:rPr>
        <w:t>招标文件的澄清、修改</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pPr>
        <w:pStyle w:val="128"/>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6.2</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_GB2312" w:hAnsi="仿宋" w:eastAsia="仿宋_GB2312" w:cs="仿宋_GB2312"/>
          <w:color w:val="auto"/>
          <w:sz w:val="18"/>
          <w:szCs w:val="18"/>
          <w:highlight w:val="none"/>
          <w:lang w:val="en-US"/>
        </w:rPr>
      </w:pPr>
    </w:p>
    <w:p>
      <w:pPr>
        <w:adjustRightInd/>
        <w:spacing w:line="360" w:lineRule="auto"/>
        <w:jc w:val="center"/>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7.</w:t>
      </w:r>
      <w:r>
        <w:rPr>
          <w:rFonts w:hint="eastAsia" w:ascii="仿宋_GB2312" w:hAnsi="仿宋" w:eastAsia="仿宋_GB2312" w:cs="仿宋_GB2312"/>
          <w:b/>
          <w:color w:val="auto"/>
          <w:sz w:val="24"/>
          <w:szCs w:val="24"/>
          <w:highlight w:val="none"/>
        </w:rPr>
        <w:t>招标文件的获取</w:t>
      </w:r>
    </w:p>
    <w:p>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pPr>
        <w:pStyle w:val="34"/>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pPr>
        <w:pStyle w:val="16"/>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10.</w:t>
      </w:r>
      <w:r>
        <w:rPr>
          <w:rFonts w:hint="eastAsia" w:ascii="仿宋_GB2312" w:hAnsi="仿宋" w:eastAsia="仿宋_GB2312" w:cs="仿宋_GB2312"/>
          <w:b/>
          <w:color w:val="auto"/>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11.</w:t>
      </w:r>
      <w:r>
        <w:rPr>
          <w:rFonts w:hint="eastAsia" w:ascii="仿宋_GB2312" w:hAnsi="仿宋" w:eastAsia="仿宋_GB2312" w:cs="仿宋_GB2312"/>
          <w:b/>
          <w:color w:val="auto"/>
          <w:sz w:val="24"/>
          <w:szCs w:val="24"/>
          <w:highlight w:val="none"/>
        </w:rPr>
        <w:t>投标文件的组成</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p>
    <w:p>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11.2.3联合协议（如果有）；</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11.2.4分包意向协议（如果有）；</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rPr>
        <w:t>5</w:t>
      </w:r>
      <w:r>
        <w:rPr>
          <w:rFonts w:ascii="仿宋_GB2312" w:hAnsi="仿宋" w:eastAsia="仿宋_GB2312" w:cs="仿宋_GB2312"/>
          <w:color w:val="auto"/>
          <w:sz w:val="24"/>
          <w:highlight w:val="none"/>
        </w:rPr>
        <w:t>符合性审查资料；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rPr>
        <w:t>6</w:t>
      </w:r>
      <w:r>
        <w:rPr>
          <w:rFonts w:ascii="仿宋_GB2312" w:hAnsi="仿宋" w:eastAsia="仿宋_GB2312" w:cs="仿宋_GB2312"/>
          <w:color w:val="auto"/>
          <w:sz w:val="24"/>
          <w:highlight w:val="none"/>
        </w:rPr>
        <w:t>评标标准相应的商务技术资料；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rPr>
        <w:t>7</w:t>
      </w:r>
      <w:r>
        <w:rPr>
          <w:rFonts w:ascii="仿宋_GB2312" w:hAnsi="仿宋" w:eastAsia="仿宋_GB2312" w:cs="仿宋_GB2312"/>
          <w:color w:val="auto"/>
          <w:sz w:val="24"/>
          <w:highlight w:val="none"/>
        </w:rPr>
        <w:t>商务技术偏离表；</w:t>
      </w:r>
    </w:p>
    <w:p>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11.3.2中小企业声明函。</w:t>
      </w:r>
    </w:p>
    <w:p>
      <w:pP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128"/>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w:t>
      </w:r>
      <w:r>
        <w:rPr>
          <w:rFonts w:hint="eastAsia" w:ascii="仿宋_GB2312" w:hAnsi="仿宋" w:eastAsia="仿宋_GB2312" w:cs="仿宋_GB2312"/>
          <w:b/>
          <w:color w:val="auto"/>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pPr>
        <w:pStyle w:val="128"/>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14.</w:t>
      </w:r>
      <w:r>
        <w:rPr>
          <w:rFonts w:hint="eastAsia" w:ascii="仿宋_GB2312" w:hAnsi="仿宋" w:eastAsia="仿宋_GB2312" w:cs="仿宋_GB2312"/>
          <w:b/>
          <w:color w:val="auto"/>
          <w:szCs w:val="24"/>
          <w:highlight w:val="none"/>
        </w:rPr>
        <w:t>投标文件的提交、补充、修改、撤回</w:t>
      </w:r>
    </w:p>
    <w:p>
      <w:pPr>
        <w:pStyle w:val="128"/>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14.1</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pPr>
        <w:pStyle w:val="34"/>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34"/>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color w:val="auto"/>
          <w:sz w:val="24"/>
          <w:szCs w:val="24"/>
          <w:highlight w:val="none"/>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pPr>
        <w:pStyle w:val="2"/>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ascii="仿宋_GB2312" w:hAnsi="仿宋" w:eastAsia="仿宋_GB2312"/>
          <w:color w:val="auto"/>
          <w:highlight w:val="none"/>
        </w:rPr>
        <w:t>13项规定</w:t>
      </w:r>
      <w:r>
        <w:rPr>
          <w:rFonts w:hint="eastAsia" w:ascii="仿宋_GB2312" w:hAnsi="仿宋" w:eastAsia="仿宋_GB2312" w:cs="仿宋_GB2312"/>
          <w:color w:val="auto"/>
          <w:szCs w:val="21"/>
          <w:highlight w:val="none"/>
        </w:rPr>
        <w:t>的情形之一的，投标无效。</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128"/>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pPr>
        <w:pStyle w:val="128"/>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_GB2312" w:hAnsi="仿宋" w:eastAsia="仿宋_GB2312" w:cs="仿宋_GB2312"/>
          <w:b/>
          <w:color w:val="auto"/>
          <w:sz w:val="32"/>
          <w:highlight w:val="none"/>
        </w:rPr>
      </w:pPr>
    </w:p>
    <w:p>
      <w:pPr>
        <w:pStyle w:val="128"/>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554"/>
        <w:spacing w:before="0" w:line="360" w:lineRule="auto"/>
        <w:ind w:left="0" w:firstLine="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p>
    <w:p>
      <w:pPr>
        <w:pStyle w:val="554"/>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19</w:t>
      </w:r>
      <w:r>
        <w:rPr>
          <w:rFonts w:hint="eastAsia" w:ascii="仿宋_GB2312" w:hAnsi="仿宋" w:eastAsia="仿宋_GB2312" w:cs="仿宋_GB2312"/>
          <w:b/>
          <w:color w:val="auto"/>
          <w:szCs w:val="24"/>
          <w:highlight w:val="none"/>
        </w:rPr>
        <w:t>.</w:t>
      </w:r>
      <w:r>
        <w:rPr>
          <w:rFonts w:ascii="仿宋_GB2312" w:hAnsi="仿宋" w:eastAsia="仿宋_GB2312" w:cs="仿宋_GB2312"/>
          <w:b/>
          <w:color w:val="auto"/>
          <w:szCs w:val="24"/>
          <w:highlight w:val="none"/>
        </w:rPr>
        <w:t>资格审查</w:t>
      </w:r>
    </w:p>
    <w:p>
      <w:pPr>
        <w:pStyle w:val="128"/>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w:t>
      </w:r>
      <w:r>
        <w:rPr>
          <w:rFonts w:hint="eastAsia" w:ascii="仿宋_GB2312" w:hAnsi="仿宋" w:eastAsia="仿宋_GB2312" w:cs="仿宋_GB2312"/>
          <w:b/>
          <w:color w:val="auto"/>
          <w:szCs w:val="24"/>
          <w:highlight w:val="none"/>
        </w:rPr>
        <w:t>.</w:t>
      </w:r>
      <w:r>
        <w:rPr>
          <w:rFonts w:ascii="仿宋_GB2312" w:hAnsi="仿宋" w:eastAsia="仿宋_GB2312" w:cs="仿宋_GB2312"/>
          <w:b/>
          <w:color w:val="auto"/>
          <w:szCs w:val="24"/>
          <w:highlight w:val="none"/>
        </w:rPr>
        <w:t>信用信息查询</w:t>
      </w:r>
    </w:p>
    <w:p>
      <w:pPr>
        <w:pStyle w:val="12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w:t>
      </w:r>
      <w:r>
        <w:rPr>
          <w:rFonts w:hint="eastAsia" w:ascii="仿宋_GB2312" w:hAnsi="仿宋" w:eastAsia="仿宋_GB2312" w:cs="Arial"/>
          <w:color w:val="auto"/>
          <w:kern w:val="0"/>
          <w:szCs w:val="24"/>
          <w:highlight w:val="none"/>
        </w:rPr>
        <w:t>4</w:t>
      </w:r>
      <w:r>
        <w:rPr>
          <w:rFonts w:ascii="仿宋_GB2312" w:hAnsi="仿宋" w:eastAsia="仿宋_GB2312" w:cs="Arial"/>
          <w:color w:val="auto"/>
          <w:kern w:val="0"/>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pStyle w:val="128"/>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spacing w:line="360" w:lineRule="auto"/>
        <w:rPr>
          <w:rFonts w:ascii="仿宋_GB2312" w:hAnsi="仿宋" w:eastAsia="仿宋_GB2312" w:cs="仿宋_GB2312"/>
          <w:b/>
          <w:color w:val="auto"/>
          <w:sz w:val="24"/>
          <w:highlight w:val="none"/>
        </w:rPr>
      </w:pPr>
      <w:bookmarkStart w:id="13" w:name="_Toc91899903"/>
      <w:r>
        <w:rPr>
          <w:rFonts w:ascii="仿宋_GB2312" w:hAnsi="仿宋" w:eastAsia="仿宋_GB2312" w:cs="仿宋_GB2312"/>
          <w:b/>
          <w:color w:val="auto"/>
          <w:sz w:val="24"/>
          <w:highlight w:val="none"/>
        </w:rPr>
        <w:t>21.</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六、定标</w:t>
      </w:r>
    </w:p>
    <w:p>
      <w:pPr>
        <w:pStyle w:val="2"/>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22.</w:t>
      </w:r>
      <w:r>
        <w:rPr>
          <w:rFonts w:hint="eastAsia" w:ascii="仿宋_GB2312" w:hAnsi="仿宋" w:eastAsia="仿宋_GB2312" w:cs="仿宋_GB2312"/>
          <w:b/>
          <w:color w:val="auto"/>
          <w:highlight w:val="none"/>
        </w:rPr>
        <w:t>确定中标供应商</w:t>
      </w:r>
    </w:p>
    <w:p>
      <w:pPr>
        <w:pStyle w:val="128"/>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w:t>
      </w:r>
      <w:r>
        <w:rPr>
          <w:rFonts w:ascii="仿宋_GB2312" w:hAnsi="仿宋" w:eastAsia="仿宋_GB2312" w:cs="仿宋_GB2312"/>
          <w:color w:val="auto"/>
          <w:szCs w:val="24"/>
          <w:highlight w:val="none"/>
        </w:rPr>
        <w:t>5个工作日内通过电子交易平台在评审报告推荐的中标候选人中按顺序确定中标供应商。</w:t>
      </w:r>
    </w:p>
    <w:p>
      <w:pPr>
        <w:pStyle w:val="128"/>
        <w:snapToGrid w:val="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23.</w:t>
      </w:r>
      <w:r>
        <w:rPr>
          <w:rFonts w:hint="eastAsia" w:ascii="仿宋_GB2312" w:hAnsi="仿宋" w:eastAsia="仿宋_GB2312" w:cs="仿宋_GB2312"/>
          <w:b/>
          <w:color w:val="auto"/>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w:t>
      </w:r>
      <w:r>
        <w:rPr>
          <w:rFonts w:hint="eastAsia" w:ascii="仿宋_GB2312" w:hAnsi="仿宋" w:eastAsia="仿宋_GB2312" w:cs="仿宋_GB2312"/>
          <w:color w:val="auto"/>
          <w:sz w:val="24"/>
          <w:highlight w:val="none"/>
        </w:rPr>
        <w:t>2个工作日</w:t>
      </w:r>
      <w:r>
        <w:rPr>
          <w:rFonts w:ascii="仿宋_GB2312" w:hAnsi="仿宋" w:eastAsia="仿宋_GB2312" w:cs="仿宋_GB2312"/>
          <w:color w:val="auto"/>
          <w:sz w:val="24"/>
          <w:highlight w:val="none"/>
        </w:rPr>
        <w:t>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2"/>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24.</w:t>
      </w:r>
      <w:r>
        <w:rPr>
          <w:rFonts w:hint="eastAsia" w:ascii="仿宋_GB2312" w:hAnsi="仿宋" w:eastAsia="仿宋_GB2312" w:cs="仿宋_GB2312"/>
          <w:color w:val="auto"/>
          <w:highlight w:val="none"/>
        </w:rPr>
        <w:t>合同主要条款详见第五部分拟签订的合同文本。</w:t>
      </w:r>
    </w:p>
    <w:p>
      <w:pPr>
        <w:pStyle w:val="2"/>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25.</w:t>
      </w:r>
      <w:r>
        <w:rPr>
          <w:rFonts w:hint="eastAsia" w:ascii="仿宋_GB2312" w:hAnsi="仿宋" w:eastAsia="仿宋_GB2312" w:cs="仿宋_GB2312"/>
          <w:b/>
          <w:color w:val="auto"/>
          <w:highlight w:val="none"/>
        </w:rPr>
        <w:t>合同的签订</w:t>
      </w:r>
    </w:p>
    <w:p>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采购人与中标人应当通过电子交易平台在中标通知书发出之日起</w:t>
      </w:r>
      <w:r>
        <w:rPr>
          <w:rFonts w:hint="eastAsia" w:ascii="仿宋_GB2312" w:hAnsi="仿宋" w:eastAsia="仿宋_GB2312" w:cs="Arial"/>
          <w:color w:val="auto"/>
          <w:kern w:val="0"/>
          <w:sz w:val="24"/>
          <w:highlight w:val="none"/>
        </w:rPr>
        <w:t>十</w:t>
      </w:r>
      <w:r>
        <w:rPr>
          <w:rFonts w:hint="eastAsia" w:ascii="仿宋_GB2312" w:hAnsi="仿宋" w:eastAsia="仿宋_GB2312" w:cs="Arial"/>
          <w:color w:val="auto"/>
          <w:kern w:val="0"/>
          <w:sz w:val="24"/>
          <w:highlight w:val="none"/>
          <w:lang w:eastAsia="zh-CN"/>
        </w:rPr>
        <w:t>个工作日</w:t>
      </w:r>
      <w:r>
        <w:rPr>
          <w:rFonts w:ascii="仿宋_GB2312" w:hAnsi="仿宋" w:eastAsia="仿宋_GB2312" w:cs="Arial"/>
          <w:color w:val="auto"/>
          <w:kern w:val="0"/>
          <w:sz w:val="24"/>
          <w:highlight w:val="none"/>
        </w:rPr>
        <w:t>内，按照招标文件确定的事项签订政府采购合同，并在</w:t>
      </w:r>
      <w:r>
        <w:rPr>
          <w:rFonts w:hint="eastAsia" w:ascii="仿宋_GB2312" w:hAnsi="仿宋" w:eastAsia="仿宋_GB2312" w:cs="Arial"/>
          <w:color w:val="auto"/>
          <w:kern w:val="0"/>
          <w:sz w:val="24"/>
          <w:highlight w:val="none"/>
        </w:rPr>
        <w:t>合同签订（或变更）之日起2个工作日</w:t>
      </w:r>
      <w:r>
        <w:rPr>
          <w:rFonts w:ascii="仿宋_GB2312" w:hAnsi="仿宋" w:eastAsia="仿宋_GB2312" w:cs="Arial"/>
          <w:color w:val="auto"/>
          <w:kern w:val="0"/>
          <w:sz w:val="24"/>
          <w:highlight w:val="none"/>
        </w:rPr>
        <w:t>内依法发布合同公告。</w:t>
      </w:r>
    </w:p>
    <w:p>
      <w:pPr>
        <w:pStyle w:val="128"/>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pPr>
        <w:pStyle w:val="2"/>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26.</w:t>
      </w:r>
      <w:r>
        <w:rPr>
          <w:rFonts w:hint="eastAsia" w:ascii="仿宋_GB2312" w:hAnsi="仿宋" w:eastAsia="仿宋_GB2312" w:cs="仿宋_GB2312"/>
          <w:b/>
          <w:color w:val="auto"/>
          <w:highlight w:val="none"/>
        </w:rPr>
        <w:t>履约保证金</w:t>
      </w:r>
    </w:p>
    <w:p>
      <w:pP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。履约保证金的数额不得超过政府采购合同金额的1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鼓励和支持供应商以银行、保险公司出具的保函形式提供履约保证金。</w:t>
      </w:r>
      <w:r>
        <w:rPr>
          <w:rFonts w:hint="eastAsia" w:ascii="仿宋_GB2312" w:hAnsi="仿宋" w:eastAsia="仿宋_GB2312"/>
          <w:b/>
          <w:color w:val="auto"/>
          <w:sz w:val="24"/>
          <w:highlight w:val="none"/>
        </w:rPr>
        <w:t>采购人不得拒收履约保函。</w:t>
      </w:r>
    </w:p>
    <w:p>
      <w:pPr>
        <w:tabs>
          <w:tab w:val="left" w:pos="0"/>
        </w:tabs>
        <w:spacing w:line="360" w:lineRule="auto"/>
        <w:ind w:firstLine="482"/>
        <w:rPr>
          <w:rFonts w:ascii="仿宋_GB2312" w:hAnsi="仿宋" w:eastAsia="仿宋_GB2312" w:cs="Helvetica"/>
          <w:color w:val="auto"/>
          <w:kern w:val="0"/>
          <w:sz w:val="24"/>
          <w:highlight w:val="none"/>
        </w:rPr>
      </w:pPr>
      <w:r>
        <w:rPr>
          <w:rFonts w:hint="eastAsia" w:ascii="仿宋_GB2312" w:hAnsi="仿宋" w:eastAsia="仿宋_GB2312"/>
          <w:color w:val="auto"/>
          <w:sz w:val="24"/>
          <w:highlight w:val="none"/>
        </w:rPr>
        <w:t>供应商提供保函可以根据杭州市滨江区门户网站公示的滨江区政采贷合作银行及联系人信息表（</w:t>
      </w:r>
      <w:r>
        <w:rPr>
          <w:color w:val="auto"/>
          <w:highlight w:val="none"/>
        </w:rPr>
        <w:fldChar w:fldCharType="begin"/>
      </w:r>
      <w:r>
        <w:rPr>
          <w:color w:val="auto"/>
          <w:highlight w:val="none"/>
        </w:rPr>
        <w:instrText xml:space="preserve"> HYPERLINK "http://www.hhtz.gov.cn/art/2022/1/11/art_1487037_59039349.html" </w:instrText>
      </w:r>
      <w:r>
        <w:rPr>
          <w:color w:val="auto"/>
          <w:highlight w:val="none"/>
        </w:rPr>
        <w:fldChar w:fldCharType="separate"/>
      </w:r>
      <w:r>
        <w:rPr>
          <w:rStyle w:val="76"/>
          <w:rFonts w:ascii="Times New Roman" w:hAnsi="Times New Roman" w:eastAsia="宋体" w:cs="Times New Roman"/>
          <w:color w:val="auto"/>
          <w:kern w:val="2"/>
          <w:sz w:val="21"/>
          <w:szCs w:val="24"/>
          <w:highlight w:val="none"/>
        </w:rPr>
        <w:t>http://www.hhtz.gov.cn/art/2022/1/11/art_1487037_59039349.html</w:t>
      </w:r>
      <w:r>
        <w:rPr>
          <w:rStyle w:val="76"/>
          <w:rFonts w:ascii="Times New Roman" w:hAnsi="Times New Roman" w:eastAsia="宋体" w:cs="Times New Roman"/>
          <w:color w:val="auto"/>
          <w:kern w:val="2"/>
          <w:sz w:val="21"/>
          <w:szCs w:val="24"/>
          <w:highlight w:val="none"/>
        </w:rPr>
        <w:fldChar w:fldCharType="end"/>
      </w:r>
      <w:r>
        <w:rPr>
          <w:rFonts w:ascii="仿宋_GB2312" w:hAnsi="仿宋" w:eastAsia="仿宋_GB2312"/>
          <w:snapToGrid w:val="0"/>
          <w:color w:val="auto"/>
          <w:kern w:val="28"/>
          <w:sz w:val="24"/>
          <w:highlight w:val="none"/>
        </w:rPr>
        <w:t>）获取联系方式选择银行、对接申请提供保函服务。还可以</w:t>
      </w:r>
      <w:r>
        <w:rPr>
          <w:rFonts w:hint="eastAsia" w:ascii="仿宋_GB2312" w:hAnsi="仿宋" w:eastAsia="仿宋_GB2312" w:cs="Helvetica"/>
          <w:color w:val="auto"/>
          <w:kern w:val="0"/>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color w:val="auto"/>
          <w:sz w:val="32"/>
          <w:highlight w:val="none"/>
        </w:rPr>
      </w:pPr>
    </w:p>
    <w:p>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12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7.</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27.1电子交易平台发生故障而无法登录访问的；</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27.4病毒发作导致不能进行正常操作的；</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pPr>
        <w:pStyle w:val="12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b/>
          <w:color w:val="auto"/>
          <w:highlight w:val="none"/>
        </w:rPr>
        <w:t>28.</w:t>
      </w:r>
      <w:r>
        <w:rPr>
          <w:rFonts w:ascii="仿宋_GB2312" w:hAnsi="仿宋" w:eastAsia="仿宋_GB2312" w:cs="仿宋_GB2312"/>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2"/>
        <w:spacing w:line="360" w:lineRule="auto"/>
        <w:ind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采购人应在浙江政府采购网上及时进行履约验收结果公示，履约验收的各项资料应当存档备查。</w:t>
      </w:r>
    </w:p>
    <w:p>
      <w:pP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auto"/>
          <w:kern w:val="0"/>
          <w:sz w:val="24"/>
          <w:highlight w:val="none"/>
        </w:rPr>
        <w:sectPr>
          <w:footerReference r:id="rId7" w:type="first"/>
          <w:footerReference r:id="rId6" w:type="default"/>
          <w:pgSz w:w="11906" w:h="16838"/>
          <w:pgMar w:top="680" w:right="1418" w:bottom="468" w:left="1418" w:header="851" w:footer="992" w:gutter="0"/>
          <w:pgNumType w:start="1"/>
          <w:cols w:space="720" w:num="1"/>
          <w:docGrid w:linePitch="312" w:charSpace="0"/>
        </w:sectPr>
      </w:pPr>
      <w:bookmarkStart w:id="14" w:name="_Hlt74729768"/>
      <w:bookmarkEnd w:id="14"/>
      <w:bookmarkStart w:id="15" w:name="_Hlt68072990"/>
      <w:bookmarkEnd w:id="15"/>
      <w:bookmarkStart w:id="16" w:name="_Hlt75236290"/>
      <w:bookmarkEnd w:id="16"/>
      <w:bookmarkStart w:id="17" w:name="_Hlt75236011"/>
      <w:bookmarkEnd w:id="17"/>
      <w:bookmarkStart w:id="18" w:name="_Hlt74707468"/>
      <w:bookmarkEnd w:id="18"/>
      <w:bookmarkStart w:id="19" w:name="_Hlt74714665"/>
      <w:bookmarkEnd w:id="19"/>
      <w:bookmarkStart w:id="20" w:name="_Hlt74730295"/>
      <w:bookmarkEnd w:id="20"/>
      <w:bookmarkStart w:id="21" w:name="_Hlt68073093"/>
      <w:bookmarkEnd w:id="21"/>
      <w:bookmarkStart w:id="22" w:name="_Hlt68072998"/>
      <w:bookmarkEnd w:id="22"/>
      <w:bookmarkStart w:id="23" w:name="_Hlt75236101"/>
      <w:bookmarkEnd w:id="23"/>
      <w:bookmarkStart w:id="24" w:name="_Hlt68057669"/>
      <w:bookmarkEnd w:id="24"/>
      <w:bookmarkStart w:id="25" w:name="_Hlt68403820"/>
      <w:bookmarkEnd w:id="25"/>
    </w:p>
    <w:bookmarkEnd w:id="11"/>
    <w:bookmarkEnd w:id="12"/>
    <w:p>
      <w:pPr>
        <w:numPr>
          <w:ilvl w:val="0"/>
          <w:numId w:val="1"/>
        </w:numPr>
        <w:spacing w:line="360" w:lineRule="auto"/>
        <w:jc w:val="center"/>
        <w:outlineLvl w:val="0"/>
        <w:rPr>
          <w:rFonts w:hint="eastAsia" w:ascii="仿宋_GB2312" w:hAnsi="仿宋" w:eastAsia="仿宋_GB2312" w:cs="仿宋_GB2312"/>
          <w:b/>
          <w:color w:val="auto"/>
          <w:sz w:val="36"/>
          <w:szCs w:val="36"/>
          <w:highlight w:val="none"/>
        </w:rPr>
      </w:pPr>
      <w:bookmarkStart w:id="26" w:name="第四部分"/>
      <w:r>
        <w:rPr>
          <w:rFonts w:hint="eastAsia" w:ascii="仿宋_GB2312" w:hAnsi="仿宋" w:eastAsia="仿宋_GB2312" w:cs="仿宋_GB2312"/>
          <w:b/>
          <w:color w:val="auto"/>
          <w:sz w:val="36"/>
          <w:szCs w:val="36"/>
          <w:highlight w:val="none"/>
        </w:rPr>
        <w:t>采购需求</w:t>
      </w:r>
    </w:p>
    <w:p>
      <w:pPr>
        <w:rPr>
          <w:color w:val="auto"/>
          <w:highlight w:val="none"/>
        </w:rPr>
      </w:pPr>
    </w:p>
    <w:p>
      <w:pPr>
        <w:numPr>
          <w:ilvl w:val="0"/>
          <w:numId w:val="2"/>
        </w:numPr>
        <w:spacing w:line="600" w:lineRule="exact"/>
        <w:ind w:firstLine="482" w:firstLineChars="200"/>
        <w:jc w:val="left"/>
        <w:rPr>
          <w:rFonts w:ascii="仿宋" w:hAnsi="仿宋" w:eastAsia="仿宋"/>
          <w:b/>
          <w:bCs/>
          <w:color w:val="auto"/>
          <w:kern w:val="0"/>
          <w:sz w:val="24"/>
          <w:highlight w:val="none"/>
        </w:rPr>
      </w:pPr>
      <w:r>
        <w:rPr>
          <w:rFonts w:hint="eastAsia" w:ascii="仿宋" w:hAnsi="仿宋" w:eastAsia="仿宋"/>
          <w:b/>
          <w:bCs/>
          <w:color w:val="auto"/>
          <w:kern w:val="0"/>
          <w:sz w:val="24"/>
          <w:highlight w:val="none"/>
        </w:rPr>
        <w:t>项目概况</w:t>
      </w:r>
    </w:p>
    <w:p>
      <w:pPr>
        <w:spacing w:line="360" w:lineRule="auto"/>
        <w:rPr>
          <w:rFonts w:ascii="仿宋" w:hAnsi="仿宋" w:eastAsia="仿宋"/>
          <w:color w:val="auto"/>
          <w:kern w:val="0"/>
          <w:sz w:val="24"/>
          <w:highlight w:val="none"/>
        </w:rPr>
      </w:pPr>
      <w:r>
        <w:rPr>
          <w:rFonts w:hint="eastAsia" w:ascii="仿宋" w:hAnsi="仿宋" w:eastAsia="仿宋"/>
          <w:b/>
          <w:bCs/>
          <w:color w:val="auto"/>
          <w:kern w:val="0"/>
          <w:sz w:val="24"/>
          <w:highlight w:val="none"/>
        </w:rPr>
        <w:t xml:space="preserve">     </w:t>
      </w:r>
      <w:r>
        <w:rPr>
          <w:rFonts w:hint="eastAsia" w:ascii="仿宋" w:hAnsi="仿宋" w:eastAsia="仿宋"/>
          <w:color w:val="auto"/>
          <w:kern w:val="0"/>
          <w:sz w:val="24"/>
          <w:highlight w:val="none"/>
        </w:rPr>
        <w:t>本项目服务地点为杭州市滨江区奥体中心网球中心场馆，服务主要内容为</w:t>
      </w:r>
      <w:r>
        <w:rPr>
          <w:rFonts w:hint="eastAsia" w:ascii="仿宋" w:hAnsi="仿宋" w:eastAsia="仿宋"/>
          <w:color w:val="auto"/>
          <w:kern w:val="0"/>
          <w:sz w:val="24"/>
          <w:highlight w:val="none"/>
        </w:rPr>
        <w:t>202</w:t>
      </w:r>
      <w:r>
        <w:rPr>
          <w:rFonts w:hint="eastAsia" w:ascii="仿宋" w:hAnsi="仿宋" w:eastAsia="仿宋"/>
          <w:color w:val="auto"/>
          <w:kern w:val="0"/>
          <w:sz w:val="24"/>
          <w:highlight w:val="none"/>
          <w:lang w:val="en-US" w:eastAsia="zh-CN"/>
        </w:rPr>
        <w:t>2</w:t>
      </w:r>
      <w:r>
        <w:rPr>
          <w:rFonts w:hint="eastAsia" w:ascii="仿宋" w:hAnsi="仿宋" w:eastAsia="仿宋"/>
          <w:color w:val="auto"/>
          <w:kern w:val="0"/>
          <w:sz w:val="24"/>
          <w:highlight w:val="none"/>
        </w:rPr>
        <w:t>年第19届</w:t>
      </w:r>
      <w:r>
        <w:rPr>
          <w:rFonts w:hint="eastAsia" w:ascii="仿宋" w:hAnsi="仿宋" w:eastAsia="仿宋" w:cs="仿宋"/>
          <w:color w:val="auto"/>
          <w:sz w:val="24"/>
          <w:highlight w:val="none"/>
        </w:rPr>
        <w:t>亚运会、亚残运会期间设备租赁、安全检查及现场秩序维护服务</w:t>
      </w:r>
      <w:r>
        <w:rPr>
          <w:rFonts w:hint="eastAsia" w:ascii="仿宋" w:hAnsi="仿宋" w:eastAsia="仿宋"/>
          <w:color w:val="auto"/>
          <w:kern w:val="0"/>
          <w:sz w:val="24"/>
          <w:highlight w:val="none"/>
        </w:rPr>
        <w:t>。</w:t>
      </w:r>
    </w:p>
    <w:p>
      <w:pPr>
        <w:spacing w:line="360" w:lineRule="auto"/>
        <w:ind w:firstLine="482" w:firstLineChars="200"/>
        <w:rPr>
          <w:rFonts w:ascii="仿宋" w:hAnsi="仿宋" w:eastAsia="仿宋"/>
          <w:color w:val="auto"/>
          <w:kern w:val="0"/>
          <w:sz w:val="24"/>
          <w:highlight w:val="none"/>
        </w:rPr>
      </w:pPr>
      <w:r>
        <w:rPr>
          <w:rFonts w:hint="eastAsia" w:ascii="仿宋" w:hAnsi="仿宋" w:eastAsia="仿宋"/>
          <w:b/>
          <w:color w:val="auto"/>
          <w:kern w:val="0"/>
          <w:sz w:val="24"/>
          <w:highlight w:val="none"/>
        </w:rPr>
        <w:t>1、服务范围：</w:t>
      </w:r>
      <w:r>
        <w:rPr>
          <w:rFonts w:hint="eastAsia" w:ascii="仿宋" w:hAnsi="仿宋" w:eastAsia="仿宋"/>
          <w:color w:val="auto"/>
          <w:kern w:val="0"/>
          <w:sz w:val="24"/>
          <w:highlight w:val="none"/>
        </w:rPr>
        <w:t>杭州市滨江区奥体中心网球中心场馆，具体工作岗位及设备摆放地点听从甲方安排。</w:t>
      </w:r>
    </w:p>
    <w:p>
      <w:pPr>
        <w:spacing w:line="360" w:lineRule="auto"/>
        <w:ind w:firstLine="482" w:firstLineChars="200"/>
        <w:rPr>
          <w:rFonts w:ascii="仿宋" w:hAnsi="仿宋" w:eastAsia="仿宋"/>
          <w:color w:val="auto"/>
          <w:kern w:val="0"/>
          <w:sz w:val="24"/>
          <w:highlight w:val="none"/>
        </w:rPr>
      </w:pPr>
      <w:r>
        <w:rPr>
          <w:rFonts w:hint="eastAsia" w:ascii="仿宋" w:hAnsi="仿宋" w:eastAsia="仿宋"/>
          <w:b/>
          <w:color w:val="auto"/>
          <w:kern w:val="0"/>
          <w:sz w:val="24"/>
          <w:highlight w:val="none"/>
        </w:rPr>
        <w:t>2、服务期限：</w:t>
      </w:r>
      <w:r>
        <w:rPr>
          <w:rFonts w:hint="eastAsia" w:ascii="仿宋" w:hAnsi="仿宋" w:eastAsia="仿宋"/>
          <w:color w:val="auto"/>
          <w:kern w:val="0"/>
          <w:sz w:val="24"/>
          <w:highlight w:val="none"/>
        </w:rPr>
        <w:t>2023年9月10日至10月28日，人员大致划分四个服务期（如下），具体根据甲方工作安排，可适当微调。</w:t>
      </w:r>
    </w:p>
    <w:p>
      <w:pPr>
        <w:spacing w:line="360" w:lineRule="auto"/>
        <w:rPr>
          <w:color w:val="auto"/>
          <w:highlight w:val="none"/>
        </w:rPr>
      </w:pPr>
      <w:r>
        <w:rPr>
          <w:rFonts w:hint="eastAsia" w:ascii="仿宋" w:hAnsi="仿宋" w:eastAsia="仿宋"/>
          <w:color w:val="auto"/>
          <w:kern w:val="0"/>
          <w:sz w:val="24"/>
          <w:highlight w:val="none"/>
        </w:rPr>
        <w:t xml:space="preserve">  2.1 人员服务期间：</w:t>
      </w:r>
    </w:p>
    <w:p>
      <w:pPr>
        <w:spacing w:line="360" w:lineRule="auto"/>
        <w:ind w:firstLine="482" w:firstLineChars="200"/>
        <w:rPr>
          <w:rFonts w:hint="eastAsia" w:ascii="仿宋" w:hAnsi="仿宋" w:eastAsia="仿宋"/>
          <w:color w:val="auto"/>
          <w:kern w:val="0"/>
          <w:sz w:val="24"/>
          <w:highlight w:val="none"/>
          <w:lang w:eastAsia="zh-CN"/>
        </w:rPr>
      </w:pPr>
      <w:r>
        <w:rPr>
          <w:rFonts w:hint="eastAsia" w:ascii="仿宋" w:hAnsi="仿宋" w:eastAsia="仿宋"/>
          <w:b/>
          <w:color w:val="auto"/>
          <w:kern w:val="0"/>
          <w:sz w:val="24"/>
          <w:highlight w:val="none"/>
        </w:rPr>
        <w:t xml:space="preserve">（1）锁闭期  </w:t>
      </w:r>
      <w:r>
        <w:rPr>
          <w:rFonts w:hint="eastAsia" w:ascii="仿宋" w:hAnsi="仿宋" w:eastAsia="仿宋"/>
          <w:color w:val="auto"/>
          <w:kern w:val="0"/>
          <w:sz w:val="24"/>
          <w:highlight w:val="none"/>
        </w:rPr>
        <w:t>安保服务期，自2023年9月10日至2023年9月2</w:t>
      </w:r>
      <w:r>
        <w:rPr>
          <w:rFonts w:hint="eastAsia" w:ascii="仿宋" w:hAnsi="仿宋" w:eastAsia="仿宋"/>
          <w:color w:val="auto"/>
          <w:kern w:val="0"/>
          <w:sz w:val="24"/>
          <w:highlight w:val="none"/>
          <w:lang w:val="en-US" w:eastAsia="zh-CN"/>
        </w:rPr>
        <w:t>3</w:t>
      </w:r>
      <w:r>
        <w:rPr>
          <w:rFonts w:hint="eastAsia" w:ascii="仿宋" w:hAnsi="仿宋" w:eastAsia="仿宋"/>
          <w:color w:val="auto"/>
          <w:kern w:val="0"/>
          <w:sz w:val="24"/>
          <w:highlight w:val="none"/>
        </w:rPr>
        <w:t>日</w:t>
      </w:r>
      <w:r>
        <w:rPr>
          <w:rFonts w:hint="eastAsia" w:ascii="仿宋" w:hAnsi="仿宋" w:eastAsia="仿宋"/>
          <w:color w:val="auto"/>
          <w:kern w:val="0"/>
          <w:sz w:val="24"/>
          <w:highlight w:val="none"/>
          <w:lang w:eastAsia="zh-CN"/>
        </w:rPr>
        <w:t>。</w:t>
      </w:r>
    </w:p>
    <w:p>
      <w:pPr>
        <w:spacing w:line="360" w:lineRule="auto"/>
        <w:ind w:firstLine="482" w:firstLineChars="200"/>
        <w:rPr>
          <w:rFonts w:ascii="仿宋" w:hAnsi="仿宋" w:eastAsia="仿宋"/>
          <w:color w:val="auto"/>
          <w:kern w:val="0"/>
          <w:sz w:val="24"/>
          <w:highlight w:val="none"/>
        </w:rPr>
      </w:pPr>
      <w:r>
        <w:rPr>
          <w:rFonts w:hint="eastAsia" w:ascii="仿宋" w:hAnsi="仿宋" w:eastAsia="仿宋"/>
          <w:b/>
          <w:color w:val="auto"/>
          <w:kern w:val="0"/>
          <w:sz w:val="24"/>
          <w:highlight w:val="none"/>
        </w:rPr>
        <w:t xml:space="preserve">（2）正赛期  </w:t>
      </w:r>
      <w:r>
        <w:rPr>
          <w:rFonts w:hint="eastAsia" w:ascii="仿宋" w:hAnsi="仿宋" w:eastAsia="仿宋"/>
          <w:color w:val="auto"/>
          <w:kern w:val="0"/>
          <w:sz w:val="24"/>
          <w:highlight w:val="none"/>
        </w:rPr>
        <w:t>安保服务期，自2023年9月24日至2023年10月7日。</w:t>
      </w:r>
    </w:p>
    <w:p>
      <w:pPr>
        <w:spacing w:line="360" w:lineRule="auto"/>
        <w:ind w:firstLine="482" w:firstLineChars="200"/>
        <w:rPr>
          <w:rFonts w:ascii="仿宋" w:hAnsi="仿宋" w:eastAsia="仿宋"/>
          <w:b/>
          <w:color w:val="auto"/>
          <w:kern w:val="0"/>
          <w:sz w:val="24"/>
          <w:highlight w:val="none"/>
        </w:rPr>
      </w:pPr>
      <w:r>
        <w:rPr>
          <w:rFonts w:hint="eastAsia" w:ascii="仿宋" w:hAnsi="仿宋" w:eastAsia="仿宋"/>
          <w:b/>
          <w:color w:val="auto"/>
          <w:kern w:val="0"/>
          <w:sz w:val="24"/>
          <w:highlight w:val="none"/>
        </w:rPr>
        <w:t xml:space="preserve">（3）转换期  </w:t>
      </w:r>
      <w:r>
        <w:rPr>
          <w:rFonts w:hint="eastAsia" w:ascii="仿宋" w:hAnsi="仿宋" w:eastAsia="仿宋"/>
          <w:color w:val="auto"/>
          <w:kern w:val="0"/>
          <w:sz w:val="24"/>
          <w:highlight w:val="none"/>
        </w:rPr>
        <w:t>安保服务期，自2023年10月8日至2023年10月22日。</w:t>
      </w:r>
    </w:p>
    <w:p>
      <w:pPr>
        <w:spacing w:line="360" w:lineRule="auto"/>
        <w:ind w:firstLine="482" w:firstLineChars="200"/>
        <w:rPr>
          <w:rFonts w:ascii="仿宋" w:hAnsi="仿宋" w:eastAsia="仿宋"/>
          <w:color w:val="auto"/>
          <w:kern w:val="0"/>
          <w:sz w:val="24"/>
          <w:highlight w:val="none"/>
        </w:rPr>
      </w:pPr>
      <w:r>
        <w:rPr>
          <w:rFonts w:hint="eastAsia" w:ascii="仿宋" w:hAnsi="仿宋" w:eastAsia="仿宋"/>
          <w:b/>
          <w:color w:val="auto"/>
          <w:kern w:val="0"/>
          <w:sz w:val="24"/>
          <w:highlight w:val="none"/>
        </w:rPr>
        <w:t xml:space="preserve">（4）亚残会  </w:t>
      </w:r>
      <w:r>
        <w:rPr>
          <w:rFonts w:hint="eastAsia" w:ascii="仿宋" w:hAnsi="仿宋" w:eastAsia="仿宋"/>
          <w:color w:val="auto"/>
          <w:kern w:val="0"/>
          <w:sz w:val="24"/>
          <w:highlight w:val="none"/>
        </w:rPr>
        <w:t>安保服务期，自2023年10月23日至2023年10月28日。</w:t>
      </w:r>
    </w:p>
    <w:p>
      <w:pPr>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 xml:space="preserve"> </w:t>
      </w:r>
      <w:r>
        <w:rPr>
          <w:rFonts w:ascii="仿宋" w:hAnsi="仿宋" w:eastAsia="仿宋"/>
          <w:color w:val="auto"/>
          <w:kern w:val="0"/>
          <w:sz w:val="24"/>
          <w:highlight w:val="none"/>
        </w:rPr>
        <w:t xml:space="preserve"> </w:t>
      </w:r>
      <w:r>
        <w:rPr>
          <w:rFonts w:hint="eastAsia" w:ascii="仿宋" w:hAnsi="仿宋" w:eastAsia="仿宋"/>
          <w:color w:val="auto"/>
          <w:kern w:val="0"/>
          <w:sz w:val="24"/>
          <w:highlight w:val="none"/>
        </w:rPr>
        <w:t>2.2设备租赁期：</w:t>
      </w:r>
    </w:p>
    <w:p>
      <w:pPr>
        <w:spacing w:line="360" w:lineRule="auto"/>
        <w:ind w:firstLine="480" w:firstLineChars="200"/>
        <w:rPr>
          <w:rFonts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常用设备：2023年9月10日至2023年10月28日，共49天</w:t>
      </w:r>
    </w:p>
    <w:p>
      <w:pPr>
        <w:spacing w:line="360" w:lineRule="auto"/>
        <w:ind w:firstLine="480" w:firstLineChars="200"/>
        <w:rPr>
          <w:rFonts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一号门安检设备：2023年9月24日至2023年10月28日，共35天</w:t>
      </w:r>
    </w:p>
    <w:p>
      <w:pPr>
        <w:spacing w:line="360" w:lineRule="auto"/>
        <w:ind w:firstLine="480" w:firstLineChars="200"/>
        <w:rPr>
          <w:rFonts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二号门安检设备：2023年9月10日至2023年10月28日，共49天</w:t>
      </w:r>
    </w:p>
    <w:p>
      <w:pPr>
        <w:spacing w:line="360" w:lineRule="auto"/>
        <w:ind w:firstLine="482" w:firstLineChars="200"/>
        <w:rPr>
          <w:rFonts w:ascii="仿宋" w:hAnsi="仿宋" w:eastAsia="仿宋"/>
          <w:color w:val="auto"/>
          <w:kern w:val="0"/>
          <w:sz w:val="24"/>
          <w:highlight w:val="none"/>
        </w:rPr>
      </w:pPr>
      <w:r>
        <w:rPr>
          <w:rFonts w:hint="eastAsia" w:ascii="仿宋" w:hAnsi="仿宋" w:eastAsia="仿宋"/>
          <w:b/>
          <w:bCs/>
          <w:color w:val="auto"/>
          <w:kern w:val="0"/>
          <w:sz w:val="24"/>
          <w:highlight w:val="none"/>
        </w:rPr>
        <w:t>3、付款方式：</w:t>
      </w:r>
      <w:r>
        <w:rPr>
          <w:rFonts w:hint="eastAsia" w:ascii="仿宋" w:hAnsi="仿宋" w:eastAsia="仿宋"/>
          <w:color w:val="auto"/>
          <w:kern w:val="0"/>
          <w:sz w:val="24"/>
          <w:highlight w:val="none"/>
        </w:rPr>
        <w:t>服务费由杭州市公安局滨江区分局统一支付，合同生效并具备实施条件后7个工作日内支付合同金额50%预付款，剩余款项于所有服务结束并经验收合格后，根据实际服务量，乙方开具发票后于5</w:t>
      </w:r>
      <w:r>
        <w:rPr>
          <w:rFonts w:hint="eastAsia" w:ascii="仿宋" w:hAnsi="仿宋" w:eastAsia="仿宋"/>
          <w:color w:val="auto"/>
          <w:kern w:val="0"/>
          <w:sz w:val="24"/>
          <w:highlight w:val="none"/>
        </w:rPr>
        <w:t>个工作日内一次性结算。</w:t>
      </w:r>
    </w:p>
    <w:p>
      <w:pPr>
        <w:spacing w:line="600" w:lineRule="exact"/>
        <w:ind w:firstLine="482" w:firstLineChars="200"/>
        <w:jc w:val="left"/>
        <w:rPr>
          <w:color w:val="auto"/>
          <w:highlight w:val="none"/>
        </w:rPr>
      </w:pPr>
      <w:r>
        <w:rPr>
          <w:rFonts w:hint="eastAsia" w:ascii="仿宋" w:hAnsi="仿宋" w:eastAsia="仿宋"/>
          <w:b/>
          <w:bCs/>
          <w:color w:val="auto"/>
          <w:kern w:val="0"/>
          <w:sz w:val="24"/>
          <w:highlight w:val="none"/>
        </w:rPr>
        <w:t>二、项目采购清单</w:t>
      </w:r>
    </w:p>
    <w:p>
      <w:pPr>
        <w:pStyle w:val="859"/>
        <w:ind w:firstLine="482"/>
        <w:rPr>
          <w:rFonts w:ascii="仿宋" w:hAnsi="仿宋" w:eastAsia="仿宋" w:cs="Times New Roman"/>
          <w:b/>
          <w:color w:val="auto"/>
          <w:kern w:val="0"/>
          <w:highlight w:val="none"/>
        </w:rPr>
      </w:pPr>
      <w:r>
        <w:rPr>
          <w:rFonts w:hint="eastAsia" w:ascii="仿宋" w:hAnsi="仿宋" w:eastAsia="仿宋" w:cs="Times New Roman"/>
          <w:b/>
          <w:color w:val="auto"/>
          <w:kern w:val="0"/>
          <w:highlight w:val="none"/>
        </w:rPr>
        <w:t>1、人员清单：限价6</w:t>
      </w:r>
      <w:r>
        <w:rPr>
          <w:rFonts w:hint="eastAsia" w:ascii="仿宋" w:hAnsi="仿宋" w:eastAsia="仿宋" w:cs="Times New Roman"/>
          <w:b/>
          <w:color w:val="auto"/>
          <w:kern w:val="0"/>
          <w:highlight w:val="none"/>
          <w:lang w:val="en-US" w:eastAsia="zh-CN"/>
        </w:rPr>
        <w:t>0</w:t>
      </w:r>
      <w:r>
        <w:rPr>
          <w:rFonts w:hint="eastAsia" w:ascii="仿宋" w:hAnsi="仿宋" w:eastAsia="仿宋" w:cs="Times New Roman"/>
          <w:b/>
          <w:color w:val="auto"/>
          <w:kern w:val="0"/>
          <w:highlight w:val="none"/>
        </w:rPr>
        <w:t>元/人/小时</w:t>
      </w:r>
    </w:p>
    <w:tbl>
      <w:tblPr>
        <w:tblStyle w:val="62"/>
        <w:tblW w:w="9082" w:type="dxa"/>
        <w:tblInd w:w="98" w:type="dxa"/>
        <w:tblLayout w:type="fixed"/>
        <w:tblCellMar>
          <w:top w:w="0" w:type="dxa"/>
          <w:left w:w="108" w:type="dxa"/>
          <w:bottom w:w="0" w:type="dxa"/>
          <w:right w:w="108" w:type="dxa"/>
        </w:tblCellMar>
      </w:tblPr>
      <w:tblGrid>
        <w:gridCol w:w="920"/>
        <w:gridCol w:w="921"/>
        <w:gridCol w:w="921"/>
        <w:gridCol w:w="921"/>
        <w:gridCol w:w="921"/>
        <w:gridCol w:w="1421"/>
        <w:gridCol w:w="1100"/>
        <w:gridCol w:w="857"/>
        <w:gridCol w:w="1100"/>
      </w:tblGrid>
      <w:tr>
        <w:tblPrEx>
          <w:tblCellMar>
            <w:top w:w="0" w:type="dxa"/>
            <w:left w:w="108" w:type="dxa"/>
            <w:bottom w:w="0" w:type="dxa"/>
            <w:right w:w="108" w:type="dxa"/>
          </w:tblCellMar>
        </w:tblPrEx>
        <w:trPr>
          <w:trHeight w:val="280" w:hRule="atLeast"/>
        </w:trPr>
        <w:tc>
          <w:tcPr>
            <w:tcW w:w="920"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序号</w:t>
            </w:r>
          </w:p>
        </w:tc>
        <w:tc>
          <w:tcPr>
            <w:tcW w:w="184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阶段</w:t>
            </w:r>
          </w:p>
        </w:tc>
        <w:tc>
          <w:tcPr>
            <w:tcW w:w="92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岗位</w:t>
            </w:r>
          </w:p>
        </w:tc>
        <w:tc>
          <w:tcPr>
            <w:tcW w:w="921"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人员类别</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时间</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时段</w:t>
            </w: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人数</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小计/小时</w:t>
            </w:r>
          </w:p>
        </w:tc>
      </w:tr>
      <w:tr>
        <w:tblPrEx>
          <w:tblCellMar>
            <w:top w:w="0" w:type="dxa"/>
            <w:left w:w="108" w:type="dxa"/>
            <w:bottom w:w="0" w:type="dxa"/>
            <w:right w:w="108" w:type="dxa"/>
          </w:tblCellMar>
        </w:tblPrEx>
        <w:trPr>
          <w:trHeight w:val="960" w:hRule="atLeast"/>
        </w:trPr>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1842" w:type="dxa"/>
            <w:gridSpan w:val="2"/>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锁闭期</w:t>
            </w:r>
          </w:p>
        </w:tc>
        <w:tc>
          <w:tcPr>
            <w:tcW w:w="92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2023.9月10日-2023.9月23日</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06:00-14:00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1120</w:t>
            </w:r>
          </w:p>
        </w:tc>
      </w:tr>
      <w:tr>
        <w:tblPrEx>
          <w:tblCellMar>
            <w:top w:w="0" w:type="dxa"/>
            <w:left w:w="108" w:type="dxa"/>
            <w:bottom w:w="0" w:type="dxa"/>
            <w:right w:w="108" w:type="dxa"/>
          </w:tblCellMar>
        </w:tblPrEx>
        <w:trPr>
          <w:trHeight w:val="960"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18"/>
                <w:szCs w:val="18"/>
                <w:highlight w:val="none"/>
              </w:rPr>
            </w:pPr>
          </w:p>
        </w:tc>
        <w:tc>
          <w:tcPr>
            <w:tcW w:w="18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18"/>
                <w:szCs w:val="18"/>
                <w:highlight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2023.9月10日-2023.9月23日</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14:00-22:00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1120</w:t>
            </w:r>
          </w:p>
        </w:tc>
      </w:tr>
      <w:tr>
        <w:tblPrEx>
          <w:tblCellMar>
            <w:top w:w="0" w:type="dxa"/>
            <w:left w:w="108" w:type="dxa"/>
            <w:bottom w:w="0" w:type="dxa"/>
            <w:right w:w="108" w:type="dxa"/>
          </w:tblCellMar>
        </w:tblPrEx>
        <w:trPr>
          <w:trHeight w:val="975" w:hRule="atLeast"/>
        </w:trPr>
        <w:tc>
          <w:tcPr>
            <w:tcW w:w="92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92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正赛期</w:t>
            </w:r>
          </w:p>
        </w:tc>
        <w:tc>
          <w:tcPr>
            <w:tcW w:w="92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网球赛</w:t>
            </w:r>
          </w:p>
        </w:tc>
        <w:tc>
          <w:tcPr>
            <w:tcW w:w="9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9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4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2023.9月24日-2023.9月30日</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06:00-14:00</w:t>
            </w:r>
          </w:p>
        </w:tc>
        <w:tc>
          <w:tcPr>
            <w:tcW w:w="85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211</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11816</w:t>
            </w:r>
          </w:p>
        </w:tc>
      </w:tr>
      <w:tr>
        <w:tblPrEx>
          <w:tblCellMar>
            <w:top w:w="0" w:type="dxa"/>
            <w:left w:w="108" w:type="dxa"/>
            <w:bottom w:w="0" w:type="dxa"/>
            <w:right w:w="108" w:type="dxa"/>
          </w:tblCellMar>
        </w:tblPrEx>
        <w:trPr>
          <w:trHeight w:val="975" w:hRule="atLeast"/>
        </w:trPr>
        <w:tc>
          <w:tcPr>
            <w:tcW w:w="9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92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92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9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9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4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2023.9月24日-2023.9月30日</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14:00-22:00</w:t>
            </w:r>
          </w:p>
        </w:tc>
        <w:tc>
          <w:tcPr>
            <w:tcW w:w="85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211</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11816</w:t>
            </w:r>
          </w:p>
        </w:tc>
      </w:tr>
      <w:tr>
        <w:tblPrEx>
          <w:tblCellMar>
            <w:top w:w="0" w:type="dxa"/>
            <w:left w:w="108" w:type="dxa"/>
            <w:bottom w:w="0" w:type="dxa"/>
            <w:right w:w="108" w:type="dxa"/>
          </w:tblCellMar>
        </w:tblPrEx>
        <w:trPr>
          <w:trHeight w:val="975" w:hRule="atLeast"/>
        </w:trPr>
        <w:tc>
          <w:tcPr>
            <w:tcW w:w="9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92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92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9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9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4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2023.9月24日-2023.9月30日</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06:00-22:00</w:t>
            </w:r>
          </w:p>
        </w:tc>
        <w:tc>
          <w:tcPr>
            <w:tcW w:w="85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29</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3248</w:t>
            </w:r>
          </w:p>
        </w:tc>
      </w:tr>
      <w:tr>
        <w:tblPrEx>
          <w:tblCellMar>
            <w:top w:w="0" w:type="dxa"/>
            <w:left w:w="108" w:type="dxa"/>
            <w:bottom w:w="0" w:type="dxa"/>
            <w:right w:w="108" w:type="dxa"/>
          </w:tblCellMar>
        </w:tblPrEx>
        <w:trPr>
          <w:trHeight w:val="975" w:hRule="atLeast"/>
        </w:trPr>
        <w:tc>
          <w:tcPr>
            <w:tcW w:w="9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92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92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9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9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4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2023.9月24日-2023.10月1日</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22:00-06:00</w:t>
            </w:r>
          </w:p>
        </w:tc>
        <w:tc>
          <w:tcPr>
            <w:tcW w:w="85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64</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3584</w:t>
            </w:r>
          </w:p>
        </w:tc>
      </w:tr>
      <w:tr>
        <w:tblPrEx>
          <w:tblCellMar>
            <w:top w:w="0" w:type="dxa"/>
            <w:left w:w="108" w:type="dxa"/>
            <w:bottom w:w="0" w:type="dxa"/>
            <w:right w:w="108" w:type="dxa"/>
          </w:tblCellMar>
        </w:tblPrEx>
        <w:trPr>
          <w:trHeight w:val="975" w:hRule="atLeast"/>
        </w:trPr>
        <w:tc>
          <w:tcPr>
            <w:tcW w:w="9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92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921" w:type="dxa"/>
            <w:vMerge w:val="restart"/>
            <w:tcBorders>
              <w:top w:val="nil"/>
              <w:left w:val="single" w:color="000000" w:sz="8" w:space="0"/>
              <w:bottom w:val="nil"/>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休赛期</w:t>
            </w:r>
          </w:p>
        </w:tc>
        <w:tc>
          <w:tcPr>
            <w:tcW w:w="9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9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4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2023.10月1日-2023.10月2日</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06:00-14:00</w:t>
            </w:r>
          </w:p>
        </w:tc>
        <w:tc>
          <w:tcPr>
            <w:tcW w:w="85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160</w:t>
            </w:r>
          </w:p>
        </w:tc>
      </w:tr>
      <w:tr>
        <w:tblPrEx>
          <w:tblCellMar>
            <w:top w:w="0" w:type="dxa"/>
            <w:left w:w="108" w:type="dxa"/>
            <w:bottom w:w="0" w:type="dxa"/>
            <w:right w:w="108" w:type="dxa"/>
          </w:tblCellMar>
        </w:tblPrEx>
        <w:trPr>
          <w:trHeight w:val="975" w:hRule="atLeast"/>
        </w:trPr>
        <w:tc>
          <w:tcPr>
            <w:tcW w:w="9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92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921" w:type="dxa"/>
            <w:vMerge w:val="continue"/>
            <w:tcBorders>
              <w:top w:val="nil"/>
              <w:left w:val="single" w:color="000000" w:sz="8" w:space="0"/>
              <w:bottom w:val="nil"/>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9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9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4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2023.10月1日-2023.10月2日</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14:00-22:00</w:t>
            </w:r>
          </w:p>
        </w:tc>
        <w:tc>
          <w:tcPr>
            <w:tcW w:w="85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160</w:t>
            </w:r>
          </w:p>
        </w:tc>
      </w:tr>
      <w:tr>
        <w:tblPrEx>
          <w:tblCellMar>
            <w:top w:w="0" w:type="dxa"/>
            <w:left w:w="108" w:type="dxa"/>
            <w:bottom w:w="0" w:type="dxa"/>
            <w:right w:w="108" w:type="dxa"/>
          </w:tblCellMar>
        </w:tblPrEx>
        <w:trPr>
          <w:trHeight w:val="975" w:hRule="atLeast"/>
        </w:trPr>
        <w:tc>
          <w:tcPr>
            <w:tcW w:w="9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92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92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软式网球赛</w:t>
            </w:r>
          </w:p>
        </w:tc>
        <w:tc>
          <w:tcPr>
            <w:tcW w:w="9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9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4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2023.10月3日-2023.10月7日</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06:00-14:00</w:t>
            </w:r>
          </w:p>
        </w:tc>
        <w:tc>
          <w:tcPr>
            <w:tcW w:w="85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211</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8440</w:t>
            </w:r>
          </w:p>
        </w:tc>
      </w:tr>
      <w:tr>
        <w:tblPrEx>
          <w:tblCellMar>
            <w:top w:w="0" w:type="dxa"/>
            <w:left w:w="108" w:type="dxa"/>
            <w:bottom w:w="0" w:type="dxa"/>
            <w:right w:w="108" w:type="dxa"/>
          </w:tblCellMar>
        </w:tblPrEx>
        <w:trPr>
          <w:trHeight w:val="975" w:hRule="atLeast"/>
        </w:trPr>
        <w:tc>
          <w:tcPr>
            <w:tcW w:w="9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92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92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9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9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4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2023.10月3日-2023.10月7日</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14:00-22:00</w:t>
            </w:r>
          </w:p>
        </w:tc>
        <w:tc>
          <w:tcPr>
            <w:tcW w:w="85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211</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8440</w:t>
            </w:r>
          </w:p>
        </w:tc>
      </w:tr>
      <w:tr>
        <w:tblPrEx>
          <w:tblCellMar>
            <w:top w:w="0" w:type="dxa"/>
            <w:left w:w="108" w:type="dxa"/>
            <w:bottom w:w="0" w:type="dxa"/>
            <w:right w:w="108" w:type="dxa"/>
          </w:tblCellMar>
        </w:tblPrEx>
        <w:trPr>
          <w:trHeight w:val="975" w:hRule="atLeast"/>
        </w:trPr>
        <w:tc>
          <w:tcPr>
            <w:tcW w:w="9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92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92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9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9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4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2023.10月3日-2023.10月7日</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06:00-22:00</w:t>
            </w:r>
          </w:p>
        </w:tc>
        <w:tc>
          <w:tcPr>
            <w:tcW w:w="85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29</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2320</w:t>
            </w:r>
          </w:p>
        </w:tc>
      </w:tr>
      <w:tr>
        <w:tblPrEx>
          <w:tblCellMar>
            <w:top w:w="0" w:type="dxa"/>
            <w:left w:w="108" w:type="dxa"/>
            <w:bottom w:w="0" w:type="dxa"/>
            <w:right w:w="108" w:type="dxa"/>
          </w:tblCellMar>
        </w:tblPrEx>
        <w:trPr>
          <w:trHeight w:val="975" w:hRule="atLeast"/>
        </w:trPr>
        <w:tc>
          <w:tcPr>
            <w:tcW w:w="9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92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92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9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9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4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2023.10月3日-2023.10月8日</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22:00-06:00</w:t>
            </w:r>
          </w:p>
        </w:tc>
        <w:tc>
          <w:tcPr>
            <w:tcW w:w="85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64</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2560</w:t>
            </w:r>
          </w:p>
        </w:tc>
      </w:tr>
      <w:tr>
        <w:tblPrEx>
          <w:tblCellMar>
            <w:top w:w="0" w:type="dxa"/>
            <w:left w:w="108" w:type="dxa"/>
            <w:bottom w:w="0" w:type="dxa"/>
            <w:right w:w="108" w:type="dxa"/>
          </w:tblCellMar>
        </w:tblPrEx>
        <w:trPr>
          <w:trHeight w:val="975" w:hRule="atLeast"/>
        </w:trPr>
        <w:tc>
          <w:tcPr>
            <w:tcW w:w="92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1842"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转换期</w:t>
            </w:r>
          </w:p>
        </w:tc>
        <w:tc>
          <w:tcPr>
            <w:tcW w:w="9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9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4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2023.10月8日-2023.10月22日</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06:00-14:00</w:t>
            </w:r>
          </w:p>
        </w:tc>
        <w:tc>
          <w:tcPr>
            <w:tcW w:w="85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1200</w:t>
            </w:r>
          </w:p>
        </w:tc>
      </w:tr>
      <w:tr>
        <w:tblPrEx>
          <w:tblCellMar>
            <w:top w:w="0" w:type="dxa"/>
            <w:left w:w="108" w:type="dxa"/>
            <w:bottom w:w="0" w:type="dxa"/>
            <w:right w:w="108" w:type="dxa"/>
          </w:tblCellMar>
        </w:tblPrEx>
        <w:trPr>
          <w:trHeight w:val="975" w:hRule="atLeast"/>
        </w:trPr>
        <w:tc>
          <w:tcPr>
            <w:tcW w:w="9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842"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9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9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4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2023.10月8日-2023.10月22日</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14:00-22:00</w:t>
            </w:r>
          </w:p>
        </w:tc>
        <w:tc>
          <w:tcPr>
            <w:tcW w:w="85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1200</w:t>
            </w:r>
          </w:p>
        </w:tc>
      </w:tr>
      <w:tr>
        <w:tblPrEx>
          <w:tblCellMar>
            <w:top w:w="0" w:type="dxa"/>
            <w:left w:w="108" w:type="dxa"/>
            <w:bottom w:w="0" w:type="dxa"/>
            <w:right w:w="108" w:type="dxa"/>
          </w:tblCellMar>
        </w:tblPrEx>
        <w:trPr>
          <w:trHeight w:val="975" w:hRule="atLeast"/>
        </w:trPr>
        <w:tc>
          <w:tcPr>
            <w:tcW w:w="92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w:t>
            </w:r>
          </w:p>
        </w:tc>
        <w:tc>
          <w:tcPr>
            <w:tcW w:w="1842"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亚残会</w:t>
            </w:r>
          </w:p>
        </w:tc>
        <w:tc>
          <w:tcPr>
            <w:tcW w:w="9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9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4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2023.10月23日-2023.10月28日</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06:00-14:00</w:t>
            </w:r>
          </w:p>
        </w:tc>
        <w:tc>
          <w:tcPr>
            <w:tcW w:w="85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211</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10128</w:t>
            </w:r>
          </w:p>
        </w:tc>
      </w:tr>
      <w:tr>
        <w:tblPrEx>
          <w:tblCellMar>
            <w:top w:w="0" w:type="dxa"/>
            <w:left w:w="108" w:type="dxa"/>
            <w:bottom w:w="0" w:type="dxa"/>
            <w:right w:w="108" w:type="dxa"/>
          </w:tblCellMar>
        </w:tblPrEx>
        <w:trPr>
          <w:trHeight w:val="975" w:hRule="atLeast"/>
        </w:trPr>
        <w:tc>
          <w:tcPr>
            <w:tcW w:w="9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842"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9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9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4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2023.10月23日-2023.10月28日</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14:00-22:00</w:t>
            </w:r>
          </w:p>
        </w:tc>
        <w:tc>
          <w:tcPr>
            <w:tcW w:w="85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211</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10128</w:t>
            </w:r>
          </w:p>
        </w:tc>
      </w:tr>
      <w:tr>
        <w:tblPrEx>
          <w:tblCellMar>
            <w:top w:w="0" w:type="dxa"/>
            <w:left w:w="108" w:type="dxa"/>
            <w:bottom w:w="0" w:type="dxa"/>
            <w:right w:w="108" w:type="dxa"/>
          </w:tblCellMar>
        </w:tblPrEx>
        <w:trPr>
          <w:trHeight w:val="975" w:hRule="atLeast"/>
        </w:trPr>
        <w:tc>
          <w:tcPr>
            <w:tcW w:w="9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842"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9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9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4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2023.10月23日-2023.10月28日</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06:00-22:00</w:t>
            </w:r>
          </w:p>
        </w:tc>
        <w:tc>
          <w:tcPr>
            <w:tcW w:w="85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29</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2784</w:t>
            </w:r>
          </w:p>
        </w:tc>
      </w:tr>
      <w:tr>
        <w:tblPrEx>
          <w:tblCellMar>
            <w:top w:w="0" w:type="dxa"/>
            <w:left w:w="108" w:type="dxa"/>
            <w:bottom w:w="0" w:type="dxa"/>
            <w:right w:w="108" w:type="dxa"/>
          </w:tblCellMar>
        </w:tblPrEx>
        <w:trPr>
          <w:trHeight w:val="975" w:hRule="atLeast"/>
        </w:trPr>
        <w:tc>
          <w:tcPr>
            <w:tcW w:w="9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842"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9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9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4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2023.10月23日-2023.10月29日</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22:00-06:00</w:t>
            </w:r>
          </w:p>
        </w:tc>
        <w:tc>
          <w:tcPr>
            <w:tcW w:w="85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64</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3072</w:t>
            </w:r>
          </w:p>
        </w:tc>
      </w:tr>
      <w:tr>
        <w:tblPrEx>
          <w:tblCellMar>
            <w:top w:w="0" w:type="dxa"/>
            <w:left w:w="108" w:type="dxa"/>
            <w:bottom w:w="0" w:type="dxa"/>
            <w:right w:w="108" w:type="dxa"/>
          </w:tblCellMar>
        </w:tblPrEx>
        <w:trPr>
          <w:trHeight w:val="295" w:hRule="atLeast"/>
        </w:trPr>
        <w:tc>
          <w:tcPr>
            <w:tcW w:w="92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842"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921"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921"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421"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10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857"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总计：</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83296</w:t>
            </w:r>
          </w:p>
        </w:tc>
      </w:tr>
    </w:tbl>
    <w:p>
      <w:pPr>
        <w:pStyle w:val="859"/>
        <w:ind w:firstLine="0" w:firstLineChars="0"/>
        <w:rPr>
          <w:rFonts w:ascii="仿宋" w:hAnsi="仿宋" w:eastAsia="仿宋" w:cs="Times New Roman"/>
          <w:b/>
          <w:color w:val="auto"/>
          <w:kern w:val="0"/>
          <w:highlight w:val="none"/>
        </w:rPr>
      </w:pPr>
    </w:p>
    <w:p>
      <w:pPr>
        <w:pStyle w:val="859"/>
        <w:ind w:firstLine="0" w:firstLineChars="0"/>
        <w:rPr>
          <w:rFonts w:ascii="仿宋" w:hAnsi="仿宋" w:eastAsia="仿宋" w:cs="Times New Roman"/>
          <w:b/>
          <w:color w:val="auto"/>
          <w:kern w:val="0"/>
          <w:sz w:val="18"/>
          <w:szCs w:val="18"/>
          <w:highlight w:val="none"/>
        </w:rPr>
      </w:pPr>
    </w:p>
    <w:p>
      <w:pPr>
        <w:pStyle w:val="859"/>
        <w:ind w:firstLine="482"/>
        <w:rPr>
          <w:rFonts w:ascii="仿宋" w:hAnsi="仿宋" w:eastAsia="仿宋" w:cs="Times New Roman"/>
          <w:b/>
          <w:color w:val="auto"/>
          <w:kern w:val="0"/>
          <w:highlight w:val="none"/>
        </w:rPr>
      </w:pPr>
      <w:r>
        <w:rPr>
          <w:rFonts w:hint="eastAsia" w:ascii="仿宋" w:hAnsi="仿宋" w:eastAsia="仿宋" w:cs="Times New Roman"/>
          <w:b/>
          <w:color w:val="auto"/>
          <w:kern w:val="0"/>
          <w:highlight w:val="none"/>
        </w:rPr>
        <w:t>2、常用设备清单及租赁期： 9月10日至10月28日，共计49天</w:t>
      </w:r>
    </w:p>
    <w:p>
      <w:pPr>
        <w:pStyle w:val="859"/>
        <w:ind w:firstLine="181" w:firstLineChars="100"/>
        <w:rPr>
          <w:rFonts w:ascii="仿宋" w:hAnsi="仿宋" w:eastAsia="仿宋" w:cs="Times New Roman"/>
          <w:b/>
          <w:color w:val="auto"/>
          <w:kern w:val="0"/>
          <w:sz w:val="18"/>
          <w:szCs w:val="18"/>
          <w:highlight w:val="none"/>
        </w:rPr>
      </w:pPr>
    </w:p>
    <w:tbl>
      <w:tblPr>
        <w:tblStyle w:val="62"/>
        <w:tblW w:w="9157" w:type="dxa"/>
        <w:tblInd w:w="98" w:type="dxa"/>
        <w:tblLayout w:type="fixed"/>
        <w:tblCellMar>
          <w:top w:w="0" w:type="dxa"/>
          <w:left w:w="108" w:type="dxa"/>
          <w:bottom w:w="0" w:type="dxa"/>
          <w:right w:w="108" w:type="dxa"/>
        </w:tblCellMar>
      </w:tblPr>
      <w:tblGrid>
        <w:gridCol w:w="1295"/>
        <w:gridCol w:w="1124"/>
        <w:gridCol w:w="641"/>
        <w:gridCol w:w="801"/>
        <w:gridCol w:w="5296"/>
      </w:tblGrid>
      <w:tr>
        <w:tblPrEx>
          <w:tblCellMar>
            <w:top w:w="0" w:type="dxa"/>
            <w:left w:w="108" w:type="dxa"/>
            <w:bottom w:w="0" w:type="dxa"/>
            <w:right w:w="108" w:type="dxa"/>
          </w:tblCellMar>
        </w:tblPrEx>
        <w:trPr>
          <w:trHeight w:val="1031" w:hRule="atLeast"/>
        </w:trPr>
        <w:tc>
          <w:tcPr>
            <w:tcW w:w="12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序号</w:t>
            </w:r>
          </w:p>
        </w:tc>
        <w:tc>
          <w:tcPr>
            <w:tcW w:w="112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设备名称</w:t>
            </w:r>
          </w:p>
        </w:tc>
        <w:tc>
          <w:tcPr>
            <w:tcW w:w="641"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单位</w:t>
            </w:r>
          </w:p>
        </w:tc>
        <w:tc>
          <w:tcPr>
            <w:tcW w:w="801"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数量</w:t>
            </w:r>
          </w:p>
        </w:tc>
        <w:tc>
          <w:tcPr>
            <w:tcW w:w="529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技术参数</w:t>
            </w:r>
          </w:p>
        </w:tc>
      </w:tr>
      <w:tr>
        <w:tblPrEx>
          <w:tblCellMar>
            <w:top w:w="0" w:type="dxa"/>
            <w:left w:w="108" w:type="dxa"/>
            <w:bottom w:w="0" w:type="dxa"/>
            <w:right w:w="108" w:type="dxa"/>
          </w:tblCellMar>
        </w:tblPrEx>
        <w:trPr>
          <w:trHeight w:val="764" w:hRule="atLeast"/>
        </w:trPr>
        <w:tc>
          <w:tcPr>
            <w:tcW w:w="129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112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移动护栏（内部）</w:t>
            </w:r>
          </w:p>
        </w:tc>
        <w:tc>
          <w:tcPr>
            <w:tcW w:w="64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米</w:t>
            </w:r>
          </w:p>
        </w:tc>
        <w:tc>
          <w:tcPr>
            <w:tcW w:w="80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100</w:t>
            </w:r>
          </w:p>
        </w:tc>
        <w:tc>
          <w:tcPr>
            <w:tcW w:w="5296"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硬隔离材料须为低碳钢管或铁质,根据用途隔离设施底部配备滑轮或与地面固定。</w:t>
            </w:r>
          </w:p>
        </w:tc>
      </w:tr>
      <w:tr>
        <w:tblPrEx>
          <w:tblCellMar>
            <w:top w:w="0" w:type="dxa"/>
            <w:left w:w="108" w:type="dxa"/>
            <w:bottom w:w="0" w:type="dxa"/>
            <w:right w:w="108" w:type="dxa"/>
          </w:tblCellMar>
        </w:tblPrEx>
        <w:trPr>
          <w:trHeight w:val="848" w:hRule="atLeast"/>
        </w:trPr>
        <w:tc>
          <w:tcPr>
            <w:tcW w:w="129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112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执法记录仪</w:t>
            </w:r>
          </w:p>
        </w:tc>
        <w:tc>
          <w:tcPr>
            <w:tcW w:w="64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个</w:t>
            </w:r>
          </w:p>
        </w:tc>
        <w:tc>
          <w:tcPr>
            <w:tcW w:w="80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t>
            </w:r>
          </w:p>
        </w:tc>
        <w:tc>
          <w:tcPr>
            <w:tcW w:w="5296"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像素≥3200 万； 红外夜视距离≥10m； 存储≥64G； 连续工作≥10h</w:t>
            </w:r>
          </w:p>
        </w:tc>
      </w:tr>
      <w:tr>
        <w:tblPrEx>
          <w:tblCellMar>
            <w:top w:w="0" w:type="dxa"/>
            <w:left w:w="108" w:type="dxa"/>
            <w:bottom w:w="0" w:type="dxa"/>
            <w:right w:w="108" w:type="dxa"/>
          </w:tblCellMar>
        </w:tblPrEx>
        <w:trPr>
          <w:trHeight w:val="700" w:hRule="atLeast"/>
        </w:trPr>
        <w:tc>
          <w:tcPr>
            <w:tcW w:w="129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112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拒马</w:t>
            </w:r>
          </w:p>
        </w:tc>
        <w:tc>
          <w:tcPr>
            <w:tcW w:w="64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个</w:t>
            </w:r>
          </w:p>
        </w:tc>
        <w:tc>
          <w:tcPr>
            <w:tcW w:w="80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w:t>
            </w:r>
          </w:p>
        </w:tc>
        <w:tc>
          <w:tcPr>
            <w:tcW w:w="5296" w:type="dxa"/>
            <w:tcBorders>
              <w:top w:val="nil"/>
              <w:left w:val="nil"/>
              <w:bottom w:val="single" w:color="000000" w:sz="8" w:space="0"/>
              <w:right w:val="single" w:color="000000" w:sz="8" w:space="0"/>
            </w:tcBorders>
            <w:shd w:val="clear" w:color="auto" w:fill="auto"/>
            <w:vAlign w:val="center"/>
          </w:tcPr>
          <w:p>
            <w:pPr>
              <w:widowControl/>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材质：热镀锌、不锈钢、铝合金等。</w:t>
            </w:r>
          </w:p>
        </w:tc>
      </w:tr>
    </w:tbl>
    <w:p>
      <w:pPr>
        <w:pStyle w:val="859"/>
        <w:ind w:firstLine="361"/>
        <w:rPr>
          <w:rFonts w:ascii="仿宋" w:hAnsi="仿宋" w:eastAsia="仿宋" w:cs="Times New Roman"/>
          <w:b/>
          <w:color w:val="auto"/>
          <w:kern w:val="0"/>
          <w:sz w:val="18"/>
          <w:szCs w:val="18"/>
          <w:highlight w:val="none"/>
        </w:rPr>
      </w:pPr>
    </w:p>
    <w:p>
      <w:pPr>
        <w:pStyle w:val="859"/>
        <w:ind w:firstLine="361"/>
        <w:rPr>
          <w:rFonts w:ascii="仿宋" w:hAnsi="仿宋" w:eastAsia="仿宋" w:cs="Times New Roman"/>
          <w:b/>
          <w:color w:val="auto"/>
          <w:kern w:val="0"/>
          <w:highlight w:val="none"/>
        </w:rPr>
      </w:pPr>
      <w:r>
        <w:rPr>
          <w:rFonts w:hint="eastAsia" w:ascii="仿宋" w:hAnsi="仿宋" w:eastAsia="仿宋" w:cs="Times New Roman"/>
          <w:b/>
          <w:color w:val="auto"/>
          <w:kern w:val="0"/>
          <w:sz w:val="18"/>
          <w:szCs w:val="18"/>
          <w:highlight w:val="none"/>
        </w:rPr>
        <w:t xml:space="preserve"> </w:t>
      </w:r>
      <w:r>
        <w:rPr>
          <w:rFonts w:hint="eastAsia" w:ascii="仿宋" w:hAnsi="仿宋" w:eastAsia="仿宋" w:cs="Times New Roman"/>
          <w:b/>
          <w:color w:val="auto"/>
          <w:kern w:val="0"/>
          <w:highlight w:val="none"/>
        </w:rPr>
        <w:t>3、一号门安检设备清单及租赁期： 9月24日至10月28日，共计35天</w:t>
      </w:r>
    </w:p>
    <w:p>
      <w:pPr>
        <w:pStyle w:val="859"/>
        <w:ind w:firstLine="482"/>
        <w:rPr>
          <w:rFonts w:ascii="仿宋" w:hAnsi="仿宋" w:eastAsia="仿宋" w:cs="Times New Roman"/>
          <w:b/>
          <w:color w:val="auto"/>
          <w:kern w:val="0"/>
          <w:highlight w:val="none"/>
        </w:rPr>
      </w:pPr>
    </w:p>
    <w:tbl>
      <w:tblPr>
        <w:tblStyle w:val="62"/>
        <w:tblW w:w="9137" w:type="dxa"/>
        <w:tblInd w:w="118" w:type="dxa"/>
        <w:tblLayout w:type="fixed"/>
        <w:tblCellMar>
          <w:top w:w="0" w:type="dxa"/>
          <w:left w:w="108" w:type="dxa"/>
          <w:bottom w:w="0" w:type="dxa"/>
          <w:right w:w="108" w:type="dxa"/>
        </w:tblCellMar>
      </w:tblPr>
      <w:tblGrid>
        <w:gridCol w:w="1200"/>
        <w:gridCol w:w="1200"/>
        <w:gridCol w:w="638"/>
        <w:gridCol w:w="801"/>
        <w:gridCol w:w="5298"/>
      </w:tblGrid>
      <w:tr>
        <w:tblPrEx>
          <w:tblCellMar>
            <w:top w:w="0" w:type="dxa"/>
            <w:left w:w="108" w:type="dxa"/>
            <w:bottom w:w="0" w:type="dxa"/>
            <w:right w:w="108" w:type="dxa"/>
          </w:tblCellMar>
        </w:tblPrEx>
        <w:trPr>
          <w:trHeight w:val="573" w:hRule="atLeast"/>
        </w:trPr>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序号</w:t>
            </w:r>
          </w:p>
        </w:tc>
        <w:tc>
          <w:tcPr>
            <w:tcW w:w="1200" w:type="dxa"/>
            <w:tcBorders>
              <w:top w:val="single" w:color="000000" w:sz="8" w:space="0"/>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设备名称</w:t>
            </w:r>
          </w:p>
        </w:tc>
        <w:tc>
          <w:tcPr>
            <w:tcW w:w="638" w:type="dxa"/>
            <w:tcBorders>
              <w:top w:val="single" w:color="000000" w:sz="8" w:space="0"/>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单位</w:t>
            </w:r>
          </w:p>
        </w:tc>
        <w:tc>
          <w:tcPr>
            <w:tcW w:w="801" w:type="dxa"/>
            <w:tcBorders>
              <w:top w:val="single" w:color="000000" w:sz="8" w:space="0"/>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数量</w:t>
            </w:r>
          </w:p>
        </w:tc>
        <w:tc>
          <w:tcPr>
            <w:tcW w:w="5298" w:type="dxa"/>
            <w:tcBorders>
              <w:top w:val="single" w:color="000000" w:sz="8" w:space="0"/>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技术参数</w:t>
            </w:r>
          </w:p>
        </w:tc>
      </w:tr>
      <w:tr>
        <w:tblPrEx>
          <w:tblCellMar>
            <w:top w:w="0" w:type="dxa"/>
            <w:left w:w="108" w:type="dxa"/>
            <w:bottom w:w="0" w:type="dxa"/>
            <w:right w:w="108" w:type="dxa"/>
          </w:tblCellMar>
        </w:tblPrEx>
        <w:trPr>
          <w:trHeight w:val="1006" w:hRule="atLeast"/>
        </w:trPr>
        <w:tc>
          <w:tcPr>
            <w:tcW w:w="120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w:t>
            </w:r>
          </w:p>
        </w:tc>
        <w:tc>
          <w:tcPr>
            <w:tcW w:w="1200"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防爆罐</w:t>
            </w:r>
          </w:p>
        </w:tc>
        <w:tc>
          <w:tcPr>
            <w:tcW w:w="638"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个</w:t>
            </w:r>
          </w:p>
        </w:tc>
        <w:tc>
          <w:tcPr>
            <w:tcW w:w="801"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8</w:t>
            </w:r>
          </w:p>
        </w:tc>
        <w:tc>
          <w:tcPr>
            <w:tcW w:w="5298"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1.产品应符合防爆罐GA 871标准要求。2.防爆能力应≥2.0kgTNT。3.罐体应采用不小于1.0mm厚的不锈钢板+16mm厚的碳素钢制成。</w:t>
            </w:r>
          </w:p>
        </w:tc>
      </w:tr>
      <w:tr>
        <w:tblPrEx>
          <w:tblCellMar>
            <w:top w:w="0" w:type="dxa"/>
            <w:left w:w="108" w:type="dxa"/>
            <w:bottom w:w="0" w:type="dxa"/>
            <w:right w:w="108" w:type="dxa"/>
          </w:tblCellMar>
        </w:tblPrEx>
        <w:trPr>
          <w:trHeight w:val="573" w:hRule="atLeast"/>
        </w:trPr>
        <w:tc>
          <w:tcPr>
            <w:tcW w:w="120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w:t>
            </w:r>
          </w:p>
        </w:tc>
        <w:tc>
          <w:tcPr>
            <w:tcW w:w="1200"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暂扣桶</w:t>
            </w:r>
          </w:p>
        </w:tc>
        <w:tc>
          <w:tcPr>
            <w:tcW w:w="638"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个</w:t>
            </w:r>
          </w:p>
        </w:tc>
        <w:tc>
          <w:tcPr>
            <w:tcW w:w="801"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8</w:t>
            </w:r>
          </w:p>
        </w:tc>
        <w:tc>
          <w:tcPr>
            <w:tcW w:w="5298"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外壳材质:塑料</w:t>
            </w:r>
          </w:p>
        </w:tc>
      </w:tr>
      <w:tr>
        <w:tblPrEx>
          <w:tblCellMar>
            <w:top w:w="0" w:type="dxa"/>
            <w:left w:w="108" w:type="dxa"/>
            <w:bottom w:w="0" w:type="dxa"/>
            <w:right w:w="108" w:type="dxa"/>
          </w:tblCellMar>
        </w:tblPrEx>
        <w:trPr>
          <w:trHeight w:val="2343" w:hRule="atLeast"/>
        </w:trPr>
        <w:tc>
          <w:tcPr>
            <w:tcW w:w="120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w:t>
            </w:r>
          </w:p>
        </w:tc>
        <w:tc>
          <w:tcPr>
            <w:tcW w:w="1200"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防爆毯</w:t>
            </w:r>
          </w:p>
        </w:tc>
        <w:tc>
          <w:tcPr>
            <w:tcW w:w="638"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个</w:t>
            </w:r>
          </w:p>
        </w:tc>
        <w:tc>
          <w:tcPr>
            <w:tcW w:w="801"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8</w:t>
            </w:r>
          </w:p>
        </w:tc>
        <w:tc>
          <w:tcPr>
            <w:tcW w:w="5298"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w:t>
            </w:r>
            <w:r>
              <w:rPr>
                <w:rFonts w:hint="eastAsia" w:ascii="仿宋" w:hAnsi="仿宋" w:eastAsia="仿宋" w:cs="宋体"/>
                <w:color w:val="auto"/>
                <w:kern w:val="0"/>
                <w:sz w:val="18"/>
                <w:szCs w:val="18"/>
                <w:highlight w:val="none"/>
              </w:rPr>
              <w:t>※产品应符合《GA69-2007》标准中的所有要求（提供公安部有效检测报告扫描件）</w:t>
            </w:r>
            <w:r>
              <w:rPr>
                <w:rFonts w:hint="eastAsia" w:ascii="仿宋" w:hAnsi="仿宋" w:eastAsia="仿宋" w:cs="宋体"/>
                <w:color w:val="auto"/>
                <w:kern w:val="0"/>
                <w:sz w:val="18"/>
                <w:szCs w:val="18"/>
                <w:highlight w:val="none"/>
              </w:rPr>
              <w:t>。2.盖毯的外形尺寸应大于等于1200mmx 1200mm; 围栏内径尺寸应大于等于400mm。3.盖毯和围栏外套材料抗渗水性能：耐静水压力应大于等于12kPa。4.以爆炸源为中心，围成半径3000mm、高度1700mm的模拟靶标。当爆炸源(82-2制式手榴弹）引爆时，在模拟靶标上不应有穿透孔。</w:t>
            </w:r>
          </w:p>
        </w:tc>
      </w:tr>
      <w:tr>
        <w:tblPrEx>
          <w:tblCellMar>
            <w:top w:w="0" w:type="dxa"/>
            <w:left w:w="108" w:type="dxa"/>
            <w:bottom w:w="0" w:type="dxa"/>
            <w:right w:w="108" w:type="dxa"/>
          </w:tblCellMar>
        </w:tblPrEx>
        <w:trPr>
          <w:trHeight w:val="1215" w:hRule="atLeast"/>
        </w:trPr>
        <w:tc>
          <w:tcPr>
            <w:tcW w:w="1200" w:type="dxa"/>
            <w:tcBorders>
              <w:top w:val="nil"/>
              <w:left w:val="single" w:color="000000" w:sz="8" w:space="0"/>
              <w:bottom w:val="nil"/>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4</w:t>
            </w:r>
          </w:p>
        </w:tc>
        <w:tc>
          <w:tcPr>
            <w:tcW w:w="1200" w:type="dxa"/>
            <w:tcBorders>
              <w:top w:val="nil"/>
              <w:left w:val="nil"/>
              <w:bottom w:val="nil"/>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人证比对终端（含立柱）</w:t>
            </w:r>
          </w:p>
        </w:tc>
        <w:tc>
          <w:tcPr>
            <w:tcW w:w="638" w:type="dxa"/>
            <w:tcBorders>
              <w:top w:val="nil"/>
              <w:left w:val="nil"/>
              <w:bottom w:val="nil"/>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套</w:t>
            </w:r>
          </w:p>
        </w:tc>
        <w:tc>
          <w:tcPr>
            <w:tcW w:w="801" w:type="dxa"/>
            <w:tcBorders>
              <w:top w:val="nil"/>
              <w:left w:val="nil"/>
              <w:bottom w:val="nil"/>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8</w:t>
            </w:r>
          </w:p>
        </w:tc>
        <w:tc>
          <w:tcPr>
            <w:tcW w:w="5298" w:type="dxa"/>
            <w:tcBorders>
              <w:top w:val="nil"/>
              <w:left w:val="nil"/>
              <w:bottom w:val="nil"/>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解决违禁品识别、人脸识别信息，物品识别信息，以及X光图像违禁品信息等数据的关联，消除信息孤岛，提前预警，提前布防，以及阻止违禁品进入会场区域，并防止错拿、漏拿等行为。</w:t>
            </w:r>
          </w:p>
        </w:tc>
      </w:tr>
      <w:tr>
        <w:tblPrEx>
          <w:tblCellMar>
            <w:top w:w="0" w:type="dxa"/>
            <w:left w:w="108" w:type="dxa"/>
            <w:bottom w:w="0" w:type="dxa"/>
            <w:right w:w="108" w:type="dxa"/>
          </w:tblCellMar>
        </w:tblPrEx>
        <w:trPr>
          <w:trHeight w:val="90" w:hRule="atLeast"/>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X光机</w:t>
            </w:r>
          </w:p>
        </w:tc>
        <w:tc>
          <w:tcPr>
            <w:tcW w:w="638"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台</w:t>
            </w:r>
          </w:p>
        </w:tc>
        <w:tc>
          <w:tcPr>
            <w:tcW w:w="801"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8</w:t>
            </w:r>
          </w:p>
        </w:tc>
        <w:tc>
          <w:tcPr>
            <w:tcW w:w="5298"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1.X射线源数量：2；通道尺寸≥650（宽）mm×500（高）mm；</w:t>
            </w:r>
          </w:p>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2.设备外观尺寸：2319mm × 1414mm × 1435mm（长、宽、高）</w:t>
            </w:r>
          </w:p>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※3.设备应支持图像放大功能，放大显示所选中区域的物体图像，任意区域放大应不小于256倍；（提供公安部有效检测报告扫描件）</w:t>
            </w:r>
          </w:p>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4.智能分析:支持至少 12 大类物品智能识别，包括但不限于刀具、枪支、喷灌、液体、打火机、烟花爆竹、指虎、警棍、手铐、电子产品、雨伞、钝器等违禁物品。</w:t>
            </w:r>
          </w:p>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※5.设备输送装置的最大负载能力应大于等于300kg；（提供公安部有效检测报告扫描件）</w:t>
            </w:r>
          </w:p>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6.设备正常工作时在距设备外表面1m的任意处，设备噪声应小于等于55dB(A)。</w:t>
            </w:r>
          </w:p>
        </w:tc>
      </w:tr>
      <w:tr>
        <w:tblPrEx>
          <w:tblCellMar>
            <w:top w:w="0" w:type="dxa"/>
            <w:left w:w="108" w:type="dxa"/>
            <w:bottom w:w="0" w:type="dxa"/>
            <w:right w:w="108" w:type="dxa"/>
          </w:tblCellMar>
        </w:tblPrEx>
        <w:trPr>
          <w:trHeight w:val="1869"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6</w:t>
            </w:r>
          </w:p>
        </w:tc>
        <w:tc>
          <w:tcPr>
            <w:tcW w:w="120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安检门</w:t>
            </w:r>
          </w:p>
        </w:tc>
        <w:tc>
          <w:tcPr>
            <w:tcW w:w="638"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门</w:t>
            </w:r>
          </w:p>
        </w:tc>
        <w:tc>
          <w:tcPr>
            <w:tcW w:w="80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18</w:t>
            </w:r>
          </w:p>
        </w:tc>
        <w:tc>
          <w:tcPr>
            <w:tcW w:w="5298"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通道尺寸：≥1985mm（高度）*750mm（宽度）*495mm（深度）。2.</w:t>
            </w:r>
            <w:r>
              <w:rPr>
                <w:rFonts w:hint="eastAsia" w:ascii="仿宋" w:hAnsi="仿宋" w:eastAsia="仿宋" w:cs="宋体"/>
                <w:color w:val="auto"/>
                <w:kern w:val="0"/>
                <w:sz w:val="18"/>
                <w:szCs w:val="18"/>
                <w:highlight w:val="none"/>
              </w:rPr>
              <w:t>※产品需符合《通过式金属探测门通用技术规范》（GB15210-2018），需提供由公安部安全与警用电子产品质量检测中心出具的检测报告。</w:t>
            </w:r>
            <w:r>
              <w:rPr>
                <w:rFonts w:hint="eastAsia" w:ascii="仿宋" w:hAnsi="仿宋" w:eastAsia="仿宋" w:cs="宋体"/>
                <w:color w:val="auto"/>
                <w:kern w:val="0"/>
                <w:sz w:val="18"/>
                <w:szCs w:val="18"/>
                <w:highlight w:val="none"/>
              </w:rPr>
              <w:t>3.安检门主机内应支持人脸库功能，支持不小于10个人脸库；人脸库应支持不小于30万条人脸特征；支持人脸图片自动建模，建模速度不少于25张/秒。4.安检门外观尺寸：安检门：2261mm×840mm×580mm（高×宽×深）。</w:t>
            </w:r>
          </w:p>
        </w:tc>
      </w:tr>
      <w:tr>
        <w:tblPrEx>
          <w:tblCellMar>
            <w:top w:w="0" w:type="dxa"/>
            <w:left w:w="108" w:type="dxa"/>
            <w:bottom w:w="0" w:type="dxa"/>
            <w:right w:w="108" w:type="dxa"/>
          </w:tblCellMar>
        </w:tblPrEx>
        <w:trPr>
          <w:trHeight w:val="1414" w:hRule="atLeast"/>
        </w:trPr>
        <w:tc>
          <w:tcPr>
            <w:tcW w:w="120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7</w:t>
            </w:r>
          </w:p>
        </w:tc>
        <w:tc>
          <w:tcPr>
            <w:tcW w:w="1200"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安检辅助设备( 开包检查桌、安检托盘、脚踏)</w:t>
            </w:r>
          </w:p>
        </w:tc>
        <w:tc>
          <w:tcPr>
            <w:tcW w:w="638"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套</w:t>
            </w:r>
          </w:p>
        </w:tc>
        <w:tc>
          <w:tcPr>
            <w:tcW w:w="801"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9</w:t>
            </w:r>
          </w:p>
        </w:tc>
        <w:tc>
          <w:tcPr>
            <w:tcW w:w="5298" w:type="dxa"/>
            <w:tcBorders>
              <w:top w:val="nil"/>
              <w:left w:val="nil"/>
              <w:bottom w:val="single" w:color="000000" w:sz="8" w:space="0"/>
              <w:right w:val="single" w:color="000000" w:sz="8" w:space="0"/>
            </w:tcBorders>
            <w:shd w:val="clear" w:color="auto" w:fill="auto"/>
            <w:vAlign w:val="center"/>
          </w:tcPr>
          <w:p>
            <w:pPr>
              <w:widowControl/>
              <w:adjustRightInd/>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安检托盘:尺寸≥50cm×30cm×10cm安检脚踏:高度 15- 20cm;方形脚踏边长 40- 50cm; 圆形脚踏直径 40 - 50cm; 非金属材质。开包检查桌: 简易长条桌; 长度≥1. 5m; 宽度、高度与 X 射线探测器传送带保持一致。</w:t>
            </w:r>
          </w:p>
        </w:tc>
      </w:tr>
      <w:tr>
        <w:tblPrEx>
          <w:tblCellMar>
            <w:top w:w="0" w:type="dxa"/>
            <w:left w:w="108" w:type="dxa"/>
            <w:bottom w:w="0" w:type="dxa"/>
            <w:right w:w="108" w:type="dxa"/>
          </w:tblCellMar>
        </w:tblPrEx>
        <w:trPr>
          <w:trHeight w:val="1842" w:hRule="atLeast"/>
        </w:trPr>
        <w:tc>
          <w:tcPr>
            <w:tcW w:w="120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8</w:t>
            </w:r>
          </w:p>
        </w:tc>
        <w:tc>
          <w:tcPr>
            <w:tcW w:w="1200"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炸药探测器</w:t>
            </w:r>
          </w:p>
        </w:tc>
        <w:tc>
          <w:tcPr>
            <w:tcW w:w="638"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套</w:t>
            </w:r>
          </w:p>
        </w:tc>
        <w:tc>
          <w:tcPr>
            <w:tcW w:w="801"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8</w:t>
            </w:r>
          </w:p>
        </w:tc>
        <w:tc>
          <w:tcPr>
            <w:tcW w:w="5298" w:type="dxa"/>
            <w:tcBorders>
              <w:top w:val="nil"/>
              <w:left w:val="nil"/>
              <w:bottom w:val="single" w:color="000000" w:sz="8" w:space="0"/>
              <w:right w:val="single" w:color="000000" w:sz="8" w:space="0"/>
            </w:tcBorders>
            <w:shd w:val="clear" w:color="auto" w:fill="auto"/>
            <w:vAlign w:val="center"/>
          </w:tcPr>
          <w:p>
            <w:pPr>
              <w:widowControl/>
              <w:adjustRightInd/>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※1.产品应符合基于荧光聚合物传感技术的痕量炸药探测仪通用技术GA/T 1323标准要求（提供公安部有效检测报告扫描件），或应符合基于离子迁移谱技术的痕量毒品/炸药探测仪通用技术GA/T 841标准要求（提供公安部有效检测报告扫描件）</w:t>
            </w:r>
            <w:r>
              <w:rPr>
                <w:rFonts w:hint="eastAsia" w:ascii="仿宋" w:hAnsi="仿宋" w:eastAsia="仿宋" w:cs="宋体"/>
                <w:color w:val="auto"/>
                <w:kern w:val="0"/>
                <w:sz w:val="18"/>
                <w:szCs w:val="18"/>
                <w:highlight w:val="none"/>
              </w:rPr>
              <w:t>。2.设备应具有数据的实时存储、检索、导出功能。3.仪器应能通过USB接口进行软件升级和数据库更新。4.仪器应具有网络接口或USB接口。仪器宜具备无线通信功能。</w:t>
            </w:r>
          </w:p>
        </w:tc>
      </w:tr>
      <w:tr>
        <w:tblPrEx>
          <w:tblCellMar>
            <w:top w:w="0" w:type="dxa"/>
            <w:left w:w="108" w:type="dxa"/>
            <w:bottom w:w="0" w:type="dxa"/>
            <w:right w:w="108" w:type="dxa"/>
          </w:tblCellMar>
        </w:tblPrEx>
        <w:trPr>
          <w:trHeight w:val="2130" w:hRule="atLeast"/>
        </w:trPr>
        <w:tc>
          <w:tcPr>
            <w:tcW w:w="1200"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9</w:t>
            </w:r>
          </w:p>
        </w:tc>
        <w:tc>
          <w:tcPr>
            <w:tcW w:w="1200"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液体检测仪（台式）</w:t>
            </w:r>
          </w:p>
        </w:tc>
        <w:tc>
          <w:tcPr>
            <w:tcW w:w="638"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套</w:t>
            </w:r>
          </w:p>
        </w:tc>
        <w:tc>
          <w:tcPr>
            <w:tcW w:w="801"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8</w:t>
            </w:r>
          </w:p>
        </w:tc>
        <w:tc>
          <w:tcPr>
            <w:tcW w:w="5298" w:type="dxa"/>
            <w:tcBorders>
              <w:top w:val="nil"/>
              <w:left w:val="nil"/>
              <w:bottom w:val="single" w:color="000000" w:sz="8" w:space="0"/>
              <w:right w:val="single" w:color="000000" w:sz="8" w:space="0"/>
            </w:tcBorders>
            <w:shd w:val="clear" w:color="auto" w:fill="auto"/>
            <w:vAlign w:val="center"/>
          </w:tcPr>
          <w:p>
            <w:pPr>
              <w:widowControl/>
              <w:adjustRightInd/>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1.仪器应采用非接触式采样 ，在不打开容器的条件下实现液态物品检查。2.仪器外形尺寸 应小于等于（长） 440mmX (宽） 320mmX (高） 200mm。3.仪器应具有两个功能模块， 一个检测非金属材质容器内液体，另一个检测金属材质容器内液体；每个功能模块都应有一个专用检测台；两个功能模块应能同时工作， 互不影响。4. 设备对塑料、玻璃、陶瓷等非金属容器内的液体检测时间应小于等于1S；对铝罐、铁罐等金属容器内液体的检测时间应小于等于4S</w:t>
            </w:r>
          </w:p>
        </w:tc>
      </w:tr>
    </w:tbl>
    <w:p>
      <w:pPr>
        <w:pStyle w:val="859"/>
        <w:ind w:firstLine="482"/>
        <w:rPr>
          <w:rFonts w:ascii="仿宋" w:hAnsi="仿宋" w:eastAsia="仿宋" w:cs="Times New Roman"/>
          <w:b/>
          <w:color w:val="auto"/>
          <w:kern w:val="0"/>
          <w:highlight w:val="none"/>
        </w:rPr>
      </w:pPr>
    </w:p>
    <w:p>
      <w:pPr>
        <w:pStyle w:val="859"/>
        <w:ind w:firstLine="361"/>
        <w:rPr>
          <w:rFonts w:ascii="仿宋" w:hAnsi="仿宋" w:eastAsia="仿宋" w:cs="Times New Roman"/>
          <w:b/>
          <w:color w:val="auto"/>
          <w:kern w:val="0"/>
          <w:highlight w:val="none"/>
        </w:rPr>
      </w:pPr>
      <w:r>
        <w:rPr>
          <w:rFonts w:hint="eastAsia" w:ascii="仿宋" w:hAnsi="仿宋" w:eastAsia="仿宋" w:cs="Times New Roman"/>
          <w:b/>
          <w:color w:val="auto"/>
          <w:kern w:val="0"/>
          <w:sz w:val="18"/>
          <w:szCs w:val="18"/>
          <w:highlight w:val="none"/>
        </w:rPr>
        <w:t>4、</w:t>
      </w:r>
      <w:r>
        <w:rPr>
          <w:rFonts w:hint="eastAsia" w:ascii="仿宋" w:hAnsi="仿宋" w:eastAsia="仿宋" w:cs="Times New Roman"/>
          <w:b/>
          <w:color w:val="auto"/>
          <w:kern w:val="0"/>
          <w:highlight w:val="none"/>
        </w:rPr>
        <w:t>二号门安检设备清单及租赁期： 9月10日至10月28日，共计49天</w:t>
      </w:r>
    </w:p>
    <w:p>
      <w:pPr>
        <w:pStyle w:val="859"/>
        <w:ind w:firstLine="482"/>
        <w:rPr>
          <w:rFonts w:ascii="仿宋" w:hAnsi="仿宋" w:eastAsia="仿宋" w:cs="Times New Roman"/>
          <w:b/>
          <w:color w:val="auto"/>
          <w:kern w:val="0"/>
          <w:highlight w:val="none"/>
        </w:rPr>
      </w:pPr>
    </w:p>
    <w:tbl>
      <w:tblPr>
        <w:tblStyle w:val="62"/>
        <w:tblW w:w="8757" w:type="dxa"/>
        <w:tblInd w:w="118" w:type="dxa"/>
        <w:tblLayout w:type="fixed"/>
        <w:tblCellMar>
          <w:top w:w="0" w:type="dxa"/>
          <w:left w:w="108" w:type="dxa"/>
          <w:bottom w:w="0" w:type="dxa"/>
          <w:right w:w="108" w:type="dxa"/>
        </w:tblCellMar>
      </w:tblPr>
      <w:tblGrid>
        <w:gridCol w:w="1237"/>
        <w:gridCol w:w="1237"/>
        <w:gridCol w:w="658"/>
        <w:gridCol w:w="826"/>
        <w:gridCol w:w="4799"/>
      </w:tblGrid>
      <w:tr>
        <w:tblPrEx>
          <w:tblCellMar>
            <w:top w:w="0" w:type="dxa"/>
            <w:left w:w="108" w:type="dxa"/>
            <w:bottom w:w="0" w:type="dxa"/>
            <w:right w:w="108" w:type="dxa"/>
          </w:tblCellMar>
        </w:tblPrEx>
        <w:trPr>
          <w:trHeight w:val="975" w:hRule="atLeast"/>
        </w:trPr>
        <w:tc>
          <w:tcPr>
            <w:tcW w:w="12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序号</w:t>
            </w:r>
          </w:p>
        </w:tc>
        <w:tc>
          <w:tcPr>
            <w:tcW w:w="1237" w:type="dxa"/>
            <w:tcBorders>
              <w:top w:val="single" w:color="000000" w:sz="8" w:space="0"/>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设备名称</w:t>
            </w:r>
          </w:p>
        </w:tc>
        <w:tc>
          <w:tcPr>
            <w:tcW w:w="658" w:type="dxa"/>
            <w:tcBorders>
              <w:top w:val="single" w:color="000000" w:sz="8" w:space="0"/>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单位</w:t>
            </w:r>
          </w:p>
        </w:tc>
        <w:tc>
          <w:tcPr>
            <w:tcW w:w="826" w:type="dxa"/>
            <w:tcBorders>
              <w:top w:val="single" w:color="000000" w:sz="8" w:space="0"/>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数量</w:t>
            </w:r>
          </w:p>
        </w:tc>
        <w:tc>
          <w:tcPr>
            <w:tcW w:w="4799" w:type="dxa"/>
            <w:tcBorders>
              <w:top w:val="single" w:color="000000" w:sz="8" w:space="0"/>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技术参数</w:t>
            </w:r>
          </w:p>
        </w:tc>
      </w:tr>
      <w:tr>
        <w:tblPrEx>
          <w:tblCellMar>
            <w:top w:w="0" w:type="dxa"/>
            <w:left w:w="108" w:type="dxa"/>
            <w:bottom w:w="0" w:type="dxa"/>
            <w:right w:w="108" w:type="dxa"/>
          </w:tblCellMar>
        </w:tblPrEx>
        <w:trPr>
          <w:trHeight w:val="930" w:hRule="atLeast"/>
        </w:trPr>
        <w:tc>
          <w:tcPr>
            <w:tcW w:w="1237"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w:t>
            </w:r>
          </w:p>
        </w:tc>
        <w:tc>
          <w:tcPr>
            <w:tcW w:w="1237"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防爆罐</w:t>
            </w:r>
          </w:p>
        </w:tc>
        <w:tc>
          <w:tcPr>
            <w:tcW w:w="658"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个</w:t>
            </w:r>
          </w:p>
        </w:tc>
        <w:tc>
          <w:tcPr>
            <w:tcW w:w="826"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w:t>
            </w:r>
          </w:p>
        </w:tc>
        <w:tc>
          <w:tcPr>
            <w:tcW w:w="4799" w:type="dxa"/>
            <w:tcBorders>
              <w:top w:val="nil"/>
              <w:left w:val="nil"/>
              <w:bottom w:val="single" w:color="000000" w:sz="8" w:space="0"/>
              <w:right w:val="single" w:color="000000" w:sz="8" w:space="0"/>
            </w:tcBorders>
            <w:shd w:val="clear" w:color="auto" w:fill="auto"/>
            <w:vAlign w:val="center"/>
          </w:tcPr>
          <w:p>
            <w:pPr>
              <w:widowControl/>
              <w:adjustRightInd/>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1.产品应符合防爆罐GA 871标准要求。2.防爆能力应≥2.0kgTNT。3.罐体应采用不小于1.0mm厚的不锈钢板+16mm厚的碳素钢制成。</w:t>
            </w:r>
          </w:p>
        </w:tc>
      </w:tr>
      <w:tr>
        <w:tblPrEx>
          <w:tblCellMar>
            <w:top w:w="0" w:type="dxa"/>
            <w:left w:w="108" w:type="dxa"/>
            <w:bottom w:w="0" w:type="dxa"/>
            <w:right w:w="108" w:type="dxa"/>
          </w:tblCellMar>
        </w:tblPrEx>
        <w:trPr>
          <w:trHeight w:val="630" w:hRule="atLeast"/>
        </w:trPr>
        <w:tc>
          <w:tcPr>
            <w:tcW w:w="1237"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w:t>
            </w:r>
          </w:p>
        </w:tc>
        <w:tc>
          <w:tcPr>
            <w:tcW w:w="1237"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暂扣桶</w:t>
            </w:r>
          </w:p>
        </w:tc>
        <w:tc>
          <w:tcPr>
            <w:tcW w:w="658"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个</w:t>
            </w:r>
          </w:p>
        </w:tc>
        <w:tc>
          <w:tcPr>
            <w:tcW w:w="826"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w:t>
            </w:r>
          </w:p>
        </w:tc>
        <w:tc>
          <w:tcPr>
            <w:tcW w:w="4799" w:type="dxa"/>
            <w:tcBorders>
              <w:top w:val="nil"/>
              <w:left w:val="nil"/>
              <w:bottom w:val="single" w:color="000000" w:sz="8" w:space="0"/>
              <w:right w:val="single" w:color="000000" w:sz="8" w:space="0"/>
            </w:tcBorders>
            <w:shd w:val="clear" w:color="auto" w:fill="auto"/>
            <w:vAlign w:val="center"/>
          </w:tcPr>
          <w:p>
            <w:pPr>
              <w:widowControl/>
              <w:adjustRightInd/>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外壳材质:塑料</w:t>
            </w:r>
          </w:p>
        </w:tc>
      </w:tr>
      <w:tr>
        <w:tblPrEx>
          <w:tblCellMar>
            <w:top w:w="0" w:type="dxa"/>
            <w:left w:w="108" w:type="dxa"/>
            <w:bottom w:w="0" w:type="dxa"/>
            <w:right w:w="108" w:type="dxa"/>
          </w:tblCellMar>
        </w:tblPrEx>
        <w:trPr>
          <w:trHeight w:val="2430" w:hRule="atLeast"/>
        </w:trPr>
        <w:tc>
          <w:tcPr>
            <w:tcW w:w="1237"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w:t>
            </w:r>
          </w:p>
        </w:tc>
        <w:tc>
          <w:tcPr>
            <w:tcW w:w="1237"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防爆毯</w:t>
            </w:r>
          </w:p>
        </w:tc>
        <w:tc>
          <w:tcPr>
            <w:tcW w:w="658"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个</w:t>
            </w:r>
          </w:p>
        </w:tc>
        <w:tc>
          <w:tcPr>
            <w:tcW w:w="826"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w:t>
            </w:r>
          </w:p>
        </w:tc>
        <w:tc>
          <w:tcPr>
            <w:tcW w:w="4799" w:type="dxa"/>
            <w:tcBorders>
              <w:top w:val="nil"/>
              <w:left w:val="nil"/>
              <w:bottom w:val="single" w:color="000000" w:sz="8" w:space="0"/>
              <w:right w:val="single" w:color="000000" w:sz="8" w:space="0"/>
            </w:tcBorders>
            <w:shd w:val="clear" w:color="auto" w:fill="auto"/>
            <w:vAlign w:val="center"/>
          </w:tcPr>
          <w:p>
            <w:pPr>
              <w:widowControl/>
              <w:adjustRightInd/>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1.产品应符合《GA69-2007》标准中的所有要求（提供公安部有效检测报告扫描件）。2.盖毯的外形尺寸应大于等于1200mmx 1200mm; 围栏内径尺寸应大于等于400mm。3.盖毯和围栏外套材料抗渗水性能：耐静水压力应大于等于12kPa。4.以爆炸源为中心，围成半径3000mm、高度1700mm的模拟靶标。当爆炸源(82-2制式手榴弹）引爆时，在模拟靶标上不应有穿透孔。</w:t>
            </w:r>
          </w:p>
        </w:tc>
      </w:tr>
      <w:tr>
        <w:tblPrEx>
          <w:tblCellMar>
            <w:top w:w="0" w:type="dxa"/>
            <w:left w:w="108" w:type="dxa"/>
            <w:bottom w:w="0" w:type="dxa"/>
            <w:right w:w="108" w:type="dxa"/>
          </w:tblCellMar>
        </w:tblPrEx>
        <w:trPr>
          <w:trHeight w:val="1185" w:hRule="atLeast"/>
        </w:trPr>
        <w:tc>
          <w:tcPr>
            <w:tcW w:w="1237" w:type="dxa"/>
            <w:tcBorders>
              <w:top w:val="nil"/>
              <w:left w:val="single" w:color="000000" w:sz="8" w:space="0"/>
              <w:bottom w:val="nil"/>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4</w:t>
            </w:r>
          </w:p>
        </w:tc>
        <w:tc>
          <w:tcPr>
            <w:tcW w:w="1237" w:type="dxa"/>
            <w:tcBorders>
              <w:top w:val="nil"/>
              <w:left w:val="nil"/>
              <w:bottom w:val="nil"/>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人证比对终端（含立柱）</w:t>
            </w:r>
          </w:p>
        </w:tc>
        <w:tc>
          <w:tcPr>
            <w:tcW w:w="658" w:type="dxa"/>
            <w:tcBorders>
              <w:top w:val="nil"/>
              <w:left w:val="nil"/>
              <w:bottom w:val="nil"/>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套</w:t>
            </w:r>
          </w:p>
        </w:tc>
        <w:tc>
          <w:tcPr>
            <w:tcW w:w="826" w:type="dxa"/>
            <w:tcBorders>
              <w:top w:val="nil"/>
              <w:left w:val="nil"/>
              <w:bottom w:val="nil"/>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w:t>
            </w:r>
          </w:p>
        </w:tc>
        <w:tc>
          <w:tcPr>
            <w:tcW w:w="4799" w:type="dxa"/>
            <w:tcBorders>
              <w:top w:val="nil"/>
              <w:left w:val="nil"/>
              <w:bottom w:val="nil"/>
              <w:right w:val="single" w:color="000000" w:sz="8" w:space="0"/>
            </w:tcBorders>
            <w:shd w:val="clear" w:color="auto" w:fill="auto"/>
            <w:vAlign w:val="center"/>
          </w:tcPr>
          <w:p>
            <w:pPr>
              <w:widowControl/>
              <w:adjustRightInd/>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解决违禁品识别、人脸识别信息，物品识别信息，以及X光图像违禁品信息等数据的关联，消除信息孤岛，提前预警，提前布防，以及阻止违禁品进入会场区域，并防止错拿、漏拿等行为。</w:t>
            </w:r>
          </w:p>
        </w:tc>
      </w:tr>
      <w:tr>
        <w:tblPrEx>
          <w:tblCellMar>
            <w:top w:w="0" w:type="dxa"/>
            <w:left w:w="108" w:type="dxa"/>
            <w:bottom w:w="0" w:type="dxa"/>
            <w:right w:w="108" w:type="dxa"/>
          </w:tblCellMar>
        </w:tblPrEx>
        <w:trPr>
          <w:trHeight w:val="2745" w:hRule="atLeast"/>
        </w:trPr>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车辆抓拍单元（（含立柱））</w:t>
            </w:r>
          </w:p>
        </w:tc>
        <w:tc>
          <w:tcPr>
            <w:tcW w:w="658"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套</w:t>
            </w:r>
          </w:p>
        </w:tc>
        <w:tc>
          <w:tcPr>
            <w:tcW w:w="826"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w:t>
            </w:r>
          </w:p>
        </w:tc>
        <w:tc>
          <w:tcPr>
            <w:tcW w:w="4799" w:type="dxa"/>
            <w:tcBorders>
              <w:top w:val="single" w:color="auto" w:sz="4" w:space="0"/>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具有车证感应识别与车牌号自动识别及车辆进出管理等功能，确保车证与唯一的车牌号绑定，做到一证一车，杜绝了一证多车与借用、仿造车证等现象；读取距离：≥5.0米；抓拍摄像头：400万像素，高清1080P；识别率：≥99%。</w:t>
            </w:r>
          </w:p>
        </w:tc>
      </w:tr>
      <w:tr>
        <w:tblPrEx>
          <w:tblCellMar>
            <w:top w:w="0" w:type="dxa"/>
            <w:left w:w="108" w:type="dxa"/>
            <w:bottom w:w="0" w:type="dxa"/>
            <w:right w:w="108" w:type="dxa"/>
          </w:tblCellMar>
        </w:tblPrEx>
        <w:trPr>
          <w:trHeight w:val="1875" w:hRule="atLeast"/>
        </w:trPr>
        <w:tc>
          <w:tcPr>
            <w:tcW w:w="123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6</w:t>
            </w:r>
          </w:p>
        </w:tc>
        <w:tc>
          <w:tcPr>
            <w:tcW w:w="1237"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X光机</w:t>
            </w:r>
          </w:p>
        </w:tc>
        <w:tc>
          <w:tcPr>
            <w:tcW w:w="658"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台</w:t>
            </w:r>
          </w:p>
        </w:tc>
        <w:tc>
          <w:tcPr>
            <w:tcW w:w="82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w:t>
            </w:r>
          </w:p>
        </w:tc>
        <w:tc>
          <w:tcPr>
            <w:tcW w:w="4799"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1.X射线源数量：2；通道尺寸≥650（宽）mm×500（高）mm；</w:t>
            </w:r>
          </w:p>
          <w:p>
            <w:pPr>
              <w:widowControl/>
              <w:adjustRightInd/>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2.设备外观尺寸：2319mm × 1414mm × 1435mm（长、宽、高）</w:t>
            </w:r>
          </w:p>
          <w:p>
            <w:pPr>
              <w:widowControl/>
              <w:adjustRightInd/>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3.设备应支持图像放大功能，放大显示所选中区域的物体图像，任意区域放大应不小于256倍；（提供公安部有效检测报告扫描件）</w:t>
            </w:r>
          </w:p>
          <w:p>
            <w:pPr>
              <w:widowControl/>
              <w:adjustRightInd/>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4.智能分析:支持至少 12 大类物品智能识别，包括但不限于刀具、枪支、喷灌、液体、打火机、烟花爆竹、指虎、警棍、手铐、电子产品、雨伞、钝器等违禁物品。</w:t>
            </w:r>
          </w:p>
          <w:p>
            <w:pPr>
              <w:widowControl/>
              <w:adjustRightInd/>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5.设备输送装置的最大负载能力应大于等于300kg；（提供公安部有效检测报告扫描件）</w:t>
            </w:r>
          </w:p>
          <w:p>
            <w:pPr>
              <w:widowControl/>
              <w:adjustRightInd/>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6.设备正常工作时在距设备外表面1m的任意处，设备噪声应小于等于55dB(A)。</w:t>
            </w:r>
          </w:p>
        </w:tc>
      </w:tr>
      <w:tr>
        <w:tblPrEx>
          <w:tblCellMar>
            <w:top w:w="0" w:type="dxa"/>
            <w:left w:w="108" w:type="dxa"/>
            <w:bottom w:w="0" w:type="dxa"/>
            <w:right w:w="108" w:type="dxa"/>
          </w:tblCellMar>
        </w:tblPrEx>
        <w:trPr>
          <w:trHeight w:val="1230" w:hRule="atLeast"/>
        </w:trPr>
        <w:tc>
          <w:tcPr>
            <w:tcW w:w="1237"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7</w:t>
            </w:r>
          </w:p>
        </w:tc>
        <w:tc>
          <w:tcPr>
            <w:tcW w:w="1237"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安检门</w:t>
            </w:r>
          </w:p>
        </w:tc>
        <w:tc>
          <w:tcPr>
            <w:tcW w:w="658"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门</w:t>
            </w:r>
          </w:p>
        </w:tc>
        <w:tc>
          <w:tcPr>
            <w:tcW w:w="826"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4</w:t>
            </w:r>
          </w:p>
        </w:tc>
        <w:tc>
          <w:tcPr>
            <w:tcW w:w="4799" w:type="dxa"/>
            <w:tcBorders>
              <w:top w:val="nil"/>
              <w:left w:val="nil"/>
              <w:bottom w:val="single" w:color="000000" w:sz="8" w:space="0"/>
              <w:right w:val="single" w:color="000000" w:sz="8" w:space="0"/>
            </w:tcBorders>
            <w:shd w:val="clear" w:color="auto" w:fill="auto"/>
            <w:vAlign w:val="center"/>
          </w:tcPr>
          <w:p>
            <w:pPr>
              <w:widowControl/>
              <w:numPr>
                <w:ilvl w:val="0"/>
                <w:numId w:val="0"/>
              </w:numPr>
              <w:adjustRightInd/>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lang w:val="en-US" w:eastAsia="zh-CN"/>
              </w:rPr>
              <w:t>1.</w:t>
            </w:r>
            <w:r>
              <w:rPr>
                <w:rFonts w:hint="eastAsia" w:ascii="仿宋" w:hAnsi="仿宋" w:eastAsia="仿宋" w:cs="宋体"/>
                <w:color w:val="auto"/>
                <w:kern w:val="0"/>
                <w:sz w:val="18"/>
                <w:szCs w:val="18"/>
                <w:highlight w:val="none"/>
              </w:rPr>
              <w:t>通道尺寸：≥1985mm（高度）*750mm（宽度）*495mm（深度）。</w:t>
            </w:r>
          </w:p>
          <w:p>
            <w:pPr>
              <w:widowControl/>
              <w:adjustRightInd/>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2.产品需符合《通过式金属探测门通用技术规范》（GB15210-2018），需提供由公安部安全与警用电子产品质量检测中心出具的检测报告。</w:t>
            </w:r>
          </w:p>
          <w:p>
            <w:pPr>
              <w:widowControl/>
              <w:numPr>
                <w:ilvl w:val="0"/>
                <w:numId w:val="0"/>
              </w:numPr>
              <w:adjustRightInd/>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3.安检门主机内应支持人脸库功能，支持不小于10个人脸库；人脸库应支持不小于30万条人脸特征；支持人脸图片自动建模，建模速度不少于25张/秒。4.安检门外观尺寸：安检门：2261mm×840mm×580mm（高×宽×深）。</w:t>
            </w:r>
          </w:p>
        </w:tc>
      </w:tr>
      <w:tr>
        <w:tblPrEx>
          <w:tblCellMar>
            <w:top w:w="0" w:type="dxa"/>
            <w:left w:w="108" w:type="dxa"/>
            <w:bottom w:w="0" w:type="dxa"/>
            <w:right w:w="108" w:type="dxa"/>
          </w:tblCellMar>
        </w:tblPrEx>
        <w:trPr>
          <w:trHeight w:val="1710" w:hRule="atLeast"/>
        </w:trPr>
        <w:tc>
          <w:tcPr>
            <w:tcW w:w="1237"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8</w:t>
            </w:r>
          </w:p>
        </w:tc>
        <w:tc>
          <w:tcPr>
            <w:tcW w:w="1237"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安检辅助设备( 开包检查桌、安检托盘、脚踏)</w:t>
            </w:r>
          </w:p>
        </w:tc>
        <w:tc>
          <w:tcPr>
            <w:tcW w:w="658"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套</w:t>
            </w:r>
          </w:p>
        </w:tc>
        <w:tc>
          <w:tcPr>
            <w:tcW w:w="826"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w:t>
            </w:r>
          </w:p>
        </w:tc>
        <w:tc>
          <w:tcPr>
            <w:tcW w:w="4799" w:type="dxa"/>
            <w:tcBorders>
              <w:top w:val="nil"/>
              <w:left w:val="nil"/>
              <w:bottom w:val="single" w:color="000000" w:sz="8" w:space="0"/>
              <w:right w:val="single" w:color="000000" w:sz="8" w:space="0"/>
            </w:tcBorders>
            <w:shd w:val="clear" w:color="auto" w:fill="auto"/>
            <w:vAlign w:val="center"/>
          </w:tcPr>
          <w:p>
            <w:pPr>
              <w:widowControl/>
              <w:adjustRightInd/>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安检托盘:尺寸≥50cm×30cm×10cm安检脚踏:高度 15- 20cm;方形脚踏边长 40- 50cm; 圆形脚踏直径 40 - 50cm; 非金属材质。开包检查桌: 简易长条桌; 长度≥1. 5m; 宽度、高度与 X 射线探测器传送带保持一致。</w:t>
            </w:r>
          </w:p>
        </w:tc>
      </w:tr>
      <w:tr>
        <w:tblPrEx>
          <w:tblCellMar>
            <w:top w:w="0" w:type="dxa"/>
            <w:left w:w="108" w:type="dxa"/>
            <w:bottom w:w="0" w:type="dxa"/>
            <w:right w:w="108" w:type="dxa"/>
          </w:tblCellMar>
        </w:tblPrEx>
        <w:trPr>
          <w:trHeight w:val="610" w:hRule="atLeast"/>
        </w:trPr>
        <w:tc>
          <w:tcPr>
            <w:tcW w:w="1237"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9</w:t>
            </w:r>
          </w:p>
        </w:tc>
        <w:tc>
          <w:tcPr>
            <w:tcW w:w="1237"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安检信息上传第三方设备平台</w:t>
            </w:r>
          </w:p>
        </w:tc>
        <w:tc>
          <w:tcPr>
            <w:tcW w:w="658"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套</w:t>
            </w:r>
          </w:p>
        </w:tc>
        <w:tc>
          <w:tcPr>
            <w:tcW w:w="826"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w:t>
            </w:r>
          </w:p>
        </w:tc>
        <w:tc>
          <w:tcPr>
            <w:tcW w:w="4799" w:type="dxa"/>
            <w:tcBorders>
              <w:top w:val="nil"/>
              <w:left w:val="nil"/>
              <w:bottom w:val="single" w:color="000000" w:sz="8" w:space="0"/>
              <w:right w:val="single" w:color="000000" w:sz="8" w:space="0"/>
            </w:tcBorders>
            <w:shd w:val="clear" w:color="auto" w:fill="auto"/>
            <w:vAlign w:val="center"/>
          </w:tcPr>
          <w:p>
            <w:pPr>
              <w:widowControl/>
              <w:adjustRightInd/>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安检设备接入以及安检数据上传给三方平台</w:t>
            </w:r>
          </w:p>
        </w:tc>
      </w:tr>
      <w:tr>
        <w:tblPrEx>
          <w:tblCellMar>
            <w:top w:w="0" w:type="dxa"/>
            <w:left w:w="108" w:type="dxa"/>
            <w:bottom w:w="0" w:type="dxa"/>
            <w:right w:w="108" w:type="dxa"/>
          </w:tblCellMar>
        </w:tblPrEx>
        <w:trPr>
          <w:trHeight w:val="1995" w:hRule="atLeast"/>
        </w:trPr>
        <w:tc>
          <w:tcPr>
            <w:tcW w:w="1237"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w:t>
            </w:r>
          </w:p>
        </w:tc>
        <w:tc>
          <w:tcPr>
            <w:tcW w:w="1237"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自动车底检测系统</w:t>
            </w:r>
          </w:p>
        </w:tc>
        <w:tc>
          <w:tcPr>
            <w:tcW w:w="658"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套</w:t>
            </w:r>
          </w:p>
        </w:tc>
        <w:tc>
          <w:tcPr>
            <w:tcW w:w="826"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w:t>
            </w:r>
          </w:p>
        </w:tc>
        <w:tc>
          <w:tcPr>
            <w:tcW w:w="4799" w:type="dxa"/>
            <w:tcBorders>
              <w:top w:val="nil"/>
              <w:left w:val="nil"/>
              <w:bottom w:val="single" w:color="000000" w:sz="8" w:space="0"/>
              <w:right w:val="single" w:color="000000" w:sz="8" w:space="0"/>
            </w:tcBorders>
            <w:shd w:val="clear" w:color="auto" w:fill="auto"/>
            <w:vAlign w:val="center"/>
          </w:tcPr>
          <w:p>
            <w:pPr>
              <w:widowControl/>
              <w:numPr>
                <w:ilvl w:val="0"/>
                <w:numId w:val="3"/>
              </w:numPr>
              <w:adjustRightInd/>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※设备应需要通过公安部检测中心按照GA/T 1336-2016标准（提供公安部有效检测报告扫描件）。</w:t>
            </w:r>
          </w:p>
          <w:p>
            <w:pPr>
              <w:widowControl/>
              <w:numPr>
                <w:ilvl w:val="0"/>
                <w:numId w:val="3"/>
              </w:numPr>
              <w:adjustRightInd/>
              <w:ind w:left="0" w:leftChars="0" w:firstLine="0" w:firstLineChars="0"/>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车辆以25km/h的速度通过系统扫描装置后，系统的图像显示时间≤1秒。</w:t>
            </w:r>
          </w:p>
          <w:p>
            <w:pPr>
              <w:widowControl/>
              <w:numPr>
                <w:ilvl w:val="0"/>
                <w:numId w:val="3"/>
              </w:numPr>
              <w:adjustRightInd/>
              <w:ind w:left="0" w:leftChars="0" w:firstLine="0" w:firstLineChars="0"/>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视场角度大于等于为180度。</w:t>
            </w:r>
          </w:p>
          <w:p>
            <w:pPr>
              <w:widowControl/>
              <w:numPr>
                <w:ilvl w:val="0"/>
                <w:numId w:val="0"/>
              </w:numPr>
              <w:adjustRightInd/>
              <w:ind w:leftChars="0"/>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4. 扫描仪外壳防护等级不等于IP68（水下1m，持续1h）。5. 系统应能自动存储生成的车底或车牌图像，并应能自动删除过期图片。以JPG格式存储时，存储容量应大于等于20万张。6. 当扫描到的车底盘图像颜色异于正常车底盘颜色时，系统显示部分应出现辅助报警框。</w:t>
            </w:r>
          </w:p>
        </w:tc>
      </w:tr>
      <w:tr>
        <w:tblPrEx>
          <w:tblCellMar>
            <w:top w:w="0" w:type="dxa"/>
            <w:left w:w="108" w:type="dxa"/>
            <w:bottom w:w="0" w:type="dxa"/>
            <w:right w:w="108" w:type="dxa"/>
          </w:tblCellMar>
        </w:tblPrEx>
        <w:trPr>
          <w:trHeight w:val="1005" w:hRule="atLeast"/>
        </w:trPr>
        <w:tc>
          <w:tcPr>
            <w:tcW w:w="1237"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11</w:t>
            </w:r>
          </w:p>
        </w:tc>
        <w:tc>
          <w:tcPr>
            <w:tcW w:w="1237"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手动车底检查镜</w:t>
            </w:r>
          </w:p>
        </w:tc>
        <w:tc>
          <w:tcPr>
            <w:tcW w:w="658"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套</w:t>
            </w:r>
          </w:p>
        </w:tc>
        <w:tc>
          <w:tcPr>
            <w:tcW w:w="826"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w:t>
            </w:r>
          </w:p>
        </w:tc>
        <w:tc>
          <w:tcPr>
            <w:tcW w:w="4799" w:type="dxa"/>
            <w:tcBorders>
              <w:top w:val="nil"/>
              <w:left w:val="nil"/>
              <w:bottom w:val="single" w:color="000000" w:sz="8" w:space="0"/>
              <w:right w:val="single" w:color="000000" w:sz="8" w:space="0"/>
            </w:tcBorders>
            <w:shd w:val="clear" w:color="auto" w:fill="auto"/>
            <w:vAlign w:val="center"/>
          </w:tcPr>
          <w:p>
            <w:pPr>
              <w:widowControl/>
              <w:adjustRightInd/>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光学检查镜：有效长度80cm-150±5cm;凸镜直径≥30cm;电子检查镜：调节长度1-3m；连续工作≥3小时。</w:t>
            </w:r>
          </w:p>
        </w:tc>
      </w:tr>
      <w:tr>
        <w:tblPrEx>
          <w:tblCellMar>
            <w:top w:w="0" w:type="dxa"/>
            <w:left w:w="108" w:type="dxa"/>
            <w:bottom w:w="0" w:type="dxa"/>
            <w:right w:w="108" w:type="dxa"/>
          </w:tblCellMar>
        </w:tblPrEx>
        <w:trPr>
          <w:trHeight w:val="1005" w:hRule="atLeast"/>
        </w:trPr>
        <w:tc>
          <w:tcPr>
            <w:tcW w:w="1237"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12</w:t>
            </w:r>
          </w:p>
        </w:tc>
        <w:tc>
          <w:tcPr>
            <w:tcW w:w="1237"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伸缩视频车顶检查镜</w:t>
            </w:r>
          </w:p>
        </w:tc>
        <w:tc>
          <w:tcPr>
            <w:tcW w:w="658"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套</w:t>
            </w:r>
          </w:p>
        </w:tc>
        <w:tc>
          <w:tcPr>
            <w:tcW w:w="826"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w:t>
            </w:r>
          </w:p>
        </w:tc>
        <w:tc>
          <w:tcPr>
            <w:tcW w:w="4799" w:type="dxa"/>
            <w:tcBorders>
              <w:top w:val="nil"/>
              <w:left w:val="nil"/>
              <w:bottom w:val="single" w:color="000000" w:sz="8" w:space="0"/>
              <w:right w:val="single" w:color="000000" w:sz="8" w:space="0"/>
            </w:tcBorders>
            <w:shd w:val="clear" w:color="auto" w:fill="auto"/>
            <w:vAlign w:val="center"/>
          </w:tcPr>
          <w:p>
            <w:pPr>
              <w:widowControl/>
              <w:adjustRightInd/>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最大工作长度≥4.5米，连续工作时间≥3小时，摄像头像素≥200万。</w:t>
            </w:r>
          </w:p>
        </w:tc>
      </w:tr>
      <w:tr>
        <w:tblPrEx>
          <w:tblCellMar>
            <w:top w:w="0" w:type="dxa"/>
            <w:left w:w="108" w:type="dxa"/>
            <w:bottom w:w="0" w:type="dxa"/>
            <w:right w:w="108" w:type="dxa"/>
          </w:tblCellMar>
        </w:tblPrEx>
        <w:trPr>
          <w:trHeight w:val="1005" w:hRule="atLeast"/>
        </w:trPr>
        <w:tc>
          <w:tcPr>
            <w:tcW w:w="1237"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13</w:t>
            </w:r>
          </w:p>
        </w:tc>
        <w:tc>
          <w:tcPr>
            <w:tcW w:w="1237"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检查点硬盘录像机</w:t>
            </w:r>
          </w:p>
        </w:tc>
        <w:tc>
          <w:tcPr>
            <w:tcW w:w="658"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台</w:t>
            </w:r>
          </w:p>
        </w:tc>
        <w:tc>
          <w:tcPr>
            <w:tcW w:w="826"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w:t>
            </w:r>
          </w:p>
        </w:tc>
        <w:tc>
          <w:tcPr>
            <w:tcW w:w="4799" w:type="dxa"/>
            <w:tcBorders>
              <w:top w:val="nil"/>
              <w:left w:val="nil"/>
              <w:bottom w:val="single" w:color="000000" w:sz="8" w:space="0"/>
              <w:right w:val="single" w:color="000000" w:sz="8" w:space="0"/>
            </w:tcBorders>
            <w:shd w:val="clear" w:color="auto" w:fill="auto"/>
            <w:vAlign w:val="center"/>
          </w:tcPr>
          <w:p>
            <w:pPr>
              <w:widowControl/>
              <w:adjustRightInd/>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1.主处理器：工业级嵌入式微控制器；</w:t>
            </w:r>
          </w:p>
        </w:tc>
      </w:tr>
      <w:tr>
        <w:tblPrEx>
          <w:tblCellMar>
            <w:top w:w="0" w:type="dxa"/>
            <w:left w:w="108" w:type="dxa"/>
            <w:bottom w:w="0" w:type="dxa"/>
            <w:right w:w="108" w:type="dxa"/>
          </w:tblCellMar>
        </w:tblPrEx>
        <w:trPr>
          <w:trHeight w:val="1875" w:hRule="atLeast"/>
        </w:trPr>
        <w:tc>
          <w:tcPr>
            <w:tcW w:w="1237"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14</w:t>
            </w:r>
          </w:p>
        </w:tc>
        <w:tc>
          <w:tcPr>
            <w:tcW w:w="1237"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炸药探测器</w:t>
            </w:r>
          </w:p>
        </w:tc>
        <w:tc>
          <w:tcPr>
            <w:tcW w:w="658"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套</w:t>
            </w:r>
          </w:p>
        </w:tc>
        <w:tc>
          <w:tcPr>
            <w:tcW w:w="826"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w:t>
            </w:r>
          </w:p>
        </w:tc>
        <w:tc>
          <w:tcPr>
            <w:tcW w:w="4799" w:type="dxa"/>
            <w:tcBorders>
              <w:top w:val="nil"/>
              <w:left w:val="nil"/>
              <w:bottom w:val="single" w:color="000000" w:sz="8" w:space="0"/>
              <w:right w:val="single" w:color="000000" w:sz="8" w:space="0"/>
            </w:tcBorders>
            <w:shd w:val="clear" w:color="auto" w:fill="auto"/>
            <w:vAlign w:val="center"/>
          </w:tcPr>
          <w:p>
            <w:pPr>
              <w:widowControl/>
              <w:numPr>
                <w:ilvl w:val="0"/>
                <w:numId w:val="0"/>
              </w:numPr>
              <w:adjustRightInd/>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lang w:val="en-US" w:eastAsia="zh-CN"/>
              </w:rPr>
              <w:t>1.</w:t>
            </w:r>
            <w:r>
              <w:rPr>
                <w:rFonts w:hint="eastAsia" w:ascii="仿宋" w:hAnsi="仿宋" w:eastAsia="仿宋" w:cs="宋体"/>
                <w:color w:val="auto"/>
                <w:kern w:val="0"/>
                <w:sz w:val="18"/>
                <w:szCs w:val="18"/>
                <w:highlight w:val="none"/>
              </w:rPr>
              <w:t>产品应符合基于荧光聚合物传感技术的痕量炸药探测仪通用技术GA/T 1323标准要求，或应符合基于离子迁移谱技术的痕量毒品/炸药探测仪通用技术GA/T 841标准要求。</w:t>
            </w:r>
          </w:p>
          <w:p>
            <w:pPr>
              <w:widowControl/>
              <w:numPr>
                <w:ilvl w:val="0"/>
                <w:numId w:val="0"/>
              </w:numPr>
              <w:adjustRightInd/>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2.设备应具有数据的实时存储、检索、导出功能。</w:t>
            </w:r>
          </w:p>
          <w:p>
            <w:pPr>
              <w:widowControl/>
              <w:numPr>
                <w:ilvl w:val="0"/>
                <w:numId w:val="0"/>
              </w:numPr>
              <w:adjustRightInd/>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3.仪器应能通过USB接口进行软件升级和数据库更新。</w:t>
            </w:r>
          </w:p>
          <w:p>
            <w:pPr>
              <w:widowControl/>
              <w:numPr>
                <w:ilvl w:val="0"/>
                <w:numId w:val="0"/>
              </w:numPr>
              <w:adjustRightInd/>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4.仪器应具有网络接口或USB接口。仪器宜具备无线通信功能。</w:t>
            </w:r>
          </w:p>
        </w:tc>
      </w:tr>
      <w:tr>
        <w:tblPrEx>
          <w:tblCellMar>
            <w:top w:w="0" w:type="dxa"/>
            <w:left w:w="108" w:type="dxa"/>
            <w:bottom w:w="0" w:type="dxa"/>
            <w:right w:w="108" w:type="dxa"/>
          </w:tblCellMar>
        </w:tblPrEx>
        <w:trPr>
          <w:trHeight w:val="2025" w:hRule="atLeast"/>
        </w:trPr>
        <w:tc>
          <w:tcPr>
            <w:tcW w:w="1237"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15</w:t>
            </w:r>
          </w:p>
        </w:tc>
        <w:tc>
          <w:tcPr>
            <w:tcW w:w="1237"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液体检测仪（台式）</w:t>
            </w:r>
          </w:p>
        </w:tc>
        <w:tc>
          <w:tcPr>
            <w:tcW w:w="658"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套</w:t>
            </w:r>
          </w:p>
        </w:tc>
        <w:tc>
          <w:tcPr>
            <w:tcW w:w="826"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w:t>
            </w:r>
          </w:p>
        </w:tc>
        <w:tc>
          <w:tcPr>
            <w:tcW w:w="4799" w:type="dxa"/>
            <w:tcBorders>
              <w:top w:val="nil"/>
              <w:left w:val="nil"/>
              <w:bottom w:val="single" w:color="000000" w:sz="8" w:space="0"/>
              <w:right w:val="single" w:color="000000" w:sz="8" w:space="0"/>
            </w:tcBorders>
            <w:shd w:val="clear" w:color="auto" w:fill="auto"/>
            <w:vAlign w:val="center"/>
          </w:tcPr>
          <w:p>
            <w:pPr>
              <w:widowControl/>
              <w:numPr>
                <w:ilvl w:val="0"/>
                <w:numId w:val="0"/>
              </w:numPr>
              <w:adjustRightInd/>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lang w:val="en-US" w:eastAsia="zh-CN"/>
              </w:rPr>
              <w:t>1.</w:t>
            </w:r>
            <w:r>
              <w:rPr>
                <w:rFonts w:hint="eastAsia" w:ascii="仿宋" w:hAnsi="仿宋" w:eastAsia="仿宋" w:cs="宋体"/>
                <w:color w:val="auto"/>
                <w:kern w:val="0"/>
                <w:sz w:val="18"/>
                <w:szCs w:val="18"/>
                <w:highlight w:val="none"/>
              </w:rPr>
              <w:t>仪器应采用非接触式采样 ，在不打开容器的条件下实现液态物品检查。</w:t>
            </w:r>
          </w:p>
          <w:p>
            <w:pPr>
              <w:widowControl/>
              <w:numPr>
                <w:ilvl w:val="0"/>
                <w:numId w:val="0"/>
              </w:numPr>
              <w:adjustRightInd/>
              <w:ind w:leftChars="0"/>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lang w:val="en-US" w:eastAsia="zh-CN"/>
              </w:rPr>
              <w:t>2.</w:t>
            </w:r>
            <w:r>
              <w:rPr>
                <w:rFonts w:hint="eastAsia" w:ascii="仿宋" w:hAnsi="仿宋" w:eastAsia="仿宋" w:cs="宋体"/>
                <w:color w:val="auto"/>
                <w:kern w:val="0"/>
                <w:sz w:val="18"/>
                <w:szCs w:val="18"/>
                <w:highlight w:val="none"/>
              </w:rPr>
              <w:t>仪器外形尺寸 应小于等于（长） 440mmX (宽） 320mmX (高） 200mm。</w:t>
            </w:r>
          </w:p>
          <w:p>
            <w:pPr>
              <w:widowControl/>
              <w:numPr>
                <w:ilvl w:val="0"/>
                <w:numId w:val="0"/>
              </w:numPr>
              <w:adjustRightInd/>
              <w:ind w:leftChars="0"/>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3.仪器应具有两个功能模块， 一个检测非金属材质容器内液体，另一个检测金属材质容器内液体；每个功能模块都应有一个专用检测台；两个功能模块应能同时工作， 互不影响。</w:t>
            </w:r>
          </w:p>
          <w:p>
            <w:pPr>
              <w:widowControl/>
              <w:numPr>
                <w:ilvl w:val="0"/>
                <w:numId w:val="0"/>
              </w:numPr>
              <w:adjustRightInd/>
              <w:ind w:leftChars="0"/>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4.设备对塑料、玻璃、陶瓷等非金属容器内的液体检测时间应小于等于1S；对铝罐、铁罐等金属容器内液体的检测时间应小于等于4S</w:t>
            </w:r>
          </w:p>
        </w:tc>
      </w:tr>
      <w:tr>
        <w:tblPrEx>
          <w:tblCellMar>
            <w:top w:w="0" w:type="dxa"/>
            <w:left w:w="108" w:type="dxa"/>
            <w:bottom w:w="0" w:type="dxa"/>
            <w:right w:w="108" w:type="dxa"/>
          </w:tblCellMar>
        </w:tblPrEx>
        <w:trPr>
          <w:trHeight w:val="1005" w:hRule="atLeast"/>
        </w:trPr>
        <w:tc>
          <w:tcPr>
            <w:tcW w:w="1237"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16</w:t>
            </w:r>
          </w:p>
        </w:tc>
        <w:tc>
          <w:tcPr>
            <w:tcW w:w="1237"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防撞阻车系统</w:t>
            </w:r>
          </w:p>
        </w:tc>
        <w:tc>
          <w:tcPr>
            <w:tcW w:w="658"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套</w:t>
            </w:r>
          </w:p>
        </w:tc>
        <w:tc>
          <w:tcPr>
            <w:tcW w:w="826"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w:t>
            </w:r>
          </w:p>
        </w:tc>
        <w:tc>
          <w:tcPr>
            <w:tcW w:w="4799" w:type="dxa"/>
            <w:tcBorders>
              <w:top w:val="nil"/>
              <w:left w:val="nil"/>
              <w:bottom w:val="single" w:color="000000" w:sz="8" w:space="0"/>
              <w:right w:val="single" w:color="000000" w:sz="8" w:space="0"/>
            </w:tcBorders>
            <w:shd w:val="clear" w:color="auto" w:fill="auto"/>
            <w:vAlign w:val="center"/>
          </w:tcPr>
          <w:p>
            <w:pPr>
              <w:widowControl/>
              <w:adjustRightInd/>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能够遥控一键弹出,有效布控长度≥4m:破胎钢钉可有效扎破各类汽车轮胎并放气。</w:t>
            </w:r>
          </w:p>
        </w:tc>
      </w:tr>
    </w:tbl>
    <w:p>
      <w:pPr>
        <w:pStyle w:val="859"/>
        <w:ind w:firstLine="361"/>
        <w:rPr>
          <w:rFonts w:ascii="仿宋" w:hAnsi="仿宋" w:eastAsia="仿宋" w:cs="Times New Roman"/>
          <w:b/>
          <w:color w:val="auto"/>
          <w:kern w:val="0"/>
          <w:sz w:val="18"/>
          <w:szCs w:val="18"/>
          <w:highlight w:val="none"/>
        </w:rPr>
      </w:pPr>
    </w:p>
    <w:p>
      <w:pPr>
        <w:spacing w:line="360" w:lineRule="auto"/>
        <w:rPr>
          <w:rFonts w:ascii="仿宋" w:hAnsi="仿宋" w:eastAsia="仿宋"/>
          <w:b/>
          <w:bCs/>
          <w:color w:val="auto"/>
          <w:kern w:val="0"/>
          <w:sz w:val="24"/>
          <w:highlight w:val="none"/>
        </w:rPr>
      </w:pPr>
      <w:r>
        <w:rPr>
          <w:rFonts w:hint="eastAsia" w:ascii="仿宋" w:hAnsi="仿宋" w:eastAsia="仿宋"/>
          <w:b/>
          <w:bCs/>
          <w:color w:val="auto"/>
          <w:kern w:val="0"/>
          <w:sz w:val="24"/>
          <w:highlight w:val="none"/>
        </w:rPr>
        <w:t>三、项目人员配备要求</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1、安保服务人员基本要求：</w:t>
      </w:r>
    </w:p>
    <w:p>
      <w:pPr>
        <w:pStyle w:val="24"/>
        <w:ind w:firstLine="480"/>
        <w:rPr>
          <w:rFonts w:ascii="仿宋" w:hAnsi="仿宋" w:eastAsia="仿宋"/>
          <w:color w:val="auto"/>
          <w:kern w:val="0"/>
          <w:highlight w:val="none"/>
          <w:lang w:val="en-US"/>
        </w:rPr>
      </w:pPr>
      <w:r>
        <w:rPr>
          <w:rFonts w:hint="eastAsia" w:ascii="仿宋" w:hAnsi="仿宋" w:eastAsia="仿宋"/>
          <w:color w:val="auto"/>
          <w:kern w:val="0"/>
          <w:highlight w:val="none"/>
        </w:rPr>
        <w:t>1.1</w:t>
      </w:r>
      <w:r>
        <w:rPr>
          <w:rFonts w:ascii="仿宋" w:hAnsi="仿宋" w:eastAsia="仿宋"/>
          <w:color w:val="auto"/>
          <w:kern w:val="0"/>
          <w:highlight w:val="none"/>
        </w:rPr>
        <w:t xml:space="preserve"> </w:t>
      </w:r>
      <w:r>
        <w:rPr>
          <w:rFonts w:hint="eastAsia" w:ascii="仿宋" w:hAnsi="仿宋" w:eastAsia="仿宋"/>
          <w:color w:val="auto"/>
          <w:kern w:val="0"/>
          <w:highlight w:val="none"/>
          <w:lang w:val="en-US"/>
        </w:rPr>
        <w:t>针对本项目</w:t>
      </w:r>
      <w:r>
        <w:rPr>
          <w:rFonts w:hint="eastAsia" w:ascii="仿宋" w:hAnsi="仿宋" w:eastAsia="仿宋"/>
          <w:color w:val="auto"/>
          <w:kern w:val="0"/>
          <w:highlight w:val="none"/>
        </w:rPr>
        <w:t>至少配备一名项目经理，负责与采购人工作人员对接沟通，项目经理不得兼职任何安保岗</w:t>
      </w:r>
      <w:r>
        <w:rPr>
          <w:rFonts w:hint="eastAsia" w:ascii="仿宋" w:hAnsi="仿宋" w:eastAsia="仿宋"/>
          <w:color w:val="auto"/>
          <w:kern w:val="0"/>
          <w:highlight w:val="none"/>
          <w:lang w:val="en-US"/>
        </w:rPr>
        <w:t>位包括安检负责人。</w:t>
      </w:r>
    </w:p>
    <w:p>
      <w:pPr>
        <w:pStyle w:val="24"/>
        <w:ind w:firstLine="480"/>
        <w:rPr>
          <w:rFonts w:ascii="仿宋" w:hAnsi="仿宋" w:eastAsia="仿宋"/>
          <w:color w:val="auto"/>
          <w:kern w:val="0"/>
          <w:highlight w:val="none"/>
        </w:rPr>
      </w:pPr>
      <w:r>
        <w:rPr>
          <w:rFonts w:hint="eastAsia" w:ascii="仿宋" w:hAnsi="仿宋" w:eastAsia="仿宋"/>
          <w:color w:val="auto"/>
          <w:kern w:val="0"/>
          <w:highlight w:val="none"/>
          <w:lang w:val="en-US"/>
        </w:rPr>
        <w:t>1.2 除项目经理外针对本项目</w:t>
      </w:r>
      <w:r>
        <w:rPr>
          <w:rFonts w:hint="eastAsia" w:ascii="仿宋" w:hAnsi="仿宋" w:eastAsia="仿宋"/>
          <w:color w:val="auto"/>
          <w:kern w:val="0"/>
          <w:highlight w:val="none"/>
        </w:rPr>
        <w:t>至少配备一名</w:t>
      </w:r>
      <w:r>
        <w:rPr>
          <w:rFonts w:hint="eastAsia" w:ascii="仿宋" w:hAnsi="仿宋" w:eastAsia="仿宋"/>
          <w:color w:val="auto"/>
          <w:kern w:val="0"/>
          <w:highlight w:val="none"/>
          <w:lang w:val="en-US"/>
        </w:rPr>
        <w:t>安检负责人</w:t>
      </w:r>
      <w:r>
        <w:rPr>
          <w:rFonts w:hint="eastAsia" w:ascii="仿宋" w:hAnsi="仿宋" w:eastAsia="仿宋"/>
          <w:color w:val="auto"/>
          <w:kern w:val="0"/>
          <w:highlight w:val="none"/>
        </w:rPr>
        <w:t>，负责</w:t>
      </w:r>
      <w:r>
        <w:rPr>
          <w:rFonts w:hint="eastAsia" w:ascii="仿宋" w:hAnsi="仿宋" w:eastAsia="仿宋"/>
          <w:color w:val="auto"/>
          <w:kern w:val="0"/>
          <w:highlight w:val="none"/>
          <w:lang w:val="en-US"/>
        </w:rPr>
        <w:t>根据项目经理或采购人要求协调和指挥安检工作。</w:t>
      </w:r>
    </w:p>
    <w:p>
      <w:pPr>
        <w:pStyle w:val="24"/>
        <w:ind w:firstLine="480"/>
        <w:rPr>
          <w:rFonts w:ascii="仿宋" w:hAnsi="仿宋" w:eastAsia="仿宋"/>
          <w:color w:val="auto"/>
          <w:kern w:val="0"/>
          <w:highlight w:val="none"/>
        </w:rPr>
      </w:pPr>
      <w:r>
        <w:rPr>
          <w:rFonts w:hint="eastAsia" w:ascii="仿宋" w:hAnsi="仿宋" w:eastAsia="仿宋"/>
          <w:color w:val="auto"/>
          <w:kern w:val="0"/>
          <w:highlight w:val="none"/>
        </w:rPr>
        <w:t>1.</w:t>
      </w:r>
      <w:r>
        <w:rPr>
          <w:rFonts w:hint="eastAsia" w:ascii="仿宋" w:hAnsi="仿宋" w:eastAsia="仿宋"/>
          <w:color w:val="auto"/>
          <w:kern w:val="0"/>
          <w:highlight w:val="none"/>
          <w:lang w:val="en-US"/>
        </w:rPr>
        <w:t>3</w:t>
      </w:r>
      <w:r>
        <w:rPr>
          <w:rFonts w:ascii="仿宋" w:hAnsi="仿宋" w:eastAsia="仿宋"/>
          <w:color w:val="auto"/>
          <w:kern w:val="0"/>
          <w:highlight w:val="none"/>
        </w:rPr>
        <w:t xml:space="preserve"> </w:t>
      </w:r>
      <w:r>
        <w:rPr>
          <w:rFonts w:hint="eastAsia" w:ascii="仿宋" w:hAnsi="仿宋" w:eastAsia="仿宋"/>
          <w:color w:val="auto"/>
          <w:kern w:val="0"/>
          <w:highlight w:val="none"/>
        </w:rPr>
        <w:t>每一台安检机配备两名女性安保人员，其余人员均为男性</w:t>
      </w:r>
      <w:r>
        <w:rPr>
          <w:rFonts w:hint="eastAsia" w:ascii="仿宋" w:hAnsi="仿宋" w:eastAsia="仿宋"/>
          <w:color w:val="auto"/>
          <w:kern w:val="0"/>
          <w:highlight w:val="none"/>
        </w:rPr>
        <w:t>。</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1.4</w:t>
      </w:r>
      <w:r>
        <w:rPr>
          <w:rFonts w:ascii="仿宋" w:hAnsi="仿宋" w:eastAsia="仿宋"/>
          <w:color w:val="auto"/>
          <w:kern w:val="0"/>
          <w:sz w:val="24"/>
          <w:highlight w:val="none"/>
        </w:rPr>
        <w:t xml:space="preserve"> </w:t>
      </w:r>
      <w:r>
        <w:rPr>
          <w:rFonts w:hint="eastAsia" w:ascii="仿宋" w:hAnsi="仿宋" w:eastAsia="仿宋"/>
          <w:color w:val="auto"/>
          <w:kern w:val="0"/>
          <w:sz w:val="24"/>
          <w:highlight w:val="none"/>
        </w:rPr>
        <w:t>男性年龄40周岁以下，身高170cm以上，女性年龄40周岁以下，身高160以上。</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2、 配备数量要求</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2.1.</w:t>
      </w:r>
      <w:r>
        <w:rPr>
          <w:rFonts w:ascii="仿宋" w:hAnsi="仿宋" w:eastAsia="仿宋"/>
          <w:color w:val="auto"/>
          <w:kern w:val="0"/>
          <w:sz w:val="24"/>
          <w:highlight w:val="none"/>
        </w:rPr>
        <w:t xml:space="preserve"> </w:t>
      </w:r>
      <w:r>
        <w:rPr>
          <w:rFonts w:hint="eastAsia" w:ascii="仿宋" w:hAnsi="仿宋" w:eastAsia="仿宋"/>
          <w:color w:val="auto"/>
          <w:kern w:val="0"/>
          <w:sz w:val="24"/>
          <w:highlight w:val="none"/>
        </w:rPr>
        <w:t>锁闭期自2023年9月10日至2023年9月</w:t>
      </w:r>
      <w:r>
        <w:rPr>
          <w:rFonts w:hint="eastAsia" w:ascii="仿宋" w:hAnsi="仿宋" w:eastAsia="仿宋"/>
          <w:color w:val="auto"/>
          <w:kern w:val="0"/>
          <w:sz w:val="24"/>
          <w:highlight w:val="none"/>
        </w:rPr>
        <w:t>2</w:t>
      </w:r>
      <w:r>
        <w:rPr>
          <w:rFonts w:hint="eastAsia" w:ascii="仿宋" w:hAnsi="仿宋" w:eastAsia="仿宋"/>
          <w:color w:val="auto"/>
          <w:kern w:val="0"/>
          <w:sz w:val="24"/>
          <w:highlight w:val="none"/>
          <w:lang w:val="en-US" w:eastAsia="zh-CN"/>
        </w:rPr>
        <w:t>3</w:t>
      </w:r>
      <w:r>
        <w:rPr>
          <w:rFonts w:hint="eastAsia" w:ascii="仿宋" w:hAnsi="仿宋" w:eastAsia="仿宋"/>
          <w:color w:val="auto"/>
          <w:kern w:val="0"/>
          <w:sz w:val="24"/>
          <w:highlight w:val="none"/>
        </w:rPr>
        <w:t>日，最高配置20人。</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2.2.</w:t>
      </w:r>
      <w:r>
        <w:rPr>
          <w:rFonts w:ascii="仿宋" w:hAnsi="仿宋" w:eastAsia="仿宋"/>
          <w:color w:val="auto"/>
          <w:kern w:val="0"/>
          <w:sz w:val="24"/>
          <w:highlight w:val="none"/>
        </w:rPr>
        <w:t xml:space="preserve"> </w:t>
      </w:r>
      <w:r>
        <w:rPr>
          <w:rFonts w:hint="eastAsia" w:ascii="仿宋" w:hAnsi="仿宋" w:eastAsia="仿宋"/>
          <w:color w:val="auto"/>
          <w:kern w:val="0"/>
          <w:sz w:val="24"/>
          <w:highlight w:val="none"/>
        </w:rPr>
        <w:t>亚运会自2023年9月24日至2023年10月7日，最高配置515人。</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2.3.</w:t>
      </w:r>
      <w:r>
        <w:rPr>
          <w:rFonts w:ascii="仿宋" w:hAnsi="仿宋" w:eastAsia="仿宋"/>
          <w:color w:val="auto"/>
          <w:kern w:val="0"/>
          <w:sz w:val="24"/>
          <w:highlight w:val="none"/>
        </w:rPr>
        <w:t xml:space="preserve"> </w:t>
      </w:r>
      <w:r>
        <w:rPr>
          <w:rFonts w:hint="eastAsia" w:ascii="仿宋" w:hAnsi="仿宋" w:eastAsia="仿宋"/>
          <w:color w:val="auto"/>
          <w:kern w:val="0"/>
          <w:sz w:val="24"/>
          <w:highlight w:val="none"/>
        </w:rPr>
        <w:t>转换期自2023年10月8日至2023年10月22日，最高配置20人。</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2.4.</w:t>
      </w:r>
      <w:r>
        <w:rPr>
          <w:rFonts w:ascii="仿宋" w:hAnsi="仿宋" w:eastAsia="仿宋"/>
          <w:color w:val="auto"/>
          <w:kern w:val="0"/>
          <w:sz w:val="24"/>
          <w:highlight w:val="none"/>
        </w:rPr>
        <w:t xml:space="preserve"> </w:t>
      </w:r>
      <w:r>
        <w:rPr>
          <w:rFonts w:hint="eastAsia" w:ascii="仿宋" w:hAnsi="仿宋" w:eastAsia="仿宋"/>
          <w:color w:val="auto"/>
          <w:kern w:val="0"/>
          <w:sz w:val="24"/>
          <w:highlight w:val="none"/>
        </w:rPr>
        <w:t>亚残会自2023年10月23日至2023年10月28日，最高配置515人。</w:t>
      </w:r>
    </w:p>
    <w:p>
      <w:pPr>
        <w:spacing w:line="360" w:lineRule="auto"/>
        <w:ind w:firstLine="480" w:firstLineChars="200"/>
        <w:rPr>
          <w:rFonts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3、所有安保人员需持保安证上岗，安检岗位人员持有安检培训合格证书，投标时可提供承诺，合同签订后提供相关材料。</w:t>
      </w:r>
    </w:p>
    <w:p>
      <w:pPr>
        <w:spacing w:line="360" w:lineRule="auto"/>
        <w:ind w:firstLine="480" w:firstLineChars="200"/>
        <w:rPr>
          <w:rFonts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4、投标方需提供50</w:t>
      </w:r>
      <w:r>
        <w:rPr>
          <w:rFonts w:ascii="仿宋_GB2312" w:hAnsi="仿宋" w:eastAsia="仿宋_GB2312" w:cs="仿宋_GB2312"/>
          <w:bCs/>
          <w:color w:val="auto"/>
          <w:sz w:val="24"/>
          <w:highlight w:val="none"/>
        </w:rPr>
        <w:t xml:space="preserve"> </w:t>
      </w:r>
      <w:r>
        <w:rPr>
          <w:rFonts w:hint="eastAsia" w:ascii="仿宋_GB2312" w:hAnsi="仿宋" w:eastAsia="仿宋_GB2312" w:cs="仿宋_GB2312"/>
          <w:bCs/>
          <w:color w:val="auto"/>
          <w:sz w:val="24"/>
          <w:highlight w:val="none"/>
        </w:rPr>
        <w:t>套保安七件套，50套反光背心，50个强光手电，50个手持金属探测仪。</w:t>
      </w:r>
    </w:p>
    <w:p>
      <w:pPr>
        <w:spacing w:line="360" w:lineRule="auto"/>
        <w:ind w:firstLine="480" w:firstLineChars="200"/>
        <w:rPr>
          <w:rFonts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5、所有安保人员经场馆安</w:t>
      </w:r>
      <w:r>
        <w:rPr>
          <w:rFonts w:hint="eastAsia" w:ascii="仿宋_GB2312" w:hAnsi="仿宋" w:eastAsia="仿宋_GB2312" w:cs="仿宋_GB2312"/>
          <w:bCs/>
          <w:color w:val="auto"/>
          <w:sz w:val="24"/>
          <w:highlight w:val="none"/>
        </w:rPr>
        <w:t>保团队测试合格方可上岗，安保人员的培训时间不计入工作时间。</w:t>
      </w:r>
    </w:p>
    <w:p>
      <w:pPr>
        <w:spacing w:line="360" w:lineRule="auto"/>
        <w:ind w:firstLine="480" w:firstLineChars="200"/>
        <w:rPr>
          <w:rFonts w:hint="eastAsia"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6、为保证场馆安保工作的顺利开展，安保人员一经确定，原则上不得更换，安保人员</w:t>
      </w:r>
      <w:r>
        <w:rPr>
          <w:rFonts w:hint="eastAsia" w:ascii="仿宋_GB2312" w:hAnsi="仿宋" w:eastAsia="仿宋_GB2312" w:cs="仿宋_GB2312"/>
          <w:bCs/>
          <w:color w:val="auto"/>
          <w:sz w:val="24"/>
          <w:highlight w:val="none"/>
        </w:rPr>
        <w:t>应保证赛事期间95%以上的人员不能变动。</w:t>
      </w:r>
    </w:p>
    <w:p>
      <w:pPr>
        <w:spacing w:line="360" w:lineRule="auto"/>
        <w:ind w:firstLine="480" w:firstLineChars="200"/>
        <w:rPr>
          <w:rFonts w:hint="eastAsia" w:ascii="仿宋_GB2312" w:hAnsi="仿宋" w:eastAsia="仿宋_GB2312" w:cs="仿宋_GB2312"/>
          <w:bCs/>
          <w:color w:val="auto"/>
          <w:sz w:val="24"/>
          <w:highlight w:val="none"/>
          <w:lang w:val="en-US" w:eastAsia="zh-CN"/>
        </w:rPr>
      </w:pPr>
      <w:r>
        <w:rPr>
          <w:rFonts w:hint="eastAsia" w:ascii="仿宋_GB2312" w:hAnsi="仿宋" w:eastAsia="仿宋_GB2312" w:cs="仿宋_GB2312"/>
          <w:bCs/>
          <w:color w:val="auto"/>
          <w:sz w:val="24"/>
          <w:highlight w:val="none"/>
        </w:rPr>
        <w:t>▲</w:t>
      </w:r>
      <w:r>
        <w:rPr>
          <w:rFonts w:hint="eastAsia" w:ascii="仿宋_GB2312" w:hAnsi="仿宋" w:eastAsia="仿宋_GB2312" w:cs="仿宋_GB2312"/>
          <w:bCs/>
          <w:color w:val="auto"/>
          <w:sz w:val="24"/>
          <w:highlight w:val="none"/>
          <w:lang w:val="en-US" w:eastAsia="zh-CN"/>
        </w:rPr>
        <w:t xml:space="preserve"> 7、</w:t>
      </w:r>
      <w:r>
        <w:rPr>
          <w:rFonts w:hint="eastAsia" w:ascii="仿宋_GB2312" w:hAnsi="仿宋" w:eastAsia="仿宋_GB2312" w:cs="仿宋_GB2312"/>
          <w:bCs/>
          <w:color w:val="auto"/>
          <w:sz w:val="24"/>
          <w:highlight w:val="none"/>
        </w:rPr>
        <w:t>投标方需</w:t>
      </w:r>
      <w:r>
        <w:rPr>
          <w:rFonts w:hint="eastAsia" w:ascii="仿宋_GB2312" w:hAnsi="仿宋" w:eastAsia="仿宋_GB2312" w:cs="仿宋_GB2312"/>
          <w:bCs/>
          <w:color w:val="auto"/>
          <w:sz w:val="24"/>
          <w:highlight w:val="none"/>
          <w:lang w:val="en-US" w:eastAsia="zh-CN"/>
        </w:rPr>
        <w:t>承诺无条件配合采购人因勤务工作要求而提出的租赁设备的租赁时间、数量和摆放位置的调整。</w:t>
      </w:r>
    </w:p>
    <w:p>
      <w:pPr>
        <w:spacing w:line="360" w:lineRule="auto"/>
        <w:ind w:firstLine="480" w:firstLineChars="200"/>
        <w:rPr>
          <w:rFonts w:hint="eastAsia"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 xml:space="preserve">▲ </w:t>
      </w:r>
      <w:r>
        <w:rPr>
          <w:rFonts w:hint="eastAsia" w:ascii="仿宋_GB2312" w:hAnsi="仿宋" w:eastAsia="仿宋_GB2312" w:cs="仿宋_GB2312"/>
          <w:bCs/>
          <w:color w:val="auto"/>
          <w:sz w:val="24"/>
          <w:highlight w:val="none"/>
          <w:lang w:val="en-US" w:eastAsia="zh-CN"/>
        </w:rPr>
        <w:t>8</w:t>
      </w:r>
      <w:r>
        <w:rPr>
          <w:rFonts w:hint="eastAsia" w:ascii="仿宋_GB2312" w:hAnsi="仿宋" w:eastAsia="仿宋_GB2312" w:cs="仿宋_GB2312"/>
          <w:bCs/>
          <w:color w:val="auto"/>
          <w:sz w:val="24"/>
          <w:highlight w:val="none"/>
        </w:rPr>
        <w:t>、项目安保人员的工资社保待遇不得低于杭州地区目前人均最低工资标准，按国家规定给项目安保人员缴纳法定费用。</w:t>
      </w:r>
    </w:p>
    <w:p>
      <w:pPr>
        <w:spacing w:line="360" w:lineRule="auto"/>
        <w:ind w:firstLine="241" w:firstLineChars="100"/>
        <w:rPr>
          <w:rFonts w:ascii="仿宋" w:hAnsi="仿宋" w:eastAsia="仿宋"/>
          <w:b/>
          <w:bCs/>
          <w:color w:val="auto"/>
          <w:kern w:val="0"/>
          <w:sz w:val="24"/>
          <w:highlight w:val="none"/>
        </w:rPr>
      </w:pPr>
      <w:r>
        <w:rPr>
          <w:rFonts w:hint="eastAsia" w:ascii="仿宋" w:hAnsi="仿宋" w:eastAsia="仿宋"/>
          <w:b/>
          <w:bCs/>
          <w:color w:val="auto"/>
          <w:kern w:val="0"/>
          <w:sz w:val="24"/>
          <w:highlight w:val="none"/>
        </w:rPr>
        <w:t>四、安检等设备租赁</w:t>
      </w:r>
    </w:p>
    <w:p>
      <w:pPr>
        <w:spacing w:line="360" w:lineRule="auto"/>
        <w:ind w:firstLine="480" w:firstLineChars="200"/>
        <w:rPr>
          <w:rFonts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 xml:space="preserve">1、设备清单及租赁期： </w:t>
      </w:r>
    </w:p>
    <w:p>
      <w:pPr>
        <w:spacing w:line="360" w:lineRule="auto"/>
        <w:ind w:firstLine="480" w:firstLineChars="200"/>
        <w:rPr>
          <w:rFonts w:hint="eastAsia"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（1）一号门设备清单及租赁期2023年9月24日至2023年10月28日，共35天 。</w:t>
      </w:r>
    </w:p>
    <w:p>
      <w:pPr>
        <w:spacing w:line="360" w:lineRule="auto"/>
        <w:ind w:firstLine="480" w:firstLineChars="200"/>
        <w:rPr>
          <w:rFonts w:hint="eastAsia"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（2）二号门设备清单及租赁期2023年9月10日至2023年10月28日，共49天 。</w:t>
      </w:r>
    </w:p>
    <w:p>
      <w:pPr>
        <w:spacing w:line="360" w:lineRule="auto"/>
        <w:ind w:firstLine="480" w:firstLineChars="200"/>
        <w:rPr>
          <w:rFonts w:hint="eastAsia"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2、设备要求：所有租赁设备及备品备件满足产品参数要求，保证为九成新以上且经过性能测试合格。所有设备按照采购人要求完成赛事期间场馆区域内运输拆装，不限次数。</w:t>
      </w:r>
    </w:p>
    <w:p>
      <w:pPr>
        <w:spacing w:line="360" w:lineRule="auto"/>
        <w:ind w:firstLine="480" w:firstLineChars="200"/>
        <w:rPr>
          <w:rFonts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3、维修配件及备品备件：所有租赁设备必须配足量维修零配件，并按照租赁数量提供10%以上备品备件，不足一套（台、个、米、门）的至少提供一套（台、个、米、门），与租赁设备同步运抵安保现场或甲方认可的地点，以便随时取用更换。</w:t>
      </w:r>
    </w:p>
    <w:p>
      <w:pPr>
        <w:spacing w:line="360" w:lineRule="auto"/>
        <w:ind w:firstLine="480" w:firstLineChars="200"/>
        <w:rPr>
          <w:rFonts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4、响应要求：遇设备故障，应在接到故障报告后1小时内修复，1小时不能修复的，必须启用相应备品备件，因启用备品备件导致有效备品备件数量不足响应要求的，应在24小时内补充完毕。</w:t>
      </w:r>
    </w:p>
    <w:p>
      <w:pPr>
        <w:spacing w:line="360" w:lineRule="auto"/>
        <w:ind w:firstLine="480" w:firstLineChars="200"/>
        <w:rPr>
          <w:rFonts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5、其他要求：</w:t>
      </w:r>
    </w:p>
    <w:p>
      <w:pPr>
        <w:spacing w:line="360" w:lineRule="auto"/>
        <w:ind w:firstLine="480" w:firstLineChars="200"/>
        <w:rPr>
          <w:rFonts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X光机和安检门必须配备相应适配的交换机和硬盘。</w:t>
      </w:r>
    </w:p>
    <w:p>
      <w:pPr>
        <w:spacing w:line="360" w:lineRule="auto"/>
        <w:ind w:firstLine="480" w:firstLineChars="200"/>
        <w:rPr>
          <w:rFonts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 为确保租赁期租赁设备的正常使用，投标方需承诺提供至少2名技术服务人员全程现场服务。</w:t>
      </w:r>
    </w:p>
    <w:p>
      <w:pPr>
        <w:spacing w:line="360" w:lineRule="auto"/>
        <w:rPr>
          <w:rFonts w:ascii="仿宋" w:hAnsi="仿宋" w:eastAsia="仿宋"/>
          <w:color w:val="auto"/>
          <w:kern w:val="0"/>
          <w:sz w:val="24"/>
          <w:highlight w:val="none"/>
        </w:rPr>
      </w:pPr>
      <w:r>
        <w:rPr>
          <w:rFonts w:hint="eastAsia" w:ascii="仿宋" w:hAnsi="仿宋" w:eastAsia="仿宋" w:cs="宋体"/>
          <w:b/>
          <w:color w:val="auto"/>
          <w:sz w:val="24"/>
          <w:highlight w:val="none"/>
        </w:rPr>
        <w:t>五</w:t>
      </w:r>
      <w:r>
        <w:rPr>
          <w:rFonts w:hint="eastAsia" w:ascii="仿宋" w:hAnsi="仿宋" w:eastAsia="仿宋" w:cs="宋体"/>
          <w:b/>
          <w:color w:val="auto"/>
          <w:sz w:val="24"/>
          <w:highlight w:val="none"/>
          <w:lang w:val="zh-TW" w:eastAsia="zh-TW"/>
        </w:rPr>
        <w:t>、</w:t>
      </w:r>
      <w:r>
        <w:rPr>
          <w:rFonts w:hint="eastAsia" w:ascii="仿宋" w:hAnsi="仿宋" w:eastAsia="仿宋"/>
          <w:b/>
          <w:bCs/>
          <w:color w:val="auto"/>
          <w:kern w:val="0"/>
          <w:sz w:val="24"/>
          <w:highlight w:val="none"/>
        </w:rPr>
        <w:t>安检、保安主要职责</w:t>
      </w:r>
    </w:p>
    <w:p>
      <w:pPr>
        <w:spacing w:line="360" w:lineRule="auto"/>
        <w:ind w:firstLine="240" w:firstLineChars="100"/>
        <w:rPr>
          <w:rFonts w:ascii="仿宋" w:hAnsi="仿宋" w:eastAsia="仿宋"/>
          <w:color w:val="auto"/>
          <w:kern w:val="0"/>
          <w:sz w:val="24"/>
          <w:highlight w:val="none"/>
        </w:rPr>
      </w:pPr>
      <w:r>
        <w:rPr>
          <w:rFonts w:hint="eastAsia" w:ascii="仿宋" w:hAnsi="仿宋" w:eastAsia="仿宋"/>
          <w:color w:val="auto"/>
          <w:kern w:val="0"/>
          <w:sz w:val="24"/>
          <w:highlight w:val="none"/>
        </w:rPr>
        <w:t>（一）保安服务的主要职责</w:t>
      </w:r>
    </w:p>
    <w:p>
      <w:pPr>
        <w:spacing w:line="360" w:lineRule="auto"/>
        <w:ind w:firstLine="720" w:firstLineChars="300"/>
        <w:rPr>
          <w:rFonts w:ascii="仿宋" w:hAnsi="仿宋" w:eastAsia="仿宋"/>
          <w:color w:val="auto"/>
          <w:kern w:val="0"/>
          <w:sz w:val="24"/>
          <w:highlight w:val="none"/>
        </w:rPr>
      </w:pPr>
      <w:r>
        <w:rPr>
          <w:rFonts w:hint="eastAsia" w:ascii="仿宋" w:hAnsi="仿宋" w:eastAsia="仿宋"/>
          <w:color w:val="auto"/>
          <w:kern w:val="0"/>
          <w:sz w:val="24"/>
          <w:highlight w:val="none"/>
        </w:rPr>
        <w:t>1.负责项目各阶段安检口的秩序维护，</w:t>
      </w:r>
    </w:p>
    <w:p>
      <w:pPr>
        <w:spacing w:line="360" w:lineRule="auto"/>
        <w:ind w:firstLine="720" w:firstLineChars="300"/>
        <w:rPr>
          <w:rFonts w:ascii="仿宋" w:hAnsi="仿宋" w:eastAsia="仿宋"/>
          <w:color w:val="auto"/>
          <w:kern w:val="0"/>
          <w:sz w:val="24"/>
          <w:highlight w:val="none"/>
        </w:rPr>
      </w:pPr>
      <w:r>
        <w:rPr>
          <w:rFonts w:hint="eastAsia" w:ascii="仿宋" w:hAnsi="仿宋" w:eastAsia="仿宋"/>
          <w:color w:val="auto"/>
          <w:kern w:val="0"/>
          <w:sz w:val="24"/>
          <w:highlight w:val="none"/>
        </w:rPr>
        <w:t>2.负责项目各阶段夜间场馆内设施设备及场馆的安全维护，</w:t>
      </w:r>
    </w:p>
    <w:p>
      <w:pPr>
        <w:spacing w:line="360" w:lineRule="auto"/>
        <w:ind w:firstLine="720" w:firstLineChars="300"/>
        <w:rPr>
          <w:rFonts w:ascii="仿宋" w:hAnsi="仿宋" w:eastAsia="仿宋"/>
          <w:color w:val="auto"/>
          <w:kern w:val="0"/>
          <w:sz w:val="24"/>
          <w:highlight w:val="none"/>
        </w:rPr>
      </w:pPr>
      <w:r>
        <w:rPr>
          <w:rFonts w:hint="eastAsia" w:ascii="仿宋" w:hAnsi="仿宋" w:eastAsia="仿宋"/>
          <w:color w:val="auto"/>
          <w:kern w:val="0"/>
          <w:sz w:val="24"/>
          <w:highlight w:val="none"/>
        </w:rPr>
        <w:t>3.负责</w:t>
      </w:r>
      <w:r>
        <w:rPr>
          <w:rFonts w:ascii="仿宋" w:hAnsi="仿宋" w:eastAsia="仿宋"/>
          <w:color w:val="auto"/>
          <w:kern w:val="0"/>
          <w:sz w:val="24"/>
          <w:highlight w:val="none"/>
        </w:rPr>
        <w:t>各阶段出入口的突发事件处置，</w:t>
      </w:r>
    </w:p>
    <w:p>
      <w:pPr>
        <w:spacing w:line="360" w:lineRule="auto"/>
        <w:ind w:firstLine="720" w:firstLineChars="300"/>
        <w:rPr>
          <w:rFonts w:ascii="仿宋" w:hAnsi="仿宋" w:eastAsia="仿宋"/>
          <w:color w:val="auto"/>
          <w:kern w:val="0"/>
          <w:sz w:val="24"/>
          <w:highlight w:val="none"/>
        </w:rPr>
      </w:pPr>
      <w:r>
        <w:rPr>
          <w:rFonts w:ascii="仿宋" w:hAnsi="仿宋" w:eastAsia="仿宋"/>
          <w:color w:val="auto"/>
          <w:kern w:val="0"/>
          <w:sz w:val="24"/>
          <w:highlight w:val="none"/>
        </w:rPr>
        <w:t>4</w:t>
      </w:r>
      <w:r>
        <w:rPr>
          <w:rFonts w:hint="eastAsia" w:ascii="仿宋" w:hAnsi="仿宋" w:eastAsia="仿宋"/>
          <w:color w:val="auto"/>
          <w:kern w:val="0"/>
          <w:sz w:val="24"/>
          <w:highlight w:val="none"/>
        </w:rPr>
        <w:t>.</w:t>
      </w:r>
      <w:r>
        <w:rPr>
          <w:rFonts w:ascii="仿宋" w:hAnsi="仿宋" w:eastAsia="仿宋"/>
          <w:color w:val="auto"/>
          <w:kern w:val="0"/>
          <w:sz w:val="24"/>
          <w:highlight w:val="none"/>
        </w:rPr>
        <w:t>招标人的</w:t>
      </w:r>
      <w:r>
        <w:rPr>
          <w:rFonts w:hint="eastAsia" w:ascii="仿宋" w:hAnsi="仿宋" w:eastAsia="仿宋"/>
          <w:color w:val="auto"/>
          <w:kern w:val="0"/>
          <w:sz w:val="24"/>
          <w:highlight w:val="none"/>
        </w:rPr>
        <w:t>要求的</w:t>
      </w:r>
      <w:r>
        <w:rPr>
          <w:rFonts w:ascii="仿宋" w:hAnsi="仿宋" w:eastAsia="仿宋"/>
          <w:color w:val="auto"/>
          <w:kern w:val="0"/>
          <w:sz w:val="24"/>
          <w:highlight w:val="none"/>
        </w:rPr>
        <w:t>本项目</w:t>
      </w:r>
      <w:r>
        <w:rPr>
          <w:rFonts w:hint="eastAsia" w:ascii="仿宋" w:hAnsi="仿宋" w:eastAsia="仿宋"/>
          <w:color w:val="auto"/>
          <w:kern w:val="0"/>
          <w:sz w:val="24"/>
          <w:highlight w:val="none"/>
        </w:rPr>
        <w:t>范围内</w:t>
      </w:r>
      <w:r>
        <w:rPr>
          <w:rFonts w:ascii="仿宋" w:hAnsi="仿宋" w:eastAsia="仿宋"/>
          <w:color w:val="auto"/>
          <w:kern w:val="0"/>
          <w:sz w:val="24"/>
          <w:highlight w:val="none"/>
        </w:rPr>
        <w:t>其他安全保卫工作。</w:t>
      </w:r>
    </w:p>
    <w:p>
      <w:pPr>
        <w:spacing w:line="360" w:lineRule="auto"/>
        <w:ind w:firstLine="240" w:firstLineChars="100"/>
        <w:rPr>
          <w:rFonts w:ascii="仿宋" w:hAnsi="仿宋" w:eastAsia="仿宋"/>
          <w:color w:val="auto"/>
          <w:kern w:val="0"/>
          <w:sz w:val="24"/>
          <w:highlight w:val="none"/>
        </w:rPr>
      </w:pPr>
      <w:r>
        <w:rPr>
          <w:rFonts w:ascii="仿宋" w:hAnsi="仿宋" w:eastAsia="仿宋"/>
          <w:color w:val="auto"/>
          <w:kern w:val="0"/>
          <w:sz w:val="24"/>
          <w:highlight w:val="none"/>
        </w:rPr>
        <w:t>（二）安检员的</w:t>
      </w:r>
      <w:r>
        <w:rPr>
          <w:rFonts w:hint="eastAsia" w:ascii="仿宋" w:hAnsi="仿宋" w:eastAsia="仿宋"/>
          <w:color w:val="auto"/>
          <w:kern w:val="0"/>
          <w:sz w:val="24"/>
          <w:highlight w:val="none"/>
        </w:rPr>
        <w:t>主要职责</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1.对易燃、易爆和其他禁止携带的危险物品，应予以熟记。</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2.受检者携带的超长、超高、超大物品(体积大于X射线安检机检测通道)；易碎品(如：玻璃器皿、工艺品等)；易损物品(食品、药品等)；不适合使用X射线安检机检查的金属工具等物品进行手检。</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3.仔细检查可疑箱包。</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3.1打开包装前应有公安人员在场。通知被检查人员不得携带易燃易爆危险品。</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3.2查包时态度和蔼，使用文明用语。</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3.3接受检验的箱包应轻拿轻放。</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3.4开箱检查时，尽量让受检者自己打开箱子。</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3.5引导受检者自行将箱包放在安检仪上，需让箱包重新通过安检仪。</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3.6检查包裹时，要由外向内，由上向下，逐个检查。</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3.7被检者在打开箱包后，开始对包内物品进行检查。</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3.8对查获的危险品进行登记，交公安机关处理。</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3.9不试、不尝、不碰、不被检查之物品损坏。</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3.10确认无危险品后，将包内物品按原位复位，恢复包装，交还给受检者。</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4.受检者携带的液体须按规定进行逢液必检。</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5.严格执行报告程序，及时、准确并采用适当的方式(特别是注意避免引起危险的人)把在安全检查工作中遇到的各种情况或信息传递给其他同事。</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6.遇有特殊情况者，包括残疾人、怀孕妇女和行动不便的受检者主动进行手检。</w:t>
      </w:r>
    </w:p>
    <w:p>
      <w:pPr>
        <w:spacing w:line="360" w:lineRule="auto"/>
        <w:rPr>
          <w:rFonts w:ascii="仿宋" w:hAnsi="仿宋" w:eastAsia="仿宋"/>
          <w:b/>
          <w:bCs/>
          <w:color w:val="auto"/>
          <w:kern w:val="0"/>
          <w:sz w:val="24"/>
          <w:highlight w:val="none"/>
        </w:rPr>
      </w:pPr>
      <w:r>
        <w:rPr>
          <w:rFonts w:hint="eastAsia" w:ascii="仿宋" w:hAnsi="仿宋" w:eastAsia="仿宋"/>
          <w:b/>
          <w:bCs/>
          <w:color w:val="auto"/>
          <w:kern w:val="0"/>
          <w:sz w:val="24"/>
          <w:highlight w:val="none"/>
        </w:rPr>
        <w:t>六、安保工作要求</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1.</w:t>
      </w:r>
      <w:r>
        <w:rPr>
          <w:rFonts w:hint="eastAsia" w:ascii="仿宋" w:hAnsi="仿宋" w:eastAsia="仿宋" w:cs="仿宋_GB2312"/>
          <w:color w:val="auto"/>
          <w:sz w:val="24"/>
          <w:highlight w:val="none"/>
        </w:rPr>
        <w:t xml:space="preserve"> 安保工作规范要求</w:t>
      </w:r>
      <w:r>
        <w:rPr>
          <w:rFonts w:hint="eastAsia" w:ascii="仿宋" w:hAnsi="仿宋" w:eastAsia="仿宋"/>
          <w:color w:val="auto"/>
          <w:kern w:val="0"/>
          <w:sz w:val="24"/>
          <w:highlight w:val="none"/>
        </w:rPr>
        <w:t>：</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1.1按规着装，上岗时不得用餐、抽烟、不与人闲聊，不随意接听电话，不做与工作无关的事情，保持良好的形象。</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1.2项目服务人员要有高度的责任感，严格遵守安保职业道德，上岗值班，不得擅自离岗。</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1.3对待服务对象要态度和蔼、语言谦虚，不急不躁，认真细致；不得冷淡、刁难、取笑他人。对方态度不好，一定要耐心解释。</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1.4与服务对象交谈要使用普通话，说话要清楚，用词准确、言简易懂，不讲有损项目形象的话。</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1.5项目服务人员要主动进行业务练兵，摸熟摸透与安全、安检工作相关的环境、人员、设施等因素，掌握接待、应对基本功，以熟生巧，以提高业务知识和技能来提高工作效率。</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1.6项目服务人员要妥善保管各类设施设备确保能够正常使用。</w:t>
      </w:r>
    </w:p>
    <w:p>
      <w:pPr>
        <w:spacing w:line="360" w:lineRule="auto"/>
        <w:ind w:firstLine="0" w:firstLineChars="0"/>
        <w:rPr>
          <w:rFonts w:hint="eastAsia" w:ascii="仿宋_GB2312" w:hAnsi="仿宋" w:eastAsia="仿宋_GB2312" w:cs="仿宋_GB2312"/>
          <w:b/>
          <w:color w:val="auto"/>
          <w:highlight w:val="none"/>
        </w:rPr>
      </w:pPr>
      <w:r>
        <w:rPr>
          <w:rFonts w:hint="eastAsia" w:ascii="仿宋_GB2312" w:hAnsi="仿宋" w:eastAsia="仿宋_GB2312" w:cs="仿宋_GB2312"/>
          <w:b/>
          <w:color w:val="auto"/>
          <w:highlight w:val="none"/>
        </w:rPr>
        <w:br w:type="page"/>
      </w:r>
    </w:p>
    <w:p>
      <w:pPr>
        <w:snapToGrid w:val="0"/>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bookmarkStart w:id="27" w:name="_Toc184310307"/>
      <w:bookmarkEnd w:id="27"/>
      <w:bookmarkStart w:id="28" w:name="_Toc184312136"/>
      <w:bookmarkEnd w:id="28"/>
      <w:bookmarkStart w:id="29" w:name="_Toc184313260"/>
      <w:bookmarkEnd w:id="29"/>
      <w:bookmarkStart w:id="30" w:name="_Toc184310288"/>
      <w:bookmarkEnd w:id="30"/>
      <w:bookmarkStart w:id="31" w:name="_Toc184314460"/>
      <w:bookmarkEnd w:id="31"/>
      <w:bookmarkStart w:id="32" w:name="_Toc184313278"/>
      <w:bookmarkEnd w:id="32"/>
      <w:bookmarkStart w:id="33" w:name="_Toc184312120"/>
      <w:bookmarkEnd w:id="33"/>
      <w:bookmarkStart w:id="34" w:name="_Toc184308065"/>
      <w:bookmarkEnd w:id="34"/>
      <w:bookmarkStart w:id="35" w:name="_Toc184314481"/>
      <w:bookmarkEnd w:id="35"/>
      <w:bookmarkStart w:id="36" w:name="_Toc184313287"/>
      <w:bookmarkEnd w:id="36"/>
      <w:bookmarkStart w:id="37" w:name="_Toc184312100"/>
      <w:bookmarkEnd w:id="37"/>
      <w:bookmarkStart w:id="38" w:name="_Toc184314454"/>
      <w:bookmarkEnd w:id="38"/>
      <w:bookmarkStart w:id="39" w:name="_Toc184312124"/>
      <w:bookmarkEnd w:id="39"/>
      <w:bookmarkStart w:id="40" w:name="_Toc184308075"/>
      <w:bookmarkEnd w:id="40"/>
      <w:bookmarkStart w:id="41" w:name="_Toc184308047"/>
      <w:bookmarkEnd w:id="41"/>
      <w:bookmarkStart w:id="42" w:name="_Toc184314422"/>
      <w:bookmarkEnd w:id="42"/>
      <w:bookmarkStart w:id="43" w:name="_Toc184312084"/>
      <w:bookmarkEnd w:id="43"/>
      <w:bookmarkStart w:id="44" w:name="_Toc184313292"/>
      <w:bookmarkEnd w:id="44"/>
      <w:bookmarkStart w:id="45" w:name="_Toc184312087"/>
      <w:bookmarkEnd w:id="45"/>
      <w:bookmarkStart w:id="46" w:name="_Toc184308081"/>
      <w:bookmarkEnd w:id="46"/>
      <w:bookmarkStart w:id="47" w:name="_Toc184314479"/>
      <w:bookmarkEnd w:id="47"/>
      <w:bookmarkStart w:id="48" w:name="_Toc184313291"/>
      <w:bookmarkEnd w:id="48"/>
      <w:bookmarkStart w:id="49" w:name="_Toc184312122"/>
      <w:bookmarkEnd w:id="49"/>
      <w:bookmarkStart w:id="50" w:name="_Toc184312090"/>
      <w:bookmarkEnd w:id="50"/>
      <w:bookmarkStart w:id="51" w:name="_Toc184310303"/>
      <w:bookmarkEnd w:id="51"/>
      <w:bookmarkStart w:id="52" w:name="_Toc184314462"/>
      <w:bookmarkEnd w:id="52"/>
      <w:bookmarkStart w:id="53" w:name="_Toc184313238"/>
      <w:bookmarkEnd w:id="53"/>
      <w:bookmarkStart w:id="54" w:name="_Toc184313246"/>
      <w:bookmarkEnd w:id="54"/>
      <w:bookmarkStart w:id="55" w:name="_Toc184313305"/>
      <w:bookmarkEnd w:id="55"/>
      <w:bookmarkStart w:id="56" w:name="_Toc184313281"/>
      <w:bookmarkEnd w:id="56"/>
      <w:bookmarkStart w:id="57" w:name="_Toc184312118"/>
      <w:bookmarkEnd w:id="57"/>
      <w:bookmarkStart w:id="58" w:name="_Toc184312111"/>
      <w:bookmarkEnd w:id="58"/>
      <w:bookmarkStart w:id="59" w:name="_Toc184313242"/>
      <w:bookmarkEnd w:id="59"/>
      <w:bookmarkStart w:id="60" w:name="_Toc184308071"/>
      <w:bookmarkEnd w:id="60"/>
      <w:bookmarkStart w:id="61" w:name="_Toc184314463"/>
      <w:bookmarkEnd w:id="61"/>
      <w:bookmarkStart w:id="62" w:name="_Toc184312116"/>
      <w:bookmarkEnd w:id="62"/>
      <w:bookmarkStart w:id="63" w:name="_Toc184310315"/>
      <w:bookmarkEnd w:id="63"/>
      <w:bookmarkStart w:id="64" w:name="_Toc184313274"/>
      <w:bookmarkEnd w:id="64"/>
      <w:bookmarkStart w:id="65" w:name="_Toc184313299"/>
      <w:bookmarkEnd w:id="65"/>
      <w:bookmarkStart w:id="66" w:name="_Toc184310327"/>
      <w:bookmarkEnd w:id="66"/>
      <w:bookmarkStart w:id="67" w:name="_Toc184313244"/>
      <w:bookmarkEnd w:id="67"/>
      <w:bookmarkStart w:id="68" w:name="_Toc184314420"/>
      <w:bookmarkEnd w:id="68"/>
      <w:bookmarkStart w:id="69" w:name="_Toc184310293"/>
      <w:bookmarkEnd w:id="69"/>
      <w:bookmarkStart w:id="70" w:name="_Toc184312102"/>
      <w:bookmarkEnd w:id="70"/>
      <w:bookmarkStart w:id="71" w:name="_Toc184314471"/>
      <w:bookmarkEnd w:id="71"/>
      <w:bookmarkStart w:id="72" w:name="_Toc184313296"/>
      <w:bookmarkEnd w:id="72"/>
      <w:bookmarkStart w:id="73" w:name="_Toc184314475"/>
      <w:bookmarkEnd w:id="73"/>
      <w:bookmarkStart w:id="74" w:name="_Toc184308050"/>
      <w:bookmarkEnd w:id="74"/>
      <w:bookmarkStart w:id="75" w:name="_Toc184310328"/>
      <w:bookmarkEnd w:id="75"/>
      <w:bookmarkStart w:id="76" w:name="_Toc184308076"/>
      <w:bookmarkEnd w:id="76"/>
      <w:bookmarkStart w:id="77" w:name="_Toc184314469"/>
      <w:bookmarkEnd w:id="77"/>
      <w:bookmarkStart w:id="78" w:name="_Toc184312129"/>
      <w:bookmarkEnd w:id="78"/>
      <w:bookmarkStart w:id="79" w:name="_Toc184312104"/>
      <w:bookmarkEnd w:id="79"/>
      <w:bookmarkStart w:id="80" w:name="_Toc184312093"/>
      <w:bookmarkEnd w:id="80"/>
      <w:bookmarkStart w:id="81" w:name="_Toc184313279"/>
      <w:bookmarkEnd w:id="81"/>
      <w:bookmarkStart w:id="82" w:name="_Toc184308078"/>
      <w:bookmarkEnd w:id="82"/>
      <w:bookmarkStart w:id="83" w:name="_Toc184313282"/>
      <w:bookmarkEnd w:id="83"/>
      <w:bookmarkStart w:id="84" w:name="_Toc184312076"/>
      <w:bookmarkEnd w:id="84"/>
      <w:bookmarkStart w:id="85" w:name="_Toc184308086"/>
      <w:bookmarkEnd w:id="85"/>
      <w:bookmarkStart w:id="86" w:name="_Toc184312082"/>
      <w:bookmarkEnd w:id="86"/>
      <w:bookmarkStart w:id="87" w:name="_Toc184308105"/>
      <w:bookmarkEnd w:id="87"/>
      <w:bookmarkStart w:id="88" w:name="_Toc184312092"/>
      <w:bookmarkEnd w:id="88"/>
      <w:bookmarkStart w:id="89" w:name="_Toc184313267"/>
      <w:bookmarkEnd w:id="89"/>
      <w:bookmarkStart w:id="90" w:name="_Toc184310326"/>
      <w:bookmarkEnd w:id="90"/>
      <w:bookmarkStart w:id="91" w:name="_Toc184314415"/>
      <w:bookmarkEnd w:id="91"/>
      <w:bookmarkStart w:id="92" w:name="_Toc184310310"/>
      <w:bookmarkEnd w:id="92"/>
      <w:bookmarkStart w:id="93" w:name="_Toc184308041"/>
      <w:bookmarkEnd w:id="93"/>
      <w:bookmarkStart w:id="94" w:name="_Toc184308090"/>
      <w:bookmarkEnd w:id="94"/>
      <w:bookmarkStart w:id="95" w:name="_Toc184310340"/>
      <w:bookmarkEnd w:id="95"/>
      <w:bookmarkStart w:id="96" w:name="_Toc184314429"/>
      <w:bookmarkEnd w:id="96"/>
      <w:bookmarkStart w:id="97" w:name="_Toc184312106"/>
      <w:bookmarkEnd w:id="97"/>
      <w:bookmarkStart w:id="98" w:name="_Toc184313307"/>
      <w:bookmarkEnd w:id="98"/>
      <w:bookmarkStart w:id="99" w:name="_Toc184314461"/>
      <w:bookmarkEnd w:id="99"/>
      <w:bookmarkStart w:id="100" w:name="_Toc184310318"/>
      <w:bookmarkEnd w:id="100"/>
      <w:bookmarkStart w:id="101" w:name="_Toc184310289"/>
      <w:bookmarkEnd w:id="101"/>
      <w:bookmarkStart w:id="102" w:name="_Toc184314465"/>
      <w:bookmarkEnd w:id="102"/>
      <w:bookmarkStart w:id="103" w:name="_Toc184310283"/>
      <w:bookmarkEnd w:id="103"/>
      <w:bookmarkStart w:id="104" w:name="_Toc184314446"/>
      <w:bookmarkEnd w:id="104"/>
      <w:bookmarkStart w:id="105" w:name="_Toc184313249"/>
      <w:bookmarkEnd w:id="105"/>
      <w:bookmarkStart w:id="106" w:name="_Toc184310298"/>
      <w:bookmarkEnd w:id="106"/>
      <w:bookmarkStart w:id="107" w:name="_Toc184314452"/>
      <w:bookmarkEnd w:id="107"/>
      <w:bookmarkStart w:id="108" w:name="_Toc184312125"/>
      <w:bookmarkEnd w:id="108"/>
      <w:bookmarkStart w:id="109" w:name="_Toc184314468"/>
      <w:bookmarkEnd w:id="109"/>
      <w:bookmarkStart w:id="110" w:name="_Toc184310337"/>
      <w:bookmarkEnd w:id="110"/>
      <w:bookmarkStart w:id="111" w:name="_Toc184313277"/>
      <w:bookmarkEnd w:id="111"/>
      <w:bookmarkStart w:id="112" w:name="_Toc184308069"/>
      <w:bookmarkEnd w:id="112"/>
      <w:bookmarkStart w:id="113" w:name="_Toc184308070"/>
      <w:bookmarkEnd w:id="113"/>
      <w:bookmarkStart w:id="114" w:name="_Toc184308061"/>
      <w:bookmarkEnd w:id="114"/>
      <w:bookmarkStart w:id="115" w:name="_Toc184308048"/>
      <w:bookmarkEnd w:id="115"/>
      <w:bookmarkStart w:id="116" w:name="_Toc184308095"/>
      <w:bookmarkEnd w:id="116"/>
      <w:bookmarkStart w:id="117" w:name="_Toc184310324"/>
      <w:bookmarkEnd w:id="117"/>
      <w:bookmarkStart w:id="118" w:name="_Toc184310341"/>
      <w:bookmarkEnd w:id="118"/>
      <w:bookmarkStart w:id="119" w:name="_Toc184308072"/>
      <w:bookmarkEnd w:id="119"/>
      <w:bookmarkStart w:id="120" w:name="_Toc184314473"/>
      <w:bookmarkEnd w:id="120"/>
      <w:bookmarkStart w:id="121" w:name="_Toc184313276"/>
      <w:bookmarkEnd w:id="121"/>
      <w:bookmarkStart w:id="122" w:name="_Toc184313300"/>
      <w:bookmarkEnd w:id="122"/>
      <w:bookmarkStart w:id="123" w:name="_Toc184314482"/>
      <w:bookmarkEnd w:id="123"/>
      <w:bookmarkStart w:id="124" w:name="_Toc184313269"/>
      <w:bookmarkEnd w:id="124"/>
      <w:bookmarkStart w:id="125" w:name="_Toc184313247"/>
      <w:bookmarkEnd w:id="125"/>
      <w:bookmarkStart w:id="126" w:name="_Toc184313252"/>
      <w:bookmarkEnd w:id="126"/>
      <w:bookmarkStart w:id="127" w:name="_Toc184313302"/>
      <w:bookmarkEnd w:id="127"/>
      <w:bookmarkStart w:id="128" w:name="_Toc184314480"/>
      <w:bookmarkEnd w:id="128"/>
      <w:bookmarkStart w:id="129" w:name="_Toc184313239"/>
      <w:bookmarkEnd w:id="129"/>
      <w:bookmarkStart w:id="130" w:name="_Toc184312119"/>
      <w:bookmarkEnd w:id="130"/>
      <w:bookmarkStart w:id="131" w:name="_Toc184312127"/>
      <w:bookmarkEnd w:id="131"/>
      <w:bookmarkStart w:id="132" w:name="_Toc184313251"/>
      <w:bookmarkEnd w:id="132"/>
      <w:bookmarkStart w:id="133" w:name="_Toc184310308"/>
      <w:bookmarkEnd w:id="133"/>
      <w:bookmarkStart w:id="134" w:name="_Toc184313262"/>
      <w:bookmarkEnd w:id="134"/>
      <w:bookmarkStart w:id="135" w:name="_Toc184312094"/>
      <w:bookmarkEnd w:id="135"/>
      <w:bookmarkStart w:id="136" w:name="_Toc184310296"/>
      <w:bookmarkEnd w:id="136"/>
      <w:bookmarkStart w:id="137" w:name="_Toc184314424"/>
      <w:bookmarkEnd w:id="137"/>
      <w:bookmarkStart w:id="138" w:name="_Toc184310273"/>
      <w:bookmarkEnd w:id="138"/>
      <w:bookmarkStart w:id="139" w:name="_Toc184312095"/>
      <w:bookmarkEnd w:id="139"/>
      <w:bookmarkStart w:id="140" w:name="_Toc184312080"/>
      <w:bookmarkEnd w:id="140"/>
      <w:bookmarkStart w:id="141" w:name="_Toc184308039"/>
      <w:bookmarkEnd w:id="141"/>
      <w:bookmarkStart w:id="142" w:name="_Toc184310280"/>
      <w:bookmarkEnd w:id="142"/>
      <w:bookmarkStart w:id="143" w:name="_Toc184313288"/>
      <w:bookmarkEnd w:id="143"/>
      <w:bookmarkStart w:id="144" w:name="_Toc184308067"/>
      <w:bookmarkEnd w:id="144"/>
      <w:bookmarkStart w:id="145" w:name="_Toc184314451"/>
      <w:bookmarkEnd w:id="145"/>
      <w:bookmarkStart w:id="146" w:name="_Toc184308074"/>
      <w:bookmarkEnd w:id="146"/>
      <w:bookmarkStart w:id="147" w:name="_Toc184314439"/>
      <w:bookmarkEnd w:id="147"/>
      <w:bookmarkStart w:id="148" w:name="_Toc184313304"/>
      <w:bookmarkEnd w:id="148"/>
      <w:bookmarkStart w:id="149" w:name="_Toc184313261"/>
      <w:bookmarkEnd w:id="149"/>
      <w:bookmarkStart w:id="150" w:name="_Toc184312081"/>
      <w:bookmarkEnd w:id="150"/>
      <w:bookmarkStart w:id="151" w:name="_Toc184308066"/>
      <w:bookmarkEnd w:id="151"/>
      <w:bookmarkStart w:id="152" w:name="_Toc184310275"/>
      <w:bookmarkEnd w:id="152"/>
      <w:bookmarkStart w:id="153" w:name="_Toc184314467"/>
      <w:bookmarkEnd w:id="153"/>
      <w:bookmarkStart w:id="154" w:name="_Toc184310338"/>
      <w:bookmarkEnd w:id="154"/>
      <w:bookmarkStart w:id="155" w:name="_Toc184313255"/>
      <w:bookmarkEnd w:id="155"/>
      <w:bookmarkStart w:id="156" w:name="_Toc184314411"/>
      <w:bookmarkEnd w:id="156"/>
      <w:bookmarkStart w:id="157" w:name="_Toc184313259"/>
      <w:bookmarkEnd w:id="157"/>
      <w:bookmarkStart w:id="158" w:name="_Toc184314448"/>
      <w:bookmarkEnd w:id="158"/>
      <w:bookmarkStart w:id="159" w:name="_Toc184308042"/>
      <w:bookmarkEnd w:id="159"/>
      <w:bookmarkStart w:id="160" w:name="_Toc184310290"/>
      <w:bookmarkEnd w:id="160"/>
      <w:bookmarkStart w:id="161" w:name="_Toc184310320"/>
      <w:bookmarkEnd w:id="161"/>
      <w:bookmarkStart w:id="162" w:name="_Toc184314441"/>
      <w:bookmarkEnd w:id="162"/>
      <w:bookmarkStart w:id="163" w:name="_Toc184312083"/>
      <w:bookmarkEnd w:id="163"/>
      <w:bookmarkStart w:id="164" w:name="_Toc184312128"/>
      <w:bookmarkEnd w:id="164"/>
      <w:bookmarkStart w:id="165" w:name="_Toc184310329"/>
      <w:bookmarkEnd w:id="165"/>
      <w:bookmarkStart w:id="166" w:name="_Toc184308063"/>
      <w:bookmarkEnd w:id="166"/>
      <w:bookmarkStart w:id="167" w:name="_Toc184310291"/>
      <w:bookmarkEnd w:id="167"/>
      <w:bookmarkStart w:id="168" w:name="_Toc184308077"/>
      <w:bookmarkEnd w:id="168"/>
      <w:bookmarkStart w:id="169" w:name="_Toc184308043"/>
      <w:bookmarkEnd w:id="169"/>
      <w:bookmarkStart w:id="170" w:name="_Toc184310294"/>
      <w:bookmarkEnd w:id="170"/>
      <w:bookmarkStart w:id="171" w:name="_Toc184313266"/>
      <w:bookmarkEnd w:id="171"/>
      <w:bookmarkStart w:id="172" w:name="_Toc184308038"/>
      <w:bookmarkEnd w:id="172"/>
      <w:bookmarkStart w:id="173" w:name="_Toc184312072"/>
      <w:bookmarkEnd w:id="173"/>
      <w:bookmarkStart w:id="174" w:name="_Toc184308052"/>
      <w:bookmarkEnd w:id="174"/>
      <w:bookmarkStart w:id="175" w:name="_Toc184312097"/>
      <w:bookmarkEnd w:id="175"/>
      <w:bookmarkStart w:id="176" w:name="_Toc184308064"/>
      <w:bookmarkEnd w:id="176"/>
      <w:bookmarkStart w:id="177" w:name="_Toc184308044"/>
      <w:bookmarkEnd w:id="177"/>
      <w:bookmarkStart w:id="178" w:name="_Toc184314458"/>
      <w:bookmarkEnd w:id="178"/>
      <w:bookmarkStart w:id="179" w:name="_Toc184313301"/>
      <w:bookmarkEnd w:id="179"/>
      <w:bookmarkStart w:id="180" w:name="_Toc184314457"/>
      <w:bookmarkEnd w:id="180"/>
      <w:bookmarkStart w:id="181" w:name="_Toc184308082"/>
      <w:bookmarkEnd w:id="181"/>
      <w:bookmarkStart w:id="182" w:name="_Toc184314447"/>
      <w:bookmarkEnd w:id="182"/>
      <w:bookmarkStart w:id="183" w:name="_Toc184314477"/>
      <w:bookmarkEnd w:id="183"/>
      <w:bookmarkStart w:id="184" w:name="_Toc184314437"/>
      <w:bookmarkEnd w:id="184"/>
      <w:bookmarkStart w:id="185" w:name="_Toc184308051"/>
      <w:bookmarkEnd w:id="185"/>
      <w:bookmarkStart w:id="186" w:name="_Toc184310342"/>
      <w:bookmarkEnd w:id="186"/>
      <w:bookmarkStart w:id="187" w:name="_Toc184308046"/>
      <w:bookmarkEnd w:id="187"/>
      <w:bookmarkStart w:id="188" w:name="_Toc184308054"/>
      <w:bookmarkEnd w:id="188"/>
      <w:bookmarkStart w:id="189" w:name="_Toc184308092"/>
      <w:bookmarkEnd w:id="189"/>
      <w:bookmarkStart w:id="190" w:name="_Toc184312110"/>
      <w:bookmarkEnd w:id="190"/>
      <w:bookmarkStart w:id="191" w:name="_Toc184314449"/>
      <w:bookmarkEnd w:id="191"/>
      <w:bookmarkStart w:id="192" w:name="_Toc184313257"/>
      <w:bookmarkEnd w:id="192"/>
      <w:bookmarkStart w:id="193" w:name="_Toc184308059"/>
      <w:bookmarkEnd w:id="193"/>
      <w:bookmarkStart w:id="194" w:name="_Toc184308057"/>
      <w:bookmarkEnd w:id="194"/>
      <w:bookmarkStart w:id="195" w:name="_Toc184312079"/>
      <w:bookmarkEnd w:id="195"/>
      <w:bookmarkStart w:id="196" w:name="_Toc184312137"/>
      <w:bookmarkEnd w:id="196"/>
      <w:bookmarkStart w:id="197" w:name="_Toc184312139"/>
      <w:bookmarkEnd w:id="197"/>
      <w:bookmarkStart w:id="198" w:name="_Toc184308108"/>
      <w:bookmarkEnd w:id="198"/>
      <w:bookmarkStart w:id="199" w:name="_Toc184310295"/>
      <w:bookmarkEnd w:id="199"/>
      <w:bookmarkStart w:id="200" w:name="_Toc184312112"/>
      <w:bookmarkEnd w:id="200"/>
      <w:bookmarkStart w:id="201" w:name="_Toc184308089"/>
      <w:bookmarkEnd w:id="201"/>
      <w:bookmarkStart w:id="202" w:name="_Toc184313272"/>
      <w:bookmarkEnd w:id="202"/>
      <w:bookmarkStart w:id="203" w:name="_Toc184312105"/>
      <w:bookmarkEnd w:id="203"/>
      <w:bookmarkStart w:id="204" w:name="_Toc184314412"/>
      <w:bookmarkEnd w:id="204"/>
      <w:bookmarkStart w:id="205" w:name="_Toc184313308"/>
      <w:bookmarkEnd w:id="205"/>
      <w:bookmarkStart w:id="206" w:name="_Toc184312117"/>
      <w:bookmarkEnd w:id="206"/>
      <w:bookmarkStart w:id="207" w:name="_Toc184313256"/>
      <w:bookmarkEnd w:id="207"/>
      <w:bookmarkStart w:id="208" w:name="_Toc184308101"/>
      <w:bookmarkEnd w:id="208"/>
      <w:bookmarkStart w:id="209" w:name="_Toc184314417"/>
      <w:bookmarkEnd w:id="209"/>
      <w:bookmarkStart w:id="210" w:name="_Toc184313285"/>
      <w:bookmarkEnd w:id="210"/>
      <w:bookmarkStart w:id="211" w:name="_Toc184308107"/>
      <w:bookmarkEnd w:id="211"/>
      <w:bookmarkStart w:id="212" w:name="_Toc184310313"/>
      <w:bookmarkEnd w:id="212"/>
      <w:bookmarkStart w:id="213" w:name="_Toc184308099"/>
      <w:bookmarkEnd w:id="213"/>
      <w:bookmarkStart w:id="214" w:name="_Toc184313263"/>
      <w:bookmarkEnd w:id="214"/>
      <w:bookmarkStart w:id="215" w:name="_Toc184308062"/>
      <w:bookmarkEnd w:id="215"/>
      <w:bookmarkStart w:id="216" w:name="_Toc184310292"/>
      <w:bookmarkEnd w:id="216"/>
      <w:bookmarkStart w:id="217" w:name="_Toc184313293"/>
      <w:bookmarkEnd w:id="217"/>
      <w:bookmarkStart w:id="218" w:name="_Toc184314455"/>
      <w:bookmarkEnd w:id="218"/>
      <w:bookmarkStart w:id="219" w:name="_Toc184308073"/>
      <w:bookmarkEnd w:id="219"/>
      <w:bookmarkStart w:id="220" w:name="_Toc184310301"/>
      <w:bookmarkEnd w:id="220"/>
      <w:bookmarkStart w:id="221" w:name="_Toc184313253"/>
      <w:bookmarkEnd w:id="221"/>
      <w:bookmarkStart w:id="222" w:name="_Toc184312126"/>
      <w:bookmarkEnd w:id="222"/>
      <w:bookmarkStart w:id="223" w:name="_Toc184314414"/>
      <w:bookmarkEnd w:id="223"/>
      <w:bookmarkStart w:id="224" w:name="_Toc184310274"/>
      <w:bookmarkEnd w:id="224"/>
      <w:bookmarkStart w:id="225" w:name="_Toc184308037"/>
      <w:bookmarkEnd w:id="225"/>
      <w:bookmarkStart w:id="226" w:name="_Toc184308102"/>
      <w:bookmarkEnd w:id="226"/>
      <w:bookmarkStart w:id="227" w:name="_Toc184310285"/>
      <w:bookmarkEnd w:id="227"/>
      <w:bookmarkStart w:id="228" w:name="_Toc184313268"/>
      <w:bookmarkEnd w:id="228"/>
      <w:bookmarkStart w:id="229" w:name="_Toc184308100"/>
      <w:bookmarkEnd w:id="229"/>
      <w:bookmarkStart w:id="230" w:name="_Toc184310278"/>
      <w:bookmarkEnd w:id="230"/>
      <w:bookmarkStart w:id="231" w:name="_Toc184314459"/>
      <w:bookmarkEnd w:id="231"/>
      <w:bookmarkStart w:id="232" w:name="_Toc184310281"/>
      <w:bookmarkEnd w:id="232"/>
      <w:bookmarkStart w:id="233" w:name="_Toc184310322"/>
      <w:bookmarkEnd w:id="233"/>
      <w:bookmarkStart w:id="234" w:name="_Toc184314433"/>
      <w:bookmarkEnd w:id="234"/>
      <w:bookmarkStart w:id="235" w:name="_Toc184308068"/>
      <w:bookmarkEnd w:id="235"/>
      <w:bookmarkStart w:id="236" w:name="_Toc184310325"/>
      <w:bookmarkEnd w:id="236"/>
      <w:bookmarkStart w:id="237" w:name="_Toc184313310"/>
      <w:bookmarkEnd w:id="237"/>
      <w:bookmarkStart w:id="238" w:name="_Toc184314416"/>
      <w:bookmarkEnd w:id="238"/>
      <w:bookmarkStart w:id="239" w:name="_Toc184314440"/>
      <w:bookmarkEnd w:id="239"/>
      <w:bookmarkStart w:id="240" w:name="_Toc184313271"/>
      <w:bookmarkEnd w:id="240"/>
      <w:bookmarkStart w:id="241" w:name="_Toc184312089"/>
      <w:bookmarkEnd w:id="241"/>
      <w:bookmarkStart w:id="242" w:name="_Toc184313250"/>
      <w:bookmarkEnd w:id="242"/>
      <w:bookmarkStart w:id="243" w:name="_Toc184314464"/>
      <w:bookmarkEnd w:id="243"/>
      <w:bookmarkStart w:id="244" w:name="_Toc184312103"/>
      <w:bookmarkEnd w:id="244"/>
      <w:bookmarkStart w:id="245" w:name="_Toc184310330"/>
      <w:bookmarkEnd w:id="245"/>
      <w:bookmarkStart w:id="246" w:name="_Toc184310305"/>
      <w:bookmarkEnd w:id="246"/>
      <w:bookmarkStart w:id="247" w:name="_Toc184310319"/>
      <w:bookmarkEnd w:id="247"/>
      <w:bookmarkStart w:id="248" w:name="_Toc184314427"/>
      <w:bookmarkEnd w:id="248"/>
      <w:bookmarkStart w:id="249" w:name="_Toc184314425"/>
      <w:bookmarkEnd w:id="249"/>
      <w:bookmarkStart w:id="250" w:name="_Toc184312091"/>
      <w:bookmarkEnd w:id="250"/>
      <w:bookmarkStart w:id="251" w:name="_Toc184313265"/>
      <w:bookmarkEnd w:id="251"/>
      <w:bookmarkStart w:id="252" w:name="_Toc184310321"/>
      <w:bookmarkEnd w:id="252"/>
      <w:bookmarkStart w:id="253" w:name="_Toc184312108"/>
      <w:bookmarkEnd w:id="253"/>
      <w:bookmarkStart w:id="254" w:name="_Toc184310333"/>
      <w:bookmarkEnd w:id="254"/>
      <w:bookmarkStart w:id="255" w:name="_Toc184312134"/>
      <w:bookmarkEnd w:id="255"/>
      <w:bookmarkStart w:id="256" w:name="_Toc184313280"/>
      <w:bookmarkEnd w:id="256"/>
      <w:bookmarkStart w:id="257" w:name="_Toc184310334"/>
      <w:bookmarkEnd w:id="257"/>
      <w:bookmarkStart w:id="258" w:name="_Toc184312099"/>
      <w:bookmarkEnd w:id="258"/>
      <w:bookmarkStart w:id="259" w:name="_Toc184312071"/>
      <w:bookmarkEnd w:id="259"/>
      <w:bookmarkStart w:id="260" w:name="_Toc184314442"/>
      <w:bookmarkEnd w:id="260"/>
      <w:bookmarkStart w:id="261" w:name="_Toc184308056"/>
      <w:bookmarkEnd w:id="261"/>
      <w:bookmarkStart w:id="262" w:name="_Toc184313303"/>
      <w:bookmarkEnd w:id="262"/>
      <w:bookmarkStart w:id="263" w:name="_Toc184310304"/>
      <w:bookmarkEnd w:id="263"/>
      <w:bookmarkStart w:id="264" w:name="_Toc184314410"/>
      <w:bookmarkEnd w:id="264"/>
      <w:bookmarkStart w:id="265" w:name="_Toc184314430"/>
      <w:bookmarkEnd w:id="265"/>
      <w:bookmarkStart w:id="266" w:name="_Toc184314438"/>
      <w:bookmarkEnd w:id="266"/>
      <w:bookmarkStart w:id="267" w:name="_Toc184313273"/>
      <w:bookmarkEnd w:id="267"/>
      <w:bookmarkStart w:id="268" w:name="_Toc184314472"/>
      <w:bookmarkEnd w:id="268"/>
      <w:bookmarkStart w:id="269" w:name="_Toc184312138"/>
      <w:bookmarkEnd w:id="269"/>
      <w:bookmarkStart w:id="270" w:name="_Toc184308096"/>
      <w:bookmarkEnd w:id="270"/>
      <w:bookmarkStart w:id="271" w:name="_Toc184314426"/>
      <w:bookmarkEnd w:id="271"/>
      <w:bookmarkStart w:id="272" w:name="_Toc184313284"/>
      <w:bookmarkEnd w:id="272"/>
      <w:bookmarkStart w:id="273" w:name="_Toc184308085"/>
      <w:bookmarkEnd w:id="273"/>
      <w:bookmarkStart w:id="274" w:name="_Toc184308104"/>
      <w:bookmarkEnd w:id="274"/>
      <w:bookmarkStart w:id="275" w:name="_Toc184314423"/>
      <w:bookmarkEnd w:id="275"/>
      <w:bookmarkStart w:id="276" w:name="_Toc184308058"/>
      <w:bookmarkEnd w:id="276"/>
      <w:bookmarkStart w:id="277" w:name="_Toc184313298"/>
      <w:bookmarkEnd w:id="277"/>
      <w:bookmarkStart w:id="278" w:name="_Toc184313258"/>
      <w:bookmarkEnd w:id="278"/>
      <w:bookmarkStart w:id="279" w:name="_Toc184310277"/>
      <w:bookmarkEnd w:id="279"/>
      <w:bookmarkStart w:id="280" w:name="_Toc184313295"/>
      <w:bookmarkEnd w:id="280"/>
      <w:bookmarkStart w:id="281" w:name="_Toc184313264"/>
      <w:bookmarkEnd w:id="281"/>
      <w:bookmarkStart w:id="282" w:name="_Toc184312135"/>
      <w:bookmarkEnd w:id="282"/>
      <w:bookmarkStart w:id="283" w:name="_Toc184310286"/>
      <w:bookmarkEnd w:id="283"/>
      <w:bookmarkStart w:id="284" w:name="_Toc184314431"/>
      <w:bookmarkEnd w:id="284"/>
      <w:bookmarkStart w:id="285" w:name="_Toc184314435"/>
      <w:bookmarkEnd w:id="285"/>
      <w:bookmarkStart w:id="286" w:name="_Toc184308045"/>
      <w:bookmarkEnd w:id="286"/>
      <w:bookmarkStart w:id="287" w:name="_Toc184314436"/>
      <w:bookmarkEnd w:id="287"/>
      <w:bookmarkStart w:id="288" w:name="_Toc184308036"/>
      <w:bookmarkEnd w:id="288"/>
      <w:bookmarkStart w:id="289" w:name="_Toc184313289"/>
      <w:bookmarkEnd w:id="289"/>
      <w:bookmarkStart w:id="290" w:name="_Toc184313275"/>
      <w:bookmarkEnd w:id="290"/>
      <w:bookmarkStart w:id="291" w:name="_Toc184313241"/>
      <w:bookmarkEnd w:id="291"/>
      <w:bookmarkStart w:id="292" w:name="_Toc184310314"/>
      <w:bookmarkEnd w:id="292"/>
      <w:bookmarkStart w:id="293" w:name="_Toc184310316"/>
      <w:bookmarkEnd w:id="293"/>
      <w:bookmarkStart w:id="294" w:name="_Toc184308087"/>
      <w:bookmarkEnd w:id="294"/>
      <w:bookmarkStart w:id="295" w:name="_Toc184312107"/>
      <w:bookmarkEnd w:id="295"/>
      <w:bookmarkStart w:id="296" w:name="_Toc184313290"/>
      <w:bookmarkEnd w:id="296"/>
      <w:bookmarkStart w:id="297" w:name="_Toc184313297"/>
      <w:bookmarkEnd w:id="297"/>
      <w:bookmarkStart w:id="298" w:name="_Toc184310297"/>
      <w:bookmarkEnd w:id="298"/>
      <w:bookmarkStart w:id="299" w:name="_Toc184308040"/>
      <w:bookmarkEnd w:id="299"/>
      <w:bookmarkStart w:id="300" w:name="_Toc184313286"/>
      <w:bookmarkEnd w:id="300"/>
      <w:bookmarkStart w:id="301" w:name="_Toc184308084"/>
      <w:bookmarkEnd w:id="301"/>
      <w:bookmarkStart w:id="302" w:name="_Toc184310343"/>
      <w:bookmarkEnd w:id="302"/>
      <w:bookmarkStart w:id="303" w:name="_Toc184310317"/>
      <w:bookmarkEnd w:id="303"/>
      <w:bookmarkStart w:id="304" w:name="_Toc184308091"/>
      <w:bookmarkEnd w:id="304"/>
      <w:bookmarkStart w:id="305" w:name="_Toc184310299"/>
      <w:bookmarkEnd w:id="305"/>
      <w:bookmarkStart w:id="306" w:name="_Toc184310339"/>
      <w:bookmarkEnd w:id="306"/>
      <w:bookmarkStart w:id="307" w:name="_Toc184312121"/>
      <w:bookmarkEnd w:id="307"/>
      <w:bookmarkStart w:id="308" w:name="_Toc184312075"/>
      <w:bookmarkEnd w:id="308"/>
      <w:bookmarkStart w:id="309" w:name="_Toc184310300"/>
      <w:bookmarkEnd w:id="309"/>
      <w:bookmarkStart w:id="310" w:name="_Toc184310279"/>
      <w:bookmarkEnd w:id="310"/>
      <w:bookmarkStart w:id="311" w:name="_Toc184310302"/>
      <w:bookmarkEnd w:id="311"/>
      <w:bookmarkStart w:id="312" w:name="_Toc184313309"/>
      <w:bookmarkEnd w:id="312"/>
      <w:bookmarkStart w:id="313" w:name="_Toc184314470"/>
      <w:bookmarkEnd w:id="313"/>
      <w:bookmarkStart w:id="314" w:name="_Toc184312115"/>
      <w:bookmarkEnd w:id="314"/>
      <w:bookmarkStart w:id="315" w:name="_Toc184312130"/>
      <w:bookmarkEnd w:id="315"/>
      <w:bookmarkStart w:id="316" w:name="_Toc184313270"/>
      <w:bookmarkEnd w:id="316"/>
      <w:bookmarkStart w:id="317" w:name="_Toc184314444"/>
      <w:bookmarkEnd w:id="317"/>
      <w:bookmarkStart w:id="318" w:name="_Toc184313294"/>
      <w:bookmarkEnd w:id="318"/>
      <w:bookmarkStart w:id="319" w:name="_Toc184308088"/>
      <w:bookmarkEnd w:id="319"/>
      <w:bookmarkStart w:id="320" w:name="_Toc184313283"/>
      <w:bookmarkEnd w:id="320"/>
      <w:bookmarkStart w:id="321" w:name="_Toc184310282"/>
      <w:bookmarkEnd w:id="321"/>
      <w:bookmarkStart w:id="322" w:name="_Toc184314432"/>
      <w:bookmarkEnd w:id="322"/>
      <w:bookmarkStart w:id="323" w:name="_Toc184313245"/>
      <w:bookmarkEnd w:id="323"/>
      <w:bookmarkStart w:id="324" w:name="_Toc184312068"/>
      <w:bookmarkEnd w:id="324"/>
      <w:bookmarkStart w:id="325" w:name="_Toc184314466"/>
      <w:bookmarkEnd w:id="325"/>
      <w:bookmarkStart w:id="326" w:name="_Toc184310331"/>
      <w:bookmarkEnd w:id="326"/>
      <w:bookmarkStart w:id="327" w:name="_Toc184312131"/>
      <w:bookmarkEnd w:id="327"/>
      <w:bookmarkStart w:id="328" w:name="_Toc184314474"/>
      <w:bookmarkEnd w:id="328"/>
      <w:bookmarkStart w:id="329" w:name="_Toc184308053"/>
      <w:bookmarkEnd w:id="329"/>
      <w:bookmarkStart w:id="330" w:name="_Toc184314428"/>
      <w:bookmarkEnd w:id="330"/>
      <w:bookmarkStart w:id="331" w:name="_Toc184308049"/>
      <w:bookmarkEnd w:id="331"/>
      <w:bookmarkStart w:id="332" w:name="_Toc184314453"/>
      <w:bookmarkEnd w:id="332"/>
      <w:bookmarkStart w:id="333" w:name="_Toc184312078"/>
      <w:bookmarkEnd w:id="333"/>
      <w:bookmarkStart w:id="334" w:name="_Toc184310284"/>
      <w:bookmarkEnd w:id="334"/>
      <w:bookmarkStart w:id="335" w:name="_Toc184308094"/>
      <w:bookmarkEnd w:id="335"/>
      <w:bookmarkStart w:id="336" w:name="_Toc184308060"/>
      <w:bookmarkEnd w:id="336"/>
      <w:bookmarkStart w:id="337" w:name="_Toc184310335"/>
      <w:bookmarkEnd w:id="337"/>
      <w:bookmarkStart w:id="338" w:name="_Toc184310344"/>
      <w:bookmarkEnd w:id="338"/>
      <w:bookmarkStart w:id="339" w:name="_Toc184314434"/>
      <w:bookmarkEnd w:id="339"/>
      <w:bookmarkStart w:id="340" w:name="_Toc184310309"/>
      <w:bookmarkEnd w:id="340"/>
      <w:bookmarkStart w:id="341" w:name="_Toc184312067"/>
      <w:bookmarkEnd w:id="341"/>
      <w:bookmarkStart w:id="342" w:name="_Toc184314443"/>
      <w:bookmarkEnd w:id="342"/>
      <w:bookmarkStart w:id="343" w:name="_Toc184312098"/>
      <w:bookmarkEnd w:id="343"/>
      <w:bookmarkStart w:id="344" w:name="_Toc184312074"/>
      <w:bookmarkEnd w:id="344"/>
      <w:bookmarkStart w:id="345" w:name="_Toc184313306"/>
      <w:bookmarkEnd w:id="345"/>
      <w:bookmarkStart w:id="346" w:name="_Toc184312088"/>
      <w:bookmarkEnd w:id="346"/>
      <w:bookmarkStart w:id="347" w:name="_Toc184312073"/>
      <w:bookmarkEnd w:id="347"/>
      <w:bookmarkStart w:id="348" w:name="_Toc184313254"/>
      <w:bookmarkEnd w:id="348"/>
      <w:bookmarkStart w:id="349" w:name="_Toc184308080"/>
      <w:bookmarkEnd w:id="349"/>
      <w:bookmarkStart w:id="350" w:name="_Toc184312101"/>
      <w:bookmarkEnd w:id="350"/>
      <w:bookmarkStart w:id="351" w:name="_Toc184312113"/>
      <w:bookmarkEnd w:id="351"/>
      <w:bookmarkStart w:id="352" w:name="_Toc184314418"/>
      <w:bookmarkEnd w:id="352"/>
      <w:bookmarkStart w:id="353" w:name="_Toc184312123"/>
      <w:bookmarkEnd w:id="353"/>
      <w:bookmarkStart w:id="354" w:name="_Toc184310306"/>
      <w:bookmarkEnd w:id="354"/>
      <w:bookmarkStart w:id="355" w:name="_Toc184312077"/>
      <w:bookmarkEnd w:id="355"/>
      <w:bookmarkStart w:id="356" w:name="_Toc184310276"/>
      <w:bookmarkEnd w:id="356"/>
      <w:bookmarkStart w:id="357" w:name="_Toc184314419"/>
      <w:bookmarkEnd w:id="357"/>
      <w:bookmarkStart w:id="358" w:name="_Toc184314450"/>
      <w:bookmarkEnd w:id="358"/>
      <w:bookmarkStart w:id="359" w:name="_Toc184308103"/>
      <w:bookmarkEnd w:id="359"/>
      <w:bookmarkStart w:id="360" w:name="_Toc184312114"/>
      <w:bookmarkEnd w:id="360"/>
      <w:bookmarkStart w:id="361" w:name="_Toc184308079"/>
      <w:bookmarkEnd w:id="361"/>
      <w:bookmarkStart w:id="362" w:name="_Toc184312133"/>
      <w:bookmarkEnd w:id="362"/>
      <w:bookmarkStart w:id="363" w:name="_Toc184314413"/>
      <w:bookmarkEnd w:id="363"/>
      <w:bookmarkStart w:id="364" w:name="_Toc184310287"/>
      <w:bookmarkEnd w:id="364"/>
      <w:bookmarkStart w:id="365" w:name="_Toc184312069"/>
      <w:bookmarkEnd w:id="365"/>
      <w:bookmarkStart w:id="366" w:name="_Toc184312085"/>
      <w:bookmarkEnd w:id="366"/>
      <w:bookmarkStart w:id="367" w:name="_Toc184313243"/>
      <w:bookmarkEnd w:id="367"/>
      <w:bookmarkStart w:id="368" w:name="_Toc184308097"/>
      <w:bookmarkEnd w:id="368"/>
      <w:bookmarkStart w:id="369" w:name="_Toc184310323"/>
      <w:bookmarkEnd w:id="369"/>
      <w:bookmarkStart w:id="370" w:name="_Toc184314421"/>
      <w:bookmarkEnd w:id="370"/>
      <w:bookmarkStart w:id="371" w:name="_Toc184308098"/>
      <w:bookmarkEnd w:id="371"/>
      <w:bookmarkStart w:id="372" w:name="_Toc184310272"/>
      <w:bookmarkEnd w:id="372"/>
      <w:bookmarkStart w:id="373" w:name="_Toc184312070"/>
      <w:bookmarkEnd w:id="373"/>
      <w:bookmarkStart w:id="374" w:name="_Toc184314445"/>
      <w:bookmarkEnd w:id="374"/>
      <w:bookmarkStart w:id="375" w:name="_Toc184308106"/>
      <w:bookmarkEnd w:id="375"/>
      <w:bookmarkStart w:id="376" w:name="_Toc184314456"/>
      <w:bookmarkEnd w:id="376"/>
      <w:bookmarkStart w:id="377" w:name="_Toc184308055"/>
      <w:bookmarkEnd w:id="377"/>
      <w:bookmarkStart w:id="378" w:name="_Toc184314478"/>
      <w:bookmarkEnd w:id="378"/>
      <w:bookmarkStart w:id="379" w:name="_Toc184314476"/>
      <w:bookmarkEnd w:id="379"/>
      <w:bookmarkStart w:id="380" w:name="_Toc184313240"/>
      <w:bookmarkEnd w:id="380"/>
      <w:bookmarkStart w:id="381" w:name="_Toc184310332"/>
      <w:bookmarkEnd w:id="381"/>
      <w:bookmarkStart w:id="382" w:name="_Toc184312109"/>
      <w:bookmarkEnd w:id="382"/>
      <w:bookmarkStart w:id="383" w:name="_Toc184310312"/>
      <w:bookmarkEnd w:id="383"/>
      <w:bookmarkStart w:id="384" w:name="_Toc184308093"/>
      <w:bookmarkEnd w:id="384"/>
      <w:bookmarkStart w:id="385" w:name="_Toc184313248"/>
      <w:bookmarkEnd w:id="385"/>
      <w:bookmarkStart w:id="386" w:name="_Toc184312096"/>
      <w:bookmarkEnd w:id="386"/>
      <w:bookmarkStart w:id="387" w:name="_Toc184310336"/>
      <w:bookmarkEnd w:id="387"/>
      <w:bookmarkStart w:id="388" w:name="_Toc184308083"/>
      <w:bookmarkEnd w:id="388"/>
      <w:bookmarkStart w:id="389" w:name="_Toc184312132"/>
      <w:bookmarkEnd w:id="389"/>
      <w:bookmarkStart w:id="390" w:name="_Toc184312086"/>
      <w:bookmarkEnd w:id="390"/>
      <w:bookmarkStart w:id="391" w:name="_Toc184310311"/>
      <w:bookmarkEnd w:id="391"/>
      <w:r>
        <w:rPr>
          <w:rFonts w:hint="eastAsia" w:ascii="仿宋" w:hAnsi="仿宋" w:eastAsia="仿宋" w:cs="仿宋_GB2312"/>
          <w:b/>
          <w:color w:val="auto"/>
          <w:sz w:val="36"/>
          <w:szCs w:val="36"/>
          <w:highlight w:val="none"/>
        </w:rPr>
        <w:t xml:space="preserve"> 评标办法</w:t>
      </w:r>
    </w:p>
    <w:p>
      <w:pPr>
        <w:snapToGrid w:val="0"/>
        <w:spacing w:line="360" w:lineRule="auto"/>
        <w:jc w:val="center"/>
        <w:rPr>
          <w:rFonts w:ascii="宋体" w:hAnsi="宋体" w:cs="宋体"/>
          <w:b/>
          <w:color w:val="auto"/>
          <w:sz w:val="32"/>
          <w:szCs w:val="20"/>
          <w:highlight w:val="none"/>
        </w:rPr>
      </w:pPr>
      <w:r>
        <w:rPr>
          <w:rFonts w:hint="eastAsia" w:ascii="仿宋" w:hAnsi="仿宋" w:eastAsia="仿宋" w:cs="仿宋_GB2312"/>
          <w:b/>
          <w:color w:val="auto"/>
          <w:sz w:val="32"/>
          <w:szCs w:val="20"/>
          <w:highlight w:val="none"/>
        </w:rPr>
        <w:t>评标办法前附表</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541"/>
        <w:gridCol w:w="5588"/>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序号</w:t>
            </w:r>
          </w:p>
        </w:tc>
        <w:tc>
          <w:tcPr>
            <w:tcW w:w="154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评分内容</w:t>
            </w:r>
          </w:p>
        </w:tc>
        <w:tc>
          <w:tcPr>
            <w:tcW w:w="558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评审细则</w:t>
            </w:r>
          </w:p>
        </w:tc>
        <w:tc>
          <w:tcPr>
            <w:tcW w:w="12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66" w:type="dxa"/>
            <w:vMerge w:val="restart"/>
            <w:tcBorders>
              <w:top w:val="single" w:color="auto" w:sz="4" w:space="0"/>
              <w:left w:val="single" w:color="auto" w:sz="4" w:space="0"/>
              <w:right w:val="single" w:color="auto" w:sz="4" w:space="0"/>
            </w:tcBorders>
            <w:vAlign w:val="center"/>
          </w:tcPr>
          <w:p>
            <w:pPr>
              <w:spacing w:line="276"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商务技术</w:t>
            </w:r>
          </w:p>
        </w:tc>
        <w:tc>
          <w:tcPr>
            <w:tcW w:w="1541" w:type="dxa"/>
            <w:tcBorders>
              <w:top w:val="single" w:color="auto" w:sz="4" w:space="0"/>
              <w:left w:val="single" w:color="auto" w:sz="4" w:space="0"/>
              <w:right w:val="single" w:color="auto" w:sz="4" w:space="0"/>
            </w:tcBorders>
            <w:vAlign w:val="center"/>
          </w:tcPr>
          <w:p>
            <w:pPr>
              <w:spacing w:line="276"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企业综合实力</w:t>
            </w:r>
          </w:p>
        </w:tc>
        <w:tc>
          <w:tcPr>
            <w:tcW w:w="55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投标人应具备完善的企业管理体系，</w:t>
            </w:r>
            <w:r>
              <w:rPr>
                <w:rFonts w:hint="eastAsia" w:ascii="仿宋" w:hAnsi="仿宋" w:eastAsia="仿宋" w:cs="仿宋"/>
                <w:color w:val="auto"/>
                <w:kern w:val="0"/>
                <w:sz w:val="24"/>
                <w:highlight w:val="none"/>
              </w:rPr>
              <w:t>有能力对项目运营进行规范化、成熟化管理，</w:t>
            </w:r>
          </w:p>
          <w:p>
            <w:pPr>
              <w:spacing w:line="27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（1）投标人获得的有效的质量管理认证体系（1分）；</w:t>
            </w:r>
          </w:p>
          <w:p>
            <w:pPr>
              <w:spacing w:line="27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（2）投标人获得的有效的环境管理认证体系（1分）；</w:t>
            </w:r>
          </w:p>
          <w:p>
            <w:pPr>
              <w:spacing w:line="27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（3）投标人获得的有效的职业健康安全管理认证体系（1分）；</w:t>
            </w:r>
          </w:p>
          <w:p>
            <w:pPr>
              <w:spacing w:line="27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（证明材料：投标文件中提供相应证书材料</w:t>
            </w:r>
            <w:r>
              <w:rPr>
                <w:rFonts w:hint="eastAsia" w:ascii="仿宋" w:hAnsi="仿宋" w:eastAsia="仿宋" w:cs="仿宋"/>
                <w:color w:val="auto"/>
                <w:kern w:val="0"/>
                <w:sz w:val="24"/>
                <w:highlight w:val="none"/>
                <w:lang w:val="en-US" w:eastAsia="zh-CN"/>
              </w:rPr>
              <w:t>并加盖公章</w:t>
            </w:r>
            <w:r>
              <w:rPr>
                <w:rFonts w:hint="eastAsia" w:ascii="仿宋" w:hAnsi="仿宋" w:eastAsia="仿宋" w:cs="仿宋"/>
                <w:color w:val="auto"/>
                <w:kern w:val="0"/>
                <w:sz w:val="24"/>
                <w:highlight w:val="none"/>
              </w:rPr>
              <w:t>，未按要求提供证明材料的不得分。）</w:t>
            </w:r>
          </w:p>
        </w:tc>
        <w:tc>
          <w:tcPr>
            <w:tcW w:w="12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w:t>
            </w:r>
            <w:r>
              <w:rPr>
                <w:rFonts w:hint="eastAsia" w:ascii="仿宋" w:hAnsi="仿宋" w:eastAsia="仿宋" w:cs="仿宋"/>
                <w:color w:val="auto"/>
                <w:kern w:val="0"/>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666"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类似业绩</w:t>
            </w:r>
          </w:p>
        </w:tc>
        <w:tc>
          <w:tcPr>
            <w:tcW w:w="55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投标人提供自2020年1月1日以来具有类似项目业绩情况，每提供1个合同得0.2分，最高得1分，不提供不得分。证明材料：合同（复印件加盖投标供应商公章），时间以合同签订时间为准。</w:t>
            </w:r>
          </w:p>
        </w:tc>
        <w:tc>
          <w:tcPr>
            <w:tcW w:w="12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666"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 w:val="24"/>
                <w:highlight w:val="none"/>
              </w:rPr>
            </w:pPr>
          </w:p>
        </w:tc>
        <w:tc>
          <w:tcPr>
            <w:tcW w:w="1541" w:type="dxa"/>
            <w:vMerge w:val="restart"/>
            <w:tcBorders>
              <w:top w:val="single" w:color="auto" w:sz="4" w:space="0"/>
              <w:left w:val="single" w:color="auto" w:sz="4" w:space="0"/>
              <w:right w:val="single" w:color="auto" w:sz="4" w:space="0"/>
            </w:tcBorders>
            <w:vAlign w:val="center"/>
          </w:tcPr>
          <w:p>
            <w:pPr>
              <w:spacing w:line="276"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服务方案</w:t>
            </w:r>
          </w:p>
        </w:tc>
        <w:tc>
          <w:tcPr>
            <w:tcW w:w="5588" w:type="dxa"/>
            <w:tcBorders>
              <w:top w:val="single" w:color="auto" w:sz="4" w:space="0"/>
              <w:left w:val="single" w:color="auto" w:sz="4" w:space="0"/>
              <w:bottom w:val="single" w:color="auto" w:sz="4" w:space="0"/>
              <w:right w:val="single" w:color="auto" w:sz="4" w:space="0"/>
            </w:tcBorders>
            <w:vAlign w:val="center"/>
          </w:tcPr>
          <w:p>
            <w:pPr>
              <w:snapToGrid w:val="0"/>
              <w:outlineLvl w:val="0"/>
              <w:rPr>
                <w:rFonts w:ascii="仿宋" w:hAnsi="仿宋" w:eastAsia="仿宋"/>
                <w:color w:val="auto"/>
                <w:sz w:val="24"/>
                <w:highlight w:val="none"/>
              </w:rPr>
            </w:pPr>
            <w:bookmarkStart w:id="392" w:name="_T79c8aa32097b479c77ff73c6f80d9827"/>
            <w:r>
              <w:rPr>
                <w:rFonts w:ascii="仿宋" w:hAnsi="仿宋" w:eastAsia="仿宋"/>
                <w:color w:val="auto"/>
                <w:sz w:val="24"/>
                <w:highlight w:val="none"/>
              </w:rPr>
              <w:t>根据采购需求的提供</w:t>
            </w:r>
            <w:r>
              <w:rPr>
                <w:rFonts w:hint="eastAsia" w:ascii="仿宋" w:hAnsi="仿宋" w:eastAsia="仿宋"/>
                <w:color w:val="auto"/>
                <w:sz w:val="24"/>
                <w:highlight w:val="none"/>
                <w:lang w:val="en-US" w:eastAsia="zh-CN"/>
              </w:rPr>
              <w:t>本项目整体服务</w:t>
            </w:r>
            <w:r>
              <w:rPr>
                <w:rFonts w:ascii="仿宋" w:hAnsi="仿宋" w:eastAsia="仿宋"/>
                <w:color w:val="auto"/>
                <w:sz w:val="24"/>
                <w:highlight w:val="none"/>
              </w:rPr>
              <w:t>方案。</w:t>
            </w:r>
            <w:bookmarkEnd w:id="392"/>
          </w:p>
          <w:p>
            <w:pPr>
              <w:spacing w:line="276" w:lineRule="auto"/>
              <w:jc w:val="left"/>
              <w:rPr>
                <w:rFonts w:ascii="仿宋" w:hAnsi="仿宋" w:eastAsia="仿宋" w:cs="仿宋"/>
                <w:color w:val="auto"/>
                <w:kern w:val="0"/>
                <w:sz w:val="24"/>
                <w:highlight w:val="none"/>
              </w:rPr>
            </w:pPr>
            <w:r>
              <w:rPr>
                <w:rFonts w:hint="default" w:ascii="仿宋" w:hAnsi="仿宋" w:eastAsia="仿宋" w:cs="仿宋"/>
                <w:color w:val="auto"/>
                <w:kern w:val="2"/>
                <w:sz w:val="21"/>
                <w:szCs w:val="21"/>
                <w:highlight w:val="none"/>
                <w:lang w:val="zh-CN" w:eastAsia="zh-CN" w:bidi="ar-SA"/>
              </w:rPr>
              <w:t>（至少包括①</w:t>
            </w:r>
            <w:r>
              <w:rPr>
                <w:rFonts w:hint="eastAsia" w:ascii="仿宋" w:hAnsi="仿宋" w:eastAsia="仿宋" w:cs="仿宋"/>
                <w:color w:val="auto"/>
                <w:kern w:val="2"/>
                <w:sz w:val="21"/>
                <w:szCs w:val="21"/>
                <w:highlight w:val="none"/>
                <w:lang w:val="en-US" w:eastAsia="zh-CN" w:bidi="ar-SA"/>
              </w:rPr>
              <w:t>项目总体服务</w:t>
            </w:r>
            <w:r>
              <w:rPr>
                <w:rFonts w:hint="default" w:ascii="仿宋" w:hAnsi="仿宋" w:eastAsia="仿宋" w:cs="仿宋"/>
                <w:color w:val="auto"/>
                <w:kern w:val="2"/>
                <w:sz w:val="21"/>
                <w:szCs w:val="21"/>
                <w:highlight w:val="none"/>
                <w:lang w:val="en-US" w:eastAsia="zh-CN" w:bidi="ar-SA"/>
              </w:rPr>
              <w:t>方案</w:t>
            </w:r>
            <w:r>
              <w:rPr>
                <w:rFonts w:hint="default" w:ascii="仿宋" w:hAnsi="仿宋" w:eastAsia="仿宋" w:cs="仿宋"/>
                <w:color w:val="auto"/>
                <w:kern w:val="2"/>
                <w:sz w:val="21"/>
                <w:szCs w:val="21"/>
                <w:highlight w:val="none"/>
                <w:lang w:val="zh-CN" w:eastAsia="zh-CN" w:bidi="ar-SA"/>
              </w:rPr>
              <w:t>。②</w:t>
            </w:r>
            <w:r>
              <w:rPr>
                <w:rFonts w:hint="eastAsia" w:ascii="仿宋" w:hAnsi="仿宋" w:eastAsia="仿宋" w:cs="仿宋"/>
                <w:color w:val="auto"/>
                <w:kern w:val="2"/>
                <w:sz w:val="21"/>
                <w:szCs w:val="21"/>
                <w:highlight w:val="none"/>
                <w:lang w:val="en-US" w:eastAsia="zh-CN" w:bidi="ar-SA"/>
              </w:rPr>
              <w:t>服务计划</w:t>
            </w:r>
            <w:r>
              <w:rPr>
                <w:rFonts w:hint="default" w:ascii="仿宋" w:hAnsi="仿宋" w:eastAsia="仿宋" w:cs="仿宋"/>
                <w:color w:val="auto"/>
                <w:kern w:val="2"/>
                <w:sz w:val="21"/>
                <w:szCs w:val="21"/>
                <w:highlight w:val="none"/>
                <w:lang w:val="zh-CN" w:eastAsia="zh-CN" w:bidi="ar-SA"/>
              </w:rPr>
              <w:t>方案等内容。每一项方案内容合理</w:t>
            </w:r>
            <w:r>
              <w:rPr>
                <w:rFonts w:hint="eastAsia" w:ascii="仿宋" w:hAnsi="仿宋" w:eastAsia="仿宋" w:cs="仿宋"/>
                <w:color w:val="auto"/>
                <w:kern w:val="2"/>
                <w:sz w:val="21"/>
                <w:szCs w:val="21"/>
                <w:highlight w:val="none"/>
                <w:lang w:val="en-US" w:eastAsia="zh-CN" w:bidi="ar-SA"/>
              </w:rPr>
              <w:t>且可行的</w:t>
            </w:r>
            <w:r>
              <w:rPr>
                <w:rFonts w:hint="default" w:ascii="仿宋" w:hAnsi="仿宋" w:eastAsia="仿宋" w:cs="仿宋"/>
                <w:color w:val="auto"/>
                <w:kern w:val="2"/>
                <w:sz w:val="21"/>
                <w:szCs w:val="21"/>
                <w:highlight w:val="none"/>
                <w:lang w:val="zh-CN" w:eastAsia="zh-CN" w:bidi="ar-SA"/>
              </w:rPr>
              <w:t>得</w:t>
            </w:r>
            <w:r>
              <w:rPr>
                <w:rFonts w:hint="eastAsia" w:ascii="仿宋" w:hAnsi="仿宋" w:eastAsia="仿宋" w:cs="仿宋"/>
                <w:color w:val="auto"/>
                <w:kern w:val="2"/>
                <w:sz w:val="21"/>
                <w:szCs w:val="21"/>
                <w:highlight w:val="none"/>
                <w:lang w:val="en-US" w:eastAsia="zh-CN" w:bidi="ar-SA"/>
              </w:rPr>
              <w:t>3</w:t>
            </w:r>
            <w:r>
              <w:rPr>
                <w:rFonts w:hint="default" w:ascii="仿宋" w:hAnsi="仿宋" w:eastAsia="仿宋" w:cs="仿宋"/>
                <w:color w:val="auto"/>
                <w:kern w:val="2"/>
                <w:sz w:val="21"/>
                <w:szCs w:val="21"/>
                <w:highlight w:val="none"/>
                <w:lang w:val="zh-CN" w:eastAsia="zh-CN" w:bidi="ar-SA"/>
              </w:rPr>
              <w:t>分，</w:t>
            </w:r>
            <w:r>
              <w:rPr>
                <w:rFonts w:hint="eastAsia" w:ascii="仿宋" w:hAnsi="仿宋" w:eastAsia="仿宋" w:cs="仿宋"/>
                <w:color w:val="auto"/>
                <w:kern w:val="2"/>
                <w:sz w:val="21"/>
                <w:szCs w:val="21"/>
                <w:highlight w:val="none"/>
                <w:lang w:val="en-US" w:eastAsia="zh-CN" w:bidi="ar-SA"/>
              </w:rPr>
              <w:t>存在欠缺但基本合理、可行的得2分</w:t>
            </w:r>
            <w:r>
              <w:rPr>
                <w:rFonts w:hint="default" w:ascii="仿宋" w:hAnsi="仿宋" w:eastAsia="仿宋" w:cs="仿宋"/>
                <w:color w:val="auto"/>
                <w:kern w:val="2"/>
                <w:sz w:val="21"/>
                <w:szCs w:val="21"/>
                <w:highlight w:val="none"/>
                <w:lang w:val="zh-CN" w:eastAsia="zh-CN" w:bidi="ar-SA"/>
              </w:rPr>
              <w:t>，</w:t>
            </w:r>
            <w:r>
              <w:rPr>
                <w:rFonts w:hint="eastAsia" w:ascii="仿宋" w:hAnsi="仿宋" w:eastAsia="仿宋" w:cs="仿宋"/>
                <w:color w:val="auto"/>
                <w:kern w:val="2"/>
                <w:sz w:val="21"/>
                <w:szCs w:val="21"/>
                <w:highlight w:val="none"/>
                <w:lang w:val="en-US" w:eastAsia="zh-CN" w:bidi="ar-SA"/>
              </w:rPr>
              <w:t>不合理或不可行的得1分，每项</w:t>
            </w:r>
            <w:r>
              <w:rPr>
                <w:rFonts w:hint="default" w:ascii="仿宋" w:hAnsi="仿宋" w:eastAsia="仿宋" w:cs="仿宋"/>
                <w:color w:val="auto"/>
                <w:kern w:val="2"/>
                <w:sz w:val="21"/>
                <w:szCs w:val="21"/>
                <w:highlight w:val="none"/>
                <w:lang w:val="zh-CN" w:eastAsia="zh-CN" w:bidi="ar-SA"/>
              </w:rPr>
              <w:t>最高得</w:t>
            </w:r>
            <w:r>
              <w:rPr>
                <w:rFonts w:hint="eastAsia" w:ascii="仿宋" w:hAnsi="仿宋" w:eastAsia="仿宋" w:cs="仿宋"/>
                <w:color w:val="auto"/>
                <w:kern w:val="2"/>
                <w:sz w:val="21"/>
                <w:szCs w:val="21"/>
                <w:highlight w:val="none"/>
                <w:lang w:val="en-US" w:eastAsia="zh-CN" w:bidi="ar-SA"/>
              </w:rPr>
              <w:t>3</w:t>
            </w:r>
            <w:r>
              <w:rPr>
                <w:rFonts w:hint="default" w:ascii="仿宋" w:hAnsi="仿宋" w:eastAsia="仿宋" w:cs="仿宋"/>
                <w:color w:val="auto"/>
                <w:kern w:val="2"/>
                <w:sz w:val="21"/>
                <w:szCs w:val="21"/>
                <w:highlight w:val="none"/>
                <w:lang w:val="zh-CN" w:eastAsia="zh-CN" w:bidi="ar-SA"/>
              </w:rPr>
              <w:t>分</w:t>
            </w:r>
            <w:r>
              <w:rPr>
                <w:rFonts w:hint="eastAsia" w:ascii="仿宋" w:hAnsi="仿宋" w:eastAsia="仿宋" w:cs="仿宋"/>
                <w:color w:val="auto"/>
                <w:kern w:val="2"/>
                <w:sz w:val="21"/>
                <w:szCs w:val="21"/>
                <w:highlight w:val="none"/>
                <w:lang w:val="zh-CN" w:eastAsia="zh-CN" w:bidi="ar-SA"/>
              </w:rPr>
              <w:t>，</w:t>
            </w:r>
            <w:r>
              <w:rPr>
                <w:rFonts w:hint="eastAsia" w:ascii="仿宋" w:hAnsi="仿宋" w:eastAsia="仿宋" w:cs="仿宋"/>
                <w:color w:val="auto"/>
                <w:kern w:val="2"/>
                <w:sz w:val="21"/>
                <w:szCs w:val="21"/>
                <w:highlight w:val="none"/>
                <w:lang w:val="en-US" w:eastAsia="zh-CN" w:bidi="ar-SA"/>
              </w:rPr>
              <w:t>共2项，本条最高得6分</w:t>
            </w:r>
            <w:r>
              <w:rPr>
                <w:rFonts w:hint="default" w:ascii="仿宋" w:hAnsi="仿宋" w:eastAsia="仿宋" w:cs="仿宋"/>
                <w:color w:val="auto"/>
                <w:kern w:val="2"/>
                <w:sz w:val="21"/>
                <w:szCs w:val="21"/>
                <w:highlight w:val="none"/>
                <w:lang w:val="zh-CN" w:eastAsia="zh-CN" w:bidi="ar-SA"/>
              </w:rPr>
              <w:t>。）</w:t>
            </w:r>
          </w:p>
        </w:tc>
        <w:tc>
          <w:tcPr>
            <w:tcW w:w="1265" w:type="dxa"/>
            <w:tcBorders>
              <w:top w:val="single" w:color="auto" w:sz="4" w:space="0"/>
              <w:left w:val="single" w:color="auto" w:sz="4" w:space="0"/>
              <w:right w:val="single" w:color="auto" w:sz="4" w:space="0"/>
            </w:tcBorders>
            <w:vAlign w:val="center"/>
          </w:tcPr>
          <w:p>
            <w:pPr>
              <w:spacing w:line="276" w:lineRule="auto"/>
              <w:jc w:val="left"/>
              <w:rPr>
                <w:rFonts w:ascii="仿宋" w:hAnsi="仿宋" w:eastAsia="仿宋" w:cs="仿宋"/>
                <w:color w:val="auto"/>
                <w:kern w:val="0"/>
                <w:sz w:val="24"/>
                <w:highlight w:val="none"/>
              </w:rPr>
            </w:pPr>
          </w:p>
          <w:p>
            <w:pPr>
              <w:spacing w:line="276"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0-</w:t>
            </w:r>
            <w:r>
              <w:rPr>
                <w:rFonts w:hint="eastAsia" w:ascii="仿宋" w:hAnsi="仿宋" w:eastAsia="仿宋" w:cs="仿宋"/>
                <w:color w:val="auto"/>
                <w:kern w:val="0"/>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 w:val="24"/>
                <w:highlight w:val="none"/>
              </w:rPr>
            </w:pPr>
          </w:p>
        </w:tc>
        <w:tc>
          <w:tcPr>
            <w:tcW w:w="1541"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 w:val="24"/>
                <w:highlight w:val="none"/>
              </w:rPr>
            </w:pPr>
          </w:p>
        </w:tc>
        <w:tc>
          <w:tcPr>
            <w:tcW w:w="55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auto"/>
                <w:kern w:val="0"/>
                <w:sz w:val="24"/>
                <w:highlight w:val="none"/>
              </w:rPr>
            </w:pPr>
            <w:r>
              <w:rPr>
                <w:rFonts w:hint="eastAsia" w:ascii="仿宋" w:hAnsi="仿宋" w:eastAsia="仿宋"/>
                <w:color w:val="auto"/>
                <w:sz w:val="24"/>
                <w:highlight w:val="none"/>
              </w:rPr>
              <w:t>承诺积极配合采购人完成临时性工作。做出承诺得3分</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提供承诺函</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，不承诺不得分。</w:t>
            </w:r>
          </w:p>
        </w:tc>
        <w:tc>
          <w:tcPr>
            <w:tcW w:w="1265" w:type="dxa"/>
            <w:tcBorders>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0-</w:t>
            </w:r>
            <w:r>
              <w:rPr>
                <w:rFonts w:hint="eastAsia" w:ascii="仿宋" w:hAnsi="仿宋" w:eastAsia="仿宋" w:cs="仿宋"/>
                <w:color w:val="auto"/>
                <w:kern w:val="0"/>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 w:val="24"/>
                <w:highlight w:val="none"/>
              </w:rPr>
            </w:pPr>
          </w:p>
        </w:tc>
        <w:tc>
          <w:tcPr>
            <w:tcW w:w="1541" w:type="dxa"/>
            <w:vMerge w:val="restart"/>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项目实施的人员配置方案</w:t>
            </w:r>
          </w:p>
        </w:tc>
        <w:tc>
          <w:tcPr>
            <w:tcW w:w="55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仿宋" w:hAnsi="仿宋" w:eastAsia="仿宋" w:cs="仿宋"/>
                <w:color w:val="auto"/>
                <w:kern w:val="0"/>
                <w:sz w:val="24"/>
                <w:highlight w:val="none"/>
                <w:lang w:eastAsia="zh-CN"/>
              </w:rPr>
            </w:pPr>
            <w:r>
              <w:rPr>
                <w:rFonts w:ascii="仿宋" w:hAnsi="仿宋" w:eastAsia="仿宋" w:cs="仿宋"/>
                <w:color w:val="auto"/>
                <w:kern w:val="0"/>
                <w:sz w:val="24"/>
                <w:highlight w:val="none"/>
              </w:rPr>
              <w:t>（1）拟派项目负责人年龄在5</w:t>
            </w:r>
            <w:r>
              <w:rPr>
                <w:rFonts w:hint="eastAsia" w:ascii="仿宋" w:hAnsi="仿宋" w:eastAsia="仿宋" w:cs="仿宋"/>
                <w:color w:val="auto"/>
                <w:kern w:val="0"/>
                <w:sz w:val="24"/>
                <w:highlight w:val="none"/>
                <w:lang w:val="en-US" w:eastAsia="zh-CN"/>
              </w:rPr>
              <w:t>0</w:t>
            </w:r>
            <w:r>
              <w:rPr>
                <w:rFonts w:ascii="仿宋" w:hAnsi="仿宋" w:eastAsia="仿宋" w:cs="仿宋"/>
                <w:color w:val="auto"/>
                <w:kern w:val="0"/>
                <w:sz w:val="24"/>
                <w:highlight w:val="none"/>
              </w:rPr>
              <w:t>周岁以下，本科以上文化并同时持有一级保卫管理员和一级保安员职业资格证书，完全满足得3分，不完全满足的不得分（3分），同时具有同类场地类似服务经验（以服务合同为准）的再得（2分），此项最高得（5分）；</w:t>
            </w:r>
          </w:p>
          <w:p>
            <w:pPr>
              <w:spacing w:line="276" w:lineRule="auto"/>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（2）拟派项目安检负责人年龄在50周岁以下，本科以上文化并</w:t>
            </w:r>
            <w:r>
              <w:rPr>
                <w:rFonts w:hint="eastAsia" w:ascii="仿宋" w:hAnsi="仿宋" w:eastAsia="仿宋" w:cs="仿宋"/>
                <w:color w:val="auto"/>
                <w:kern w:val="0"/>
                <w:sz w:val="24"/>
                <w:highlight w:val="none"/>
                <w:lang w:val="en-US" w:eastAsia="zh-CN"/>
              </w:rPr>
              <w:t>持有</w:t>
            </w:r>
            <w:r>
              <w:rPr>
                <w:rFonts w:hint="eastAsia" w:ascii="仿宋" w:hAnsi="仿宋" w:eastAsia="仿宋" w:cs="仿宋"/>
                <w:color w:val="auto"/>
                <w:kern w:val="0"/>
                <w:sz w:val="24"/>
                <w:highlight w:val="none"/>
              </w:rPr>
              <w:t>一级保安员职业资格证书，完全满足得3分，不完全满足的不得分（3分），</w:t>
            </w:r>
            <w:r>
              <w:rPr>
                <w:rFonts w:ascii="仿宋" w:hAnsi="仿宋" w:eastAsia="仿宋" w:cs="仿宋"/>
                <w:color w:val="auto"/>
                <w:kern w:val="0"/>
                <w:sz w:val="24"/>
                <w:highlight w:val="none"/>
              </w:rPr>
              <w:t>同时具有同类场地类似服务经验（以服务合同为准）的再得（2分），此项最高得（5分）</w:t>
            </w:r>
            <w:r>
              <w:rPr>
                <w:rFonts w:hint="eastAsia" w:ascii="仿宋" w:hAnsi="仿宋" w:eastAsia="仿宋" w:cs="仿宋"/>
                <w:color w:val="auto"/>
                <w:kern w:val="0"/>
                <w:sz w:val="24"/>
                <w:highlight w:val="none"/>
                <w:lang w:eastAsia="zh-CN"/>
              </w:rPr>
              <w:t>。</w:t>
            </w:r>
          </w:p>
          <w:p>
            <w:pPr>
              <w:spacing w:line="276" w:lineRule="auto"/>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（3）本项目安保人员需持有《保安员证书》上岗，每提供一本证书得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分，此项最高得</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分；</w:t>
            </w:r>
          </w:p>
          <w:p>
            <w:pPr>
              <w:spacing w:line="27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以上人员均须提供本单位近三个月的社保证明复印件，否则不得分。</w:t>
            </w:r>
          </w:p>
        </w:tc>
        <w:tc>
          <w:tcPr>
            <w:tcW w:w="1265" w:type="dxa"/>
            <w:tcBorders>
              <w:left w:val="single" w:color="auto" w:sz="4" w:space="0"/>
              <w:bottom w:val="single" w:color="auto" w:sz="4" w:space="0"/>
              <w:right w:val="single" w:color="auto" w:sz="4" w:space="0"/>
            </w:tcBorders>
            <w:vAlign w:val="center"/>
          </w:tcPr>
          <w:p>
            <w:pPr>
              <w:spacing w:line="276" w:lineRule="auto"/>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0-</w:t>
            </w:r>
            <w:r>
              <w:rPr>
                <w:rFonts w:hint="eastAsia" w:ascii="仿宋" w:hAnsi="仿宋" w:eastAsia="仿宋" w:cs="仿宋"/>
                <w:color w:val="auto"/>
                <w:kern w:val="0"/>
                <w:sz w:val="24"/>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 w:val="24"/>
                <w:highlight w:val="none"/>
              </w:rPr>
            </w:pPr>
          </w:p>
        </w:tc>
        <w:tc>
          <w:tcPr>
            <w:tcW w:w="1541"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 w:val="24"/>
                <w:highlight w:val="none"/>
              </w:rPr>
            </w:pPr>
          </w:p>
        </w:tc>
        <w:tc>
          <w:tcPr>
            <w:tcW w:w="55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仿宋" w:hAnsi="仿宋" w:eastAsia="仿宋" w:cs="仿宋"/>
                <w:color w:val="auto"/>
                <w:kern w:val="0"/>
                <w:sz w:val="24"/>
                <w:highlight w:val="none"/>
                <w:lang w:eastAsia="zh-CN"/>
              </w:rPr>
            </w:pPr>
            <w:r>
              <w:rPr>
                <w:rFonts w:ascii="仿宋" w:hAnsi="仿宋" w:eastAsia="仿宋" w:cs="仿宋"/>
                <w:color w:val="auto"/>
                <w:kern w:val="0"/>
                <w:sz w:val="24"/>
                <w:highlight w:val="none"/>
              </w:rPr>
              <w:t>根据本项目人员配置的各部门、各岗位人员，培训计划方案明确、科学、可行；考核方案是否明确、科学、可行。</w:t>
            </w:r>
          </w:p>
          <w:p>
            <w:pPr>
              <w:spacing w:line="276" w:lineRule="auto"/>
              <w:jc w:val="left"/>
              <w:rPr>
                <w:rFonts w:ascii="仿宋" w:hAnsi="仿宋" w:eastAsia="仿宋" w:cs="仿宋"/>
                <w:color w:val="auto"/>
                <w:kern w:val="0"/>
                <w:sz w:val="24"/>
                <w:highlight w:val="none"/>
              </w:rPr>
            </w:pPr>
            <w:r>
              <w:rPr>
                <w:rFonts w:hint="eastAsia" w:ascii="仿宋" w:hAnsi="仿宋" w:eastAsia="仿宋" w:cs="仿宋"/>
                <w:color w:val="auto"/>
                <w:kern w:val="2"/>
                <w:sz w:val="21"/>
                <w:szCs w:val="21"/>
                <w:highlight w:val="none"/>
                <w:lang w:val="zh-CN" w:eastAsia="zh-CN" w:bidi="ar-SA"/>
              </w:rPr>
              <w:t>（至少包括①</w:t>
            </w:r>
            <w:r>
              <w:rPr>
                <w:rFonts w:hint="eastAsia" w:ascii="仿宋" w:hAnsi="仿宋" w:eastAsia="仿宋" w:cs="仿宋"/>
                <w:color w:val="auto"/>
                <w:kern w:val="2"/>
                <w:sz w:val="21"/>
                <w:szCs w:val="21"/>
                <w:highlight w:val="none"/>
                <w:lang w:val="en-US" w:eastAsia="zh-CN" w:bidi="ar-SA"/>
              </w:rPr>
              <w:t>项目安保服务人员安排</w:t>
            </w:r>
            <w:r>
              <w:rPr>
                <w:rFonts w:hint="eastAsia" w:ascii="仿宋" w:hAnsi="仿宋" w:eastAsia="仿宋" w:cs="仿宋"/>
                <w:color w:val="auto"/>
                <w:kern w:val="2"/>
                <w:sz w:val="21"/>
                <w:szCs w:val="21"/>
                <w:highlight w:val="none"/>
                <w:lang w:val="zh-CN" w:eastAsia="zh-CN" w:bidi="ar-SA"/>
              </w:rPr>
              <w:t>②</w:t>
            </w:r>
            <w:r>
              <w:rPr>
                <w:rFonts w:hint="eastAsia" w:ascii="仿宋" w:hAnsi="仿宋" w:eastAsia="仿宋" w:cs="仿宋"/>
                <w:color w:val="auto"/>
                <w:kern w:val="2"/>
                <w:sz w:val="21"/>
                <w:szCs w:val="21"/>
                <w:highlight w:val="none"/>
                <w:lang w:val="en-US" w:eastAsia="zh-CN" w:bidi="ar-SA"/>
              </w:rPr>
              <w:t>项目设备保障人员安排③项目整体人员安排</w:t>
            </w:r>
            <w:r>
              <w:rPr>
                <w:rFonts w:hint="eastAsia" w:ascii="仿宋" w:hAnsi="仿宋" w:eastAsia="仿宋" w:cs="仿宋"/>
                <w:color w:val="auto"/>
                <w:kern w:val="2"/>
                <w:sz w:val="21"/>
                <w:szCs w:val="21"/>
                <w:highlight w:val="none"/>
                <w:lang w:val="zh-CN" w:eastAsia="zh-CN" w:bidi="ar-SA"/>
              </w:rPr>
              <w:t>等内容。每一项方案内容合理且可行的得</w:t>
            </w: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kern w:val="2"/>
                <w:sz w:val="21"/>
                <w:szCs w:val="21"/>
                <w:highlight w:val="none"/>
                <w:lang w:val="zh-CN" w:eastAsia="zh-CN" w:bidi="ar-SA"/>
              </w:rPr>
              <w:t>分，存在欠缺但基本合理、可行的得</w:t>
            </w: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kern w:val="2"/>
                <w:sz w:val="21"/>
                <w:szCs w:val="21"/>
                <w:highlight w:val="none"/>
                <w:lang w:val="zh-CN" w:eastAsia="zh-CN" w:bidi="ar-SA"/>
              </w:rPr>
              <w:t>分，不合理或不可行的得</w:t>
            </w:r>
            <w:r>
              <w:rPr>
                <w:rFonts w:hint="eastAsia" w:ascii="仿宋" w:hAnsi="仿宋" w:eastAsia="仿宋" w:cs="仿宋"/>
                <w:color w:val="auto"/>
                <w:kern w:val="2"/>
                <w:sz w:val="21"/>
                <w:szCs w:val="21"/>
                <w:highlight w:val="none"/>
                <w:lang w:val="en-US" w:eastAsia="zh-CN" w:bidi="ar-SA"/>
              </w:rPr>
              <w:t>0</w:t>
            </w:r>
            <w:r>
              <w:rPr>
                <w:rFonts w:hint="eastAsia" w:ascii="仿宋" w:hAnsi="仿宋" w:eastAsia="仿宋" w:cs="仿宋"/>
                <w:color w:val="auto"/>
                <w:kern w:val="2"/>
                <w:sz w:val="21"/>
                <w:szCs w:val="21"/>
                <w:highlight w:val="none"/>
                <w:lang w:val="zh-CN" w:eastAsia="zh-CN" w:bidi="ar-SA"/>
              </w:rPr>
              <w:t>分，每项最高得</w:t>
            </w: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kern w:val="2"/>
                <w:sz w:val="21"/>
                <w:szCs w:val="21"/>
                <w:highlight w:val="none"/>
                <w:lang w:val="zh-CN" w:eastAsia="zh-CN" w:bidi="ar-SA"/>
              </w:rPr>
              <w:t>分，共</w:t>
            </w:r>
            <w:r>
              <w:rPr>
                <w:rFonts w:hint="eastAsia" w:ascii="仿宋" w:hAnsi="仿宋" w:eastAsia="仿宋" w:cs="仿宋"/>
                <w:color w:val="auto"/>
                <w:kern w:val="2"/>
                <w:sz w:val="21"/>
                <w:szCs w:val="21"/>
                <w:highlight w:val="none"/>
                <w:lang w:val="en-US" w:eastAsia="zh-CN" w:bidi="ar-SA"/>
              </w:rPr>
              <w:t>3</w:t>
            </w:r>
            <w:r>
              <w:rPr>
                <w:rFonts w:hint="eastAsia" w:ascii="仿宋" w:hAnsi="仿宋" w:eastAsia="仿宋" w:cs="仿宋"/>
                <w:color w:val="auto"/>
                <w:kern w:val="2"/>
                <w:sz w:val="21"/>
                <w:szCs w:val="21"/>
                <w:highlight w:val="none"/>
                <w:lang w:val="zh-CN" w:eastAsia="zh-CN" w:bidi="ar-SA"/>
              </w:rPr>
              <w:t>项，本条最高得</w:t>
            </w:r>
            <w:r>
              <w:rPr>
                <w:rFonts w:hint="eastAsia" w:ascii="仿宋" w:hAnsi="仿宋" w:eastAsia="仿宋" w:cs="仿宋"/>
                <w:color w:val="auto"/>
                <w:kern w:val="2"/>
                <w:sz w:val="21"/>
                <w:szCs w:val="21"/>
                <w:highlight w:val="none"/>
                <w:lang w:val="en-US" w:eastAsia="zh-CN" w:bidi="ar-SA"/>
              </w:rPr>
              <w:t>6</w:t>
            </w:r>
            <w:r>
              <w:rPr>
                <w:rFonts w:hint="eastAsia" w:ascii="仿宋" w:hAnsi="仿宋" w:eastAsia="仿宋" w:cs="仿宋"/>
                <w:color w:val="auto"/>
                <w:kern w:val="2"/>
                <w:sz w:val="21"/>
                <w:szCs w:val="21"/>
                <w:highlight w:val="none"/>
                <w:lang w:val="zh-CN" w:eastAsia="zh-CN" w:bidi="ar-SA"/>
              </w:rPr>
              <w:t>分。）</w:t>
            </w:r>
          </w:p>
        </w:tc>
        <w:tc>
          <w:tcPr>
            <w:tcW w:w="1265" w:type="dxa"/>
            <w:tcBorders>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0-</w:t>
            </w:r>
            <w:r>
              <w:rPr>
                <w:rFonts w:hint="eastAsia" w:ascii="仿宋" w:hAnsi="仿宋" w:eastAsia="仿宋" w:cs="仿宋"/>
                <w:color w:val="auto"/>
                <w:kern w:val="0"/>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 w:val="24"/>
                <w:highlight w:val="none"/>
              </w:rPr>
            </w:pPr>
          </w:p>
        </w:tc>
        <w:tc>
          <w:tcPr>
            <w:tcW w:w="1541" w:type="dxa"/>
            <w:vMerge w:val="restart"/>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组织实施方案</w:t>
            </w:r>
          </w:p>
        </w:tc>
        <w:tc>
          <w:tcPr>
            <w:tcW w:w="55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仿宋" w:hAnsi="仿宋" w:eastAsia="仿宋" w:cs="仿宋"/>
                <w:color w:val="auto"/>
                <w:kern w:val="0"/>
                <w:sz w:val="24"/>
                <w:highlight w:val="none"/>
              </w:rPr>
            </w:pPr>
            <w:r>
              <w:rPr>
                <w:rFonts w:hint="eastAsia" w:ascii="仿宋" w:hAnsi="仿宋" w:eastAsia="仿宋"/>
                <w:color w:val="auto"/>
                <w:sz w:val="24"/>
                <w:highlight w:val="none"/>
              </w:rPr>
              <w:t>根据本项目服务特点提出合理的服务理念，提出服务定位、目标；投标人的管理模式符合本项目实际需求且切合实际、安全可行；保密性、安全性、文明服务的计划及承诺情况。</w:t>
            </w:r>
          </w:p>
          <w:p>
            <w:pPr>
              <w:spacing w:line="276" w:lineRule="auto"/>
              <w:jc w:val="left"/>
              <w:rPr>
                <w:rFonts w:ascii="仿宋" w:hAnsi="仿宋" w:eastAsia="仿宋" w:cs="仿宋"/>
                <w:color w:val="auto"/>
                <w:kern w:val="0"/>
                <w:sz w:val="24"/>
                <w:highlight w:val="none"/>
              </w:rPr>
            </w:pPr>
            <w:r>
              <w:rPr>
                <w:rFonts w:hint="eastAsia" w:ascii="仿宋" w:hAnsi="仿宋" w:eastAsia="仿宋" w:cs="仿宋"/>
                <w:color w:val="auto"/>
                <w:kern w:val="2"/>
                <w:sz w:val="21"/>
                <w:szCs w:val="21"/>
                <w:highlight w:val="none"/>
                <w:lang w:val="zh-CN" w:eastAsia="zh-CN" w:bidi="ar-SA"/>
              </w:rPr>
              <w:t>（至少包括①</w:t>
            </w:r>
            <w:r>
              <w:rPr>
                <w:rFonts w:hint="eastAsia" w:ascii="仿宋" w:hAnsi="仿宋" w:eastAsia="仿宋" w:cs="仿宋"/>
                <w:color w:val="auto"/>
                <w:kern w:val="2"/>
                <w:sz w:val="21"/>
                <w:szCs w:val="21"/>
                <w:highlight w:val="none"/>
                <w:lang w:val="en-US" w:eastAsia="zh-CN" w:bidi="ar-SA"/>
              </w:rPr>
              <w:t>合理的</w:t>
            </w:r>
            <w:r>
              <w:rPr>
                <w:rFonts w:hint="eastAsia" w:ascii="仿宋" w:hAnsi="仿宋" w:eastAsia="仿宋" w:cs="仿宋"/>
                <w:color w:val="auto"/>
                <w:kern w:val="2"/>
                <w:sz w:val="21"/>
                <w:szCs w:val="21"/>
                <w:highlight w:val="none"/>
                <w:lang w:val="zh-CN" w:eastAsia="zh-CN" w:bidi="ar-SA"/>
              </w:rPr>
              <w:t>服务理念，服务定位、目标②</w:t>
            </w:r>
            <w:r>
              <w:rPr>
                <w:rFonts w:hint="eastAsia" w:ascii="仿宋" w:hAnsi="仿宋" w:eastAsia="仿宋" w:cs="仿宋"/>
                <w:color w:val="auto"/>
                <w:kern w:val="2"/>
                <w:sz w:val="21"/>
                <w:szCs w:val="21"/>
                <w:highlight w:val="none"/>
                <w:lang w:val="en-US" w:eastAsia="zh-CN" w:bidi="ar-SA"/>
              </w:rPr>
              <w:t>内部</w:t>
            </w:r>
            <w:r>
              <w:rPr>
                <w:rFonts w:hint="eastAsia" w:ascii="仿宋" w:hAnsi="仿宋" w:eastAsia="仿宋" w:cs="仿宋"/>
                <w:color w:val="auto"/>
                <w:kern w:val="2"/>
                <w:sz w:val="21"/>
                <w:szCs w:val="21"/>
                <w:highlight w:val="none"/>
                <w:lang w:val="zh-CN" w:eastAsia="zh-CN" w:bidi="ar-SA"/>
              </w:rPr>
              <w:t>管理模式等内容。每一项方案内容合理且可行的得</w:t>
            </w: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kern w:val="2"/>
                <w:sz w:val="21"/>
                <w:szCs w:val="21"/>
                <w:highlight w:val="none"/>
                <w:lang w:val="zh-CN" w:eastAsia="zh-CN" w:bidi="ar-SA"/>
              </w:rPr>
              <w:t>分，存在欠缺但基本合理、可行的得</w:t>
            </w: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kern w:val="2"/>
                <w:sz w:val="21"/>
                <w:szCs w:val="21"/>
                <w:highlight w:val="none"/>
                <w:lang w:val="zh-CN" w:eastAsia="zh-CN" w:bidi="ar-SA"/>
              </w:rPr>
              <w:t>分，不合理或不可行的得</w:t>
            </w:r>
            <w:r>
              <w:rPr>
                <w:rFonts w:hint="eastAsia" w:ascii="仿宋" w:hAnsi="仿宋" w:eastAsia="仿宋" w:cs="仿宋"/>
                <w:color w:val="auto"/>
                <w:kern w:val="2"/>
                <w:sz w:val="21"/>
                <w:szCs w:val="21"/>
                <w:highlight w:val="none"/>
                <w:lang w:val="en-US" w:eastAsia="zh-CN" w:bidi="ar-SA"/>
              </w:rPr>
              <w:t>0</w:t>
            </w:r>
            <w:r>
              <w:rPr>
                <w:rFonts w:hint="eastAsia" w:ascii="仿宋" w:hAnsi="仿宋" w:eastAsia="仿宋" w:cs="仿宋"/>
                <w:color w:val="auto"/>
                <w:kern w:val="2"/>
                <w:sz w:val="21"/>
                <w:szCs w:val="21"/>
                <w:highlight w:val="none"/>
                <w:lang w:val="zh-CN" w:eastAsia="zh-CN" w:bidi="ar-SA"/>
              </w:rPr>
              <w:t>分，每项最高得</w:t>
            </w: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kern w:val="2"/>
                <w:sz w:val="21"/>
                <w:szCs w:val="21"/>
                <w:highlight w:val="none"/>
                <w:lang w:val="zh-CN" w:eastAsia="zh-CN" w:bidi="ar-SA"/>
              </w:rPr>
              <w:t>分，共</w:t>
            </w: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kern w:val="2"/>
                <w:sz w:val="21"/>
                <w:szCs w:val="21"/>
                <w:highlight w:val="none"/>
                <w:lang w:val="zh-CN" w:eastAsia="zh-CN" w:bidi="ar-SA"/>
              </w:rPr>
              <w:t>项，本条最高得</w:t>
            </w:r>
            <w:r>
              <w:rPr>
                <w:rFonts w:hint="eastAsia" w:ascii="仿宋" w:hAnsi="仿宋" w:eastAsia="仿宋" w:cs="仿宋"/>
                <w:color w:val="auto"/>
                <w:kern w:val="2"/>
                <w:sz w:val="21"/>
                <w:szCs w:val="21"/>
                <w:highlight w:val="none"/>
                <w:lang w:val="en-US" w:eastAsia="zh-CN" w:bidi="ar-SA"/>
              </w:rPr>
              <w:t>4</w:t>
            </w:r>
            <w:r>
              <w:rPr>
                <w:rFonts w:hint="eastAsia" w:ascii="仿宋" w:hAnsi="仿宋" w:eastAsia="仿宋" w:cs="仿宋"/>
                <w:color w:val="auto"/>
                <w:kern w:val="2"/>
                <w:sz w:val="21"/>
                <w:szCs w:val="21"/>
                <w:highlight w:val="none"/>
                <w:lang w:val="zh-CN" w:eastAsia="zh-CN" w:bidi="ar-SA"/>
              </w:rPr>
              <w:t>分。）</w:t>
            </w:r>
          </w:p>
        </w:tc>
        <w:tc>
          <w:tcPr>
            <w:tcW w:w="1265" w:type="dxa"/>
            <w:tcBorders>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0-</w:t>
            </w:r>
            <w:r>
              <w:rPr>
                <w:rFonts w:hint="eastAsia" w:ascii="仿宋" w:hAnsi="仿宋" w:eastAsia="仿宋" w:cs="仿宋"/>
                <w:color w:val="auto"/>
                <w:kern w:val="0"/>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 w:val="24"/>
                <w:highlight w:val="none"/>
              </w:rPr>
            </w:pPr>
          </w:p>
        </w:tc>
        <w:tc>
          <w:tcPr>
            <w:tcW w:w="1541"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 w:val="24"/>
                <w:highlight w:val="none"/>
              </w:rPr>
            </w:pPr>
          </w:p>
        </w:tc>
        <w:tc>
          <w:tcPr>
            <w:tcW w:w="55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仿宋" w:hAnsi="仿宋" w:eastAsia="仿宋" w:cs="仿宋"/>
                <w:color w:val="auto"/>
                <w:kern w:val="0"/>
                <w:sz w:val="24"/>
                <w:highlight w:val="none"/>
              </w:rPr>
            </w:pPr>
            <w:r>
              <w:rPr>
                <w:rFonts w:hint="eastAsia" w:ascii="仿宋" w:hAnsi="仿宋" w:eastAsia="仿宋"/>
                <w:color w:val="auto"/>
                <w:sz w:val="24"/>
                <w:highlight w:val="none"/>
              </w:rPr>
              <w:t>有比较完善的组织架构，清晰简练地列出主要管理流程，包括对运作流程图、激励机制、监督机制、自我约束机制、信息反馈渠道及处理机制，管理指标承诺达到保</w:t>
            </w:r>
            <w:r>
              <w:rPr>
                <w:rFonts w:hint="eastAsia" w:ascii="仿宋" w:hAnsi="仿宋" w:eastAsia="仿宋"/>
                <w:color w:val="auto"/>
                <w:sz w:val="24"/>
                <w:highlight w:val="none"/>
                <w:lang w:val="en-US" w:eastAsia="zh-CN"/>
              </w:rPr>
              <w:t>安</w:t>
            </w:r>
            <w:r>
              <w:rPr>
                <w:rFonts w:hint="eastAsia" w:ascii="仿宋" w:hAnsi="仿宋" w:eastAsia="仿宋"/>
                <w:color w:val="auto"/>
                <w:sz w:val="24"/>
                <w:highlight w:val="none"/>
              </w:rPr>
              <w:t>服务管理标准。</w:t>
            </w:r>
          </w:p>
          <w:p>
            <w:pPr>
              <w:spacing w:line="276" w:lineRule="auto"/>
              <w:jc w:val="left"/>
              <w:rPr>
                <w:rFonts w:ascii="仿宋" w:hAnsi="仿宋" w:eastAsia="仿宋" w:cs="仿宋"/>
                <w:color w:val="auto"/>
                <w:kern w:val="0"/>
                <w:sz w:val="24"/>
                <w:highlight w:val="none"/>
              </w:rPr>
            </w:pPr>
            <w:r>
              <w:rPr>
                <w:rFonts w:hint="eastAsia" w:ascii="仿宋" w:hAnsi="仿宋" w:eastAsia="仿宋" w:cs="仿宋"/>
                <w:color w:val="auto"/>
                <w:kern w:val="2"/>
                <w:sz w:val="21"/>
                <w:szCs w:val="21"/>
                <w:highlight w:val="none"/>
                <w:lang w:val="zh-CN" w:eastAsia="zh-CN" w:bidi="ar-SA"/>
              </w:rPr>
              <w:t>（至少包括①比较完善的组织架构②主要管理流程，包括对运作流程图、激励机制、监督机制、自我约束机制、信息反馈渠道及处理机制等内容。每一项方案内容合理且可行的得</w:t>
            </w: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kern w:val="2"/>
                <w:sz w:val="21"/>
                <w:szCs w:val="21"/>
                <w:highlight w:val="none"/>
                <w:lang w:val="zh-CN" w:eastAsia="zh-CN" w:bidi="ar-SA"/>
              </w:rPr>
              <w:t>分，存在欠缺但基本合理、可行的得</w:t>
            </w: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kern w:val="2"/>
                <w:sz w:val="21"/>
                <w:szCs w:val="21"/>
                <w:highlight w:val="none"/>
                <w:lang w:val="zh-CN" w:eastAsia="zh-CN" w:bidi="ar-SA"/>
              </w:rPr>
              <w:t>分，不合理或不可行的得</w:t>
            </w:r>
            <w:r>
              <w:rPr>
                <w:rFonts w:hint="eastAsia" w:ascii="仿宋" w:hAnsi="仿宋" w:eastAsia="仿宋" w:cs="仿宋"/>
                <w:color w:val="auto"/>
                <w:kern w:val="2"/>
                <w:sz w:val="21"/>
                <w:szCs w:val="21"/>
                <w:highlight w:val="none"/>
                <w:lang w:val="en-US" w:eastAsia="zh-CN" w:bidi="ar-SA"/>
              </w:rPr>
              <w:t>0</w:t>
            </w:r>
            <w:r>
              <w:rPr>
                <w:rFonts w:hint="eastAsia" w:ascii="仿宋" w:hAnsi="仿宋" w:eastAsia="仿宋" w:cs="仿宋"/>
                <w:color w:val="auto"/>
                <w:kern w:val="2"/>
                <w:sz w:val="21"/>
                <w:szCs w:val="21"/>
                <w:highlight w:val="none"/>
                <w:lang w:val="zh-CN" w:eastAsia="zh-CN" w:bidi="ar-SA"/>
              </w:rPr>
              <w:t>分，每项最高得</w:t>
            </w: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kern w:val="2"/>
                <w:sz w:val="21"/>
                <w:szCs w:val="21"/>
                <w:highlight w:val="none"/>
                <w:lang w:val="zh-CN" w:eastAsia="zh-CN" w:bidi="ar-SA"/>
              </w:rPr>
              <w:t>分，共</w:t>
            </w: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kern w:val="2"/>
                <w:sz w:val="21"/>
                <w:szCs w:val="21"/>
                <w:highlight w:val="none"/>
                <w:lang w:val="zh-CN" w:eastAsia="zh-CN" w:bidi="ar-SA"/>
              </w:rPr>
              <w:t>项，本条最高得</w:t>
            </w:r>
            <w:r>
              <w:rPr>
                <w:rFonts w:hint="eastAsia" w:ascii="仿宋" w:hAnsi="仿宋" w:eastAsia="仿宋" w:cs="仿宋"/>
                <w:color w:val="auto"/>
                <w:kern w:val="2"/>
                <w:sz w:val="21"/>
                <w:szCs w:val="21"/>
                <w:highlight w:val="none"/>
                <w:lang w:val="en-US" w:eastAsia="zh-CN" w:bidi="ar-SA"/>
              </w:rPr>
              <w:t>4</w:t>
            </w:r>
            <w:r>
              <w:rPr>
                <w:rFonts w:hint="eastAsia" w:ascii="仿宋" w:hAnsi="仿宋" w:eastAsia="仿宋" w:cs="仿宋"/>
                <w:color w:val="auto"/>
                <w:kern w:val="2"/>
                <w:sz w:val="21"/>
                <w:szCs w:val="21"/>
                <w:highlight w:val="none"/>
                <w:lang w:val="zh-CN" w:eastAsia="zh-CN" w:bidi="ar-SA"/>
              </w:rPr>
              <w:t>分。）</w:t>
            </w:r>
          </w:p>
        </w:tc>
        <w:tc>
          <w:tcPr>
            <w:tcW w:w="1265" w:type="dxa"/>
            <w:tcBorders>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0-</w:t>
            </w:r>
            <w:r>
              <w:rPr>
                <w:rFonts w:hint="eastAsia" w:ascii="仿宋" w:hAnsi="仿宋" w:eastAsia="仿宋" w:cs="仿宋"/>
                <w:color w:val="auto"/>
                <w:kern w:val="0"/>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 w:val="24"/>
                <w:highlight w:val="none"/>
              </w:rPr>
            </w:pPr>
          </w:p>
        </w:tc>
        <w:tc>
          <w:tcPr>
            <w:tcW w:w="1541"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 w:val="24"/>
                <w:highlight w:val="none"/>
              </w:rPr>
            </w:pPr>
          </w:p>
        </w:tc>
        <w:tc>
          <w:tcPr>
            <w:tcW w:w="55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有完善的服务管理制度、作业流程及后勤综合服务管理工作计划及实施时间，并建立和完善档案管理制度、台账管理制度、公众制度、安保服务管理制度及其配套设施权属清册等，体现标准化服务，管理服务水平是否符合国家和行业标准。</w:t>
            </w:r>
          </w:p>
          <w:p>
            <w:pPr>
              <w:spacing w:line="276" w:lineRule="auto"/>
              <w:jc w:val="left"/>
              <w:rPr>
                <w:rFonts w:ascii="仿宋" w:hAnsi="仿宋" w:eastAsia="仿宋" w:cs="仿宋"/>
                <w:color w:val="auto"/>
                <w:kern w:val="0"/>
                <w:sz w:val="24"/>
                <w:highlight w:val="none"/>
              </w:rPr>
            </w:pPr>
            <w:r>
              <w:rPr>
                <w:rFonts w:hint="eastAsia" w:ascii="仿宋" w:hAnsi="仿宋" w:eastAsia="仿宋" w:cs="仿宋"/>
                <w:color w:val="auto"/>
                <w:kern w:val="2"/>
                <w:sz w:val="21"/>
                <w:szCs w:val="21"/>
                <w:highlight w:val="none"/>
                <w:lang w:val="zh-CN" w:eastAsia="zh-CN" w:bidi="ar-SA"/>
              </w:rPr>
              <w:t>（至少包括①服务管理制度②作业流程及后勤综合服务管理工作计划及实施时间</w:t>
            </w:r>
            <w:r>
              <w:rPr>
                <w:rFonts w:hint="eastAsia" w:ascii="仿宋" w:hAnsi="仿宋" w:eastAsia="仿宋" w:cs="仿宋"/>
                <w:color w:val="auto"/>
                <w:kern w:val="2"/>
                <w:sz w:val="21"/>
                <w:szCs w:val="21"/>
                <w:highlight w:val="none"/>
                <w:lang w:val="en-US" w:eastAsia="zh-CN" w:bidi="ar-SA"/>
              </w:rPr>
              <w:t>③档案管理制度、台账管理制度、公众制度、安保服务管理制度及其配套设施权属清册</w:t>
            </w:r>
            <w:r>
              <w:rPr>
                <w:rFonts w:hint="eastAsia" w:ascii="仿宋" w:hAnsi="仿宋" w:eastAsia="仿宋" w:cs="仿宋"/>
                <w:color w:val="auto"/>
                <w:kern w:val="2"/>
                <w:sz w:val="21"/>
                <w:szCs w:val="21"/>
                <w:highlight w:val="none"/>
                <w:lang w:val="zh-CN" w:eastAsia="zh-CN" w:bidi="ar-SA"/>
              </w:rPr>
              <w:t>等内容。每一项方案内容合理且可行的得</w:t>
            </w: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kern w:val="2"/>
                <w:sz w:val="21"/>
                <w:szCs w:val="21"/>
                <w:highlight w:val="none"/>
                <w:lang w:val="zh-CN" w:eastAsia="zh-CN" w:bidi="ar-SA"/>
              </w:rPr>
              <w:t>分，存在欠缺但基本合理、可行的得</w:t>
            </w: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kern w:val="2"/>
                <w:sz w:val="21"/>
                <w:szCs w:val="21"/>
                <w:highlight w:val="none"/>
                <w:lang w:val="zh-CN" w:eastAsia="zh-CN" w:bidi="ar-SA"/>
              </w:rPr>
              <w:t>分，不合理或不可行的得</w:t>
            </w:r>
            <w:r>
              <w:rPr>
                <w:rFonts w:hint="eastAsia" w:ascii="仿宋" w:hAnsi="仿宋" w:eastAsia="仿宋" w:cs="仿宋"/>
                <w:color w:val="auto"/>
                <w:kern w:val="2"/>
                <w:sz w:val="21"/>
                <w:szCs w:val="21"/>
                <w:highlight w:val="none"/>
                <w:lang w:val="en-US" w:eastAsia="zh-CN" w:bidi="ar-SA"/>
              </w:rPr>
              <w:t>0</w:t>
            </w:r>
            <w:r>
              <w:rPr>
                <w:rFonts w:hint="eastAsia" w:ascii="仿宋" w:hAnsi="仿宋" w:eastAsia="仿宋" w:cs="仿宋"/>
                <w:color w:val="auto"/>
                <w:kern w:val="2"/>
                <w:sz w:val="21"/>
                <w:szCs w:val="21"/>
                <w:highlight w:val="none"/>
                <w:lang w:val="zh-CN" w:eastAsia="zh-CN" w:bidi="ar-SA"/>
              </w:rPr>
              <w:t>分，每项最高得</w:t>
            </w: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kern w:val="2"/>
                <w:sz w:val="21"/>
                <w:szCs w:val="21"/>
                <w:highlight w:val="none"/>
                <w:lang w:val="zh-CN" w:eastAsia="zh-CN" w:bidi="ar-SA"/>
              </w:rPr>
              <w:t>分，共</w:t>
            </w:r>
            <w:r>
              <w:rPr>
                <w:rFonts w:hint="eastAsia" w:ascii="仿宋" w:hAnsi="仿宋" w:eastAsia="仿宋" w:cs="仿宋"/>
                <w:color w:val="auto"/>
                <w:kern w:val="2"/>
                <w:sz w:val="21"/>
                <w:szCs w:val="21"/>
                <w:highlight w:val="none"/>
                <w:lang w:val="en-US" w:eastAsia="zh-CN" w:bidi="ar-SA"/>
              </w:rPr>
              <w:t>3</w:t>
            </w:r>
            <w:r>
              <w:rPr>
                <w:rFonts w:hint="eastAsia" w:ascii="仿宋" w:hAnsi="仿宋" w:eastAsia="仿宋" w:cs="仿宋"/>
                <w:color w:val="auto"/>
                <w:kern w:val="2"/>
                <w:sz w:val="21"/>
                <w:szCs w:val="21"/>
                <w:highlight w:val="none"/>
                <w:lang w:val="zh-CN" w:eastAsia="zh-CN" w:bidi="ar-SA"/>
              </w:rPr>
              <w:t>项，本条最高得</w:t>
            </w:r>
            <w:r>
              <w:rPr>
                <w:rFonts w:hint="eastAsia" w:ascii="仿宋" w:hAnsi="仿宋" w:eastAsia="仿宋" w:cs="仿宋"/>
                <w:color w:val="auto"/>
                <w:kern w:val="2"/>
                <w:sz w:val="21"/>
                <w:szCs w:val="21"/>
                <w:highlight w:val="none"/>
                <w:lang w:val="en-US" w:eastAsia="zh-CN" w:bidi="ar-SA"/>
              </w:rPr>
              <w:t>6</w:t>
            </w:r>
            <w:r>
              <w:rPr>
                <w:rFonts w:hint="eastAsia" w:ascii="仿宋" w:hAnsi="仿宋" w:eastAsia="仿宋" w:cs="仿宋"/>
                <w:color w:val="auto"/>
                <w:kern w:val="2"/>
                <w:sz w:val="21"/>
                <w:szCs w:val="21"/>
                <w:highlight w:val="none"/>
                <w:lang w:val="zh-CN" w:eastAsia="zh-CN" w:bidi="ar-SA"/>
              </w:rPr>
              <w:t>分。）</w:t>
            </w:r>
          </w:p>
        </w:tc>
        <w:tc>
          <w:tcPr>
            <w:tcW w:w="1265" w:type="dxa"/>
            <w:tcBorders>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0-</w:t>
            </w:r>
            <w:r>
              <w:rPr>
                <w:rFonts w:hint="eastAsia" w:ascii="仿宋" w:hAnsi="仿宋" w:eastAsia="仿宋" w:cs="仿宋"/>
                <w:color w:val="auto"/>
                <w:kern w:val="0"/>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 w:val="24"/>
                <w:highlight w:val="none"/>
              </w:rPr>
            </w:pPr>
          </w:p>
        </w:tc>
        <w:tc>
          <w:tcPr>
            <w:tcW w:w="1541" w:type="dxa"/>
            <w:vMerge w:val="continue"/>
            <w:tcBorders>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auto"/>
                <w:kern w:val="0"/>
                <w:sz w:val="24"/>
                <w:highlight w:val="none"/>
              </w:rPr>
            </w:pPr>
          </w:p>
        </w:tc>
        <w:tc>
          <w:tcPr>
            <w:tcW w:w="55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对本项目需求的吻合程度：要求响应完整，目标明确，理解到位，能完全满足采购人</w:t>
            </w:r>
            <w:r>
              <w:rPr>
                <w:rFonts w:hint="eastAsia" w:ascii="仿宋" w:hAnsi="仿宋" w:eastAsia="仿宋" w:cs="仿宋"/>
                <w:color w:val="auto"/>
                <w:kern w:val="0"/>
                <w:sz w:val="24"/>
                <w:highlight w:val="none"/>
                <w:lang w:val="en-US" w:eastAsia="zh-CN"/>
              </w:rPr>
              <w:t>租赁设备</w:t>
            </w:r>
            <w:r>
              <w:rPr>
                <w:rFonts w:hint="eastAsia" w:ascii="仿宋" w:hAnsi="仿宋" w:eastAsia="仿宋" w:cs="仿宋"/>
                <w:color w:val="auto"/>
                <w:kern w:val="0"/>
                <w:sz w:val="24"/>
                <w:highlight w:val="none"/>
              </w:rPr>
              <w:t>技术参数</w:t>
            </w:r>
            <w:r>
              <w:rPr>
                <w:rFonts w:hint="eastAsia" w:ascii="仿宋" w:hAnsi="仿宋" w:eastAsia="仿宋" w:cs="仿宋"/>
                <w:color w:val="auto"/>
                <w:kern w:val="0"/>
                <w:sz w:val="24"/>
                <w:highlight w:val="none"/>
                <w:lang w:val="en-US" w:eastAsia="zh-CN"/>
              </w:rPr>
              <w:t>打※</w:t>
            </w:r>
            <w:r>
              <w:rPr>
                <w:rFonts w:hint="eastAsia" w:ascii="仿宋" w:hAnsi="仿宋" w:eastAsia="仿宋" w:cs="仿宋"/>
                <w:color w:val="auto"/>
                <w:kern w:val="0"/>
                <w:sz w:val="24"/>
                <w:highlight w:val="none"/>
              </w:rPr>
              <w:t>指标要求，技术指标负偏离每一</w:t>
            </w:r>
            <w:r>
              <w:rPr>
                <w:rFonts w:hint="eastAsia" w:ascii="仿宋" w:hAnsi="仿宋" w:eastAsia="仿宋" w:cs="仿宋"/>
                <w:color w:val="auto"/>
                <w:kern w:val="0"/>
                <w:sz w:val="24"/>
                <w:highlight w:val="none"/>
                <w:lang w:val="en-US" w:eastAsia="zh-CN"/>
              </w:rPr>
              <w:t>条</w:t>
            </w:r>
            <w:r>
              <w:rPr>
                <w:rFonts w:hint="eastAsia" w:ascii="仿宋" w:hAnsi="仿宋" w:eastAsia="仿宋" w:cs="仿宋"/>
                <w:color w:val="auto"/>
                <w:kern w:val="0"/>
                <w:sz w:val="24"/>
                <w:highlight w:val="none"/>
              </w:rPr>
              <w:t>扣</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分，扣完为止。（0-1</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w:t>
            </w:r>
          </w:p>
        </w:tc>
        <w:tc>
          <w:tcPr>
            <w:tcW w:w="1265" w:type="dxa"/>
            <w:tcBorders>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0-1</w:t>
            </w:r>
            <w:r>
              <w:rPr>
                <w:rFonts w:hint="eastAsia" w:ascii="仿宋" w:hAnsi="仿宋" w:eastAsia="仿宋" w:cs="仿宋"/>
                <w:color w:val="auto"/>
                <w:kern w:val="0"/>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666"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特色服务情况</w:t>
            </w:r>
          </w:p>
        </w:tc>
        <w:tc>
          <w:tcPr>
            <w:tcW w:w="55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auto"/>
                <w:kern w:val="0"/>
                <w:sz w:val="24"/>
                <w:highlight w:val="none"/>
                <w:lang w:val="en-GB"/>
              </w:rPr>
            </w:pPr>
            <w:r>
              <w:rPr>
                <w:rFonts w:hint="eastAsia" w:ascii="仿宋" w:hAnsi="仿宋" w:eastAsia="仿宋"/>
                <w:color w:val="auto"/>
                <w:sz w:val="24"/>
                <w:highlight w:val="none"/>
              </w:rPr>
              <w:t>根据本项目情况</w:t>
            </w:r>
            <w:bookmarkStart w:id="398" w:name="_GoBack"/>
            <w:bookmarkEnd w:id="398"/>
            <w:r>
              <w:rPr>
                <w:rFonts w:hint="eastAsia" w:ascii="仿宋" w:hAnsi="仿宋" w:eastAsia="仿宋"/>
                <w:color w:val="auto"/>
                <w:sz w:val="24"/>
                <w:highlight w:val="none"/>
              </w:rPr>
              <w:t>提供</w:t>
            </w:r>
            <w:r>
              <w:rPr>
                <w:rFonts w:hint="eastAsia" w:ascii="仿宋" w:hAnsi="仿宋" w:eastAsia="仿宋"/>
                <w:color w:val="auto"/>
                <w:sz w:val="24"/>
                <w:highlight w:val="none"/>
                <w:lang w:eastAsia="zh-CN"/>
              </w:rPr>
              <w:t>实质</w:t>
            </w:r>
            <w:r>
              <w:rPr>
                <w:rFonts w:hint="eastAsia" w:ascii="仿宋" w:hAnsi="仿宋" w:eastAsia="仿宋"/>
                <w:color w:val="auto"/>
                <w:sz w:val="24"/>
                <w:highlight w:val="none"/>
              </w:rPr>
              <w:t>有效的增值服务</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每提供一条得1分，最高得3分。</w:t>
            </w:r>
            <w:r>
              <w:rPr>
                <w:rFonts w:hint="eastAsia" w:ascii="仿宋" w:hAnsi="仿宋" w:eastAsia="仿宋" w:cs="仿宋"/>
                <w:color w:val="auto"/>
                <w:kern w:val="0"/>
                <w:sz w:val="24"/>
                <w:highlight w:val="none"/>
              </w:rPr>
              <w:t xml:space="preserve">          </w:t>
            </w:r>
          </w:p>
        </w:tc>
        <w:tc>
          <w:tcPr>
            <w:tcW w:w="12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0-</w:t>
            </w:r>
            <w:r>
              <w:rPr>
                <w:rFonts w:hint="eastAsia" w:ascii="仿宋" w:hAnsi="仿宋" w:eastAsia="仿宋" w:cs="仿宋"/>
                <w:color w:val="auto"/>
                <w:kern w:val="0"/>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66"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 w:val="24"/>
                <w:highlight w:val="none"/>
              </w:rPr>
            </w:pPr>
          </w:p>
        </w:tc>
        <w:tc>
          <w:tcPr>
            <w:tcW w:w="1541" w:type="dxa"/>
            <w:vMerge w:val="restart"/>
            <w:tcBorders>
              <w:top w:val="single" w:color="auto" w:sz="4" w:space="0"/>
              <w:left w:val="single" w:color="auto" w:sz="4" w:space="0"/>
              <w:right w:val="single" w:color="auto" w:sz="4" w:space="0"/>
            </w:tcBorders>
            <w:vAlign w:val="center"/>
          </w:tcPr>
          <w:p>
            <w:pPr>
              <w:spacing w:line="276" w:lineRule="auto"/>
              <w:jc w:val="center"/>
              <w:rPr>
                <w:rFonts w:hint="eastAsia" w:ascii="仿宋" w:hAnsi="仿宋" w:eastAsia="仿宋" w:cs="仿宋"/>
                <w:color w:val="auto"/>
                <w:kern w:val="0"/>
                <w:sz w:val="24"/>
                <w:highlight w:val="none"/>
              </w:rPr>
            </w:pPr>
          </w:p>
          <w:p>
            <w:pPr>
              <w:spacing w:line="276"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应急响应方案</w:t>
            </w:r>
          </w:p>
        </w:tc>
        <w:tc>
          <w:tcPr>
            <w:tcW w:w="55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auto"/>
                <w:kern w:val="0"/>
                <w:sz w:val="24"/>
                <w:highlight w:val="none"/>
                <w:lang w:val="en-GB"/>
              </w:rPr>
            </w:pPr>
            <w:r>
              <w:rPr>
                <w:rFonts w:hint="eastAsia" w:ascii="仿宋" w:hAnsi="仿宋" w:eastAsia="仿宋" w:cs="仿宋"/>
                <w:color w:val="auto"/>
                <w:kern w:val="0"/>
                <w:sz w:val="24"/>
                <w:highlight w:val="none"/>
                <w:lang w:val="en-US" w:eastAsia="zh-CN"/>
              </w:rPr>
              <w:t>从本项目人员服务角度提供</w:t>
            </w:r>
            <w:r>
              <w:rPr>
                <w:rFonts w:hint="eastAsia" w:ascii="仿宋" w:hAnsi="仿宋" w:eastAsia="仿宋" w:cs="仿宋"/>
                <w:color w:val="auto"/>
                <w:kern w:val="0"/>
                <w:sz w:val="24"/>
                <w:highlight w:val="none"/>
                <w:lang w:val="en-GB"/>
              </w:rPr>
              <w:t>应急响应方案完善，有效可行。</w:t>
            </w:r>
          </w:p>
          <w:p>
            <w:pPr>
              <w:spacing w:line="27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2"/>
                <w:sz w:val="21"/>
                <w:szCs w:val="21"/>
                <w:highlight w:val="none"/>
                <w:lang w:val="zh-CN" w:eastAsia="zh-CN" w:bidi="ar-SA"/>
              </w:rPr>
              <w:t>（至少包括①</w:t>
            </w:r>
            <w:r>
              <w:rPr>
                <w:rFonts w:hint="eastAsia" w:ascii="仿宋" w:hAnsi="仿宋" w:eastAsia="仿宋" w:cs="仿宋"/>
                <w:color w:val="auto"/>
                <w:kern w:val="2"/>
                <w:sz w:val="21"/>
                <w:szCs w:val="21"/>
                <w:highlight w:val="none"/>
                <w:lang w:val="en-US" w:eastAsia="zh-CN" w:bidi="ar-SA"/>
              </w:rPr>
              <w:t>突发性事件预防方案</w:t>
            </w:r>
            <w:r>
              <w:rPr>
                <w:rFonts w:hint="eastAsia" w:ascii="仿宋" w:hAnsi="仿宋" w:eastAsia="仿宋" w:cs="仿宋"/>
                <w:color w:val="auto"/>
                <w:kern w:val="2"/>
                <w:sz w:val="21"/>
                <w:szCs w:val="21"/>
                <w:highlight w:val="none"/>
                <w:lang w:val="zh-CN" w:eastAsia="zh-CN" w:bidi="ar-SA"/>
              </w:rPr>
              <w:t>。②</w:t>
            </w:r>
            <w:r>
              <w:rPr>
                <w:rFonts w:hint="eastAsia" w:ascii="仿宋" w:hAnsi="仿宋" w:eastAsia="仿宋" w:cs="仿宋"/>
                <w:color w:val="auto"/>
                <w:kern w:val="2"/>
                <w:sz w:val="21"/>
                <w:szCs w:val="21"/>
                <w:highlight w:val="none"/>
                <w:lang w:val="en-US" w:eastAsia="zh-CN" w:bidi="ar-SA"/>
              </w:rPr>
              <w:t>突发性事件解决方案</w:t>
            </w:r>
            <w:r>
              <w:rPr>
                <w:rFonts w:hint="eastAsia" w:ascii="仿宋" w:hAnsi="仿宋" w:eastAsia="仿宋" w:cs="仿宋"/>
                <w:color w:val="auto"/>
                <w:kern w:val="2"/>
                <w:sz w:val="21"/>
                <w:szCs w:val="21"/>
                <w:highlight w:val="none"/>
                <w:lang w:val="zh-CN" w:eastAsia="zh-CN" w:bidi="ar-SA"/>
              </w:rPr>
              <w:t>等内容。每一项方案内容合理且可行的得</w:t>
            </w: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kern w:val="2"/>
                <w:sz w:val="21"/>
                <w:szCs w:val="21"/>
                <w:highlight w:val="none"/>
                <w:lang w:val="zh-CN" w:eastAsia="zh-CN" w:bidi="ar-SA"/>
              </w:rPr>
              <w:t>分，存在欠缺但基本合理、可行的得</w:t>
            </w: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kern w:val="2"/>
                <w:sz w:val="21"/>
                <w:szCs w:val="21"/>
                <w:highlight w:val="none"/>
                <w:lang w:val="zh-CN" w:eastAsia="zh-CN" w:bidi="ar-SA"/>
              </w:rPr>
              <w:t>分，不合理或不可行的得</w:t>
            </w:r>
            <w:r>
              <w:rPr>
                <w:rFonts w:hint="eastAsia" w:ascii="仿宋" w:hAnsi="仿宋" w:eastAsia="仿宋" w:cs="仿宋"/>
                <w:color w:val="auto"/>
                <w:kern w:val="2"/>
                <w:sz w:val="21"/>
                <w:szCs w:val="21"/>
                <w:highlight w:val="none"/>
                <w:lang w:val="en-US" w:eastAsia="zh-CN" w:bidi="ar-SA"/>
              </w:rPr>
              <w:t>0</w:t>
            </w:r>
            <w:r>
              <w:rPr>
                <w:rFonts w:hint="eastAsia" w:ascii="仿宋" w:hAnsi="仿宋" w:eastAsia="仿宋" w:cs="仿宋"/>
                <w:color w:val="auto"/>
                <w:kern w:val="2"/>
                <w:sz w:val="21"/>
                <w:szCs w:val="21"/>
                <w:highlight w:val="none"/>
                <w:lang w:val="zh-CN" w:eastAsia="zh-CN" w:bidi="ar-SA"/>
              </w:rPr>
              <w:t>分，每项最高得</w:t>
            </w: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kern w:val="2"/>
                <w:sz w:val="21"/>
                <w:szCs w:val="21"/>
                <w:highlight w:val="none"/>
                <w:lang w:val="zh-CN" w:eastAsia="zh-CN" w:bidi="ar-SA"/>
              </w:rPr>
              <w:t>分，共</w:t>
            </w: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kern w:val="2"/>
                <w:sz w:val="21"/>
                <w:szCs w:val="21"/>
                <w:highlight w:val="none"/>
                <w:lang w:val="zh-CN" w:eastAsia="zh-CN" w:bidi="ar-SA"/>
              </w:rPr>
              <w:t>项，本条最高得</w:t>
            </w:r>
            <w:r>
              <w:rPr>
                <w:rFonts w:hint="eastAsia" w:ascii="仿宋" w:hAnsi="仿宋" w:eastAsia="仿宋" w:cs="仿宋"/>
                <w:color w:val="auto"/>
                <w:kern w:val="2"/>
                <w:sz w:val="21"/>
                <w:szCs w:val="21"/>
                <w:highlight w:val="none"/>
                <w:lang w:val="en-US" w:eastAsia="zh-CN" w:bidi="ar-SA"/>
              </w:rPr>
              <w:t>4</w:t>
            </w:r>
            <w:r>
              <w:rPr>
                <w:rFonts w:hint="eastAsia" w:ascii="仿宋" w:hAnsi="仿宋" w:eastAsia="仿宋" w:cs="仿宋"/>
                <w:color w:val="auto"/>
                <w:kern w:val="2"/>
                <w:sz w:val="21"/>
                <w:szCs w:val="21"/>
                <w:highlight w:val="none"/>
                <w:lang w:val="zh-CN" w:eastAsia="zh-CN" w:bidi="ar-SA"/>
              </w:rPr>
              <w:t>分。）</w:t>
            </w:r>
            <w:r>
              <w:rPr>
                <w:rFonts w:hint="eastAsia" w:ascii="仿宋" w:hAnsi="仿宋" w:eastAsia="仿宋" w:cs="仿宋"/>
                <w:color w:val="auto"/>
                <w:kern w:val="0"/>
                <w:sz w:val="24"/>
                <w:highlight w:val="none"/>
              </w:rPr>
              <w:t xml:space="preserve">             </w:t>
            </w:r>
          </w:p>
        </w:tc>
        <w:tc>
          <w:tcPr>
            <w:tcW w:w="12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0-</w:t>
            </w:r>
            <w:r>
              <w:rPr>
                <w:rFonts w:hint="eastAsia" w:ascii="仿宋" w:hAnsi="仿宋" w:eastAsia="仿宋" w:cs="仿宋"/>
                <w:color w:val="auto"/>
                <w:kern w:val="0"/>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666"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 w:val="24"/>
                <w:highlight w:val="none"/>
              </w:rPr>
            </w:pPr>
          </w:p>
        </w:tc>
        <w:tc>
          <w:tcPr>
            <w:tcW w:w="1541" w:type="dxa"/>
            <w:vMerge w:val="continue"/>
            <w:tcBorders>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 w:val="24"/>
                <w:highlight w:val="none"/>
              </w:rPr>
            </w:pPr>
          </w:p>
        </w:tc>
        <w:tc>
          <w:tcPr>
            <w:tcW w:w="55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auto"/>
                <w:kern w:val="0"/>
                <w:sz w:val="24"/>
                <w:highlight w:val="none"/>
                <w:lang w:val="en-GB"/>
              </w:rPr>
            </w:pPr>
            <w:r>
              <w:rPr>
                <w:rFonts w:hint="eastAsia" w:ascii="仿宋" w:hAnsi="仿宋" w:eastAsia="仿宋" w:cs="仿宋"/>
                <w:color w:val="auto"/>
                <w:kern w:val="0"/>
                <w:sz w:val="24"/>
                <w:highlight w:val="none"/>
                <w:lang w:val="en-US" w:eastAsia="zh-CN"/>
              </w:rPr>
              <w:t>从本项目设备租赁角度</w:t>
            </w:r>
            <w:r>
              <w:rPr>
                <w:rFonts w:hint="eastAsia" w:ascii="仿宋" w:hAnsi="仿宋" w:eastAsia="仿宋" w:cs="仿宋"/>
                <w:color w:val="auto"/>
                <w:kern w:val="0"/>
                <w:sz w:val="24"/>
                <w:highlight w:val="none"/>
                <w:lang w:val="en-GB"/>
              </w:rPr>
              <w:t>应急响应方案完善，有效可行。</w:t>
            </w:r>
          </w:p>
          <w:p>
            <w:pPr>
              <w:spacing w:line="276" w:lineRule="auto"/>
              <w:jc w:val="left"/>
              <w:rPr>
                <w:rFonts w:ascii="仿宋" w:hAnsi="仿宋" w:eastAsia="仿宋" w:cs="仿宋"/>
                <w:color w:val="auto"/>
                <w:kern w:val="0"/>
                <w:sz w:val="24"/>
                <w:highlight w:val="none"/>
              </w:rPr>
            </w:pPr>
            <w:r>
              <w:rPr>
                <w:rFonts w:hint="eastAsia" w:ascii="仿宋" w:hAnsi="仿宋" w:eastAsia="仿宋" w:cs="仿宋"/>
                <w:color w:val="auto"/>
                <w:kern w:val="2"/>
                <w:sz w:val="21"/>
                <w:szCs w:val="21"/>
                <w:highlight w:val="none"/>
                <w:lang w:val="zh-CN" w:eastAsia="zh-CN" w:bidi="ar-SA"/>
              </w:rPr>
              <w:t>（至少包括①</w:t>
            </w:r>
            <w:r>
              <w:rPr>
                <w:rFonts w:hint="eastAsia" w:ascii="仿宋" w:hAnsi="仿宋" w:eastAsia="仿宋" w:cs="仿宋"/>
                <w:color w:val="auto"/>
                <w:kern w:val="2"/>
                <w:sz w:val="21"/>
                <w:szCs w:val="21"/>
                <w:highlight w:val="none"/>
                <w:lang w:val="en-US" w:eastAsia="zh-CN" w:bidi="ar-SA"/>
              </w:rPr>
              <w:t>突发性事件预防方案</w:t>
            </w:r>
            <w:r>
              <w:rPr>
                <w:rFonts w:hint="eastAsia" w:ascii="仿宋" w:hAnsi="仿宋" w:eastAsia="仿宋" w:cs="仿宋"/>
                <w:color w:val="auto"/>
                <w:kern w:val="2"/>
                <w:sz w:val="21"/>
                <w:szCs w:val="21"/>
                <w:highlight w:val="none"/>
                <w:lang w:val="zh-CN" w:eastAsia="zh-CN" w:bidi="ar-SA"/>
              </w:rPr>
              <w:t>。②</w:t>
            </w:r>
            <w:r>
              <w:rPr>
                <w:rFonts w:hint="eastAsia" w:ascii="仿宋" w:hAnsi="仿宋" w:eastAsia="仿宋" w:cs="仿宋"/>
                <w:color w:val="auto"/>
                <w:kern w:val="2"/>
                <w:sz w:val="21"/>
                <w:szCs w:val="21"/>
                <w:highlight w:val="none"/>
                <w:lang w:val="en-US" w:eastAsia="zh-CN" w:bidi="ar-SA"/>
              </w:rPr>
              <w:t>突发性事件解决方案</w:t>
            </w:r>
            <w:r>
              <w:rPr>
                <w:rFonts w:hint="eastAsia" w:ascii="仿宋" w:hAnsi="仿宋" w:eastAsia="仿宋" w:cs="仿宋"/>
                <w:color w:val="auto"/>
                <w:kern w:val="2"/>
                <w:sz w:val="21"/>
                <w:szCs w:val="21"/>
                <w:highlight w:val="none"/>
                <w:lang w:val="zh-CN" w:eastAsia="zh-CN" w:bidi="ar-SA"/>
              </w:rPr>
              <w:t>等内容。每一项方案内容合理且可行的得</w:t>
            </w: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kern w:val="2"/>
                <w:sz w:val="21"/>
                <w:szCs w:val="21"/>
                <w:highlight w:val="none"/>
                <w:lang w:val="zh-CN" w:eastAsia="zh-CN" w:bidi="ar-SA"/>
              </w:rPr>
              <w:t>分，存在欠缺但基本合理、可行的得</w:t>
            </w: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kern w:val="2"/>
                <w:sz w:val="21"/>
                <w:szCs w:val="21"/>
                <w:highlight w:val="none"/>
                <w:lang w:val="zh-CN" w:eastAsia="zh-CN" w:bidi="ar-SA"/>
              </w:rPr>
              <w:t>分，不合理或不可行的得</w:t>
            </w:r>
            <w:r>
              <w:rPr>
                <w:rFonts w:hint="eastAsia" w:ascii="仿宋" w:hAnsi="仿宋" w:eastAsia="仿宋" w:cs="仿宋"/>
                <w:color w:val="auto"/>
                <w:kern w:val="2"/>
                <w:sz w:val="21"/>
                <w:szCs w:val="21"/>
                <w:highlight w:val="none"/>
                <w:lang w:val="en-US" w:eastAsia="zh-CN" w:bidi="ar-SA"/>
              </w:rPr>
              <w:t>0</w:t>
            </w:r>
            <w:r>
              <w:rPr>
                <w:rFonts w:hint="eastAsia" w:ascii="仿宋" w:hAnsi="仿宋" w:eastAsia="仿宋" w:cs="仿宋"/>
                <w:color w:val="auto"/>
                <w:kern w:val="2"/>
                <w:sz w:val="21"/>
                <w:szCs w:val="21"/>
                <w:highlight w:val="none"/>
                <w:lang w:val="zh-CN" w:eastAsia="zh-CN" w:bidi="ar-SA"/>
              </w:rPr>
              <w:t>分，每项最高得</w:t>
            </w: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kern w:val="2"/>
                <w:sz w:val="21"/>
                <w:szCs w:val="21"/>
                <w:highlight w:val="none"/>
                <w:lang w:val="zh-CN" w:eastAsia="zh-CN" w:bidi="ar-SA"/>
              </w:rPr>
              <w:t>分，共</w:t>
            </w: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kern w:val="2"/>
                <w:sz w:val="21"/>
                <w:szCs w:val="21"/>
                <w:highlight w:val="none"/>
                <w:lang w:val="zh-CN" w:eastAsia="zh-CN" w:bidi="ar-SA"/>
              </w:rPr>
              <w:t>项，本条最高得</w:t>
            </w:r>
            <w:r>
              <w:rPr>
                <w:rFonts w:hint="eastAsia" w:ascii="仿宋" w:hAnsi="仿宋" w:eastAsia="仿宋" w:cs="仿宋"/>
                <w:color w:val="auto"/>
                <w:kern w:val="2"/>
                <w:sz w:val="21"/>
                <w:szCs w:val="21"/>
                <w:highlight w:val="none"/>
                <w:lang w:val="en-US" w:eastAsia="zh-CN" w:bidi="ar-SA"/>
              </w:rPr>
              <w:t>4</w:t>
            </w:r>
            <w:r>
              <w:rPr>
                <w:rFonts w:hint="eastAsia" w:ascii="仿宋" w:hAnsi="仿宋" w:eastAsia="仿宋" w:cs="仿宋"/>
                <w:color w:val="auto"/>
                <w:kern w:val="2"/>
                <w:sz w:val="21"/>
                <w:szCs w:val="21"/>
                <w:highlight w:val="none"/>
                <w:lang w:val="zh-CN" w:eastAsia="zh-CN" w:bidi="ar-SA"/>
              </w:rPr>
              <w:t>分。）</w:t>
            </w:r>
          </w:p>
        </w:tc>
        <w:tc>
          <w:tcPr>
            <w:tcW w:w="12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0-</w:t>
            </w:r>
            <w:r>
              <w:rPr>
                <w:rFonts w:hint="eastAsia" w:ascii="仿宋" w:hAnsi="仿宋" w:eastAsia="仿宋" w:cs="仿宋"/>
                <w:color w:val="auto"/>
                <w:kern w:val="0"/>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66"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GB"/>
              </w:rPr>
              <w:t>交货保证措施</w:t>
            </w:r>
          </w:p>
        </w:tc>
        <w:tc>
          <w:tcPr>
            <w:tcW w:w="55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GB"/>
              </w:rPr>
              <w:t>交货保证措施：交货保证措施完成到位、有效进行打分。</w:t>
            </w:r>
            <w:r>
              <w:rPr>
                <w:rFonts w:hint="eastAsia" w:ascii="仿宋" w:hAnsi="仿宋" w:eastAsia="仿宋" w:cs="仿宋"/>
                <w:color w:val="auto"/>
                <w:kern w:val="2"/>
                <w:sz w:val="21"/>
                <w:szCs w:val="21"/>
                <w:highlight w:val="none"/>
                <w:lang w:val="zh-CN" w:eastAsia="zh-CN" w:bidi="ar-SA"/>
              </w:rPr>
              <w:t>（至少包括①</w:t>
            </w:r>
            <w:r>
              <w:rPr>
                <w:rFonts w:hint="eastAsia" w:ascii="仿宋" w:hAnsi="仿宋" w:eastAsia="仿宋" w:cs="仿宋"/>
                <w:color w:val="auto"/>
                <w:kern w:val="2"/>
                <w:sz w:val="21"/>
                <w:szCs w:val="21"/>
                <w:highlight w:val="none"/>
                <w:lang w:val="en-US" w:eastAsia="zh-CN" w:bidi="ar-SA"/>
              </w:rPr>
              <w:t>交货进度保证措施</w:t>
            </w:r>
            <w:r>
              <w:rPr>
                <w:rFonts w:hint="eastAsia" w:ascii="仿宋" w:hAnsi="仿宋" w:eastAsia="仿宋" w:cs="仿宋"/>
                <w:color w:val="auto"/>
                <w:kern w:val="2"/>
                <w:sz w:val="21"/>
                <w:szCs w:val="21"/>
                <w:highlight w:val="none"/>
                <w:lang w:val="zh-CN" w:eastAsia="zh-CN" w:bidi="ar-SA"/>
              </w:rPr>
              <w:t>。②</w:t>
            </w:r>
            <w:r>
              <w:rPr>
                <w:rFonts w:hint="eastAsia" w:ascii="仿宋" w:hAnsi="仿宋" w:eastAsia="仿宋" w:cs="仿宋"/>
                <w:color w:val="auto"/>
                <w:kern w:val="2"/>
                <w:sz w:val="21"/>
                <w:szCs w:val="21"/>
                <w:highlight w:val="none"/>
                <w:lang w:val="en-US" w:eastAsia="zh-CN" w:bidi="ar-SA"/>
              </w:rPr>
              <w:t>交货计划</w:t>
            </w:r>
            <w:r>
              <w:rPr>
                <w:rFonts w:hint="eastAsia" w:ascii="仿宋" w:hAnsi="仿宋" w:eastAsia="仿宋" w:cs="仿宋"/>
                <w:color w:val="auto"/>
                <w:kern w:val="2"/>
                <w:sz w:val="21"/>
                <w:szCs w:val="21"/>
                <w:highlight w:val="none"/>
                <w:lang w:val="zh-CN" w:eastAsia="zh-CN" w:bidi="ar-SA"/>
              </w:rPr>
              <w:t>等内容。每一项方案内容合理且可行的得</w:t>
            </w: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kern w:val="2"/>
                <w:sz w:val="21"/>
                <w:szCs w:val="21"/>
                <w:highlight w:val="none"/>
                <w:lang w:val="zh-CN" w:eastAsia="zh-CN" w:bidi="ar-SA"/>
              </w:rPr>
              <w:t>分，存在欠缺但基本合理、可行的得</w:t>
            </w: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kern w:val="2"/>
                <w:sz w:val="21"/>
                <w:szCs w:val="21"/>
                <w:highlight w:val="none"/>
                <w:lang w:val="zh-CN" w:eastAsia="zh-CN" w:bidi="ar-SA"/>
              </w:rPr>
              <w:t>分，不合理或不可行的得</w:t>
            </w:r>
            <w:r>
              <w:rPr>
                <w:rFonts w:hint="eastAsia" w:ascii="仿宋" w:hAnsi="仿宋" w:eastAsia="仿宋" w:cs="仿宋"/>
                <w:color w:val="auto"/>
                <w:kern w:val="2"/>
                <w:sz w:val="21"/>
                <w:szCs w:val="21"/>
                <w:highlight w:val="none"/>
                <w:lang w:val="en-US" w:eastAsia="zh-CN" w:bidi="ar-SA"/>
              </w:rPr>
              <w:t>0</w:t>
            </w:r>
            <w:r>
              <w:rPr>
                <w:rFonts w:hint="eastAsia" w:ascii="仿宋" w:hAnsi="仿宋" w:eastAsia="仿宋" w:cs="仿宋"/>
                <w:color w:val="auto"/>
                <w:kern w:val="2"/>
                <w:sz w:val="21"/>
                <w:szCs w:val="21"/>
                <w:highlight w:val="none"/>
                <w:lang w:val="zh-CN" w:eastAsia="zh-CN" w:bidi="ar-SA"/>
              </w:rPr>
              <w:t>分，每项最高得</w:t>
            </w: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kern w:val="2"/>
                <w:sz w:val="21"/>
                <w:szCs w:val="21"/>
                <w:highlight w:val="none"/>
                <w:lang w:val="zh-CN" w:eastAsia="zh-CN" w:bidi="ar-SA"/>
              </w:rPr>
              <w:t>分，共</w:t>
            </w: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kern w:val="2"/>
                <w:sz w:val="21"/>
                <w:szCs w:val="21"/>
                <w:highlight w:val="none"/>
                <w:lang w:val="zh-CN" w:eastAsia="zh-CN" w:bidi="ar-SA"/>
              </w:rPr>
              <w:t>项，本条最高得</w:t>
            </w:r>
            <w:r>
              <w:rPr>
                <w:rFonts w:hint="eastAsia" w:ascii="仿宋" w:hAnsi="仿宋" w:eastAsia="仿宋" w:cs="仿宋"/>
                <w:color w:val="auto"/>
                <w:kern w:val="2"/>
                <w:sz w:val="21"/>
                <w:szCs w:val="21"/>
                <w:highlight w:val="none"/>
                <w:lang w:val="en-US" w:eastAsia="zh-CN" w:bidi="ar-SA"/>
              </w:rPr>
              <w:t>4</w:t>
            </w:r>
            <w:r>
              <w:rPr>
                <w:rFonts w:hint="eastAsia" w:ascii="仿宋" w:hAnsi="仿宋" w:eastAsia="仿宋" w:cs="仿宋"/>
                <w:color w:val="auto"/>
                <w:kern w:val="2"/>
                <w:sz w:val="21"/>
                <w:szCs w:val="21"/>
                <w:highlight w:val="none"/>
                <w:lang w:val="zh-CN" w:eastAsia="zh-CN" w:bidi="ar-SA"/>
              </w:rPr>
              <w:t>分。）</w:t>
            </w:r>
          </w:p>
        </w:tc>
        <w:tc>
          <w:tcPr>
            <w:tcW w:w="12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0-</w:t>
            </w:r>
            <w:r>
              <w:rPr>
                <w:rFonts w:hint="eastAsia" w:ascii="仿宋" w:hAnsi="仿宋" w:eastAsia="仿宋" w:cs="仿宋"/>
                <w:color w:val="auto"/>
                <w:kern w:val="0"/>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66" w:type="dxa"/>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 w:val="24"/>
                <w:highlight w:val="none"/>
              </w:rPr>
            </w:pPr>
          </w:p>
        </w:tc>
        <w:tc>
          <w:tcPr>
            <w:tcW w:w="1541" w:type="dxa"/>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验收方案</w:t>
            </w:r>
          </w:p>
        </w:tc>
        <w:tc>
          <w:tcPr>
            <w:tcW w:w="558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投标人提出的验收方案的合理性、可行性情况等；（方案内容完整合理的得5分；方案内容较为完整合理的得3分；方案内容存在欠缺但基本合理的得1分；不提供不得分）</w:t>
            </w:r>
          </w:p>
        </w:tc>
        <w:tc>
          <w:tcPr>
            <w:tcW w:w="12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0-</w:t>
            </w:r>
            <w:r>
              <w:rPr>
                <w:rFonts w:hint="eastAsia" w:ascii="仿宋" w:hAnsi="仿宋" w:eastAsia="仿宋" w:cs="仿宋"/>
                <w:color w:val="auto"/>
                <w:kern w:val="0"/>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66" w:type="dxa"/>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 w:val="24"/>
                <w:highlight w:val="none"/>
              </w:rPr>
            </w:pPr>
          </w:p>
        </w:tc>
        <w:tc>
          <w:tcPr>
            <w:tcW w:w="1541" w:type="dxa"/>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功能演示</w:t>
            </w:r>
          </w:p>
        </w:tc>
        <w:tc>
          <w:tcPr>
            <w:tcW w:w="558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供应商自行录制演示视频，</w:t>
            </w:r>
            <w:r>
              <w:rPr>
                <w:rFonts w:hint="eastAsia" w:ascii="仿宋" w:hAnsi="仿宋" w:eastAsia="仿宋" w:cs="仿宋"/>
                <w:color w:val="auto"/>
                <w:kern w:val="0"/>
                <w:sz w:val="24"/>
                <w:highlight w:val="none"/>
                <w:lang w:val="en-US" w:eastAsia="zh-CN"/>
              </w:rPr>
              <w:t>设备</w:t>
            </w:r>
            <w:r>
              <w:rPr>
                <w:rFonts w:hint="eastAsia" w:ascii="仿宋" w:hAnsi="仿宋" w:eastAsia="仿宋" w:cs="仿宋"/>
                <w:color w:val="auto"/>
                <w:kern w:val="0"/>
                <w:sz w:val="24"/>
                <w:highlight w:val="none"/>
              </w:rPr>
              <w:t>的操作演示需提供</w:t>
            </w:r>
            <w:r>
              <w:rPr>
                <w:rFonts w:hint="eastAsia" w:ascii="仿宋" w:hAnsi="仿宋" w:eastAsia="仿宋" w:cs="仿宋"/>
                <w:color w:val="auto"/>
                <w:kern w:val="0"/>
                <w:sz w:val="24"/>
                <w:highlight w:val="none"/>
                <w:lang w:val="en-US" w:eastAsia="zh-CN"/>
              </w:rPr>
              <w:t>对应</w:t>
            </w:r>
            <w:r>
              <w:rPr>
                <w:rFonts w:hint="eastAsia" w:ascii="仿宋" w:hAnsi="仿宋" w:eastAsia="仿宋" w:cs="仿宋"/>
                <w:color w:val="auto"/>
                <w:kern w:val="0"/>
                <w:sz w:val="24"/>
                <w:highlight w:val="none"/>
              </w:rPr>
              <w:t>功能</w:t>
            </w:r>
            <w:r>
              <w:rPr>
                <w:rFonts w:hint="eastAsia" w:ascii="仿宋" w:hAnsi="仿宋" w:eastAsia="仿宋" w:cs="仿宋"/>
                <w:color w:val="auto"/>
                <w:kern w:val="0"/>
                <w:sz w:val="24"/>
                <w:highlight w:val="none"/>
                <w:lang w:val="en-US" w:eastAsia="zh-CN"/>
              </w:rPr>
              <w:t>点</w:t>
            </w:r>
            <w:r>
              <w:rPr>
                <w:rFonts w:hint="eastAsia" w:ascii="仿宋" w:hAnsi="仿宋" w:eastAsia="仿宋" w:cs="仿宋"/>
                <w:color w:val="auto"/>
                <w:kern w:val="0"/>
                <w:sz w:val="24"/>
                <w:highlight w:val="none"/>
              </w:rPr>
              <w:t>的录播视频进行，以证明供应商可满足采购人</w:t>
            </w:r>
            <w:r>
              <w:rPr>
                <w:rFonts w:hint="eastAsia" w:ascii="仿宋" w:hAnsi="仿宋" w:eastAsia="仿宋" w:cs="仿宋"/>
                <w:color w:val="auto"/>
                <w:kern w:val="0"/>
                <w:sz w:val="24"/>
                <w:highlight w:val="none"/>
                <w:lang w:val="en-US" w:eastAsia="zh-CN"/>
              </w:rPr>
              <w:t>设备的</w:t>
            </w:r>
            <w:r>
              <w:rPr>
                <w:rFonts w:hint="eastAsia" w:ascii="仿宋" w:hAnsi="仿宋" w:eastAsia="仿宋" w:cs="仿宋"/>
                <w:color w:val="auto"/>
                <w:kern w:val="0"/>
                <w:sz w:val="24"/>
                <w:highlight w:val="none"/>
              </w:rPr>
              <w:t>功能需求，同时要求供应商派遣人员到达开标现场进行讲解，针对现场专家提出的疑问进行解答。演示包括但不限于以下内容</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供应商提供的演示视频每满足一个功能点得相应分数，不提供不得分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w:t>
            </w:r>
          </w:p>
          <w:p>
            <w:pPr>
              <w:widowControl/>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1、X光机</w:t>
            </w:r>
            <w:r>
              <w:rPr>
                <w:rFonts w:hint="eastAsia" w:ascii="仿宋" w:hAnsi="仿宋" w:eastAsia="仿宋" w:cs="仿宋"/>
                <w:color w:val="auto"/>
                <w:kern w:val="0"/>
                <w:sz w:val="24"/>
                <w:highlight w:val="none"/>
              </w:rPr>
              <w:t>（功能</w:t>
            </w:r>
            <w:r>
              <w:rPr>
                <w:rFonts w:hint="eastAsia" w:ascii="仿宋" w:hAnsi="仿宋" w:eastAsia="仿宋" w:cs="仿宋"/>
                <w:color w:val="auto"/>
                <w:kern w:val="0"/>
                <w:sz w:val="24"/>
                <w:highlight w:val="none"/>
                <w:lang w:val="en-US" w:eastAsia="zh-CN"/>
              </w:rPr>
              <w:t>点</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eastAsia="zh-CN"/>
              </w:rPr>
              <w:t>：设备应支持图像放大功能，放大显示所选中区域的物体图像，任意区域放大应不小于256倍</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1分</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highlight w:val="none"/>
              </w:rPr>
              <w:t>功能</w:t>
            </w:r>
            <w:r>
              <w:rPr>
                <w:rFonts w:hint="eastAsia" w:ascii="仿宋" w:hAnsi="仿宋" w:eastAsia="仿宋" w:cs="仿宋"/>
                <w:color w:val="auto"/>
                <w:kern w:val="0"/>
                <w:sz w:val="24"/>
                <w:highlight w:val="none"/>
                <w:lang w:val="en-US" w:eastAsia="zh-CN"/>
              </w:rPr>
              <w:t>点</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szCs w:val="24"/>
                <w:highlight w:val="none"/>
                <w:lang w:bidi="ar"/>
              </w:rPr>
              <w:t>支持至少 12 大类物品智能识别，包括但不限于刀具、枪支、喷灌、液体、打火机、烟花爆竹、指虎、警棍、手铐、电子产品、雨伞、钝器等违禁物品</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1分</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szCs w:val="24"/>
                <w:highlight w:val="none"/>
                <w:lang w:bidi="ar"/>
              </w:rPr>
              <w:t>。</w:t>
            </w:r>
          </w:p>
          <w:p>
            <w:pPr>
              <w:widowControl/>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2、安检门（功能</w:t>
            </w:r>
            <w:r>
              <w:rPr>
                <w:rFonts w:hint="eastAsia" w:ascii="仿宋" w:hAnsi="仿宋" w:eastAsia="仿宋" w:cs="仿宋"/>
                <w:color w:val="auto"/>
                <w:kern w:val="0"/>
                <w:sz w:val="24"/>
                <w:highlight w:val="none"/>
                <w:lang w:val="en-US" w:eastAsia="zh-CN"/>
              </w:rPr>
              <w:t>点</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eastAsia="zh-CN"/>
              </w:rPr>
              <w:t>：安检门主机内应支持人脸库功能，支持不小于10个人脸库；人脸库应支持不小于30万条人脸特征；支持人脸图片自动建模，建模速度不少于25张/秒</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2分</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szCs w:val="24"/>
                <w:highlight w:val="none"/>
                <w:lang w:eastAsia="zh-CN" w:bidi="ar"/>
              </w:rPr>
              <w:t>。</w:t>
            </w:r>
          </w:p>
          <w:p>
            <w:pPr>
              <w:rPr>
                <w:rFonts w:hint="eastAsia"/>
                <w:color w:val="auto"/>
                <w:highlight w:val="none"/>
                <w:lang w:val="en-US" w:eastAsia="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、液体安检仪（功能</w:t>
            </w:r>
            <w:r>
              <w:rPr>
                <w:rFonts w:hint="eastAsia" w:ascii="仿宋" w:hAnsi="仿宋" w:eastAsia="仿宋" w:cs="仿宋"/>
                <w:color w:val="auto"/>
                <w:kern w:val="0"/>
                <w:sz w:val="24"/>
                <w:highlight w:val="none"/>
                <w:lang w:val="en-US" w:eastAsia="zh-CN"/>
              </w:rPr>
              <w:t>点4:</w:t>
            </w:r>
            <w:r>
              <w:rPr>
                <w:rFonts w:hint="eastAsia" w:ascii="仿宋" w:hAnsi="仿宋" w:eastAsia="仿宋" w:cs="仿宋"/>
                <w:i w:val="0"/>
                <w:iCs w:val="0"/>
                <w:color w:val="auto"/>
                <w:kern w:val="0"/>
                <w:sz w:val="24"/>
                <w:szCs w:val="24"/>
                <w:highlight w:val="none"/>
                <w:u w:val="none"/>
                <w:lang w:val="en-US" w:eastAsia="zh-CN" w:bidi="ar"/>
              </w:rPr>
              <w:t>仪器应具有两个功能模块， 一个检测非金属材质容器内液体，另一个检测金属材质容器内液体；每个功能模块都应有一个专用检测台；两个功能模块应能同时工作， 互不影响。</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1分</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highlight w:val="none"/>
              </w:rPr>
              <w:t>功能</w:t>
            </w:r>
            <w:r>
              <w:rPr>
                <w:rFonts w:hint="eastAsia" w:ascii="仿宋" w:hAnsi="仿宋" w:eastAsia="仿宋" w:cs="仿宋"/>
                <w:color w:val="auto"/>
                <w:kern w:val="0"/>
                <w:sz w:val="24"/>
                <w:highlight w:val="none"/>
                <w:lang w:val="en-US" w:eastAsia="zh-CN"/>
              </w:rPr>
              <w:t>点5：</w:t>
            </w:r>
            <w:r>
              <w:rPr>
                <w:rFonts w:hint="eastAsia" w:ascii="仿宋" w:hAnsi="仿宋" w:eastAsia="仿宋" w:cs="仿宋"/>
                <w:i w:val="0"/>
                <w:iCs w:val="0"/>
                <w:color w:val="auto"/>
                <w:kern w:val="0"/>
                <w:sz w:val="24"/>
                <w:szCs w:val="24"/>
                <w:highlight w:val="none"/>
                <w:u w:val="none"/>
                <w:lang w:val="en-US" w:eastAsia="zh-CN" w:bidi="ar"/>
              </w:rPr>
              <w:t>设备对塑料、玻璃、陶瓷等非金属容器内的液体检测时间应小于等于1S；对铝罐、铁罐等金属容器内液体的检测时间应小于等于4S</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1分</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szCs w:val="24"/>
                <w:highlight w:val="none"/>
                <w:lang w:eastAsia="zh-CN" w:bidi="ar"/>
              </w:rPr>
              <w:t>。</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6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投标报价</w:t>
            </w:r>
          </w:p>
        </w:tc>
        <w:tc>
          <w:tcPr>
            <w:tcW w:w="1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投标报价</w:t>
            </w:r>
          </w:p>
        </w:tc>
        <w:tc>
          <w:tcPr>
            <w:tcW w:w="558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有效投标报价的最低价作为评标基准价，其最低报价为满分；按投标报价得分=（评标基准价/投标报价）×1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%×100的计算公式计算。</w:t>
            </w:r>
          </w:p>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评标过程中，不得去掉报价中的最高报价和最低报价。</w:t>
            </w:r>
          </w:p>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因落实政府采购政策需要进行价格调整的，以调整后的价格计算评标基准价和投标报价。</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0-1</w:t>
            </w:r>
            <w:r>
              <w:rPr>
                <w:rFonts w:hint="eastAsia" w:ascii="仿宋" w:hAnsi="仿宋" w:eastAsia="仿宋" w:cs="仿宋"/>
                <w:color w:val="auto"/>
                <w:kern w:val="0"/>
                <w:sz w:val="24"/>
                <w:highlight w:val="none"/>
                <w:lang w:val="en-US" w:eastAsia="zh-CN"/>
              </w:rPr>
              <w:t>0</w:t>
            </w:r>
          </w:p>
        </w:tc>
      </w:tr>
    </w:tbl>
    <w:p>
      <w:pPr>
        <w:snapToGrid w:val="0"/>
        <w:spacing w:line="360" w:lineRule="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pP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仿宋_GB2312"/>
          <w:b/>
          <w:color w:val="auto"/>
          <w:sz w:val="32"/>
          <w:highlight w:val="none"/>
        </w:rPr>
        <w:t>二、评标标准</w:t>
      </w:r>
    </w:p>
    <w:p>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spacing w:line="360" w:lineRule="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pPr>
        <w:spacing w:line="360" w:lineRule="auto"/>
        <w:ind w:firstLine="472" w:firstLineChars="196"/>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3.1符合性审查。</w:t>
      </w:r>
      <w:r>
        <w:rPr>
          <w:rFonts w:hint="eastAsia" w:ascii="仿宋_GB2312" w:hAnsi="仿宋" w:eastAsia="仿宋_GB2312" w:cs="Arial"/>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3.2比较与评价。</w:t>
      </w:r>
      <w:r>
        <w:rPr>
          <w:rFonts w:hint="eastAsia"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highlight w:val="none"/>
        </w:rPr>
      </w:pPr>
      <w:r>
        <w:rPr>
          <w:rFonts w:hint="eastAsia" w:ascii="仿宋_GB2312" w:hAnsi="仿宋" w:eastAsia="仿宋_GB2312" w:cs="Arial"/>
          <w:b/>
          <w:color w:val="auto"/>
          <w:kern w:val="0"/>
          <w:sz w:val="24"/>
          <w:highlight w:val="none"/>
        </w:rPr>
        <w:t>3.4报价评审。</w:t>
      </w:r>
    </w:p>
    <w:p>
      <w:pPr>
        <w:pStyle w:val="128"/>
        <w:spacing w:before="0"/>
        <w:ind w:firstLine="508" w:firstLineChars="212"/>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3.4.1投标文件报价出现前后不一致的，按照下列规定修正：</w:t>
      </w:r>
    </w:p>
    <w:p>
      <w:pPr>
        <w:pStyle w:val="128"/>
        <w:spacing w:before="0"/>
        <w:ind w:firstLine="480"/>
        <w:rPr>
          <w:rFonts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3.4.1.2大写金额和小写金额不一致的，以大写金额为准;</w:t>
      </w:r>
    </w:p>
    <w:p>
      <w:pPr>
        <w:pStyle w:val="128"/>
        <w:spacing w:before="0"/>
        <w:ind w:firstLine="480"/>
        <w:rPr>
          <w:rFonts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3.4.1.3单价金额小数点或者百分比有明显错位的，以开标一览表的总价为准，并修改单价;</w:t>
      </w:r>
    </w:p>
    <w:p>
      <w:pPr>
        <w:pStyle w:val="128"/>
        <w:spacing w:before="0"/>
        <w:ind w:firstLine="480"/>
        <w:rPr>
          <w:rFonts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3.4.1.4总价金额与按单价汇总金额不一致的，以单价金额计算结果为准；</w:t>
      </w:r>
    </w:p>
    <w:p>
      <w:pPr>
        <w:pStyle w:val="128"/>
        <w:spacing w:before="0"/>
        <w:ind w:firstLine="480"/>
        <w:rPr>
          <w:rFonts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3.4.3投标报价超过招标文件中规定的预算金额或者最高限价的，投标无效。</w:t>
      </w:r>
    </w:p>
    <w:p>
      <w:pPr>
        <w:pStyle w:val="128"/>
        <w:spacing w:before="0"/>
        <w:ind w:firstLine="480"/>
        <w:rPr>
          <w:rFonts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3.5排序与推荐。</w:t>
      </w:r>
      <w:r>
        <w:rPr>
          <w:rFonts w:hint="eastAsia"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3.6编写评标报告。</w:t>
      </w:r>
      <w:r>
        <w:rPr>
          <w:rFonts w:hint="eastAsia" w:ascii="仿宋_GB2312" w:hAnsi="仿宋" w:eastAsia="仿宋_GB2312" w:cs="Arial"/>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四、评标中的其他事项</w:t>
      </w:r>
    </w:p>
    <w:p>
      <w:pPr>
        <w:pStyle w:val="128"/>
        <w:spacing w:before="0"/>
        <w:ind w:firstLine="472" w:firstLineChars="196"/>
        <w:rPr>
          <w:rFonts w:ascii="仿宋_GB2312" w:hAnsi="仿宋" w:eastAsia="仿宋_GB2312" w:cs="Arial"/>
          <w:color w:val="auto"/>
          <w:kern w:val="0"/>
          <w:szCs w:val="24"/>
          <w:highlight w:val="none"/>
        </w:rPr>
      </w:pPr>
      <w:r>
        <w:rPr>
          <w:rFonts w:hint="eastAsia" w:ascii="仿宋_GB2312" w:hAnsi="仿宋" w:eastAsia="仿宋_GB2312" w:cs="Arial"/>
          <w:b/>
          <w:color w:val="auto"/>
          <w:kern w:val="0"/>
          <w:szCs w:val="24"/>
          <w:highlight w:val="none"/>
        </w:rPr>
        <w:t>4.1投标人澄清、说明或者补正。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ascii="仿宋_GB2312" w:hAnsi="仿宋" w:eastAsia="仿宋_GB2312" w:cs="仿宋_GB2312"/>
          <w:color w:val="auto"/>
          <w:szCs w:val="21"/>
          <w:highlight w:val="none"/>
        </w:rPr>
      </w:pPr>
      <w:r>
        <w:rPr>
          <w:rFonts w:hint="eastAsia"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4.2.2投标文件未按照招标文件要求签署、盖章的；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4.2.4投标文件含有采购人不能接受的附加条件的；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4.2.5投标文件中承诺的投标有效期少于招标文件中载明的投标有效期的；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4.2.10投标人提供虚假材料投标的；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4.2.12投标人仅提交备份投标文件，没有在电子交易平台传输递交投标文件的，投标无效；</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4.2.13投标文件不满足招标文件的其它实质性要求的；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4.2.14法律、法规、规章（适用本市的）及省级以上规范性文件（适用本市的）规定的其他无效情形。</w:t>
      </w:r>
    </w:p>
    <w:p>
      <w:pPr>
        <w:pStyle w:val="2"/>
        <w:snapToGrid w:val="0"/>
        <w:spacing w:line="360" w:lineRule="auto"/>
        <w:ind w:firstLine="472" w:firstLineChars="196"/>
        <w:rPr>
          <w:rFonts w:ascii="仿宋_GB2312" w:hAnsi="仿宋" w:eastAsia="仿宋_GB2312" w:cs="仿宋_GB2312"/>
          <w:color w:val="auto"/>
          <w:highlight w:val="none"/>
        </w:rPr>
      </w:pPr>
      <w:r>
        <w:rPr>
          <w:rFonts w:hint="eastAsia"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2"/>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5.1符合专业条件的供应商或者对招标文件作实质响应的供应商不足3家的；</w:t>
      </w:r>
    </w:p>
    <w:p>
      <w:pPr>
        <w:pStyle w:val="2"/>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5.2出现影响采购公正的违法、违规行为的；</w:t>
      </w:r>
    </w:p>
    <w:p>
      <w:pPr>
        <w:pStyle w:val="2"/>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5.3投标人的报价均超过了采购预算，采购人不能支付的；</w:t>
      </w:r>
    </w:p>
    <w:p>
      <w:pPr>
        <w:pStyle w:val="2"/>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5.4因重大变故，采购任务取消的。</w:t>
      </w:r>
    </w:p>
    <w:p>
      <w:pPr>
        <w:pStyle w:val="2"/>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2"/>
        <w:snapToGrid w:val="0"/>
        <w:spacing w:line="360" w:lineRule="auto"/>
        <w:ind w:firstLine="482"/>
        <w:rPr>
          <w:rFonts w:ascii="仿宋_GB2312" w:hAnsi="仿宋" w:eastAsia="仿宋_GB2312" w:cs="仿宋_GB2312"/>
          <w:color w:val="auto"/>
          <w:highlight w:val="none"/>
        </w:rPr>
      </w:pPr>
      <w:r>
        <w:rPr>
          <w:rFonts w:hint="eastAsia"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482"/>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2"/>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7.1未确定中标、成交供应商的，终止本次政府采购活动，重新开展政府采购活动。</w:t>
      </w:r>
    </w:p>
    <w:p>
      <w:pPr>
        <w:pStyle w:val="2"/>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7.2已确定中标、成交供应商但尚未签订政府采购合同的，中标、成交结果无效，从合格的中标、成交候选人中另行确定中标、成交候选人；没有合格的中标、成交候选人的，重新开展政府采购活动。</w:t>
      </w:r>
    </w:p>
    <w:p>
      <w:pPr>
        <w:pStyle w:val="2"/>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7.3政府采购合同已签订但尚未履行的，撤销合同，从合格的中标、成交候选人中另行确定中标、成交候选人；没有合格的中标、成交候选人的，重新开展政府采购活动。</w:t>
      </w:r>
    </w:p>
    <w:p>
      <w:pPr>
        <w:pStyle w:val="2"/>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7.4政府采购合同已经履行，给采购人、供应商造成损失的，由责任人承担赔偿责任。</w:t>
      </w:r>
    </w:p>
    <w:p>
      <w:pPr>
        <w:pStyle w:val="2"/>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7.5政府采购当事人有其他违反政府采购法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的行为，经改正后仍然影响或者可能影响中标、成交结果或者依法被认定为中标、成交无效的，依照7.1-7.4规定处理。</w:t>
      </w:r>
    </w:p>
    <w:p>
      <w:pPr>
        <w:pStyle w:val="2"/>
        <w:snapToGrid w:val="0"/>
        <w:spacing w:line="360" w:lineRule="auto"/>
        <w:ind w:firstLine="0" w:firstLineChars="0"/>
        <w:rPr>
          <w:rFonts w:ascii="仿宋_GB2312" w:hAnsi="仿宋" w:eastAsia="仿宋_GB2312" w:cs="仿宋_GB2312"/>
          <w:color w:val="auto"/>
          <w:highlight w:val="none"/>
        </w:rPr>
      </w:pPr>
    </w:p>
    <w:bookmarkEnd w:id="26"/>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bookmarkStart w:id="393" w:name="第五部分"/>
      <w:bookmarkStart w:id="394" w:name="_Toc86217003"/>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rPr>
          <w:rFonts w:hint="eastAsia"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br w:type="page"/>
      </w: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 拟签订的合同文本</w:t>
      </w:r>
    </w:p>
    <w:p>
      <w:pPr>
        <w:snapToGrid w:val="0"/>
        <w:spacing w:line="30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 购 合 同</w:t>
      </w:r>
    </w:p>
    <w:p>
      <w:pPr>
        <w:pStyle w:val="4"/>
        <w:rPr>
          <w:rFonts w:ascii="仿宋" w:eastAsia="仿宋" w:cs="仿宋"/>
          <w:color w:val="auto"/>
          <w:sz w:val="28"/>
          <w:szCs w:val="28"/>
          <w:highlight w:val="none"/>
        </w:rPr>
      </w:pPr>
    </w:p>
    <w:p>
      <w:pPr>
        <w:snapToGrid w:val="0"/>
        <w:spacing w:line="300" w:lineRule="auto"/>
        <w:ind w:firstLine="4239" w:firstLineChars="1508"/>
        <w:rPr>
          <w:rFonts w:ascii="仿宋" w:hAnsi="仿宋" w:eastAsia="仿宋" w:cs="仿宋"/>
          <w:b/>
          <w:color w:val="auto"/>
          <w:sz w:val="28"/>
          <w:szCs w:val="28"/>
          <w:highlight w:val="none"/>
        </w:rPr>
      </w:pPr>
    </w:p>
    <w:p>
      <w:pPr>
        <w:snapToGrid w:val="0"/>
        <w:spacing w:line="300" w:lineRule="auto"/>
        <w:ind w:firstLine="4239" w:firstLineChars="1508"/>
        <w:rPr>
          <w:rFonts w:ascii="仿宋" w:hAnsi="仿宋" w:eastAsia="仿宋" w:cs="仿宋"/>
          <w:b/>
          <w:color w:val="auto"/>
          <w:sz w:val="28"/>
          <w:szCs w:val="28"/>
          <w:highlight w:val="none"/>
        </w:rPr>
      </w:pPr>
    </w:p>
    <w:p>
      <w:pPr>
        <w:snapToGrid w:val="0"/>
        <w:spacing w:line="300" w:lineRule="auto"/>
        <w:ind w:firstLine="4239" w:firstLineChars="1508"/>
        <w:rPr>
          <w:rFonts w:ascii="仿宋" w:hAnsi="仿宋" w:eastAsia="仿宋" w:cs="仿宋"/>
          <w:b/>
          <w:color w:val="auto"/>
          <w:sz w:val="28"/>
          <w:szCs w:val="28"/>
          <w:highlight w:val="none"/>
        </w:rPr>
      </w:pPr>
    </w:p>
    <w:p>
      <w:pPr>
        <w:pStyle w:val="16"/>
        <w:spacing w:line="312" w:lineRule="auto"/>
        <w:ind w:firstLine="480"/>
        <w:rPr>
          <w:rFonts w:hAnsi="宋体" w:cs="宋体"/>
          <w:bCs/>
          <w:color w:val="auto"/>
          <w:szCs w:val="21"/>
          <w:highlight w:val="none"/>
        </w:rPr>
      </w:pPr>
    </w:p>
    <w:p>
      <w:pPr>
        <w:snapToGrid w:val="0"/>
        <w:spacing w:line="312" w:lineRule="auto"/>
        <w:ind w:left="1440" w:hanging="1"/>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项目名称：</w:t>
      </w:r>
      <w:r>
        <w:rPr>
          <w:rFonts w:hint="eastAsia" w:ascii="宋体" w:hAnsi="宋体" w:cs="宋体"/>
          <w:bCs/>
          <w:iCs/>
          <w:color w:val="auto"/>
          <w:sz w:val="24"/>
          <w:highlight w:val="none"/>
          <w:lang w:eastAsia="zh-CN"/>
        </w:rPr>
        <w:t>亚运赛事（奥体中心网球中心）安保服务</w:t>
      </w:r>
    </w:p>
    <w:p>
      <w:pPr>
        <w:snapToGrid w:val="0"/>
        <w:spacing w:line="312" w:lineRule="auto"/>
        <w:ind w:left="1440" w:hanging="1"/>
        <w:rPr>
          <w:rFonts w:ascii="宋体" w:hAnsi="宋体" w:cs="宋体"/>
          <w:bCs/>
          <w:color w:val="auto"/>
          <w:sz w:val="24"/>
          <w:highlight w:val="none"/>
        </w:rPr>
      </w:pPr>
    </w:p>
    <w:p>
      <w:pPr>
        <w:snapToGrid w:val="0"/>
        <w:spacing w:line="312" w:lineRule="auto"/>
        <w:ind w:left="1440" w:hanging="1"/>
        <w:rPr>
          <w:rFonts w:ascii="宋体" w:hAnsi="宋体" w:cs="宋体"/>
          <w:bCs/>
          <w:color w:val="auto"/>
          <w:sz w:val="24"/>
          <w:highlight w:val="none"/>
          <w:u w:val="single"/>
        </w:rPr>
      </w:pPr>
    </w:p>
    <w:p>
      <w:pPr>
        <w:snapToGrid w:val="0"/>
        <w:spacing w:line="312" w:lineRule="auto"/>
        <w:ind w:left="1440" w:hanging="1"/>
        <w:rPr>
          <w:rFonts w:ascii="宋体" w:hAnsi="宋体" w:cs="宋体"/>
          <w:bCs/>
          <w:color w:val="auto"/>
          <w:sz w:val="24"/>
          <w:highlight w:val="none"/>
          <w:u w:val="single"/>
        </w:rPr>
      </w:pPr>
    </w:p>
    <w:p>
      <w:pPr>
        <w:snapToGrid w:val="0"/>
        <w:spacing w:line="312" w:lineRule="auto"/>
        <w:ind w:left="1440" w:hanging="1"/>
        <w:rPr>
          <w:rFonts w:ascii="宋体" w:hAnsi="宋体" w:cs="宋体"/>
          <w:bCs/>
          <w:color w:val="auto"/>
          <w:sz w:val="24"/>
          <w:highlight w:val="none"/>
          <w:u w:val="single"/>
        </w:rPr>
      </w:pPr>
    </w:p>
    <w:p>
      <w:pPr>
        <w:snapToGrid w:val="0"/>
        <w:spacing w:line="312" w:lineRule="auto"/>
        <w:ind w:left="1440" w:hanging="1"/>
        <w:rPr>
          <w:rFonts w:ascii="宋体" w:hAnsi="宋体" w:cs="宋体"/>
          <w:bCs/>
          <w:color w:val="auto"/>
          <w:sz w:val="24"/>
          <w:highlight w:val="none"/>
          <w:u w:val="single"/>
        </w:rPr>
      </w:pPr>
    </w:p>
    <w:p>
      <w:pPr>
        <w:snapToGrid w:val="0"/>
        <w:spacing w:line="312" w:lineRule="auto"/>
        <w:ind w:left="1440" w:hanging="1"/>
        <w:rPr>
          <w:rFonts w:ascii="宋体" w:hAnsi="宋体" w:cs="宋体"/>
          <w:bCs/>
          <w:color w:val="auto"/>
          <w:sz w:val="24"/>
          <w:highlight w:val="none"/>
          <w:u w:val="single"/>
        </w:rPr>
      </w:pPr>
    </w:p>
    <w:p>
      <w:pPr>
        <w:snapToGrid w:val="0"/>
        <w:spacing w:line="312" w:lineRule="auto"/>
        <w:ind w:left="1440" w:hanging="1"/>
        <w:rPr>
          <w:rFonts w:ascii="宋体" w:hAnsi="宋体" w:cs="宋体"/>
          <w:bCs/>
          <w:color w:val="auto"/>
          <w:sz w:val="24"/>
          <w:highlight w:val="none"/>
        </w:rPr>
      </w:pPr>
      <w:r>
        <w:rPr>
          <w:rFonts w:hint="eastAsia" w:ascii="宋体" w:hAnsi="宋体" w:cs="宋体"/>
          <w:bCs/>
          <w:color w:val="auto"/>
          <w:sz w:val="24"/>
          <w:highlight w:val="none"/>
        </w:rPr>
        <w:t>采购人（以下称甲方）：</w:t>
      </w:r>
      <w:r>
        <w:rPr>
          <w:rFonts w:hint="eastAsia" w:ascii="宋体" w:hAnsi="宋体" w:cs="宋体"/>
          <w:bCs/>
          <w:iCs/>
          <w:color w:val="auto"/>
          <w:sz w:val="24"/>
          <w:highlight w:val="none"/>
        </w:rPr>
        <w:t>杭州市公安局滨江区分局</w:t>
      </w:r>
    </w:p>
    <w:p>
      <w:pPr>
        <w:snapToGrid w:val="0"/>
        <w:spacing w:line="312" w:lineRule="auto"/>
        <w:ind w:left="1440" w:hanging="1"/>
        <w:rPr>
          <w:rFonts w:ascii="宋体" w:hAnsi="宋体" w:cs="宋体"/>
          <w:bCs/>
          <w:color w:val="auto"/>
          <w:sz w:val="24"/>
          <w:highlight w:val="none"/>
        </w:rPr>
      </w:pPr>
    </w:p>
    <w:p>
      <w:pPr>
        <w:snapToGrid w:val="0"/>
        <w:spacing w:line="312" w:lineRule="auto"/>
        <w:ind w:left="1440" w:hanging="1"/>
        <w:rPr>
          <w:rFonts w:ascii="宋体" w:hAnsi="宋体" w:cs="宋体"/>
          <w:bCs/>
          <w:color w:val="auto"/>
          <w:sz w:val="24"/>
          <w:highlight w:val="none"/>
        </w:rPr>
      </w:pPr>
    </w:p>
    <w:p>
      <w:pPr>
        <w:snapToGrid w:val="0"/>
        <w:spacing w:line="312" w:lineRule="auto"/>
        <w:ind w:left="1440" w:hanging="1"/>
        <w:rPr>
          <w:rFonts w:ascii="宋体" w:hAnsi="宋体" w:cs="宋体"/>
          <w:bCs/>
          <w:color w:val="auto"/>
          <w:sz w:val="24"/>
          <w:highlight w:val="none"/>
          <w:u w:val="single"/>
        </w:rPr>
      </w:pPr>
      <w:r>
        <w:rPr>
          <w:rFonts w:hint="eastAsia" w:ascii="宋体" w:hAnsi="宋体" w:cs="宋体"/>
          <w:bCs/>
          <w:color w:val="auto"/>
          <w:sz w:val="24"/>
          <w:highlight w:val="none"/>
        </w:rPr>
        <w:t>供应商（以下称乙方）：</w:t>
      </w:r>
      <w:r>
        <w:rPr>
          <w:rFonts w:hint="eastAsia" w:ascii="宋体" w:hAnsi="宋体" w:cs="宋体"/>
          <w:bCs/>
          <w:color w:val="auto"/>
          <w:sz w:val="24"/>
          <w:highlight w:val="none"/>
          <w:u w:val="single"/>
        </w:rPr>
        <w:t xml:space="preserve">                          </w:t>
      </w:r>
    </w:p>
    <w:p>
      <w:pPr>
        <w:snapToGrid w:val="0"/>
        <w:spacing w:line="312" w:lineRule="auto"/>
        <w:ind w:left="1440" w:hanging="1"/>
        <w:rPr>
          <w:rFonts w:ascii="宋体" w:hAnsi="宋体" w:cs="宋体"/>
          <w:bCs/>
          <w:color w:val="auto"/>
          <w:sz w:val="24"/>
          <w:highlight w:val="none"/>
        </w:rPr>
      </w:pPr>
    </w:p>
    <w:p>
      <w:pPr>
        <w:snapToGrid w:val="0"/>
        <w:spacing w:line="312" w:lineRule="auto"/>
        <w:ind w:left="1440" w:hanging="1"/>
        <w:rPr>
          <w:rFonts w:ascii="宋体" w:hAnsi="宋体" w:cs="宋体"/>
          <w:bCs/>
          <w:color w:val="auto"/>
          <w:sz w:val="24"/>
          <w:highlight w:val="none"/>
        </w:rPr>
      </w:pPr>
    </w:p>
    <w:p>
      <w:pPr>
        <w:snapToGrid w:val="0"/>
        <w:spacing w:line="312" w:lineRule="auto"/>
        <w:ind w:left="1440" w:hanging="1"/>
        <w:rPr>
          <w:rFonts w:ascii="宋体" w:hAnsi="宋体" w:cs="宋体"/>
          <w:bCs/>
          <w:color w:val="auto"/>
          <w:sz w:val="24"/>
          <w:highlight w:val="none"/>
          <w:u w:val="single"/>
        </w:rPr>
      </w:pPr>
      <w:r>
        <w:rPr>
          <w:rFonts w:hint="eastAsia" w:ascii="宋体" w:hAnsi="宋体" w:cs="宋体"/>
          <w:bCs/>
          <w:color w:val="auto"/>
          <w:sz w:val="24"/>
          <w:highlight w:val="none"/>
        </w:rPr>
        <w:t>签署日期：</w:t>
      </w:r>
      <w:r>
        <w:rPr>
          <w:rFonts w:hint="eastAsia" w:ascii="宋体" w:hAnsi="宋体" w:cs="宋体"/>
          <w:bCs/>
          <w:color w:val="auto"/>
          <w:sz w:val="24"/>
          <w:highlight w:val="none"/>
          <w:u w:val="single"/>
        </w:rPr>
        <w:t xml:space="preserve">                                     </w:t>
      </w:r>
    </w:p>
    <w:p>
      <w:pPr>
        <w:snapToGrid w:val="0"/>
        <w:spacing w:line="360" w:lineRule="auto"/>
        <w:ind w:left="120" w:leftChars="57" w:firstLine="360" w:firstLineChars="150"/>
        <w:rPr>
          <w:rFonts w:ascii="宋体" w:hAnsi="宋体" w:cs="宋体"/>
          <w:b/>
          <w:color w:val="auto"/>
          <w:szCs w:val="21"/>
          <w:highlight w:val="none"/>
        </w:rPr>
      </w:pPr>
      <w:r>
        <w:rPr>
          <w:rFonts w:hint="eastAsia" w:ascii="宋体" w:hAnsi="宋体" w:cs="宋体"/>
          <w:color w:val="auto"/>
          <w:sz w:val="24"/>
          <w:highlight w:val="none"/>
        </w:rPr>
        <w:br w:type="page"/>
      </w:r>
      <w:r>
        <w:rPr>
          <w:rFonts w:hint="eastAsia" w:ascii="宋体" w:hAnsi="宋体" w:cs="宋体"/>
          <w:b/>
          <w:iCs/>
          <w:color w:val="auto"/>
          <w:szCs w:val="21"/>
          <w:highlight w:val="none"/>
          <w:u w:val="single"/>
        </w:rPr>
        <w:t>杭州市公安局滨江区分局</w:t>
      </w:r>
      <w:r>
        <w:rPr>
          <w:rFonts w:hint="eastAsia" w:ascii="宋体" w:hAnsi="宋体" w:cs="宋体"/>
          <w:b/>
          <w:color w:val="auto"/>
          <w:szCs w:val="21"/>
          <w:highlight w:val="none"/>
        </w:rPr>
        <w:t>(甲方)通过国内</w:t>
      </w:r>
      <w:r>
        <w:rPr>
          <w:rFonts w:hint="eastAsia" w:ascii="宋体" w:hAnsi="宋体" w:cs="宋体"/>
          <w:b/>
          <w:color w:val="auto"/>
          <w:szCs w:val="21"/>
          <w:highlight w:val="none"/>
          <w:u w:val="single"/>
        </w:rPr>
        <w:t>公开</w:t>
      </w:r>
      <w:r>
        <w:rPr>
          <w:rFonts w:hint="eastAsia" w:ascii="宋体" w:hAnsi="宋体" w:cs="宋体"/>
          <w:b/>
          <w:color w:val="auto"/>
          <w:szCs w:val="21"/>
          <w:highlight w:val="none"/>
        </w:rPr>
        <w:t>招标采购方式，确定</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(乙方)为</w:t>
      </w:r>
      <w:r>
        <w:rPr>
          <w:rFonts w:hint="eastAsia" w:ascii="宋体" w:hAnsi="宋体" w:cs="宋体"/>
          <w:b/>
          <w:iCs/>
          <w:color w:val="auto"/>
          <w:szCs w:val="21"/>
          <w:highlight w:val="none"/>
          <w:u w:val="single"/>
          <w:lang w:eastAsia="zh-CN"/>
        </w:rPr>
        <w:t>亚运赛事（奥体中心网球中心）安保服务</w:t>
      </w:r>
      <w:r>
        <w:rPr>
          <w:rFonts w:hint="eastAsia" w:ascii="宋体" w:hAnsi="宋体" w:cs="宋体"/>
          <w:b/>
          <w:iCs/>
          <w:color w:val="auto"/>
          <w:szCs w:val="21"/>
          <w:highlight w:val="none"/>
          <w:u w:val="single"/>
        </w:rPr>
        <w:t>）</w:t>
      </w:r>
      <w:r>
        <w:rPr>
          <w:rFonts w:hint="eastAsia" w:ascii="宋体" w:hAnsi="宋体" w:cs="宋体"/>
          <w:b/>
          <w:color w:val="auto"/>
          <w:szCs w:val="21"/>
          <w:highlight w:val="none"/>
        </w:rPr>
        <w:t>的中标人。双方依据《中华人民共和国政府采购法》、《中华人民共和国政府采购法实施条例》、《中华人民共和国民法典》等，在平等自愿的基础上，同意按照下面的条款和条件，签署本合同。</w:t>
      </w:r>
    </w:p>
    <w:p>
      <w:pPr>
        <w:keepNext/>
        <w:keepLines/>
        <w:spacing w:before="240" w:line="360" w:lineRule="auto"/>
        <w:jc w:val="left"/>
        <w:outlineLvl w:val="2"/>
        <w:rPr>
          <w:rFonts w:ascii="宋体" w:hAnsi="宋体"/>
          <w:b/>
          <w:bCs/>
          <w:color w:val="auto"/>
          <w:szCs w:val="21"/>
          <w:highlight w:val="none"/>
        </w:rPr>
      </w:pPr>
      <w:r>
        <w:rPr>
          <w:rFonts w:hint="eastAsia" w:ascii="宋体" w:hAnsi="宋体"/>
          <w:b/>
          <w:bCs/>
          <w:color w:val="auto"/>
          <w:szCs w:val="21"/>
          <w:highlight w:val="none"/>
        </w:rPr>
        <w:t>一、</w:t>
      </w:r>
      <w:r>
        <w:rPr>
          <w:rFonts w:ascii="宋体" w:hAnsi="宋体"/>
          <w:b/>
          <w:bCs/>
          <w:color w:val="auto"/>
          <w:szCs w:val="21"/>
          <w:highlight w:val="none"/>
        </w:rPr>
        <w:t>合同文件</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下列文件构成本合同的组成部分，应该认为是一个整体，彼此相互解释，相互补充。组成合同的多个文件的优先支配地位的次序如下：</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a.本合同书及协议（项目需求及履行明细）</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b.中标通知书</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c.投标文件（含澄清文件）</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d.招标文件（含招标文件补充通知）</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二、合同内容（招标标的与数量）</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三、合同金额</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3.1合同金额：人民币</w:t>
      </w:r>
      <w:r>
        <w:rPr>
          <w:rFonts w:hint="eastAsia" w:ascii="宋体" w:hAnsi="宋体" w:cs="宋体"/>
          <w:color w:val="auto"/>
          <w:kern w:val="0"/>
          <w:szCs w:val="21"/>
          <w:highlight w:val="none"/>
          <w:u w:val="single"/>
        </w:rPr>
        <w:t xml:space="preserve">     元</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元</w:t>
      </w:r>
      <w:r>
        <w:rPr>
          <w:rFonts w:hint="eastAsia" w:ascii="宋体" w:hAnsi="宋体" w:cs="宋体"/>
          <w:color w:val="auto"/>
          <w:kern w:val="0"/>
          <w:szCs w:val="21"/>
          <w:highlight w:val="none"/>
        </w:rPr>
        <w:t>）。</w:t>
      </w:r>
    </w:p>
    <w:p>
      <w:pPr>
        <w:spacing w:line="360" w:lineRule="auto"/>
        <w:ind w:firstLine="405" w:firstLineChars="193"/>
        <w:rPr>
          <w:rFonts w:ascii="宋体" w:hAnsi="宋体" w:cs="宋体"/>
          <w:color w:val="auto"/>
          <w:kern w:val="0"/>
          <w:szCs w:val="21"/>
          <w:highlight w:val="none"/>
          <w:u w:val="single"/>
        </w:rPr>
      </w:pPr>
      <w:r>
        <w:rPr>
          <w:rFonts w:hint="eastAsia" w:ascii="宋体" w:hAnsi="宋体" w:cs="宋体"/>
          <w:color w:val="auto"/>
          <w:kern w:val="0"/>
          <w:szCs w:val="21"/>
          <w:highlight w:val="none"/>
        </w:rPr>
        <w:t>3.2报价范围：</w:t>
      </w:r>
      <w:r>
        <w:rPr>
          <w:rFonts w:hint="eastAsia" w:ascii="宋体" w:hAnsi="宋体" w:cs="宋体"/>
          <w:color w:val="auto"/>
          <w:kern w:val="0"/>
          <w:szCs w:val="21"/>
          <w:highlight w:val="none"/>
          <w:u w:val="single"/>
        </w:rPr>
        <w:t xml:space="preserve">                        </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3.3报价明细组成：</w:t>
      </w:r>
      <w:r>
        <w:rPr>
          <w:rFonts w:hint="eastAsia" w:ascii="宋体" w:hAnsi="宋体" w:cs="宋体"/>
          <w:color w:val="auto"/>
          <w:kern w:val="0"/>
          <w:szCs w:val="21"/>
          <w:highlight w:val="none"/>
          <w:u w:val="single"/>
        </w:rPr>
        <w:t xml:space="preserve">                     </w:t>
      </w:r>
    </w:p>
    <w:p>
      <w:pPr>
        <w:keepNext/>
        <w:keepLines/>
        <w:spacing w:before="240" w:line="360" w:lineRule="auto"/>
        <w:ind w:firstLine="0" w:firstLineChars="0"/>
        <w:jc w:val="left"/>
        <w:outlineLvl w:val="2"/>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四、项目人员配备要求</w:t>
      </w:r>
    </w:p>
    <w:p>
      <w:pPr>
        <w:spacing w:line="360" w:lineRule="auto"/>
        <w:ind w:firstLine="420" w:firstLineChars="200"/>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none"/>
          <w:lang w:val="en-US" w:eastAsia="zh-CN"/>
        </w:rPr>
        <w:t>4.</w:t>
      </w:r>
      <w:r>
        <w:rPr>
          <w:rFonts w:hint="eastAsia" w:asciiTheme="minorEastAsia" w:hAnsiTheme="minorEastAsia" w:eastAsiaTheme="minorEastAsia" w:cstheme="minorEastAsia"/>
          <w:color w:val="auto"/>
          <w:kern w:val="0"/>
          <w:sz w:val="21"/>
          <w:szCs w:val="21"/>
          <w:highlight w:val="none"/>
          <w:u w:val="none"/>
        </w:rPr>
        <w:t>1、</w:t>
      </w:r>
      <w:r>
        <w:rPr>
          <w:rFonts w:hint="eastAsia" w:asciiTheme="minorEastAsia" w:hAnsiTheme="minorEastAsia" w:eastAsiaTheme="minorEastAsia" w:cstheme="minorEastAsia"/>
          <w:color w:val="auto"/>
          <w:kern w:val="0"/>
          <w:sz w:val="21"/>
          <w:szCs w:val="21"/>
          <w:highlight w:val="none"/>
          <w:u w:val="single"/>
        </w:rPr>
        <w:t>安保服务人员基本要求：</w:t>
      </w:r>
    </w:p>
    <w:p>
      <w:pPr>
        <w:pStyle w:val="24"/>
        <w:ind w:firstLine="420" w:firstLineChars="200"/>
        <w:rPr>
          <w:rFonts w:hint="eastAsia" w:asciiTheme="minorEastAsia" w:hAnsiTheme="minorEastAsia" w:eastAsiaTheme="minorEastAsia" w:cstheme="minorEastAsia"/>
          <w:color w:val="auto"/>
          <w:kern w:val="0"/>
          <w:sz w:val="21"/>
          <w:highlight w:val="none"/>
          <w:u w:val="none"/>
          <w:lang w:val="en-US"/>
        </w:rPr>
      </w:pPr>
      <w:r>
        <w:rPr>
          <w:rFonts w:hint="eastAsia" w:asciiTheme="minorEastAsia" w:hAnsiTheme="minorEastAsia" w:eastAsiaTheme="minorEastAsia" w:cstheme="minorEastAsia"/>
          <w:color w:val="auto"/>
          <w:kern w:val="0"/>
          <w:sz w:val="21"/>
          <w:highlight w:val="none"/>
          <w:u w:val="none"/>
          <w:lang w:val="en-US" w:eastAsia="zh-CN"/>
        </w:rPr>
        <w:t>4.</w:t>
      </w:r>
      <w:r>
        <w:rPr>
          <w:rFonts w:hint="eastAsia" w:asciiTheme="minorEastAsia" w:hAnsiTheme="minorEastAsia" w:eastAsiaTheme="minorEastAsia" w:cstheme="minorEastAsia"/>
          <w:color w:val="auto"/>
          <w:kern w:val="0"/>
          <w:sz w:val="21"/>
          <w:highlight w:val="none"/>
          <w:u w:val="none"/>
        </w:rPr>
        <w:t xml:space="preserve">1.1 </w:t>
      </w:r>
      <w:r>
        <w:rPr>
          <w:rFonts w:hint="eastAsia" w:asciiTheme="minorEastAsia" w:hAnsiTheme="minorEastAsia" w:eastAsiaTheme="minorEastAsia" w:cstheme="minorEastAsia"/>
          <w:color w:val="auto"/>
          <w:kern w:val="0"/>
          <w:sz w:val="21"/>
          <w:highlight w:val="none"/>
          <w:u w:val="single"/>
          <w:lang w:val="en-US"/>
        </w:rPr>
        <w:t>针对本项目</w:t>
      </w:r>
      <w:r>
        <w:rPr>
          <w:rFonts w:hint="eastAsia" w:asciiTheme="minorEastAsia" w:hAnsiTheme="minorEastAsia" w:eastAsiaTheme="minorEastAsia" w:cstheme="minorEastAsia"/>
          <w:color w:val="auto"/>
          <w:kern w:val="0"/>
          <w:sz w:val="21"/>
          <w:highlight w:val="none"/>
          <w:u w:val="single"/>
        </w:rPr>
        <w:t>至少配备一名项目经理，负责与采购人工作人员对接沟通，项目经理不得兼职任何安保岗</w:t>
      </w:r>
      <w:r>
        <w:rPr>
          <w:rFonts w:hint="eastAsia" w:asciiTheme="minorEastAsia" w:hAnsiTheme="minorEastAsia" w:eastAsiaTheme="minorEastAsia" w:cstheme="minorEastAsia"/>
          <w:color w:val="auto"/>
          <w:kern w:val="0"/>
          <w:sz w:val="21"/>
          <w:highlight w:val="none"/>
          <w:u w:val="single"/>
          <w:lang w:val="en-US"/>
        </w:rPr>
        <w:t>位包括安检负责人。</w:t>
      </w:r>
    </w:p>
    <w:p>
      <w:pPr>
        <w:pStyle w:val="25"/>
        <w:rPr>
          <w:rFonts w:hint="eastAsia"/>
          <w:color w:val="auto"/>
          <w:highlight w:val="none"/>
        </w:rPr>
      </w:pPr>
      <w:r>
        <w:rPr>
          <w:rFonts w:hint="eastAsia" w:asciiTheme="minorEastAsia" w:hAnsiTheme="minorEastAsia" w:eastAsiaTheme="minorEastAsia" w:cstheme="minorEastAsia"/>
          <w:snapToGrid w:val="0"/>
          <w:color w:val="auto"/>
          <w:kern w:val="0"/>
          <w:sz w:val="21"/>
          <w:szCs w:val="21"/>
          <w:highlight w:val="none"/>
          <w:u w:val="single"/>
          <w:lang w:val="zh-CN" w:eastAsia="zh-CN"/>
        </w:rPr>
        <w:t>4.</w:t>
      </w:r>
      <w:r>
        <w:rPr>
          <w:rFonts w:hint="eastAsia" w:asciiTheme="minorEastAsia" w:hAnsiTheme="minorEastAsia" w:eastAsiaTheme="minorEastAsia" w:cstheme="minorEastAsia"/>
          <w:snapToGrid w:val="0"/>
          <w:color w:val="auto"/>
          <w:kern w:val="0"/>
          <w:sz w:val="21"/>
          <w:szCs w:val="21"/>
          <w:highlight w:val="none"/>
          <w:u w:val="single"/>
        </w:rPr>
        <w:t xml:space="preserve">1.2 </w:t>
      </w:r>
      <w:r>
        <w:rPr>
          <w:rFonts w:hint="eastAsia" w:asciiTheme="minorEastAsia" w:hAnsiTheme="minorEastAsia" w:eastAsiaTheme="minorEastAsia" w:cstheme="minorEastAsia"/>
          <w:snapToGrid w:val="0"/>
          <w:color w:val="auto"/>
          <w:kern w:val="0"/>
          <w:sz w:val="21"/>
          <w:szCs w:val="21"/>
          <w:highlight w:val="none"/>
          <w:u w:val="single"/>
          <w:lang w:val="en-US"/>
        </w:rPr>
        <w:t>除项目经理外针对本项目</w:t>
      </w:r>
      <w:r>
        <w:rPr>
          <w:rFonts w:hint="eastAsia" w:asciiTheme="minorEastAsia" w:hAnsiTheme="minorEastAsia" w:eastAsiaTheme="minorEastAsia" w:cstheme="minorEastAsia"/>
          <w:snapToGrid w:val="0"/>
          <w:color w:val="auto"/>
          <w:kern w:val="0"/>
          <w:sz w:val="21"/>
          <w:szCs w:val="21"/>
          <w:highlight w:val="none"/>
          <w:u w:val="single"/>
        </w:rPr>
        <w:t>至少配备一名</w:t>
      </w:r>
      <w:r>
        <w:rPr>
          <w:rFonts w:hint="eastAsia" w:asciiTheme="minorEastAsia" w:hAnsiTheme="minorEastAsia" w:eastAsiaTheme="minorEastAsia" w:cstheme="minorEastAsia"/>
          <w:snapToGrid w:val="0"/>
          <w:color w:val="auto"/>
          <w:kern w:val="0"/>
          <w:sz w:val="21"/>
          <w:szCs w:val="21"/>
          <w:highlight w:val="none"/>
          <w:u w:val="single"/>
          <w:lang w:val="en-US"/>
        </w:rPr>
        <w:t>安检负责人</w:t>
      </w:r>
      <w:r>
        <w:rPr>
          <w:rFonts w:hint="eastAsia" w:asciiTheme="minorEastAsia" w:hAnsiTheme="minorEastAsia" w:eastAsiaTheme="minorEastAsia" w:cstheme="minorEastAsia"/>
          <w:snapToGrid w:val="0"/>
          <w:color w:val="auto"/>
          <w:kern w:val="0"/>
          <w:sz w:val="21"/>
          <w:szCs w:val="21"/>
          <w:highlight w:val="none"/>
          <w:u w:val="single"/>
        </w:rPr>
        <w:t>，负责</w:t>
      </w:r>
      <w:r>
        <w:rPr>
          <w:rFonts w:hint="eastAsia" w:asciiTheme="minorEastAsia" w:hAnsiTheme="minorEastAsia" w:eastAsiaTheme="minorEastAsia" w:cstheme="minorEastAsia"/>
          <w:snapToGrid w:val="0"/>
          <w:color w:val="auto"/>
          <w:kern w:val="0"/>
          <w:sz w:val="21"/>
          <w:szCs w:val="21"/>
          <w:highlight w:val="none"/>
          <w:u w:val="single"/>
          <w:lang w:val="en-US"/>
        </w:rPr>
        <w:t>根据项目经理或采购人要求协调和指挥安检工作。</w:t>
      </w:r>
    </w:p>
    <w:p>
      <w:pPr>
        <w:pStyle w:val="24"/>
        <w:ind w:firstLine="420" w:firstLineChars="200"/>
        <w:rPr>
          <w:rFonts w:hint="eastAsia" w:asciiTheme="minorEastAsia" w:hAnsiTheme="minorEastAsia" w:eastAsiaTheme="minorEastAsia" w:cstheme="minorEastAsia"/>
          <w:color w:val="auto"/>
          <w:kern w:val="0"/>
          <w:sz w:val="21"/>
          <w:highlight w:val="none"/>
          <w:u w:val="single"/>
        </w:rPr>
      </w:pPr>
      <w:r>
        <w:rPr>
          <w:rFonts w:hint="eastAsia" w:asciiTheme="minorEastAsia" w:hAnsiTheme="minorEastAsia" w:eastAsiaTheme="minorEastAsia" w:cstheme="minorEastAsia"/>
          <w:color w:val="auto"/>
          <w:kern w:val="0"/>
          <w:sz w:val="21"/>
          <w:highlight w:val="none"/>
          <w:u w:val="none"/>
          <w:lang w:val="en-US" w:eastAsia="zh-CN"/>
        </w:rPr>
        <w:t>4.</w:t>
      </w:r>
      <w:r>
        <w:rPr>
          <w:rFonts w:hint="eastAsia" w:asciiTheme="minorEastAsia" w:hAnsiTheme="minorEastAsia" w:eastAsiaTheme="minorEastAsia" w:cstheme="minorEastAsia"/>
          <w:color w:val="auto"/>
          <w:kern w:val="0"/>
          <w:sz w:val="21"/>
          <w:highlight w:val="none"/>
          <w:u w:val="none"/>
        </w:rPr>
        <w:t>1.</w:t>
      </w:r>
      <w:r>
        <w:rPr>
          <w:rFonts w:hint="eastAsia" w:asciiTheme="minorEastAsia" w:hAnsiTheme="minorEastAsia" w:eastAsiaTheme="minorEastAsia" w:cstheme="minorEastAsia"/>
          <w:color w:val="auto"/>
          <w:kern w:val="0"/>
          <w:sz w:val="21"/>
          <w:highlight w:val="none"/>
          <w:u w:val="none"/>
          <w:lang w:val="en-US" w:eastAsia="zh-CN"/>
        </w:rPr>
        <w:t>3</w:t>
      </w:r>
      <w:r>
        <w:rPr>
          <w:rFonts w:hint="eastAsia" w:asciiTheme="minorEastAsia" w:hAnsiTheme="minorEastAsia" w:eastAsiaTheme="minorEastAsia" w:cstheme="minorEastAsia"/>
          <w:color w:val="auto"/>
          <w:kern w:val="0"/>
          <w:sz w:val="21"/>
          <w:highlight w:val="none"/>
          <w:u w:val="none"/>
        </w:rPr>
        <w:t xml:space="preserve"> </w:t>
      </w:r>
      <w:r>
        <w:rPr>
          <w:rFonts w:hint="eastAsia" w:asciiTheme="minorEastAsia" w:hAnsiTheme="minorEastAsia" w:eastAsiaTheme="minorEastAsia" w:cstheme="minorEastAsia"/>
          <w:color w:val="auto"/>
          <w:kern w:val="0"/>
          <w:sz w:val="21"/>
          <w:szCs w:val="21"/>
          <w:highlight w:val="none"/>
          <w:u w:val="single"/>
          <w:lang w:val="en-US" w:eastAsia="zh-CN" w:bidi="ar-SA"/>
        </w:rPr>
        <w:t>每一台安检机配备两名女性安保人员，其余人员均为男性。</w:t>
      </w:r>
    </w:p>
    <w:p>
      <w:pPr>
        <w:pStyle w:val="25"/>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snapToGrid w:val="0"/>
          <w:color w:val="auto"/>
          <w:kern w:val="0"/>
          <w:sz w:val="21"/>
          <w:szCs w:val="21"/>
          <w:highlight w:val="none"/>
          <w:u w:val="none"/>
          <w:lang w:val="en-US" w:eastAsia="zh-CN"/>
        </w:rPr>
        <w:t>4.</w:t>
      </w:r>
      <w:r>
        <w:rPr>
          <w:rFonts w:hint="eastAsia" w:asciiTheme="minorEastAsia" w:hAnsiTheme="minorEastAsia" w:eastAsiaTheme="minorEastAsia" w:cstheme="minorEastAsia"/>
          <w:snapToGrid w:val="0"/>
          <w:color w:val="auto"/>
          <w:kern w:val="0"/>
          <w:sz w:val="21"/>
          <w:szCs w:val="21"/>
          <w:highlight w:val="none"/>
          <w:u w:val="none"/>
          <w:lang w:val="en-US"/>
        </w:rPr>
        <w:t>1.</w:t>
      </w:r>
      <w:r>
        <w:rPr>
          <w:rFonts w:hint="eastAsia" w:asciiTheme="minorEastAsia" w:hAnsiTheme="minorEastAsia" w:eastAsiaTheme="minorEastAsia" w:cstheme="minorEastAsia"/>
          <w:snapToGrid w:val="0"/>
          <w:color w:val="auto"/>
          <w:kern w:val="0"/>
          <w:sz w:val="21"/>
          <w:szCs w:val="21"/>
          <w:highlight w:val="none"/>
          <w:u w:val="none"/>
          <w:lang w:val="en-US" w:eastAsia="zh-CN"/>
        </w:rPr>
        <w:t>4</w:t>
      </w:r>
      <w:r>
        <w:rPr>
          <w:rFonts w:hint="eastAsia" w:asciiTheme="minorEastAsia" w:hAnsiTheme="minorEastAsia" w:eastAsiaTheme="minorEastAsia" w:cstheme="minorEastAsia"/>
          <w:snapToGrid w:val="0"/>
          <w:color w:val="auto"/>
          <w:kern w:val="0"/>
          <w:sz w:val="21"/>
          <w:szCs w:val="21"/>
          <w:highlight w:val="none"/>
          <w:u w:val="none"/>
          <w:lang w:val="zh-CN"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lang w:val="zh-CN" w:eastAsia="zh-CN"/>
        </w:rPr>
        <w:t>男性年龄40周岁以下，身高170cm以上，女性年龄40周岁以下，身高160以上。</w:t>
      </w:r>
    </w:p>
    <w:p>
      <w:pPr>
        <w:spacing w:line="360" w:lineRule="auto"/>
        <w:ind w:firstLine="420" w:firstLineChars="200"/>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none"/>
          <w:lang w:val="en-US" w:eastAsia="zh-CN"/>
        </w:rPr>
        <w:t>4.</w:t>
      </w:r>
      <w:r>
        <w:rPr>
          <w:rFonts w:hint="eastAsia" w:asciiTheme="minorEastAsia" w:hAnsiTheme="minorEastAsia" w:eastAsiaTheme="minorEastAsia" w:cstheme="minorEastAsia"/>
          <w:color w:val="auto"/>
          <w:kern w:val="0"/>
          <w:sz w:val="21"/>
          <w:szCs w:val="21"/>
          <w:highlight w:val="none"/>
          <w:u w:val="none"/>
        </w:rPr>
        <w:t>2、</w:t>
      </w:r>
      <w:r>
        <w:rPr>
          <w:rFonts w:hint="eastAsia" w:asciiTheme="minorEastAsia" w:hAnsiTheme="minorEastAsia" w:eastAsiaTheme="minorEastAsia" w:cstheme="minorEastAsia"/>
          <w:color w:val="auto"/>
          <w:kern w:val="0"/>
          <w:sz w:val="21"/>
          <w:szCs w:val="21"/>
          <w:highlight w:val="none"/>
          <w:u w:val="single"/>
        </w:rPr>
        <w:t xml:space="preserve"> 配备数量要求</w:t>
      </w:r>
    </w:p>
    <w:p>
      <w:pPr>
        <w:spacing w:line="360" w:lineRule="auto"/>
        <w:ind w:firstLine="420" w:firstLineChars="200"/>
        <w:rPr>
          <w:rFonts w:hint="eastAsia" w:asciiTheme="minorEastAsia" w:hAnsiTheme="minorEastAsia" w:eastAsiaTheme="minorEastAsia" w:cstheme="minorEastAsia"/>
          <w:snapToGrid w:val="0"/>
          <w:color w:val="auto"/>
          <w:kern w:val="0"/>
          <w:sz w:val="21"/>
          <w:szCs w:val="21"/>
          <w:highlight w:val="none"/>
          <w:u w:val="single"/>
          <w:lang w:val="en-US" w:eastAsia="zh-CN" w:bidi="ar-SA"/>
        </w:rPr>
      </w:pPr>
      <w:r>
        <w:rPr>
          <w:rFonts w:hint="eastAsia" w:asciiTheme="minorEastAsia" w:hAnsiTheme="minorEastAsia" w:eastAsiaTheme="minorEastAsia" w:cstheme="minorEastAsia"/>
          <w:color w:val="auto"/>
          <w:kern w:val="0"/>
          <w:sz w:val="21"/>
          <w:szCs w:val="21"/>
          <w:highlight w:val="none"/>
          <w:u w:val="none"/>
          <w:lang w:val="en-US" w:eastAsia="zh-CN"/>
        </w:rPr>
        <w:t>4.</w:t>
      </w:r>
      <w:r>
        <w:rPr>
          <w:rFonts w:hint="eastAsia" w:asciiTheme="minorEastAsia" w:hAnsiTheme="minorEastAsia" w:eastAsiaTheme="minorEastAsia" w:cstheme="minorEastAsia"/>
          <w:color w:val="auto"/>
          <w:kern w:val="0"/>
          <w:sz w:val="21"/>
          <w:szCs w:val="21"/>
          <w:highlight w:val="none"/>
          <w:u w:val="none"/>
        </w:rPr>
        <w:t>2.1.</w:t>
      </w:r>
      <w:r>
        <w:rPr>
          <w:rFonts w:hint="eastAsia" w:asciiTheme="minorEastAsia" w:hAnsiTheme="minorEastAsia" w:eastAsiaTheme="minorEastAsia" w:cstheme="minorEastAsia"/>
          <w:color w:val="auto"/>
          <w:kern w:val="0"/>
          <w:sz w:val="21"/>
          <w:szCs w:val="21"/>
          <w:highlight w:val="none"/>
          <w:u w:val="single"/>
        </w:rPr>
        <w:t xml:space="preserve"> 锁闭期自2023年9月10日至2023年9月</w:t>
      </w:r>
      <w:r>
        <w:rPr>
          <w:rFonts w:hint="eastAsia" w:asciiTheme="minorEastAsia" w:hAnsiTheme="minorEastAsia" w:eastAsiaTheme="minorEastAsia" w:cstheme="minorEastAsia"/>
          <w:color w:val="auto"/>
          <w:kern w:val="0"/>
          <w:sz w:val="21"/>
          <w:szCs w:val="21"/>
          <w:highlight w:val="none"/>
          <w:u w:val="single"/>
          <w:lang w:val="en-US" w:eastAsia="zh-CN"/>
        </w:rPr>
        <w:t>23</w:t>
      </w:r>
      <w:r>
        <w:rPr>
          <w:rFonts w:hint="eastAsia" w:asciiTheme="minorEastAsia" w:hAnsiTheme="minorEastAsia" w:eastAsiaTheme="minorEastAsia" w:cstheme="minorEastAsia"/>
          <w:color w:val="auto"/>
          <w:kern w:val="0"/>
          <w:sz w:val="21"/>
          <w:szCs w:val="21"/>
          <w:highlight w:val="none"/>
          <w:u w:val="single"/>
        </w:rPr>
        <w:t>日，最高配置20人</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w:t>
      </w:r>
    </w:p>
    <w:p>
      <w:pPr>
        <w:spacing w:line="360" w:lineRule="auto"/>
        <w:ind w:firstLine="420" w:firstLineChars="200"/>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none"/>
          <w:lang w:val="en-US" w:eastAsia="zh-CN"/>
        </w:rPr>
        <w:t>4.</w:t>
      </w:r>
      <w:r>
        <w:rPr>
          <w:rFonts w:hint="eastAsia" w:asciiTheme="minorEastAsia" w:hAnsiTheme="minorEastAsia" w:eastAsiaTheme="minorEastAsia" w:cstheme="minorEastAsia"/>
          <w:color w:val="auto"/>
          <w:kern w:val="0"/>
          <w:sz w:val="21"/>
          <w:szCs w:val="21"/>
          <w:highlight w:val="none"/>
          <w:u w:val="none"/>
        </w:rPr>
        <w:t>2.2.</w:t>
      </w:r>
      <w:r>
        <w:rPr>
          <w:rFonts w:hint="eastAsia" w:asciiTheme="minorEastAsia" w:hAnsiTheme="minorEastAsia" w:eastAsiaTheme="minorEastAsia" w:cstheme="minorEastAsia"/>
          <w:color w:val="auto"/>
          <w:kern w:val="0"/>
          <w:sz w:val="21"/>
          <w:szCs w:val="21"/>
          <w:highlight w:val="none"/>
          <w:u w:val="single"/>
        </w:rPr>
        <w:t xml:space="preserve"> 亚运会自2023年9月24日至2023年10月7日，最高配置515人</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w:t>
      </w:r>
    </w:p>
    <w:p>
      <w:pPr>
        <w:spacing w:line="360" w:lineRule="auto"/>
        <w:ind w:firstLine="420" w:firstLineChars="200"/>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none"/>
          <w:lang w:val="en-US" w:eastAsia="zh-CN"/>
        </w:rPr>
        <w:t>4.</w:t>
      </w:r>
      <w:r>
        <w:rPr>
          <w:rFonts w:hint="eastAsia" w:asciiTheme="minorEastAsia" w:hAnsiTheme="minorEastAsia" w:eastAsiaTheme="minorEastAsia" w:cstheme="minorEastAsia"/>
          <w:color w:val="auto"/>
          <w:kern w:val="0"/>
          <w:sz w:val="21"/>
          <w:szCs w:val="21"/>
          <w:highlight w:val="none"/>
          <w:u w:val="none"/>
        </w:rPr>
        <w:t>2.3.</w:t>
      </w:r>
      <w:r>
        <w:rPr>
          <w:rFonts w:hint="eastAsia" w:asciiTheme="minorEastAsia" w:hAnsiTheme="minorEastAsia" w:eastAsiaTheme="minorEastAsia" w:cstheme="minorEastAsia"/>
          <w:color w:val="auto"/>
          <w:kern w:val="0"/>
          <w:sz w:val="21"/>
          <w:szCs w:val="21"/>
          <w:highlight w:val="none"/>
          <w:u w:val="single"/>
        </w:rPr>
        <w:t xml:space="preserve"> 转换期自2023年10月8日至2023年10月22日，最高配置20人</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w:t>
      </w:r>
    </w:p>
    <w:p>
      <w:pPr>
        <w:spacing w:line="360" w:lineRule="auto"/>
        <w:ind w:firstLine="420" w:firstLineChars="200"/>
        <w:rPr>
          <w:rFonts w:hint="eastAsia" w:asciiTheme="minorEastAsia" w:hAnsiTheme="minorEastAsia" w:eastAsiaTheme="minorEastAsia" w:cstheme="minorEastAsia"/>
          <w:snapToGrid w:val="0"/>
          <w:color w:val="auto"/>
          <w:kern w:val="0"/>
          <w:sz w:val="21"/>
          <w:szCs w:val="21"/>
          <w:highlight w:val="none"/>
          <w:u w:val="single"/>
          <w:lang w:val="en-US" w:eastAsia="zh-CN" w:bidi="ar-SA"/>
        </w:rPr>
      </w:pPr>
      <w:r>
        <w:rPr>
          <w:rFonts w:hint="eastAsia" w:asciiTheme="minorEastAsia" w:hAnsiTheme="minorEastAsia" w:eastAsiaTheme="minorEastAsia" w:cstheme="minorEastAsia"/>
          <w:color w:val="auto"/>
          <w:kern w:val="0"/>
          <w:sz w:val="21"/>
          <w:szCs w:val="21"/>
          <w:highlight w:val="none"/>
          <w:u w:val="none"/>
          <w:lang w:val="en-US" w:eastAsia="zh-CN"/>
        </w:rPr>
        <w:t>4.</w:t>
      </w:r>
      <w:r>
        <w:rPr>
          <w:rFonts w:hint="eastAsia" w:asciiTheme="minorEastAsia" w:hAnsiTheme="minorEastAsia" w:eastAsiaTheme="minorEastAsia" w:cstheme="minorEastAsia"/>
          <w:color w:val="auto"/>
          <w:kern w:val="0"/>
          <w:sz w:val="21"/>
          <w:szCs w:val="21"/>
          <w:highlight w:val="none"/>
          <w:u w:val="none"/>
        </w:rPr>
        <w:t>2.4.</w:t>
      </w:r>
      <w:r>
        <w:rPr>
          <w:rFonts w:hint="eastAsia" w:asciiTheme="minorEastAsia" w:hAnsiTheme="minorEastAsia" w:eastAsiaTheme="minorEastAsia" w:cstheme="minorEastAsia"/>
          <w:color w:val="auto"/>
          <w:kern w:val="0"/>
          <w:sz w:val="21"/>
          <w:szCs w:val="21"/>
          <w:highlight w:val="none"/>
          <w:u w:val="single"/>
        </w:rPr>
        <w:t xml:space="preserve"> 亚残会自2023年10月23日至2023年10月28日，最高配置515人</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u w:val="none"/>
          <w:lang w:val="en-US" w:eastAsia="zh-CN"/>
        </w:rPr>
        <w:t>4.</w:t>
      </w:r>
      <w:r>
        <w:rPr>
          <w:rFonts w:hint="eastAsia" w:asciiTheme="minorEastAsia" w:hAnsiTheme="minorEastAsia" w:eastAsiaTheme="minorEastAsia" w:cstheme="minorEastAsia"/>
          <w:bCs/>
          <w:color w:val="auto"/>
          <w:sz w:val="21"/>
          <w:szCs w:val="21"/>
          <w:highlight w:val="none"/>
          <w:u w:val="none"/>
        </w:rPr>
        <w:t>3</w:t>
      </w:r>
      <w:r>
        <w:rPr>
          <w:rFonts w:hint="eastAsia" w:asciiTheme="minorEastAsia" w:hAnsiTheme="minorEastAsia" w:eastAsiaTheme="minorEastAsia" w:cstheme="minorEastAsia"/>
          <w:bCs/>
          <w:color w:val="auto"/>
          <w:sz w:val="21"/>
          <w:szCs w:val="21"/>
          <w:highlight w:val="none"/>
          <w:u w:val="none"/>
          <w:lang w:eastAsia="zh-CN"/>
        </w:rPr>
        <w:t>、</w:t>
      </w:r>
      <w:r>
        <w:rPr>
          <w:rFonts w:hint="eastAsia" w:asciiTheme="minorEastAsia" w:hAnsiTheme="minorEastAsia" w:eastAsiaTheme="minorEastAsia" w:cstheme="minorEastAsia"/>
          <w:bCs/>
          <w:color w:val="auto"/>
          <w:sz w:val="21"/>
          <w:szCs w:val="21"/>
          <w:highlight w:val="none"/>
          <w:u w:val="single"/>
          <w:lang w:val="en-US" w:eastAsia="zh-CN"/>
        </w:rPr>
        <w:t xml:space="preserve"> 所有安保人员需持保安证上岗，安检岗位人员持有安检培训合格证书</w:t>
      </w:r>
      <w:r>
        <w:rPr>
          <w:rFonts w:hint="eastAsia" w:asciiTheme="minorEastAsia" w:hAnsiTheme="minorEastAsia" w:eastAsiaTheme="minorEastAsia" w:cstheme="minorEastAsia"/>
          <w:bCs/>
          <w:color w:val="auto"/>
          <w:sz w:val="21"/>
          <w:szCs w:val="21"/>
          <w:highlight w:val="none"/>
          <w:u w:val="single"/>
        </w:rPr>
        <w:t>。</w:t>
      </w:r>
    </w:p>
    <w:p>
      <w:pPr>
        <w:spacing w:line="360" w:lineRule="auto"/>
        <w:ind w:firstLine="420" w:firstLineChars="200"/>
        <w:rPr>
          <w:rFonts w:hint="eastAsia" w:asciiTheme="minorEastAsia" w:hAnsiTheme="minorEastAsia" w:eastAsiaTheme="minorEastAsia" w:cstheme="minorEastAsia"/>
          <w:snapToGrid w:val="0"/>
          <w:color w:val="auto"/>
          <w:kern w:val="0"/>
          <w:sz w:val="21"/>
          <w:szCs w:val="21"/>
          <w:highlight w:val="none"/>
          <w:u w:val="single"/>
          <w:lang w:val="zh-CN" w:eastAsia="zh-CN" w:bidi="ar-SA"/>
        </w:rPr>
      </w:pPr>
      <w:r>
        <w:rPr>
          <w:rFonts w:hint="eastAsia" w:asciiTheme="minorEastAsia" w:hAnsiTheme="minorEastAsia" w:eastAsiaTheme="minorEastAsia" w:cstheme="minorEastAsia"/>
          <w:bCs/>
          <w:color w:val="auto"/>
          <w:sz w:val="21"/>
          <w:szCs w:val="21"/>
          <w:highlight w:val="none"/>
          <w:u w:val="none"/>
          <w:lang w:val="en-US" w:eastAsia="zh-CN"/>
        </w:rPr>
        <w:t>4.</w:t>
      </w:r>
      <w:r>
        <w:rPr>
          <w:rFonts w:hint="eastAsia" w:asciiTheme="minorEastAsia" w:hAnsiTheme="minorEastAsia" w:eastAsiaTheme="minorEastAsia" w:cstheme="minorEastAsia"/>
          <w:bCs/>
          <w:color w:val="auto"/>
          <w:sz w:val="21"/>
          <w:szCs w:val="21"/>
          <w:highlight w:val="none"/>
          <w:u w:val="none"/>
        </w:rPr>
        <w:t>4、</w:t>
      </w:r>
      <w:r>
        <w:rPr>
          <w:rFonts w:hint="eastAsia" w:asciiTheme="minorEastAsia" w:hAnsiTheme="minorEastAsia" w:eastAsiaTheme="minorEastAsia" w:cstheme="minorEastAsia"/>
          <w:snapToGrid w:val="0"/>
          <w:color w:val="auto"/>
          <w:kern w:val="0"/>
          <w:sz w:val="21"/>
          <w:szCs w:val="21"/>
          <w:highlight w:val="none"/>
          <w:u w:val="single"/>
          <w:lang w:val="zh-CN" w:eastAsia="zh-CN" w:bidi="ar-SA"/>
        </w:rPr>
        <w:t>乙方需提供50 套保安七件套，50套反光背心，50个强光手电，50个手持金属探测仪。</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u w:val="none"/>
          <w:lang w:val="en-US" w:eastAsia="zh-CN"/>
        </w:rPr>
        <w:t>4.</w:t>
      </w:r>
      <w:r>
        <w:rPr>
          <w:rFonts w:hint="eastAsia" w:asciiTheme="minorEastAsia" w:hAnsiTheme="minorEastAsia" w:eastAsiaTheme="minorEastAsia" w:cstheme="minorEastAsia"/>
          <w:bCs/>
          <w:color w:val="auto"/>
          <w:sz w:val="21"/>
          <w:szCs w:val="21"/>
          <w:highlight w:val="none"/>
          <w:u w:val="none"/>
        </w:rPr>
        <w:t>5、</w:t>
      </w:r>
      <w:r>
        <w:rPr>
          <w:rFonts w:hint="eastAsia" w:asciiTheme="minorEastAsia" w:hAnsiTheme="minorEastAsia" w:eastAsiaTheme="minorEastAsia" w:cstheme="minorEastAsia"/>
          <w:bCs/>
          <w:color w:val="auto"/>
          <w:sz w:val="21"/>
          <w:szCs w:val="21"/>
          <w:highlight w:val="none"/>
          <w:u w:val="single"/>
        </w:rPr>
        <w:t>所有安保人员经场馆安保团队测试合格方可上岗，安保人员的培训时间不计入工作时间。</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u w:val="none"/>
          <w:lang w:val="en-US" w:eastAsia="zh-CN"/>
        </w:rPr>
        <w:t>4.</w:t>
      </w:r>
      <w:r>
        <w:rPr>
          <w:rFonts w:hint="eastAsia" w:asciiTheme="minorEastAsia" w:hAnsiTheme="minorEastAsia" w:eastAsiaTheme="minorEastAsia" w:cstheme="minorEastAsia"/>
          <w:bCs/>
          <w:color w:val="auto"/>
          <w:sz w:val="21"/>
          <w:szCs w:val="21"/>
          <w:highlight w:val="none"/>
          <w:u w:val="none"/>
        </w:rPr>
        <w:t>6、</w:t>
      </w:r>
      <w:r>
        <w:rPr>
          <w:rFonts w:hint="eastAsia" w:asciiTheme="minorEastAsia" w:hAnsiTheme="minorEastAsia" w:eastAsiaTheme="minorEastAsia" w:cstheme="minorEastAsia"/>
          <w:bCs/>
          <w:color w:val="auto"/>
          <w:sz w:val="21"/>
          <w:szCs w:val="21"/>
          <w:highlight w:val="none"/>
          <w:u w:val="single"/>
        </w:rPr>
        <w:t>为保证场馆安保工作的顺利开展，安保人员一经确定，原则上不得更换，安保人员应保证赛事期间95%以上的人员不能变动。</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u w:val="single"/>
          <w:lang w:val="en-US" w:eastAsia="zh-CN"/>
        </w:rPr>
      </w:pPr>
      <w:r>
        <w:rPr>
          <w:rFonts w:hint="eastAsia" w:asciiTheme="minorEastAsia" w:hAnsiTheme="minorEastAsia" w:eastAsiaTheme="minorEastAsia" w:cstheme="minorEastAsia"/>
          <w:bCs/>
          <w:color w:val="auto"/>
          <w:sz w:val="21"/>
          <w:szCs w:val="21"/>
          <w:highlight w:val="none"/>
          <w:u w:val="none"/>
          <w:lang w:val="en-US" w:eastAsia="zh-CN"/>
        </w:rPr>
        <w:t>4.</w:t>
      </w:r>
      <w:r>
        <w:rPr>
          <w:rFonts w:hint="eastAsia" w:asciiTheme="minorEastAsia" w:hAnsiTheme="minorEastAsia" w:eastAsiaTheme="minorEastAsia" w:cstheme="minorEastAsia"/>
          <w:bCs/>
          <w:color w:val="auto"/>
          <w:sz w:val="21"/>
          <w:szCs w:val="21"/>
          <w:highlight w:val="none"/>
          <w:u w:val="none"/>
        </w:rPr>
        <w:t>7、</w:t>
      </w:r>
      <w:r>
        <w:rPr>
          <w:rFonts w:hint="eastAsia" w:asciiTheme="minorEastAsia" w:hAnsiTheme="minorEastAsia" w:eastAsiaTheme="minorEastAsia" w:cstheme="minorEastAsia"/>
          <w:bCs/>
          <w:color w:val="auto"/>
          <w:sz w:val="21"/>
          <w:szCs w:val="21"/>
          <w:highlight w:val="none"/>
          <w:u w:val="single"/>
          <w:lang w:val="en-US" w:eastAsia="zh-CN"/>
        </w:rPr>
        <w:t>乙方</w:t>
      </w:r>
      <w:r>
        <w:rPr>
          <w:rFonts w:hint="eastAsia" w:asciiTheme="minorEastAsia" w:hAnsiTheme="minorEastAsia" w:eastAsiaTheme="minorEastAsia" w:cstheme="minorEastAsia"/>
          <w:bCs/>
          <w:color w:val="auto"/>
          <w:sz w:val="21"/>
          <w:szCs w:val="21"/>
          <w:highlight w:val="none"/>
          <w:u w:val="single"/>
        </w:rPr>
        <w:t>需</w:t>
      </w:r>
      <w:r>
        <w:rPr>
          <w:rFonts w:hint="eastAsia" w:asciiTheme="minorEastAsia" w:hAnsiTheme="minorEastAsia" w:eastAsiaTheme="minorEastAsia" w:cstheme="minorEastAsia"/>
          <w:bCs/>
          <w:color w:val="auto"/>
          <w:sz w:val="21"/>
          <w:szCs w:val="21"/>
          <w:highlight w:val="none"/>
          <w:u w:val="single"/>
          <w:lang w:val="en-US" w:eastAsia="zh-CN"/>
        </w:rPr>
        <w:t>承诺无条件配合甲方因勤务工作要求而提出的租赁设备的租赁时间、数量和摆放位置的调整。</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u w:val="single"/>
          <w:lang w:val="en-US" w:eastAsia="zh-CN"/>
        </w:rPr>
        <w:t>4.8、</w:t>
      </w:r>
      <w:r>
        <w:rPr>
          <w:rFonts w:hint="eastAsia" w:asciiTheme="minorEastAsia" w:hAnsiTheme="minorEastAsia" w:eastAsiaTheme="minorEastAsia" w:cstheme="minorEastAsia"/>
          <w:bCs/>
          <w:color w:val="auto"/>
          <w:sz w:val="21"/>
          <w:szCs w:val="21"/>
          <w:highlight w:val="none"/>
          <w:u w:val="single"/>
        </w:rPr>
        <w:t>项目安保人员的工资社保待遇不得低于杭州地区目前人均最低工资标准，按国家规定给项目安保人员缴纳法定费用。</w:t>
      </w:r>
    </w:p>
    <w:p>
      <w:pPr>
        <w:spacing w:line="360" w:lineRule="auto"/>
        <w:ind w:firstLine="211" w:firstLineChars="100"/>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五、安检等设备租赁</w:t>
      </w:r>
    </w:p>
    <w:p>
      <w:pPr>
        <w:spacing w:line="360" w:lineRule="auto"/>
        <w:ind w:firstLine="420" w:firstLineChars="200"/>
        <w:jc w:val="both"/>
        <w:rPr>
          <w:rFonts w:hint="eastAsia" w:asciiTheme="minorEastAsia" w:hAnsiTheme="minorEastAsia" w:eastAsiaTheme="minorEastAsia" w:cstheme="minorEastAsia"/>
          <w:bCs/>
          <w:color w:val="auto"/>
          <w:sz w:val="21"/>
          <w:szCs w:val="21"/>
          <w:highlight w:val="none"/>
          <w:u w:val="none"/>
          <w:lang w:val="en-US" w:eastAsia="zh-CN"/>
        </w:rPr>
      </w:pPr>
      <w:r>
        <w:rPr>
          <w:rFonts w:hint="eastAsia" w:asciiTheme="minorEastAsia" w:hAnsiTheme="minorEastAsia" w:eastAsiaTheme="minorEastAsia" w:cstheme="minorEastAsia"/>
          <w:bCs/>
          <w:color w:val="auto"/>
          <w:sz w:val="21"/>
          <w:szCs w:val="21"/>
          <w:highlight w:val="none"/>
          <w:u w:val="none"/>
          <w:lang w:val="en-US" w:eastAsia="zh-CN"/>
        </w:rPr>
        <w:t>5.1</w:t>
      </w:r>
      <w:r>
        <w:rPr>
          <w:rFonts w:hint="eastAsia" w:asciiTheme="minorEastAsia" w:hAnsiTheme="minorEastAsia" w:eastAsiaTheme="minorEastAsia" w:cstheme="minorEastAsia"/>
          <w:bCs/>
          <w:color w:val="auto"/>
          <w:sz w:val="21"/>
          <w:szCs w:val="21"/>
          <w:highlight w:val="none"/>
          <w:u w:val="single"/>
          <w:lang w:val="en-US" w:eastAsia="zh-CN"/>
        </w:rPr>
        <w:t>设备清单及租赁期：</w:t>
      </w:r>
      <w:r>
        <w:rPr>
          <w:rFonts w:hint="eastAsia" w:asciiTheme="minorEastAsia" w:hAnsiTheme="minorEastAsia" w:eastAsiaTheme="minorEastAsia" w:cstheme="minorEastAsia"/>
          <w:bCs/>
          <w:color w:val="auto"/>
          <w:sz w:val="21"/>
          <w:szCs w:val="21"/>
          <w:highlight w:val="none"/>
          <w:u w:val="none"/>
          <w:lang w:val="en-US" w:eastAsia="zh-CN"/>
        </w:rPr>
        <w:t xml:space="preserve"> </w:t>
      </w:r>
    </w:p>
    <w:p>
      <w:pPr>
        <w:spacing w:line="360" w:lineRule="auto"/>
        <w:ind w:firstLine="420" w:firstLineChars="200"/>
        <w:jc w:val="both"/>
        <w:rPr>
          <w:rFonts w:hint="eastAsia" w:asciiTheme="minorEastAsia" w:hAnsiTheme="minorEastAsia" w:eastAsiaTheme="minorEastAsia" w:cstheme="minorEastAsia"/>
          <w:bCs/>
          <w:color w:val="auto"/>
          <w:sz w:val="21"/>
          <w:szCs w:val="21"/>
          <w:highlight w:val="none"/>
          <w:u w:val="single"/>
          <w:lang w:val="en-US" w:eastAsia="zh-CN"/>
        </w:rPr>
      </w:pPr>
      <w:r>
        <w:rPr>
          <w:rFonts w:hint="eastAsia" w:asciiTheme="minorEastAsia" w:hAnsiTheme="minorEastAsia" w:eastAsiaTheme="minorEastAsia" w:cstheme="minorEastAsia"/>
          <w:bCs/>
          <w:color w:val="auto"/>
          <w:sz w:val="21"/>
          <w:szCs w:val="21"/>
          <w:highlight w:val="none"/>
          <w:u w:val="single"/>
          <w:lang w:val="en-US" w:eastAsia="zh-CN"/>
        </w:rPr>
        <w:t>（1）一号门设备清单及租赁期2023年9月24日至2023年10月28日，共35天 。</w:t>
      </w:r>
    </w:p>
    <w:p>
      <w:pPr>
        <w:spacing w:line="360" w:lineRule="auto"/>
        <w:ind w:firstLine="420" w:firstLineChars="200"/>
        <w:jc w:val="both"/>
        <w:rPr>
          <w:rFonts w:hint="eastAsia" w:asciiTheme="minorEastAsia" w:hAnsiTheme="minorEastAsia" w:eastAsiaTheme="minorEastAsia" w:cstheme="minorEastAsia"/>
          <w:bCs/>
          <w:color w:val="auto"/>
          <w:sz w:val="21"/>
          <w:szCs w:val="21"/>
          <w:highlight w:val="none"/>
          <w:u w:val="single"/>
          <w:lang w:val="en-US" w:eastAsia="zh-CN"/>
        </w:rPr>
      </w:pPr>
      <w:r>
        <w:rPr>
          <w:rFonts w:hint="eastAsia" w:asciiTheme="minorEastAsia" w:hAnsiTheme="minorEastAsia" w:eastAsiaTheme="minorEastAsia" w:cstheme="minorEastAsia"/>
          <w:bCs/>
          <w:color w:val="auto"/>
          <w:sz w:val="21"/>
          <w:szCs w:val="21"/>
          <w:highlight w:val="none"/>
          <w:u w:val="single"/>
          <w:lang w:val="en-US" w:eastAsia="zh-CN"/>
        </w:rPr>
        <w:t>（2）二号门设备清单及租赁期2023年9月10日至2023年10月28日，共49天 。</w:t>
      </w:r>
    </w:p>
    <w:p>
      <w:pPr>
        <w:spacing w:line="360" w:lineRule="auto"/>
        <w:ind w:firstLine="420" w:firstLineChars="200"/>
        <w:jc w:val="both"/>
        <w:rPr>
          <w:rFonts w:hint="eastAsia" w:asciiTheme="minorEastAsia" w:hAnsiTheme="minorEastAsia" w:eastAsiaTheme="minorEastAsia" w:cstheme="minorEastAsia"/>
          <w:bCs/>
          <w:color w:val="auto"/>
          <w:sz w:val="21"/>
          <w:szCs w:val="21"/>
          <w:highlight w:val="none"/>
          <w:u w:val="single"/>
          <w:lang w:val="en-US" w:eastAsia="zh-CN"/>
        </w:rPr>
      </w:pPr>
      <w:r>
        <w:rPr>
          <w:rFonts w:hint="eastAsia" w:asciiTheme="minorEastAsia" w:hAnsiTheme="minorEastAsia" w:eastAsiaTheme="minorEastAsia" w:cstheme="minorEastAsia"/>
          <w:bCs/>
          <w:color w:val="auto"/>
          <w:sz w:val="21"/>
          <w:szCs w:val="21"/>
          <w:highlight w:val="none"/>
          <w:u w:val="none"/>
          <w:lang w:val="en-US" w:eastAsia="zh-CN"/>
        </w:rPr>
        <w:t>5.2</w:t>
      </w:r>
      <w:r>
        <w:rPr>
          <w:rFonts w:hint="eastAsia" w:asciiTheme="minorEastAsia" w:hAnsiTheme="minorEastAsia" w:eastAsiaTheme="minorEastAsia" w:cstheme="minorEastAsia"/>
          <w:bCs/>
          <w:color w:val="auto"/>
          <w:sz w:val="21"/>
          <w:szCs w:val="21"/>
          <w:highlight w:val="none"/>
          <w:u w:val="single"/>
          <w:lang w:val="en-US" w:eastAsia="zh-CN"/>
        </w:rPr>
        <w:t>设备要求：所有租赁设备及备品备件满足产品参数要求，保证为九成新以上且经过性能测试合格。所有设备按照甲方要求完成赛事期间场馆区域内运输拆装，不限次数。</w:t>
      </w:r>
    </w:p>
    <w:p>
      <w:pPr>
        <w:spacing w:line="360" w:lineRule="auto"/>
        <w:ind w:firstLine="420" w:firstLineChars="200"/>
        <w:jc w:val="both"/>
        <w:rPr>
          <w:rFonts w:hint="eastAsia" w:asciiTheme="minorEastAsia" w:hAnsiTheme="minorEastAsia" w:eastAsiaTheme="minorEastAsia" w:cstheme="minorEastAsia"/>
          <w:bCs/>
          <w:color w:val="auto"/>
          <w:sz w:val="21"/>
          <w:szCs w:val="21"/>
          <w:highlight w:val="none"/>
          <w:u w:val="none"/>
          <w:lang w:val="en-US" w:eastAsia="zh-CN"/>
        </w:rPr>
      </w:pPr>
      <w:r>
        <w:rPr>
          <w:rFonts w:hint="eastAsia" w:asciiTheme="minorEastAsia" w:hAnsiTheme="minorEastAsia" w:eastAsiaTheme="minorEastAsia" w:cstheme="minorEastAsia"/>
          <w:bCs/>
          <w:color w:val="auto"/>
          <w:sz w:val="21"/>
          <w:szCs w:val="21"/>
          <w:highlight w:val="none"/>
          <w:u w:val="none"/>
          <w:lang w:val="en-US" w:eastAsia="zh-CN"/>
        </w:rPr>
        <w:t>5.3</w:t>
      </w:r>
      <w:r>
        <w:rPr>
          <w:rFonts w:hint="eastAsia" w:asciiTheme="minorEastAsia" w:hAnsiTheme="minorEastAsia" w:eastAsiaTheme="minorEastAsia" w:cstheme="minorEastAsia"/>
          <w:bCs/>
          <w:color w:val="auto"/>
          <w:sz w:val="21"/>
          <w:szCs w:val="21"/>
          <w:highlight w:val="none"/>
          <w:u w:val="single"/>
          <w:lang w:val="en-US" w:eastAsia="zh-CN"/>
        </w:rPr>
        <w:t>维修配件及备品备件：所有租赁设备必须配足量维修零配件，并按照租赁数量提供10%以上备品备件，不足一套（台、个、米、门）的至少提供一套（台、个、米、门），与租赁设备同步运抵安保现场或甲方认可的地点，以便随时取用更换。</w:t>
      </w:r>
    </w:p>
    <w:p>
      <w:pPr>
        <w:spacing w:line="360" w:lineRule="auto"/>
        <w:ind w:firstLine="420" w:firstLineChars="200"/>
        <w:jc w:val="both"/>
        <w:rPr>
          <w:rFonts w:hint="eastAsia" w:asciiTheme="minorEastAsia" w:hAnsiTheme="minorEastAsia" w:eastAsiaTheme="minorEastAsia" w:cstheme="minorEastAsia"/>
          <w:bCs/>
          <w:color w:val="auto"/>
          <w:sz w:val="21"/>
          <w:szCs w:val="21"/>
          <w:highlight w:val="none"/>
          <w:u w:val="single"/>
          <w:lang w:val="en-US" w:eastAsia="zh-CN"/>
        </w:rPr>
      </w:pPr>
      <w:r>
        <w:rPr>
          <w:rFonts w:hint="eastAsia" w:asciiTheme="minorEastAsia" w:hAnsiTheme="minorEastAsia" w:eastAsiaTheme="minorEastAsia" w:cstheme="minorEastAsia"/>
          <w:bCs/>
          <w:color w:val="auto"/>
          <w:sz w:val="21"/>
          <w:szCs w:val="21"/>
          <w:highlight w:val="none"/>
          <w:u w:val="none"/>
          <w:lang w:val="en-US" w:eastAsia="zh-CN"/>
        </w:rPr>
        <w:t>5.4</w:t>
      </w:r>
      <w:r>
        <w:rPr>
          <w:rFonts w:hint="eastAsia" w:asciiTheme="minorEastAsia" w:hAnsiTheme="minorEastAsia" w:eastAsiaTheme="minorEastAsia" w:cstheme="minorEastAsia"/>
          <w:bCs/>
          <w:color w:val="auto"/>
          <w:sz w:val="21"/>
          <w:szCs w:val="21"/>
          <w:highlight w:val="none"/>
          <w:u w:val="single"/>
          <w:lang w:val="en-US" w:eastAsia="zh-CN"/>
        </w:rPr>
        <w:t>响应要求：遇设备故障，应在接到故障报告后1小时内修复，1小时不能修复的，必须启用相应备品备件，因启用备品备件导致有效备品备件数量不足响应要求的，应在24小时内补充完毕。</w:t>
      </w:r>
    </w:p>
    <w:p>
      <w:pPr>
        <w:spacing w:line="360" w:lineRule="auto"/>
        <w:ind w:firstLine="420" w:firstLineChars="200"/>
        <w:jc w:val="both"/>
        <w:rPr>
          <w:rFonts w:hint="eastAsia" w:asciiTheme="minorEastAsia" w:hAnsiTheme="minorEastAsia" w:eastAsiaTheme="minorEastAsia" w:cstheme="minorEastAsia"/>
          <w:bCs/>
          <w:color w:val="auto"/>
          <w:sz w:val="21"/>
          <w:szCs w:val="21"/>
          <w:highlight w:val="none"/>
          <w:u w:val="single"/>
          <w:lang w:val="en-US" w:eastAsia="zh-CN"/>
        </w:rPr>
      </w:pPr>
      <w:r>
        <w:rPr>
          <w:rFonts w:hint="eastAsia" w:asciiTheme="minorEastAsia" w:hAnsiTheme="minorEastAsia" w:eastAsiaTheme="minorEastAsia" w:cstheme="minorEastAsia"/>
          <w:bCs/>
          <w:color w:val="auto"/>
          <w:sz w:val="21"/>
          <w:szCs w:val="21"/>
          <w:highlight w:val="none"/>
          <w:u w:val="none"/>
          <w:lang w:val="en-US" w:eastAsia="zh-CN"/>
        </w:rPr>
        <w:t>5.5</w:t>
      </w:r>
      <w:r>
        <w:rPr>
          <w:rFonts w:hint="eastAsia" w:asciiTheme="minorEastAsia" w:hAnsiTheme="minorEastAsia" w:eastAsiaTheme="minorEastAsia" w:cstheme="minorEastAsia"/>
          <w:bCs/>
          <w:color w:val="auto"/>
          <w:sz w:val="21"/>
          <w:szCs w:val="21"/>
          <w:highlight w:val="none"/>
          <w:u w:val="single"/>
          <w:lang w:val="en-US" w:eastAsia="zh-CN"/>
        </w:rPr>
        <w:t>其他要求：</w:t>
      </w:r>
    </w:p>
    <w:p>
      <w:pPr>
        <w:spacing w:line="360" w:lineRule="auto"/>
        <w:ind w:firstLine="420" w:firstLineChars="200"/>
        <w:jc w:val="both"/>
        <w:rPr>
          <w:rFonts w:hint="eastAsia" w:asciiTheme="minorEastAsia" w:hAnsiTheme="minorEastAsia" w:eastAsiaTheme="minorEastAsia" w:cstheme="minorEastAsia"/>
          <w:bCs/>
          <w:color w:val="auto"/>
          <w:sz w:val="21"/>
          <w:szCs w:val="21"/>
          <w:highlight w:val="none"/>
          <w:u w:val="single"/>
          <w:lang w:val="en-US" w:eastAsia="zh-CN"/>
        </w:rPr>
      </w:pPr>
      <w:r>
        <w:rPr>
          <w:rFonts w:hint="eastAsia" w:asciiTheme="minorEastAsia" w:hAnsiTheme="minorEastAsia" w:eastAsiaTheme="minorEastAsia" w:cstheme="minorEastAsia"/>
          <w:bCs/>
          <w:color w:val="auto"/>
          <w:sz w:val="21"/>
          <w:szCs w:val="21"/>
          <w:highlight w:val="none"/>
          <w:u w:val="single"/>
          <w:lang w:val="en-US" w:eastAsia="zh-CN"/>
        </w:rPr>
        <w:t>X光机和安检门必须配备相应适配的交换机和硬盘。</w:t>
      </w:r>
    </w:p>
    <w:p>
      <w:pPr>
        <w:spacing w:line="360" w:lineRule="auto"/>
        <w:ind w:firstLine="420" w:firstLineChars="200"/>
        <w:jc w:val="both"/>
        <w:rPr>
          <w:rFonts w:hint="eastAsia" w:asciiTheme="minorEastAsia" w:hAnsiTheme="minorEastAsia" w:eastAsiaTheme="minorEastAsia" w:cstheme="minorEastAsia"/>
          <w:bCs/>
          <w:color w:val="auto"/>
          <w:sz w:val="21"/>
          <w:szCs w:val="21"/>
          <w:highlight w:val="none"/>
          <w:u w:val="single"/>
          <w:lang w:val="en-US" w:eastAsia="zh-CN"/>
        </w:rPr>
      </w:pPr>
      <w:r>
        <w:rPr>
          <w:rFonts w:hint="eastAsia" w:asciiTheme="minorEastAsia" w:hAnsiTheme="minorEastAsia" w:eastAsiaTheme="minorEastAsia" w:cstheme="minorEastAsia"/>
          <w:bCs/>
          <w:color w:val="auto"/>
          <w:sz w:val="21"/>
          <w:szCs w:val="21"/>
          <w:highlight w:val="none"/>
          <w:u w:val="single"/>
          <w:lang w:val="en-US" w:eastAsia="zh-CN"/>
        </w:rPr>
        <w:t>为确保租赁期租赁设备的正常使用，乙方提供至少2名技术服务人员全程现场服务。</w:t>
      </w:r>
    </w:p>
    <w:p>
      <w:pPr>
        <w:spacing w:line="360" w:lineRule="auto"/>
        <w:ind w:firstLine="211" w:firstLineChars="10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六</w:t>
      </w:r>
      <w:r>
        <w:rPr>
          <w:rFonts w:hint="eastAsia" w:asciiTheme="minorEastAsia" w:hAnsiTheme="minorEastAsia" w:eastAsiaTheme="minorEastAsia" w:cstheme="minorEastAsia"/>
          <w:b/>
          <w:color w:val="auto"/>
          <w:sz w:val="21"/>
          <w:szCs w:val="21"/>
          <w:highlight w:val="none"/>
          <w:lang w:val="zh-TW" w:eastAsia="zh-TW"/>
        </w:rPr>
        <w:t>、</w:t>
      </w:r>
      <w:r>
        <w:rPr>
          <w:rFonts w:hint="eastAsia" w:asciiTheme="minorEastAsia" w:hAnsiTheme="minorEastAsia" w:eastAsiaTheme="minorEastAsia" w:cstheme="minorEastAsia"/>
          <w:b/>
          <w:bCs/>
          <w:color w:val="auto"/>
          <w:kern w:val="0"/>
          <w:sz w:val="21"/>
          <w:szCs w:val="21"/>
          <w:highlight w:val="none"/>
        </w:rPr>
        <w:t>安检、保安主要职责</w:t>
      </w:r>
    </w:p>
    <w:p>
      <w:pPr>
        <w:spacing w:line="360" w:lineRule="auto"/>
        <w:ind w:firstLine="420" w:firstLineChars="200"/>
        <w:rPr>
          <w:rFonts w:hint="eastAsia" w:asciiTheme="minorEastAsia" w:hAnsiTheme="minorEastAsia" w:eastAsiaTheme="minorEastAsia" w:cstheme="minorEastAsia"/>
          <w:color w:val="auto"/>
          <w:kern w:val="0"/>
          <w:sz w:val="21"/>
          <w:szCs w:val="21"/>
          <w:highlight w:val="none"/>
          <w:u w:val="single"/>
          <w:lang w:val="en-US" w:eastAsia="zh-CN"/>
        </w:rPr>
      </w:pPr>
      <w:r>
        <w:rPr>
          <w:rFonts w:hint="eastAsia" w:asciiTheme="minorEastAsia" w:hAnsiTheme="minorEastAsia" w:eastAsiaTheme="minorEastAsia" w:cstheme="minorEastAsia"/>
          <w:color w:val="auto"/>
          <w:kern w:val="0"/>
          <w:sz w:val="21"/>
          <w:szCs w:val="21"/>
          <w:highlight w:val="none"/>
          <w:u w:val="none"/>
          <w:lang w:eastAsia="zh-CN"/>
        </w:rPr>
        <w:t>6</w:t>
      </w:r>
      <w:r>
        <w:rPr>
          <w:rFonts w:hint="eastAsia" w:asciiTheme="minorEastAsia" w:hAnsiTheme="minorEastAsia" w:eastAsiaTheme="minorEastAsia" w:cstheme="minorEastAsia"/>
          <w:color w:val="auto"/>
          <w:kern w:val="0"/>
          <w:sz w:val="21"/>
          <w:szCs w:val="21"/>
          <w:highlight w:val="none"/>
          <w:u w:val="none"/>
          <w:lang w:val="en-US" w:eastAsia="zh-CN"/>
        </w:rPr>
        <w:t>.1</w:t>
      </w:r>
      <w:r>
        <w:rPr>
          <w:rFonts w:hint="eastAsia" w:asciiTheme="minorEastAsia" w:hAnsiTheme="minorEastAsia" w:eastAsiaTheme="minorEastAsia" w:cstheme="minorEastAsia"/>
          <w:color w:val="auto"/>
          <w:kern w:val="0"/>
          <w:sz w:val="21"/>
          <w:szCs w:val="21"/>
          <w:highlight w:val="none"/>
          <w:u w:val="single"/>
          <w:lang w:val="en-US" w:eastAsia="zh-CN"/>
        </w:rPr>
        <w:t>保安服务的主要职责</w:t>
      </w:r>
    </w:p>
    <w:p>
      <w:pPr>
        <w:spacing w:line="360" w:lineRule="auto"/>
        <w:ind w:firstLine="630" w:firstLineChars="300"/>
        <w:rPr>
          <w:rFonts w:hint="eastAsia" w:asciiTheme="minorEastAsia" w:hAnsiTheme="minorEastAsia" w:eastAsiaTheme="minorEastAsia" w:cstheme="minorEastAsia"/>
          <w:color w:val="auto"/>
          <w:kern w:val="0"/>
          <w:sz w:val="21"/>
          <w:szCs w:val="21"/>
          <w:highlight w:val="none"/>
          <w:u w:val="single"/>
          <w:lang w:val="en-US" w:eastAsia="zh-CN"/>
        </w:rPr>
      </w:pPr>
      <w:r>
        <w:rPr>
          <w:rFonts w:hint="eastAsia" w:asciiTheme="minorEastAsia" w:hAnsiTheme="minorEastAsia" w:eastAsiaTheme="minorEastAsia" w:cstheme="minorEastAsia"/>
          <w:color w:val="auto"/>
          <w:kern w:val="0"/>
          <w:sz w:val="21"/>
          <w:szCs w:val="21"/>
          <w:highlight w:val="none"/>
          <w:u w:val="none"/>
          <w:lang w:val="en-US" w:eastAsia="zh-CN"/>
        </w:rPr>
        <w:t>6.1.1</w:t>
      </w:r>
      <w:r>
        <w:rPr>
          <w:rFonts w:hint="eastAsia" w:asciiTheme="minorEastAsia" w:hAnsiTheme="minorEastAsia" w:eastAsiaTheme="minorEastAsia" w:cstheme="minorEastAsia"/>
          <w:color w:val="auto"/>
          <w:kern w:val="0"/>
          <w:sz w:val="21"/>
          <w:szCs w:val="21"/>
          <w:highlight w:val="none"/>
          <w:u w:val="single"/>
          <w:lang w:val="en-US" w:eastAsia="zh-CN"/>
        </w:rPr>
        <w:t>负责项目各阶段安检口的秩序维护，</w:t>
      </w:r>
    </w:p>
    <w:p>
      <w:pPr>
        <w:spacing w:line="360" w:lineRule="auto"/>
        <w:ind w:firstLine="630" w:firstLineChars="300"/>
        <w:rPr>
          <w:rFonts w:hint="eastAsia" w:asciiTheme="minorEastAsia" w:hAnsiTheme="minorEastAsia" w:eastAsiaTheme="minorEastAsia" w:cstheme="minorEastAsia"/>
          <w:color w:val="auto"/>
          <w:kern w:val="0"/>
          <w:sz w:val="21"/>
          <w:szCs w:val="21"/>
          <w:highlight w:val="none"/>
          <w:u w:val="single"/>
          <w:lang w:val="en-US" w:eastAsia="zh-CN"/>
        </w:rPr>
      </w:pPr>
      <w:r>
        <w:rPr>
          <w:rFonts w:hint="eastAsia" w:asciiTheme="minorEastAsia" w:hAnsiTheme="minorEastAsia" w:eastAsiaTheme="minorEastAsia" w:cstheme="minorEastAsia"/>
          <w:color w:val="auto"/>
          <w:kern w:val="0"/>
          <w:sz w:val="21"/>
          <w:szCs w:val="21"/>
          <w:highlight w:val="none"/>
          <w:u w:val="none"/>
          <w:lang w:val="en-US" w:eastAsia="zh-CN"/>
        </w:rPr>
        <w:t>6.1.2</w:t>
      </w:r>
      <w:r>
        <w:rPr>
          <w:rFonts w:hint="eastAsia" w:asciiTheme="minorEastAsia" w:hAnsiTheme="minorEastAsia" w:eastAsiaTheme="minorEastAsia" w:cstheme="minorEastAsia"/>
          <w:color w:val="auto"/>
          <w:kern w:val="0"/>
          <w:sz w:val="21"/>
          <w:szCs w:val="21"/>
          <w:highlight w:val="none"/>
          <w:u w:val="single"/>
          <w:lang w:val="en-US" w:eastAsia="zh-CN"/>
        </w:rPr>
        <w:t>负责项目各阶段夜间场馆内设施设备及场馆的安全维护，</w:t>
      </w:r>
    </w:p>
    <w:p>
      <w:pPr>
        <w:spacing w:line="360" w:lineRule="auto"/>
        <w:ind w:firstLine="630" w:firstLineChars="300"/>
        <w:rPr>
          <w:rFonts w:hint="eastAsia" w:asciiTheme="minorEastAsia" w:hAnsiTheme="minorEastAsia" w:eastAsiaTheme="minorEastAsia" w:cstheme="minorEastAsia"/>
          <w:color w:val="auto"/>
          <w:kern w:val="0"/>
          <w:sz w:val="21"/>
          <w:szCs w:val="21"/>
          <w:highlight w:val="none"/>
          <w:u w:val="single"/>
          <w:lang w:val="en-US" w:eastAsia="zh-CN"/>
        </w:rPr>
      </w:pPr>
      <w:r>
        <w:rPr>
          <w:rFonts w:hint="eastAsia" w:asciiTheme="minorEastAsia" w:hAnsiTheme="minorEastAsia" w:eastAsiaTheme="minorEastAsia" w:cstheme="minorEastAsia"/>
          <w:color w:val="auto"/>
          <w:kern w:val="0"/>
          <w:sz w:val="21"/>
          <w:szCs w:val="21"/>
          <w:highlight w:val="none"/>
          <w:u w:val="none"/>
          <w:lang w:val="en-US" w:eastAsia="zh-CN"/>
        </w:rPr>
        <w:t>6.1.3</w:t>
      </w:r>
      <w:r>
        <w:rPr>
          <w:rFonts w:hint="eastAsia" w:asciiTheme="minorEastAsia" w:hAnsiTheme="minorEastAsia" w:eastAsiaTheme="minorEastAsia" w:cstheme="minorEastAsia"/>
          <w:color w:val="auto"/>
          <w:kern w:val="0"/>
          <w:sz w:val="21"/>
          <w:szCs w:val="21"/>
          <w:highlight w:val="none"/>
          <w:u w:val="single"/>
          <w:lang w:val="en-US" w:eastAsia="zh-CN"/>
        </w:rPr>
        <w:t>负责各阶段出入口的突发事件处置，</w:t>
      </w:r>
    </w:p>
    <w:p>
      <w:pPr>
        <w:spacing w:line="360" w:lineRule="auto"/>
        <w:ind w:firstLine="630" w:firstLineChars="300"/>
        <w:rPr>
          <w:rFonts w:hint="eastAsia" w:asciiTheme="minorEastAsia" w:hAnsiTheme="minorEastAsia" w:eastAsiaTheme="minorEastAsia" w:cstheme="minorEastAsia"/>
          <w:color w:val="auto"/>
          <w:kern w:val="0"/>
          <w:sz w:val="21"/>
          <w:szCs w:val="21"/>
          <w:highlight w:val="none"/>
          <w:u w:val="single"/>
          <w:lang w:val="en-US" w:eastAsia="zh-CN"/>
        </w:rPr>
      </w:pPr>
      <w:r>
        <w:rPr>
          <w:rFonts w:hint="eastAsia" w:asciiTheme="minorEastAsia" w:hAnsiTheme="minorEastAsia" w:eastAsiaTheme="minorEastAsia" w:cstheme="minorEastAsia"/>
          <w:color w:val="auto"/>
          <w:kern w:val="0"/>
          <w:sz w:val="21"/>
          <w:szCs w:val="21"/>
          <w:highlight w:val="none"/>
          <w:u w:val="none"/>
          <w:lang w:val="en-US" w:eastAsia="zh-CN"/>
        </w:rPr>
        <w:t>6.1.4</w:t>
      </w:r>
      <w:r>
        <w:rPr>
          <w:rFonts w:hint="eastAsia" w:asciiTheme="minorEastAsia" w:hAnsiTheme="minorEastAsia" w:eastAsiaTheme="minorEastAsia" w:cstheme="minorEastAsia"/>
          <w:color w:val="auto"/>
          <w:kern w:val="0"/>
          <w:sz w:val="21"/>
          <w:szCs w:val="21"/>
          <w:highlight w:val="none"/>
          <w:u w:val="single"/>
          <w:lang w:val="en-US" w:eastAsia="zh-CN"/>
        </w:rPr>
        <w:t>甲方的要求的本项目范围内其他安全保卫工作。</w:t>
      </w:r>
    </w:p>
    <w:p>
      <w:pPr>
        <w:spacing w:line="360" w:lineRule="auto"/>
        <w:ind w:firstLine="420" w:firstLineChars="200"/>
        <w:rPr>
          <w:rFonts w:hint="eastAsia" w:asciiTheme="minorEastAsia" w:hAnsiTheme="minorEastAsia" w:eastAsiaTheme="minorEastAsia" w:cstheme="minorEastAsia"/>
          <w:color w:val="auto"/>
          <w:kern w:val="0"/>
          <w:sz w:val="21"/>
          <w:szCs w:val="21"/>
          <w:highlight w:val="none"/>
          <w:u w:val="single"/>
          <w:lang w:val="en-US" w:eastAsia="zh-CN"/>
        </w:rPr>
      </w:pPr>
      <w:r>
        <w:rPr>
          <w:rFonts w:hint="eastAsia" w:asciiTheme="minorEastAsia" w:hAnsiTheme="minorEastAsia" w:eastAsiaTheme="minorEastAsia" w:cstheme="minorEastAsia"/>
          <w:color w:val="auto"/>
          <w:kern w:val="0"/>
          <w:sz w:val="21"/>
          <w:szCs w:val="21"/>
          <w:highlight w:val="none"/>
          <w:u w:val="none"/>
          <w:lang w:eastAsia="zh-CN"/>
        </w:rPr>
        <w:t>6</w:t>
      </w:r>
      <w:r>
        <w:rPr>
          <w:rFonts w:hint="eastAsia" w:asciiTheme="minorEastAsia" w:hAnsiTheme="minorEastAsia" w:eastAsiaTheme="minorEastAsia" w:cstheme="minorEastAsia"/>
          <w:color w:val="auto"/>
          <w:kern w:val="0"/>
          <w:sz w:val="21"/>
          <w:szCs w:val="21"/>
          <w:highlight w:val="none"/>
          <w:u w:val="none"/>
          <w:lang w:val="en-US" w:eastAsia="zh-CN"/>
        </w:rPr>
        <w:t>.2</w:t>
      </w:r>
      <w:r>
        <w:rPr>
          <w:rFonts w:hint="eastAsia" w:asciiTheme="minorEastAsia" w:hAnsiTheme="minorEastAsia" w:eastAsiaTheme="minorEastAsia" w:cstheme="minorEastAsia"/>
          <w:color w:val="auto"/>
          <w:kern w:val="0"/>
          <w:sz w:val="21"/>
          <w:szCs w:val="21"/>
          <w:highlight w:val="none"/>
          <w:u w:val="single"/>
          <w:lang w:val="en-US" w:eastAsia="zh-CN"/>
        </w:rPr>
        <w:t>安检员的主要职责</w:t>
      </w:r>
    </w:p>
    <w:p>
      <w:pPr>
        <w:spacing w:line="360" w:lineRule="auto"/>
        <w:ind w:firstLine="630" w:firstLineChars="300"/>
        <w:rPr>
          <w:rFonts w:hint="eastAsia" w:asciiTheme="minorEastAsia" w:hAnsiTheme="minorEastAsia" w:eastAsiaTheme="minorEastAsia" w:cstheme="minorEastAsia"/>
          <w:color w:val="auto"/>
          <w:kern w:val="0"/>
          <w:sz w:val="21"/>
          <w:szCs w:val="21"/>
          <w:highlight w:val="none"/>
          <w:u w:val="single"/>
          <w:lang w:val="en-US" w:eastAsia="zh-CN"/>
        </w:rPr>
      </w:pPr>
      <w:r>
        <w:rPr>
          <w:rFonts w:hint="eastAsia" w:asciiTheme="minorEastAsia" w:hAnsiTheme="minorEastAsia" w:eastAsiaTheme="minorEastAsia" w:cstheme="minorEastAsia"/>
          <w:color w:val="auto"/>
          <w:kern w:val="0"/>
          <w:sz w:val="21"/>
          <w:szCs w:val="21"/>
          <w:highlight w:val="none"/>
          <w:u w:val="none"/>
          <w:lang w:eastAsia="zh-CN"/>
        </w:rPr>
        <w:t>6</w:t>
      </w:r>
      <w:r>
        <w:rPr>
          <w:rFonts w:hint="eastAsia" w:asciiTheme="minorEastAsia" w:hAnsiTheme="minorEastAsia" w:eastAsiaTheme="minorEastAsia" w:cstheme="minorEastAsia"/>
          <w:color w:val="auto"/>
          <w:kern w:val="0"/>
          <w:sz w:val="21"/>
          <w:szCs w:val="21"/>
          <w:highlight w:val="none"/>
          <w:u w:val="none"/>
          <w:lang w:val="en-US" w:eastAsia="zh-CN"/>
        </w:rPr>
        <w:t>.2.1</w:t>
      </w:r>
      <w:r>
        <w:rPr>
          <w:rFonts w:hint="eastAsia" w:asciiTheme="minorEastAsia" w:hAnsiTheme="minorEastAsia" w:eastAsiaTheme="minorEastAsia" w:cstheme="minorEastAsia"/>
          <w:color w:val="auto"/>
          <w:kern w:val="0"/>
          <w:sz w:val="21"/>
          <w:szCs w:val="21"/>
          <w:highlight w:val="none"/>
          <w:u w:val="single"/>
          <w:lang w:val="en-US" w:eastAsia="zh-CN"/>
        </w:rPr>
        <w:t>对易燃、易爆和其他禁止携带的危险物品，应予以熟记。</w:t>
      </w:r>
    </w:p>
    <w:p>
      <w:pPr>
        <w:spacing w:line="360" w:lineRule="auto"/>
        <w:ind w:firstLine="630" w:firstLineChars="300"/>
        <w:rPr>
          <w:rFonts w:hint="eastAsia" w:asciiTheme="minorEastAsia" w:hAnsiTheme="minorEastAsia" w:eastAsiaTheme="minorEastAsia" w:cstheme="minorEastAsia"/>
          <w:color w:val="auto"/>
          <w:kern w:val="0"/>
          <w:sz w:val="21"/>
          <w:szCs w:val="21"/>
          <w:highlight w:val="none"/>
          <w:u w:val="single"/>
          <w:lang w:val="en-US" w:eastAsia="zh-CN"/>
        </w:rPr>
      </w:pPr>
      <w:r>
        <w:rPr>
          <w:rFonts w:hint="eastAsia" w:asciiTheme="minorEastAsia" w:hAnsiTheme="minorEastAsia" w:eastAsiaTheme="minorEastAsia" w:cstheme="minorEastAsia"/>
          <w:color w:val="auto"/>
          <w:kern w:val="0"/>
          <w:sz w:val="21"/>
          <w:szCs w:val="21"/>
          <w:highlight w:val="none"/>
          <w:u w:val="none"/>
          <w:lang w:eastAsia="zh-CN"/>
        </w:rPr>
        <w:t>6</w:t>
      </w:r>
      <w:r>
        <w:rPr>
          <w:rFonts w:hint="eastAsia" w:asciiTheme="minorEastAsia" w:hAnsiTheme="minorEastAsia" w:eastAsiaTheme="minorEastAsia" w:cstheme="minorEastAsia"/>
          <w:color w:val="auto"/>
          <w:kern w:val="0"/>
          <w:sz w:val="21"/>
          <w:szCs w:val="21"/>
          <w:highlight w:val="none"/>
          <w:u w:val="none"/>
          <w:lang w:val="en-US" w:eastAsia="zh-CN"/>
        </w:rPr>
        <w:t>.2.2</w:t>
      </w:r>
      <w:r>
        <w:rPr>
          <w:rFonts w:hint="eastAsia" w:asciiTheme="minorEastAsia" w:hAnsiTheme="minorEastAsia" w:eastAsiaTheme="minorEastAsia" w:cstheme="minorEastAsia"/>
          <w:color w:val="auto"/>
          <w:kern w:val="0"/>
          <w:sz w:val="21"/>
          <w:szCs w:val="21"/>
          <w:highlight w:val="none"/>
          <w:u w:val="single"/>
          <w:lang w:val="en-US" w:eastAsia="zh-CN"/>
        </w:rPr>
        <w:t>受检者携带的超长、超高、超大物品(体积大于X射线安检机检测通道)；易碎品(如：玻璃器皿、工艺品等)；易损物品(食品、药品等)；不适合使用X射线安检机检查的金属工具等物品进行手检。</w:t>
      </w:r>
    </w:p>
    <w:p>
      <w:pPr>
        <w:spacing w:line="360" w:lineRule="auto"/>
        <w:ind w:firstLine="420" w:firstLineChars="200"/>
        <w:rPr>
          <w:rFonts w:hint="eastAsia" w:asciiTheme="minorEastAsia" w:hAnsiTheme="minorEastAsia" w:eastAsiaTheme="minorEastAsia" w:cstheme="minorEastAsia"/>
          <w:color w:val="auto"/>
          <w:kern w:val="0"/>
          <w:sz w:val="21"/>
          <w:szCs w:val="21"/>
          <w:highlight w:val="none"/>
          <w:u w:val="single"/>
          <w:lang w:val="en-US" w:eastAsia="zh-CN"/>
        </w:rPr>
      </w:pPr>
      <w:r>
        <w:rPr>
          <w:rFonts w:hint="eastAsia" w:asciiTheme="minorEastAsia" w:hAnsiTheme="minorEastAsia" w:eastAsiaTheme="minorEastAsia" w:cstheme="minorEastAsia"/>
          <w:color w:val="auto"/>
          <w:kern w:val="0"/>
          <w:sz w:val="21"/>
          <w:szCs w:val="21"/>
          <w:highlight w:val="none"/>
          <w:u w:val="none"/>
          <w:lang w:eastAsia="zh-CN"/>
        </w:rPr>
        <w:t>6</w:t>
      </w:r>
      <w:r>
        <w:rPr>
          <w:rFonts w:hint="eastAsia" w:asciiTheme="minorEastAsia" w:hAnsiTheme="minorEastAsia" w:eastAsiaTheme="minorEastAsia" w:cstheme="minorEastAsia"/>
          <w:color w:val="auto"/>
          <w:kern w:val="0"/>
          <w:sz w:val="21"/>
          <w:szCs w:val="21"/>
          <w:highlight w:val="none"/>
          <w:u w:val="none"/>
          <w:lang w:val="en-US" w:eastAsia="zh-CN"/>
        </w:rPr>
        <w:t>.3</w:t>
      </w:r>
      <w:r>
        <w:rPr>
          <w:rFonts w:hint="eastAsia" w:asciiTheme="minorEastAsia" w:hAnsiTheme="minorEastAsia" w:eastAsiaTheme="minorEastAsia" w:cstheme="minorEastAsia"/>
          <w:color w:val="auto"/>
          <w:kern w:val="0"/>
          <w:sz w:val="21"/>
          <w:szCs w:val="21"/>
          <w:highlight w:val="none"/>
          <w:u w:val="single"/>
          <w:lang w:val="en-US" w:eastAsia="zh-CN"/>
        </w:rPr>
        <w:t>仔细检查可疑箱包。</w:t>
      </w:r>
    </w:p>
    <w:p>
      <w:pPr>
        <w:spacing w:line="360" w:lineRule="auto"/>
        <w:ind w:firstLine="630" w:firstLineChars="300"/>
        <w:rPr>
          <w:rFonts w:hint="eastAsia" w:asciiTheme="minorEastAsia" w:hAnsiTheme="minorEastAsia" w:eastAsiaTheme="minorEastAsia" w:cstheme="minorEastAsia"/>
          <w:color w:val="auto"/>
          <w:kern w:val="0"/>
          <w:sz w:val="21"/>
          <w:szCs w:val="21"/>
          <w:highlight w:val="none"/>
          <w:u w:val="single"/>
          <w:lang w:val="en-US" w:eastAsia="zh-CN"/>
        </w:rPr>
      </w:pPr>
      <w:r>
        <w:rPr>
          <w:rFonts w:hint="eastAsia" w:asciiTheme="minorEastAsia" w:hAnsiTheme="minorEastAsia" w:eastAsiaTheme="minorEastAsia" w:cstheme="minorEastAsia"/>
          <w:color w:val="auto"/>
          <w:kern w:val="0"/>
          <w:sz w:val="21"/>
          <w:szCs w:val="21"/>
          <w:highlight w:val="none"/>
          <w:u w:val="none"/>
          <w:lang w:eastAsia="zh-CN"/>
        </w:rPr>
        <w:t>6</w:t>
      </w:r>
      <w:r>
        <w:rPr>
          <w:rFonts w:hint="eastAsia" w:asciiTheme="minorEastAsia" w:hAnsiTheme="minorEastAsia" w:eastAsiaTheme="minorEastAsia" w:cstheme="minorEastAsia"/>
          <w:color w:val="auto"/>
          <w:kern w:val="0"/>
          <w:sz w:val="21"/>
          <w:szCs w:val="21"/>
          <w:highlight w:val="none"/>
          <w:u w:val="none"/>
          <w:lang w:val="en-US" w:eastAsia="zh-CN"/>
        </w:rPr>
        <w:t>.3.1</w:t>
      </w:r>
      <w:r>
        <w:rPr>
          <w:rFonts w:hint="eastAsia" w:asciiTheme="minorEastAsia" w:hAnsiTheme="minorEastAsia" w:eastAsiaTheme="minorEastAsia" w:cstheme="minorEastAsia"/>
          <w:color w:val="auto"/>
          <w:kern w:val="0"/>
          <w:sz w:val="21"/>
          <w:szCs w:val="21"/>
          <w:highlight w:val="none"/>
          <w:u w:val="single"/>
          <w:lang w:val="en-US" w:eastAsia="zh-CN"/>
        </w:rPr>
        <w:t>打开包装前应有公安人员在场。通知被检查人员不得携带易燃易爆危险品。</w:t>
      </w:r>
    </w:p>
    <w:p>
      <w:pPr>
        <w:spacing w:line="360" w:lineRule="auto"/>
        <w:ind w:firstLine="630" w:firstLineChars="300"/>
        <w:rPr>
          <w:rFonts w:hint="eastAsia" w:asciiTheme="minorEastAsia" w:hAnsiTheme="minorEastAsia" w:eastAsiaTheme="minorEastAsia" w:cstheme="minorEastAsia"/>
          <w:color w:val="auto"/>
          <w:kern w:val="0"/>
          <w:sz w:val="21"/>
          <w:szCs w:val="21"/>
          <w:highlight w:val="none"/>
          <w:u w:val="single"/>
          <w:lang w:val="en-US" w:eastAsia="zh-CN"/>
        </w:rPr>
      </w:pPr>
      <w:r>
        <w:rPr>
          <w:rFonts w:hint="eastAsia" w:asciiTheme="minorEastAsia" w:hAnsiTheme="minorEastAsia" w:eastAsiaTheme="minorEastAsia" w:cstheme="minorEastAsia"/>
          <w:color w:val="auto"/>
          <w:kern w:val="0"/>
          <w:sz w:val="21"/>
          <w:szCs w:val="21"/>
          <w:highlight w:val="none"/>
          <w:u w:val="none"/>
          <w:lang w:eastAsia="zh-CN"/>
        </w:rPr>
        <w:t>6</w:t>
      </w:r>
      <w:r>
        <w:rPr>
          <w:rFonts w:hint="eastAsia" w:asciiTheme="minorEastAsia" w:hAnsiTheme="minorEastAsia" w:eastAsiaTheme="minorEastAsia" w:cstheme="minorEastAsia"/>
          <w:color w:val="auto"/>
          <w:kern w:val="0"/>
          <w:sz w:val="21"/>
          <w:szCs w:val="21"/>
          <w:highlight w:val="none"/>
          <w:u w:val="none"/>
          <w:lang w:val="en-US" w:eastAsia="zh-CN"/>
        </w:rPr>
        <w:t>.3.2</w:t>
      </w:r>
      <w:r>
        <w:rPr>
          <w:rFonts w:hint="eastAsia" w:asciiTheme="minorEastAsia" w:hAnsiTheme="minorEastAsia" w:eastAsiaTheme="minorEastAsia" w:cstheme="minorEastAsia"/>
          <w:color w:val="auto"/>
          <w:kern w:val="0"/>
          <w:sz w:val="21"/>
          <w:szCs w:val="21"/>
          <w:highlight w:val="none"/>
          <w:u w:val="single"/>
          <w:lang w:val="en-US" w:eastAsia="zh-CN"/>
        </w:rPr>
        <w:t>查包时态度和蔼，使用文明用语。</w:t>
      </w:r>
    </w:p>
    <w:p>
      <w:pPr>
        <w:spacing w:line="360" w:lineRule="auto"/>
        <w:ind w:firstLine="630" w:firstLineChars="300"/>
        <w:rPr>
          <w:rFonts w:hint="eastAsia" w:asciiTheme="minorEastAsia" w:hAnsiTheme="minorEastAsia" w:eastAsiaTheme="minorEastAsia" w:cstheme="minorEastAsia"/>
          <w:color w:val="auto"/>
          <w:kern w:val="0"/>
          <w:sz w:val="21"/>
          <w:szCs w:val="21"/>
          <w:highlight w:val="none"/>
          <w:u w:val="single"/>
          <w:lang w:val="en-US" w:eastAsia="zh-CN"/>
        </w:rPr>
      </w:pPr>
      <w:r>
        <w:rPr>
          <w:rFonts w:hint="eastAsia" w:asciiTheme="minorEastAsia" w:hAnsiTheme="minorEastAsia" w:eastAsiaTheme="minorEastAsia" w:cstheme="minorEastAsia"/>
          <w:color w:val="auto"/>
          <w:kern w:val="0"/>
          <w:sz w:val="21"/>
          <w:szCs w:val="21"/>
          <w:highlight w:val="none"/>
          <w:u w:val="none"/>
          <w:lang w:eastAsia="zh-CN"/>
        </w:rPr>
        <w:t>6</w:t>
      </w:r>
      <w:r>
        <w:rPr>
          <w:rFonts w:hint="eastAsia" w:asciiTheme="minorEastAsia" w:hAnsiTheme="minorEastAsia" w:eastAsiaTheme="minorEastAsia" w:cstheme="minorEastAsia"/>
          <w:color w:val="auto"/>
          <w:kern w:val="0"/>
          <w:sz w:val="21"/>
          <w:szCs w:val="21"/>
          <w:highlight w:val="none"/>
          <w:u w:val="none"/>
          <w:lang w:val="en-US" w:eastAsia="zh-CN"/>
        </w:rPr>
        <w:t>.3.3</w:t>
      </w:r>
      <w:r>
        <w:rPr>
          <w:rFonts w:hint="eastAsia" w:asciiTheme="minorEastAsia" w:hAnsiTheme="minorEastAsia" w:eastAsiaTheme="minorEastAsia" w:cstheme="minorEastAsia"/>
          <w:color w:val="auto"/>
          <w:kern w:val="0"/>
          <w:sz w:val="21"/>
          <w:szCs w:val="21"/>
          <w:highlight w:val="none"/>
          <w:u w:val="single"/>
          <w:lang w:val="en-US" w:eastAsia="zh-CN"/>
        </w:rPr>
        <w:t>接受检验的箱包应轻拿轻放。</w:t>
      </w:r>
    </w:p>
    <w:p>
      <w:pPr>
        <w:spacing w:line="360" w:lineRule="auto"/>
        <w:ind w:firstLine="630" w:firstLineChars="300"/>
        <w:rPr>
          <w:rFonts w:hint="eastAsia" w:asciiTheme="minorEastAsia" w:hAnsiTheme="minorEastAsia" w:eastAsiaTheme="minorEastAsia" w:cstheme="minorEastAsia"/>
          <w:color w:val="auto"/>
          <w:kern w:val="0"/>
          <w:sz w:val="21"/>
          <w:szCs w:val="21"/>
          <w:highlight w:val="none"/>
          <w:u w:val="single"/>
          <w:lang w:val="en-US" w:eastAsia="zh-CN"/>
        </w:rPr>
      </w:pPr>
      <w:r>
        <w:rPr>
          <w:rFonts w:hint="eastAsia" w:asciiTheme="minorEastAsia" w:hAnsiTheme="minorEastAsia" w:eastAsiaTheme="minorEastAsia" w:cstheme="minorEastAsia"/>
          <w:color w:val="auto"/>
          <w:kern w:val="0"/>
          <w:sz w:val="21"/>
          <w:szCs w:val="21"/>
          <w:highlight w:val="none"/>
          <w:u w:val="none"/>
          <w:lang w:eastAsia="zh-CN"/>
        </w:rPr>
        <w:t>6</w:t>
      </w:r>
      <w:r>
        <w:rPr>
          <w:rFonts w:hint="eastAsia" w:asciiTheme="minorEastAsia" w:hAnsiTheme="minorEastAsia" w:eastAsiaTheme="minorEastAsia" w:cstheme="minorEastAsia"/>
          <w:color w:val="auto"/>
          <w:kern w:val="0"/>
          <w:sz w:val="21"/>
          <w:szCs w:val="21"/>
          <w:highlight w:val="none"/>
          <w:u w:val="none"/>
          <w:lang w:val="en-US" w:eastAsia="zh-CN"/>
        </w:rPr>
        <w:t>.3.4</w:t>
      </w:r>
      <w:r>
        <w:rPr>
          <w:rFonts w:hint="eastAsia" w:asciiTheme="minorEastAsia" w:hAnsiTheme="minorEastAsia" w:eastAsiaTheme="minorEastAsia" w:cstheme="minorEastAsia"/>
          <w:color w:val="auto"/>
          <w:kern w:val="0"/>
          <w:sz w:val="21"/>
          <w:szCs w:val="21"/>
          <w:highlight w:val="none"/>
          <w:u w:val="single"/>
          <w:lang w:val="en-US" w:eastAsia="zh-CN"/>
        </w:rPr>
        <w:t>开箱检查时，尽量让受检者自己打开箱子。</w:t>
      </w:r>
    </w:p>
    <w:p>
      <w:pPr>
        <w:spacing w:line="360" w:lineRule="auto"/>
        <w:ind w:firstLine="630" w:firstLineChars="300"/>
        <w:rPr>
          <w:rFonts w:hint="eastAsia" w:asciiTheme="minorEastAsia" w:hAnsiTheme="minorEastAsia" w:eastAsiaTheme="minorEastAsia" w:cstheme="minorEastAsia"/>
          <w:color w:val="auto"/>
          <w:kern w:val="0"/>
          <w:sz w:val="21"/>
          <w:szCs w:val="21"/>
          <w:highlight w:val="none"/>
          <w:u w:val="single"/>
          <w:lang w:val="en-US" w:eastAsia="zh-CN"/>
        </w:rPr>
      </w:pPr>
      <w:r>
        <w:rPr>
          <w:rFonts w:hint="eastAsia" w:asciiTheme="minorEastAsia" w:hAnsiTheme="minorEastAsia" w:eastAsiaTheme="minorEastAsia" w:cstheme="minorEastAsia"/>
          <w:color w:val="auto"/>
          <w:kern w:val="0"/>
          <w:sz w:val="21"/>
          <w:szCs w:val="21"/>
          <w:highlight w:val="none"/>
          <w:u w:val="none"/>
          <w:lang w:eastAsia="zh-CN"/>
        </w:rPr>
        <w:t>6</w:t>
      </w:r>
      <w:r>
        <w:rPr>
          <w:rFonts w:hint="eastAsia" w:asciiTheme="minorEastAsia" w:hAnsiTheme="minorEastAsia" w:eastAsiaTheme="minorEastAsia" w:cstheme="minorEastAsia"/>
          <w:color w:val="auto"/>
          <w:kern w:val="0"/>
          <w:sz w:val="21"/>
          <w:szCs w:val="21"/>
          <w:highlight w:val="none"/>
          <w:u w:val="none"/>
          <w:lang w:val="en-US" w:eastAsia="zh-CN"/>
        </w:rPr>
        <w:t>.3.5</w:t>
      </w:r>
      <w:r>
        <w:rPr>
          <w:rFonts w:hint="eastAsia" w:asciiTheme="minorEastAsia" w:hAnsiTheme="minorEastAsia" w:eastAsiaTheme="minorEastAsia" w:cstheme="minorEastAsia"/>
          <w:color w:val="auto"/>
          <w:kern w:val="0"/>
          <w:sz w:val="21"/>
          <w:szCs w:val="21"/>
          <w:highlight w:val="none"/>
          <w:u w:val="single"/>
          <w:lang w:val="en-US" w:eastAsia="zh-CN"/>
        </w:rPr>
        <w:t>引导受检者自行将箱包放在安检仪上，需让箱包重新通过安检仪。</w:t>
      </w:r>
    </w:p>
    <w:p>
      <w:pPr>
        <w:spacing w:line="360" w:lineRule="auto"/>
        <w:ind w:firstLine="630" w:firstLineChars="300"/>
        <w:rPr>
          <w:rFonts w:hint="eastAsia" w:asciiTheme="minorEastAsia" w:hAnsiTheme="minorEastAsia" w:eastAsiaTheme="minorEastAsia" w:cstheme="minorEastAsia"/>
          <w:color w:val="auto"/>
          <w:kern w:val="0"/>
          <w:sz w:val="21"/>
          <w:szCs w:val="21"/>
          <w:highlight w:val="none"/>
          <w:u w:val="single"/>
          <w:lang w:val="en-US" w:eastAsia="zh-CN"/>
        </w:rPr>
      </w:pPr>
      <w:r>
        <w:rPr>
          <w:rFonts w:hint="eastAsia" w:asciiTheme="minorEastAsia" w:hAnsiTheme="minorEastAsia" w:eastAsiaTheme="minorEastAsia" w:cstheme="minorEastAsia"/>
          <w:color w:val="auto"/>
          <w:kern w:val="0"/>
          <w:sz w:val="21"/>
          <w:szCs w:val="21"/>
          <w:highlight w:val="none"/>
          <w:u w:val="none"/>
          <w:lang w:eastAsia="zh-CN"/>
        </w:rPr>
        <w:t>6</w:t>
      </w:r>
      <w:r>
        <w:rPr>
          <w:rFonts w:hint="eastAsia" w:asciiTheme="minorEastAsia" w:hAnsiTheme="minorEastAsia" w:eastAsiaTheme="minorEastAsia" w:cstheme="minorEastAsia"/>
          <w:color w:val="auto"/>
          <w:kern w:val="0"/>
          <w:sz w:val="21"/>
          <w:szCs w:val="21"/>
          <w:highlight w:val="none"/>
          <w:u w:val="none"/>
          <w:lang w:val="en-US" w:eastAsia="zh-CN"/>
        </w:rPr>
        <w:t>.3.6</w:t>
      </w:r>
      <w:r>
        <w:rPr>
          <w:rFonts w:hint="eastAsia" w:asciiTheme="minorEastAsia" w:hAnsiTheme="minorEastAsia" w:eastAsiaTheme="minorEastAsia" w:cstheme="minorEastAsia"/>
          <w:color w:val="auto"/>
          <w:kern w:val="0"/>
          <w:sz w:val="21"/>
          <w:szCs w:val="21"/>
          <w:highlight w:val="none"/>
          <w:u w:val="single"/>
          <w:lang w:val="en-US" w:eastAsia="zh-CN"/>
        </w:rPr>
        <w:t>检查包裹时，要由外向内，由上向下，逐个检查。</w:t>
      </w:r>
    </w:p>
    <w:p>
      <w:pPr>
        <w:spacing w:line="360" w:lineRule="auto"/>
        <w:ind w:firstLine="630" w:firstLineChars="300"/>
        <w:rPr>
          <w:rFonts w:hint="eastAsia" w:asciiTheme="minorEastAsia" w:hAnsiTheme="minorEastAsia" w:eastAsiaTheme="minorEastAsia" w:cstheme="minorEastAsia"/>
          <w:color w:val="auto"/>
          <w:kern w:val="0"/>
          <w:sz w:val="21"/>
          <w:szCs w:val="21"/>
          <w:highlight w:val="none"/>
          <w:u w:val="single"/>
          <w:lang w:val="en-US" w:eastAsia="zh-CN"/>
        </w:rPr>
      </w:pPr>
      <w:r>
        <w:rPr>
          <w:rFonts w:hint="eastAsia" w:asciiTheme="minorEastAsia" w:hAnsiTheme="minorEastAsia" w:eastAsiaTheme="minorEastAsia" w:cstheme="minorEastAsia"/>
          <w:color w:val="auto"/>
          <w:kern w:val="0"/>
          <w:sz w:val="21"/>
          <w:szCs w:val="21"/>
          <w:highlight w:val="none"/>
          <w:u w:val="none"/>
          <w:lang w:eastAsia="zh-CN"/>
        </w:rPr>
        <w:t>6</w:t>
      </w:r>
      <w:r>
        <w:rPr>
          <w:rFonts w:hint="eastAsia" w:asciiTheme="minorEastAsia" w:hAnsiTheme="minorEastAsia" w:eastAsiaTheme="minorEastAsia" w:cstheme="minorEastAsia"/>
          <w:color w:val="auto"/>
          <w:kern w:val="0"/>
          <w:sz w:val="21"/>
          <w:szCs w:val="21"/>
          <w:highlight w:val="none"/>
          <w:u w:val="none"/>
          <w:lang w:val="en-US" w:eastAsia="zh-CN"/>
        </w:rPr>
        <w:t>.3.7</w:t>
      </w:r>
      <w:r>
        <w:rPr>
          <w:rFonts w:hint="eastAsia" w:asciiTheme="minorEastAsia" w:hAnsiTheme="minorEastAsia" w:eastAsiaTheme="minorEastAsia" w:cstheme="minorEastAsia"/>
          <w:color w:val="auto"/>
          <w:kern w:val="0"/>
          <w:sz w:val="21"/>
          <w:szCs w:val="21"/>
          <w:highlight w:val="none"/>
          <w:u w:val="single"/>
          <w:lang w:val="en-US" w:eastAsia="zh-CN"/>
        </w:rPr>
        <w:t>被检者在打开箱包后，开始对包内物品进行检查。</w:t>
      </w:r>
    </w:p>
    <w:p>
      <w:pPr>
        <w:spacing w:line="360" w:lineRule="auto"/>
        <w:ind w:firstLine="630" w:firstLineChars="300"/>
        <w:rPr>
          <w:rFonts w:hint="eastAsia" w:asciiTheme="minorEastAsia" w:hAnsiTheme="minorEastAsia" w:eastAsiaTheme="minorEastAsia" w:cstheme="minorEastAsia"/>
          <w:color w:val="auto"/>
          <w:kern w:val="0"/>
          <w:sz w:val="21"/>
          <w:szCs w:val="21"/>
          <w:highlight w:val="none"/>
          <w:u w:val="single"/>
          <w:lang w:val="en-US" w:eastAsia="zh-CN"/>
        </w:rPr>
      </w:pPr>
      <w:r>
        <w:rPr>
          <w:rFonts w:hint="eastAsia" w:asciiTheme="minorEastAsia" w:hAnsiTheme="minorEastAsia" w:eastAsiaTheme="minorEastAsia" w:cstheme="minorEastAsia"/>
          <w:color w:val="auto"/>
          <w:kern w:val="0"/>
          <w:sz w:val="21"/>
          <w:szCs w:val="21"/>
          <w:highlight w:val="none"/>
          <w:u w:val="none"/>
          <w:lang w:eastAsia="zh-CN"/>
        </w:rPr>
        <w:t>6</w:t>
      </w:r>
      <w:r>
        <w:rPr>
          <w:rFonts w:hint="eastAsia" w:asciiTheme="minorEastAsia" w:hAnsiTheme="minorEastAsia" w:eastAsiaTheme="minorEastAsia" w:cstheme="minorEastAsia"/>
          <w:color w:val="auto"/>
          <w:kern w:val="0"/>
          <w:sz w:val="21"/>
          <w:szCs w:val="21"/>
          <w:highlight w:val="none"/>
          <w:u w:val="none"/>
          <w:lang w:val="en-US" w:eastAsia="zh-CN"/>
        </w:rPr>
        <w:t>.3.8</w:t>
      </w:r>
      <w:r>
        <w:rPr>
          <w:rFonts w:hint="eastAsia" w:asciiTheme="minorEastAsia" w:hAnsiTheme="minorEastAsia" w:eastAsiaTheme="minorEastAsia" w:cstheme="minorEastAsia"/>
          <w:color w:val="auto"/>
          <w:kern w:val="0"/>
          <w:sz w:val="21"/>
          <w:szCs w:val="21"/>
          <w:highlight w:val="none"/>
          <w:u w:val="single"/>
          <w:lang w:val="en-US" w:eastAsia="zh-CN"/>
        </w:rPr>
        <w:t>对查获的危险品进行登记，交公安机关处理。</w:t>
      </w:r>
    </w:p>
    <w:p>
      <w:pPr>
        <w:spacing w:line="360" w:lineRule="auto"/>
        <w:ind w:firstLine="630" w:firstLineChars="300"/>
        <w:rPr>
          <w:rFonts w:hint="eastAsia" w:asciiTheme="minorEastAsia" w:hAnsiTheme="minorEastAsia" w:eastAsiaTheme="minorEastAsia" w:cstheme="minorEastAsia"/>
          <w:color w:val="auto"/>
          <w:kern w:val="0"/>
          <w:sz w:val="21"/>
          <w:szCs w:val="21"/>
          <w:highlight w:val="none"/>
          <w:u w:val="single"/>
          <w:lang w:val="en-US" w:eastAsia="zh-CN"/>
        </w:rPr>
      </w:pPr>
      <w:r>
        <w:rPr>
          <w:rFonts w:hint="eastAsia" w:asciiTheme="minorEastAsia" w:hAnsiTheme="minorEastAsia" w:eastAsiaTheme="minorEastAsia" w:cstheme="minorEastAsia"/>
          <w:color w:val="auto"/>
          <w:kern w:val="0"/>
          <w:sz w:val="21"/>
          <w:szCs w:val="21"/>
          <w:highlight w:val="none"/>
          <w:u w:val="none"/>
          <w:lang w:eastAsia="zh-CN"/>
        </w:rPr>
        <w:t>6</w:t>
      </w:r>
      <w:r>
        <w:rPr>
          <w:rFonts w:hint="eastAsia" w:asciiTheme="minorEastAsia" w:hAnsiTheme="minorEastAsia" w:eastAsiaTheme="minorEastAsia" w:cstheme="minorEastAsia"/>
          <w:color w:val="auto"/>
          <w:kern w:val="0"/>
          <w:sz w:val="21"/>
          <w:szCs w:val="21"/>
          <w:highlight w:val="none"/>
          <w:u w:val="none"/>
          <w:lang w:val="en-US" w:eastAsia="zh-CN"/>
        </w:rPr>
        <w:t>.3.9</w:t>
      </w:r>
      <w:r>
        <w:rPr>
          <w:rFonts w:hint="eastAsia" w:asciiTheme="minorEastAsia" w:hAnsiTheme="minorEastAsia" w:eastAsiaTheme="minorEastAsia" w:cstheme="minorEastAsia"/>
          <w:color w:val="auto"/>
          <w:kern w:val="0"/>
          <w:sz w:val="21"/>
          <w:szCs w:val="21"/>
          <w:highlight w:val="none"/>
          <w:u w:val="single"/>
          <w:lang w:val="en-US" w:eastAsia="zh-CN"/>
        </w:rPr>
        <w:t>不试、不尝、不碰、不被检查之物品损坏。</w:t>
      </w:r>
    </w:p>
    <w:p>
      <w:pPr>
        <w:spacing w:line="360" w:lineRule="auto"/>
        <w:ind w:firstLine="630" w:firstLineChars="300"/>
        <w:rPr>
          <w:rFonts w:hint="eastAsia" w:asciiTheme="minorEastAsia" w:hAnsiTheme="minorEastAsia" w:eastAsiaTheme="minorEastAsia" w:cstheme="minorEastAsia"/>
          <w:color w:val="auto"/>
          <w:kern w:val="0"/>
          <w:sz w:val="21"/>
          <w:szCs w:val="21"/>
          <w:highlight w:val="none"/>
          <w:u w:val="single"/>
          <w:lang w:val="en-US" w:eastAsia="zh-CN"/>
        </w:rPr>
      </w:pPr>
      <w:r>
        <w:rPr>
          <w:rFonts w:hint="eastAsia" w:asciiTheme="minorEastAsia" w:hAnsiTheme="minorEastAsia" w:eastAsiaTheme="minorEastAsia" w:cstheme="minorEastAsia"/>
          <w:color w:val="auto"/>
          <w:kern w:val="0"/>
          <w:sz w:val="21"/>
          <w:szCs w:val="21"/>
          <w:highlight w:val="none"/>
          <w:u w:val="none"/>
          <w:lang w:eastAsia="zh-CN"/>
        </w:rPr>
        <w:t>6</w:t>
      </w:r>
      <w:r>
        <w:rPr>
          <w:rFonts w:hint="eastAsia" w:asciiTheme="minorEastAsia" w:hAnsiTheme="minorEastAsia" w:eastAsiaTheme="minorEastAsia" w:cstheme="minorEastAsia"/>
          <w:color w:val="auto"/>
          <w:kern w:val="0"/>
          <w:sz w:val="21"/>
          <w:szCs w:val="21"/>
          <w:highlight w:val="none"/>
          <w:u w:val="none"/>
          <w:lang w:val="en-US" w:eastAsia="zh-CN"/>
        </w:rPr>
        <w:t>.3.10</w:t>
      </w:r>
      <w:r>
        <w:rPr>
          <w:rFonts w:hint="eastAsia" w:asciiTheme="minorEastAsia" w:hAnsiTheme="minorEastAsia" w:eastAsiaTheme="minorEastAsia" w:cstheme="minorEastAsia"/>
          <w:color w:val="auto"/>
          <w:kern w:val="0"/>
          <w:sz w:val="21"/>
          <w:szCs w:val="21"/>
          <w:highlight w:val="none"/>
          <w:u w:val="single"/>
          <w:lang w:val="en-US" w:eastAsia="zh-CN"/>
        </w:rPr>
        <w:t>确认无危险品后，将包内物品按原位复位，恢复包装，交还给受检者。</w:t>
      </w:r>
    </w:p>
    <w:p>
      <w:pPr>
        <w:spacing w:line="360" w:lineRule="auto"/>
        <w:ind w:firstLine="420" w:firstLineChars="200"/>
        <w:rPr>
          <w:rFonts w:hint="eastAsia" w:asciiTheme="minorEastAsia" w:hAnsiTheme="minorEastAsia" w:eastAsiaTheme="minorEastAsia" w:cstheme="minorEastAsia"/>
          <w:color w:val="auto"/>
          <w:kern w:val="0"/>
          <w:sz w:val="21"/>
          <w:szCs w:val="21"/>
          <w:highlight w:val="none"/>
          <w:u w:val="single"/>
          <w:lang w:val="en-US" w:eastAsia="zh-CN"/>
        </w:rPr>
      </w:pPr>
      <w:r>
        <w:rPr>
          <w:rFonts w:hint="eastAsia" w:asciiTheme="minorEastAsia" w:hAnsiTheme="minorEastAsia" w:eastAsiaTheme="minorEastAsia" w:cstheme="minorEastAsia"/>
          <w:color w:val="auto"/>
          <w:kern w:val="0"/>
          <w:sz w:val="21"/>
          <w:szCs w:val="21"/>
          <w:highlight w:val="none"/>
          <w:u w:val="none"/>
          <w:lang w:val="en-US" w:eastAsia="zh-CN"/>
        </w:rPr>
        <w:t>6.4</w:t>
      </w:r>
      <w:r>
        <w:rPr>
          <w:rFonts w:hint="eastAsia" w:asciiTheme="minorEastAsia" w:hAnsiTheme="minorEastAsia" w:eastAsiaTheme="minorEastAsia" w:cstheme="minorEastAsia"/>
          <w:color w:val="auto"/>
          <w:kern w:val="0"/>
          <w:sz w:val="21"/>
          <w:szCs w:val="21"/>
          <w:highlight w:val="none"/>
          <w:u w:val="single"/>
          <w:lang w:val="en-US" w:eastAsia="zh-CN"/>
        </w:rPr>
        <w:t>受检者携带的液体须按规定进行逢液必检。</w:t>
      </w:r>
    </w:p>
    <w:p>
      <w:pPr>
        <w:spacing w:line="360" w:lineRule="auto"/>
        <w:ind w:firstLine="420" w:firstLineChars="200"/>
        <w:rPr>
          <w:rFonts w:hint="eastAsia" w:asciiTheme="minorEastAsia" w:hAnsiTheme="minorEastAsia" w:eastAsiaTheme="minorEastAsia" w:cstheme="minorEastAsia"/>
          <w:color w:val="auto"/>
          <w:kern w:val="0"/>
          <w:sz w:val="21"/>
          <w:szCs w:val="21"/>
          <w:highlight w:val="none"/>
          <w:u w:val="single"/>
          <w:lang w:val="en-US" w:eastAsia="zh-CN"/>
        </w:rPr>
      </w:pPr>
      <w:r>
        <w:rPr>
          <w:rFonts w:hint="eastAsia" w:asciiTheme="minorEastAsia" w:hAnsiTheme="minorEastAsia" w:eastAsiaTheme="minorEastAsia" w:cstheme="minorEastAsia"/>
          <w:color w:val="auto"/>
          <w:kern w:val="0"/>
          <w:sz w:val="21"/>
          <w:szCs w:val="21"/>
          <w:highlight w:val="none"/>
          <w:u w:val="none"/>
          <w:lang w:eastAsia="zh-CN"/>
        </w:rPr>
        <w:t>6</w:t>
      </w:r>
      <w:r>
        <w:rPr>
          <w:rFonts w:hint="eastAsia" w:asciiTheme="minorEastAsia" w:hAnsiTheme="minorEastAsia" w:eastAsiaTheme="minorEastAsia" w:cstheme="minorEastAsia"/>
          <w:color w:val="auto"/>
          <w:kern w:val="0"/>
          <w:sz w:val="21"/>
          <w:szCs w:val="21"/>
          <w:highlight w:val="none"/>
          <w:u w:val="none"/>
          <w:lang w:val="en-US" w:eastAsia="zh-CN"/>
        </w:rPr>
        <w:t>.5</w:t>
      </w:r>
      <w:r>
        <w:rPr>
          <w:rFonts w:hint="eastAsia" w:asciiTheme="minorEastAsia" w:hAnsiTheme="minorEastAsia" w:eastAsiaTheme="minorEastAsia" w:cstheme="minorEastAsia"/>
          <w:color w:val="auto"/>
          <w:kern w:val="0"/>
          <w:sz w:val="21"/>
          <w:szCs w:val="21"/>
          <w:highlight w:val="none"/>
          <w:u w:val="single"/>
          <w:lang w:val="en-US" w:eastAsia="zh-CN"/>
        </w:rPr>
        <w:t>严格执行报告程序，及时、准确并采用适当的方式(特别是注意避免引起危险的人)把在安全检查工作中遇到的各种情况或信息传递给其他同事。</w:t>
      </w:r>
    </w:p>
    <w:p>
      <w:pPr>
        <w:spacing w:line="360" w:lineRule="auto"/>
        <w:ind w:firstLine="420" w:firstLineChars="200"/>
        <w:rPr>
          <w:rFonts w:hint="eastAsia" w:asciiTheme="minorEastAsia" w:hAnsiTheme="minorEastAsia" w:eastAsiaTheme="minorEastAsia" w:cstheme="minorEastAsia"/>
          <w:color w:val="auto"/>
          <w:kern w:val="0"/>
          <w:sz w:val="21"/>
          <w:szCs w:val="21"/>
          <w:highlight w:val="none"/>
          <w:u w:val="single"/>
          <w:lang w:val="en-US" w:eastAsia="zh-CN"/>
        </w:rPr>
      </w:pPr>
      <w:r>
        <w:rPr>
          <w:rFonts w:hint="eastAsia" w:asciiTheme="minorEastAsia" w:hAnsiTheme="minorEastAsia" w:eastAsiaTheme="minorEastAsia" w:cstheme="minorEastAsia"/>
          <w:color w:val="auto"/>
          <w:kern w:val="0"/>
          <w:sz w:val="21"/>
          <w:szCs w:val="21"/>
          <w:highlight w:val="none"/>
          <w:u w:val="none"/>
          <w:lang w:eastAsia="zh-CN"/>
        </w:rPr>
        <w:t>6</w:t>
      </w:r>
      <w:r>
        <w:rPr>
          <w:rFonts w:hint="eastAsia" w:asciiTheme="minorEastAsia" w:hAnsiTheme="minorEastAsia" w:eastAsiaTheme="minorEastAsia" w:cstheme="minorEastAsia"/>
          <w:color w:val="auto"/>
          <w:kern w:val="0"/>
          <w:sz w:val="21"/>
          <w:szCs w:val="21"/>
          <w:highlight w:val="none"/>
          <w:u w:val="none"/>
          <w:lang w:val="en-US" w:eastAsia="zh-CN"/>
        </w:rPr>
        <w:t>.6</w:t>
      </w:r>
      <w:r>
        <w:rPr>
          <w:rFonts w:hint="eastAsia" w:asciiTheme="minorEastAsia" w:hAnsiTheme="minorEastAsia" w:eastAsiaTheme="minorEastAsia" w:cstheme="minorEastAsia"/>
          <w:color w:val="auto"/>
          <w:kern w:val="0"/>
          <w:sz w:val="21"/>
          <w:szCs w:val="21"/>
          <w:highlight w:val="none"/>
          <w:u w:val="single"/>
          <w:lang w:val="en-US" w:eastAsia="zh-CN"/>
        </w:rPr>
        <w:t>遇有特殊情况者，包括残疾人、怀孕妇女和行动不便的受检者主动进行手检。</w:t>
      </w:r>
    </w:p>
    <w:p>
      <w:pPr>
        <w:spacing w:line="360" w:lineRule="auto"/>
        <w:jc w:val="both"/>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rPr>
        <w:t>七</w:t>
      </w:r>
      <w:r>
        <w:rPr>
          <w:rFonts w:hint="eastAsia" w:asciiTheme="minorEastAsia" w:hAnsiTheme="minorEastAsia" w:eastAsiaTheme="minorEastAsia" w:cstheme="minorEastAsia"/>
          <w:b/>
          <w:bCs/>
          <w:color w:val="auto"/>
          <w:kern w:val="0"/>
          <w:sz w:val="21"/>
          <w:szCs w:val="21"/>
          <w:highlight w:val="none"/>
        </w:rPr>
        <w:t>、安保工作要求</w:t>
      </w:r>
    </w:p>
    <w:p>
      <w:pPr>
        <w:spacing w:line="360" w:lineRule="auto"/>
        <w:ind w:firstLine="405" w:firstLineChars="193"/>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none"/>
          <w:lang w:val="en-US" w:eastAsia="zh-CN"/>
        </w:rPr>
        <w:t>7.1</w:t>
      </w:r>
      <w:r>
        <w:rPr>
          <w:rFonts w:hint="eastAsia" w:ascii="宋体" w:hAnsi="宋体" w:cs="宋体"/>
          <w:color w:val="auto"/>
          <w:kern w:val="0"/>
          <w:szCs w:val="21"/>
          <w:highlight w:val="none"/>
          <w:u w:val="single"/>
        </w:rPr>
        <w:t>安保工作规范要求：</w:t>
      </w:r>
    </w:p>
    <w:p>
      <w:pPr>
        <w:spacing w:line="360" w:lineRule="auto"/>
        <w:ind w:firstLine="630" w:firstLineChars="3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none"/>
          <w:lang w:val="en-US" w:eastAsia="zh-CN"/>
        </w:rPr>
        <w:t>7.1.1</w:t>
      </w:r>
      <w:r>
        <w:rPr>
          <w:rFonts w:hint="eastAsia" w:ascii="宋体" w:hAnsi="宋体" w:cs="宋体"/>
          <w:color w:val="auto"/>
          <w:kern w:val="0"/>
          <w:szCs w:val="21"/>
          <w:highlight w:val="none"/>
          <w:u w:val="single"/>
        </w:rPr>
        <w:t>按规着装，上岗时不得用餐、抽烟、不与人闲聊，不随意接听电话，不做与工作无关的事情，保持良好的形象。</w:t>
      </w:r>
    </w:p>
    <w:p>
      <w:pPr>
        <w:spacing w:line="360" w:lineRule="auto"/>
        <w:ind w:firstLine="613" w:firstLineChars="292"/>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none"/>
          <w:lang w:val="en-US" w:eastAsia="zh-CN"/>
        </w:rPr>
        <w:t>7.1.2</w:t>
      </w:r>
      <w:r>
        <w:rPr>
          <w:rFonts w:hint="eastAsia" w:ascii="宋体" w:hAnsi="宋体" w:cs="宋体"/>
          <w:color w:val="auto"/>
          <w:kern w:val="0"/>
          <w:szCs w:val="21"/>
          <w:highlight w:val="none"/>
          <w:u w:val="single"/>
        </w:rPr>
        <w:t>项目服务人员要有高度的责任感，严格遵守安保职业道德，上岗值班，不得擅自离岗。</w:t>
      </w:r>
    </w:p>
    <w:p>
      <w:pPr>
        <w:spacing w:line="360" w:lineRule="auto"/>
        <w:ind w:firstLine="613" w:firstLineChars="292"/>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none"/>
          <w:lang w:val="en-US" w:eastAsia="zh-CN"/>
        </w:rPr>
        <w:t>7.1.3</w:t>
      </w:r>
      <w:r>
        <w:rPr>
          <w:rFonts w:hint="eastAsia" w:ascii="宋体" w:hAnsi="宋体" w:cs="宋体"/>
          <w:color w:val="auto"/>
          <w:kern w:val="0"/>
          <w:szCs w:val="21"/>
          <w:highlight w:val="none"/>
          <w:u w:val="single"/>
        </w:rPr>
        <w:t>对待服务对象要态度和蔼、语言谦虚，不急不躁，认真细致；不得冷淡、刁难、取笑他人。对方态度不好，一定要耐心解释。</w:t>
      </w:r>
    </w:p>
    <w:p>
      <w:pPr>
        <w:spacing w:line="360" w:lineRule="auto"/>
        <w:ind w:firstLine="613" w:firstLineChars="292"/>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none"/>
          <w:lang w:val="en-US" w:eastAsia="zh-CN"/>
        </w:rPr>
        <w:t>7.1.4</w:t>
      </w:r>
      <w:r>
        <w:rPr>
          <w:rFonts w:hint="eastAsia" w:ascii="宋体" w:hAnsi="宋体" w:cs="宋体"/>
          <w:color w:val="auto"/>
          <w:kern w:val="0"/>
          <w:szCs w:val="21"/>
          <w:highlight w:val="none"/>
          <w:u w:val="single"/>
        </w:rPr>
        <w:t>与服务对象交谈要使用普通话，说话要清楚，用词准确、言简易懂，不讲有损项目形象的话。</w:t>
      </w:r>
    </w:p>
    <w:p>
      <w:pPr>
        <w:spacing w:line="360" w:lineRule="auto"/>
        <w:ind w:firstLine="613" w:firstLineChars="292"/>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none"/>
          <w:lang w:val="en-US" w:eastAsia="zh-CN"/>
        </w:rPr>
        <w:t>7.1.5</w:t>
      </w:r>
      <w:r>
        <w:rPr>
          <w:rFonts w:hint="eastAsia" w:ascii="宋体" w:hAnsi="宋体" w:cs="宋体"/>
          <w:color w:val="auto"/>
          <w:kern w:val="0"/>
          <w:szCs w:val="21"/>
          <w:highlight w:val="none"/>
          <w:u w:val="single"/>
        </w:rPr>
        <w:t>项目服务人员要主动进行业务练兵，摸熟摸透与安全、安检工作相关的环境、人员、设施等因素，掌握接待、应对基本功，以熟生巧，以提高业务知识和技能来提高工作效率。</w:t>
      </w:r>
    </w:p>
    <w:p>
      <w:pPr>
        <w:spacing w:line="360" w:lineRule="auto"/>
        <w:ind w:firstLine="613" w:firstLineChars="292"/>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none"/>
          <w:lang w:val="en-US" w:eastAsia="zh-CN"/>
        </w:rPr>
        <w:t>7.1.6</w:t>
      </w:r>
      <w:r>
        <w:rPr>
          <w:rFonts w:hint="eastAsia" w:ascii="宋体" w:hAnsi="宋体" w:cs="宋体"/>
          <w:color w:val="auto"/>
          <w:kern w:val="0"/>
          <w:szCs w:val="21"/>
          <w:highlight w:val="none"/>
          <w:u w:val="single"/>
        </w:rPr>
        <w:t>项目服务人员要妥善保管各类设施设备确保能够正常使用。</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八</w:t>
      </w:r>
      <w:r>
        <w:rPr>
          <w:rFonts w:hint="eastAsia" w:ascii="宋体" w:hAnsi="宋体" w:cs="宋体"/>
          <w:b/>
          <w:bCs/>
          <w:color w:val="auto"/>
          <w:kern w:val="0"/>
          <w:szCs w:val="21"/>
          <w:highlight w:val="none"/>
        </w:rPr>
        <w:t>、技术资料</w:t>
      </w:r>
    </w:p>
    <w:p>
      <w:pPr>
        <w:spacing w:line="360" w:lineRule="auto"/>
        <w:ind w:firstLine="405" w:firstLineChars="193"/>
        <w:rPr>
          <w:rFonts w:ascii="宋体" w:hAnsi="宋体" w:cs="宋体"/>
          <w:color w:val="auto"/>
          <w:kern w:val="0"/>
          <w:szCs w:val="21"/>
          <w:highlight w:val="none"/>
          <w:u w:val="singl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乙方应按《招标文件》规定的时间向甲方提供有关技术资料。</w:t>
      </w:r>
    </w:p>
    <w:p>
      <w:pPr>
        <w:spacing w:line="360" w:lineRule="auto"/>
        <w:ind w:firstLine="405" w:firstLineChars="193"/>
        <w:rPr>
          <w:rFonts w:ascii="宋体" w:hAnsi="宋体" w:cs="宋体"/>
          <w:color w:val="auto"/>
          <w:kern w:val="0"/>
          <w:szCs w:val="21"/>
          <w:highlight w:val="none"/>
          <w:u w:val="singl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w:t>
      </w:r>
      <w:r>
        <w:rPr>
          <w:rFonts w:hint="eastAsia" w:ascii="宋体" w:hAnsi="宋体" w:cs="宋体"/>
          <w:color w:val="auto"/>
          <w:kern w:val="0"/>
          <w:szCs w:val="21"/>
          <w:highlight w:val="none"/>
          <w:u w:val="singl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九</w:t>
      </w:r>
      <w:r>
        <w:rPr>
          <w:rFonts w:hint="eastAsia" w:ascii="宋体" w:hAnsi="宋体" w:cs="宋体"/>
          <w:b/>
          <w:bCs/>
          <w:color w:val="auto"/>
          <w:kern w:val="0"/>
          <w:szCs w:val="21"/>
          <w:highlight w:val="none"/>
        </w:rPr>
        <w:t>、知识产权与产权担保</w:t>
      </w:r>
    </w:p>
    <w:p>
      <w:pPr>
        <w:spacing w:line="360" w:lineRule="auto"/>
        <w:ind w:firstLine="405" w:firstLineChars="193"/>
        <w:rPr>
          <w:rFonts w:ascii="宋体" w:hAnsi="宋体" w:cs="宋体"/>
          <w:color w:val="auto"/>
          <w:kern w:val="0"/>
          <w:szCs w:val="21"/>
          <w:highlight w:val="none"/>
          <w:u w:val="single"/>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乙方应保证所提供的安装产品（服务/工程）其任何一部分均不会侵犯任何第三方的知识产权。</w:t>
      </w:r>
    </w:p>
    <w:p>
      <w:pPr>
        <w:spacing w:line="360" w:lineRule="auto"/>
        <w:ind w:firstLine="405" w:firstLineChars="193"/>
        <w:rPr>
          <w:rFonts w:ascii="宋体" w:hAnsi="宋体" w:cs="宋体"/>
          <w:color w:val="auto"/>
          <w:kern w:val="0"/>
          <w:szCs w:val="21"/>
          <w:highlight w:val="none"/>
          <w:u w:val="single"/>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.2</w:t>
      </w:r>
      <w:r>
        <w:rPr>
          <w:rFonts w:hint="eastAsia" w:ascii="宋体" w:hAnsi="宋体" w:cs="宋体"/>
          <w:color w:val="auto"/>
          <w:kern w:val="0"/>
          <w:szCs w:val="21"/>
          <w:highlight w:val="none"/>
          <w:u w:val="single"/>
        </w:rPr>
        <w:t>乙方保证所交付的安装产品（服务/工程）的所有权完全属于乙方且无任何抵押、查封等产权瑕疵。</w:t>
      </w:r>
    </w:p>
    <w:p>
      <w:pPr>
        <w:spacing w:line="360" w:lineRule="auto"/>
        <w:ind w:firstLine="405" w:firstLineChars="193"/>
        <w:rPr>
          <w:rFonts w:ascii="宋体" w:hAnsi="宋体" w:cs="宋体"/>
          <w:color w:val="auto"/>
          <w:kern w:val="0"/>
          <w:szCs w:val="21"/>
          <w:highlight w:val="none"/>
          <w:u w:val="single"/>
        </w:rPr>
      </w:pPr>
      <w:r>
        <w:rPr>
          <w:rFonts w:hint="eastAsia" w:ascii="宋体" w:hAnsi="宋体" w:cs="宋体"/>
          <w:color w:val="auto"/>
          <w:kern w:val="0"/>
          <w:szCs w:val="21"/>
          <w:highlight w:val="none"/>
          <w:u w:val="single"/>
          <w:lang w:val="en-US" w:eastAsia="zh-CN"/>
        </w:rPr>
        <w:t>9</w:t>
      </w:r>
      <w:r>
        <w:rPr>
          <w:rFonts w:hint="eastAsia" w:ascii="宋体" w:hAnsi="宋体" w:cs="宋体"/>
          <w:color w:val="auto"/>
          <w:kern w:val="0"/>
          <w:szCs w:val="21"/>
          <w:highlight w:val="none"/>
          <w:u w:val="single"/>
        </w:rPr>
        <w:t>.3具有知识产权的计算机软件等货物的知识产权归属：</w:t>
      </w:r>
    </w:p>
    <w:p>
      <w:pPr>
        <w:spacing w:line="360" w:lineRule="auto"/>
        <w:ind w:firstLine="405" w:firstLineChars="193"/>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（1）除乙方所属成熟产品或第三方成熟产品外，乙方所建设的系统整体及任何部分，知识产权都应当归属甲方所有。</w:t>
      </w:r>
    </w:p>
    <w:p>
      <w:pPr>
        <w:spacing w:line="360" w:lineRule="auto"/>
        <w:ind w:firstLine="405" w:firstLineChars="193"/>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（2）涉及的源代码（含质保期内的后续升级版本）遵循相关标准和规范，并无条件提交给甲方。</w:t>
      </w:r>
    </w:p>
    <w:p>
      <w:pPr>
        <w:spacing w:line="360" w:lineRule="auto"/>
        <w:ind w:firstLine="405" w:firstLineChars="193"/>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（3）涉及接口必须遵循相关标准和规范，向下部署的，必须无条件开放所有接口且满足国家共享相关规定要求，乙方有义务配合甲方做好有关信息共享工作。</w:t>
      </w:r>
    </w:p>
    <w:p>
      <w:pPr>
        <w:spacing w:line="360" w:lineRule="auto"/>
        <w:ind w:firstLine="405" w:firstLineChars="193"/>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（4）、本项目在开发、使用和维护过程中接触到的甲方的所有资料，未经甲方授权代表书面许可，不得留存，私自查阅及向任何第三方泄露。</w:t>
      </w:r>
    </w:p>
    <w:p>
      <w:pPr>
        <w:spacing w:line="360" w:lineRule="auto"/>
        <w:ind w:firstLine="405" w:firstLineChars="193"/>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（5）、本项目的设计开发专利申请权、技术秘密的使用权和转让权归甲方所有。</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十</w:t>
      </w:r>
      <w:r>
        <w:rPr>
          <w:rFonts w:hint="eastAsia" w:ascii="宋体" w:hAnsi="宋体" w:cs="宋体"/>
          <w:b/>
          <w:bCs/>
          <w:color w:val="auto"/>
          <w:kern w:val="0"/>
          <w:szCs w:val="21"/>
          <w:highlight w:val="none"/>
        </w:rPr>
        <w:t>、分包</w:t>
      </w:r>
    </w:p>
    <w:p>
      <w:pPr>
        <w:spacing w:line="360" w:lineRule="auto"/>
        <w:ind w:firstLine="405" w:firstLineChars="193"/>
        <w:rPr>
          <w:rFonts w:ascii="宋体" w:hAnsi="宋体" w:cs="宋体"/>
          <w:color w:val="auto"/>
          <w:kern w:val="0"/>
          <w:szCs w:val="21"/>
          <w:highlight w:val="none"/>
          <w:u w:val="single"/>
        </w:rPr>
      </w:pP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本项目允许分包。</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十一</w:t>
      </w:r>
      <w:r>
        <w:rPr>
          <w:rFonts w:hint="eastAsia" w:ascii="宋体" w:hAnsi="宋体" w:cs="宋体"/>
          <w:b/>
          <w:bCs/>
          <w:color w:val="auto"/>
          <w:kern w:val="0"/>
          <w:szCs w:val="21"/>
          <w:highlight w:val="none"/>
        </w:rPr>
        <w:t>、工期和实施地点</w:t>
      </w:r>
    </w:p>
    <w:p>
      <w:pPr>
        <w:spacing w:line="360" w:lineRule="auto"/>
        <w:ind w:firstLine="405" w:firstLineChars="193"/>
        <w:rPr>
          <w:rFonts w:hint="eastAsia" w:ascii="宋体" w:hAnsi="宋体" w:cs="宋体"/>
          <w:color w:val="auto"/>
          <w:kern w:val="0"/>
          <w:szCs w:val="21"/>
          <w:highlight w:val="none"/>
          <w:u w:val="single"/>
        </w:rPr>
      </w:pPr>
      <w:r>
        <w:rPr>
          <w:rFonts w:hint="eastAsia" w:ascii="宋体" w:hAnsi="宋体" w:cs="宋体"/>
          <w:color w:val="auto"/>
          <w:kern w:val="0"/>
          <w:szCs w:val="21"/>
          <w:highlight w:val="none"/>
          <w:lang w:val="en-US" w:eastAsia="zh-CN"/>
        </w:rPr>
        <w:t>11</w:t>
      </w:r>
      <w:r>
        <w:rPr>
          <w:rFonts w:hint="eastAsia" w:ascii="宋体" w:hAnsi="宋体" w:cs="宋体"/>
          <w:color w:val="auto"/>
          <w:kern w:val="0"/>
          <w:szCs w:val="21"/>
          <w:highlight w:val="none"/>
        </w:rPr>
        <w:t>.1工期：</w:t>
      </w:r>
      <w:r>
        <w:rPr>
          <w:rFonts w:hint="eastAsia" w:ascii="宋体" w:hAnsi="宋体" w:cs="宋体"/>
          <w:color w:val="auto"/>
          <w:kern w:val="0"/>
          <w:szCs w:val="21"/>
          <w:highlight w:val="none"/>
          <w:u w:val="single"/>
        </w:rPr>
        <w:t>2023年9月10日至10月28日，人员大致划分四个服务期（如下），具体根据甲方工作安排，可适当微调。</w:t>
      </w:r>
    </w:p>
    <w:p>
      <w:pPr>
        <w:spacing w:line="360" w:lineRule="auto"/>
        <w:ind w:firstLine="405" w:firstLineChars="193"/>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rPr>
        <w:t>人员服务期间：</w:t>
      </w:r>
    </w:p>
    <w:p>
      <w:pPr>
        <w:spacing w:line="360" w:lineRule="auto"/>
        <w:ind w:firstLine="405" w:firstLineChars="193"/>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（1）锁闭期  安保服务期，自2023年9月10日至2023年9月</w:t>
      </w:r>
      <w:r>
        <w:rPr>
          <w:rFonts w:hint="eastAsia" w:ascii="宋体" w:hAnsi="宋体" w:eastAsia="宋体" w:cs="宋体"/>
          <w:b w:val="0"/>
          <w:color w:val="auto"/>
          <w:kern w:val="0"/>
          <w:sz w:val="21"/>
          <w:szCs w:val="21"/>
          <w:highlight w:val="none"/>
        </w:rPr>
        <w:t>2</w:t>
      </w:r>
      <w:r>
        <w:rPr>
          <w:rFonts w:hint="eastAsia" w:ascii="宋体" w:hAnsi="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日</w:t>
      </w:r>
      <w:r>
        <w:rPr>
          <w:rFonts w:hint="eastAsia" w:ascii="宋体" w:hAnsi="宋体" w:eastAsia="宋体" w:cs="宋体"/>
          <w:b w:val="0"/>
          <w:color w:val="auto"/>
          <w:kern w:val="0"/>
          <w:sz w:val="21"/>
          <w:szCs w:val="21"/>
          <w:highlight w:val="none"/>
        </w:rPr>
        <w:t>。</w:t>
      </w:r>
    </w:p>
    <w:p>
      <w:pPr>
        <w:spacing w:line="360" w:lineRule="auto"/>
        <w:ind w:firstLine="405" w:firstLineChars="193"/>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（2）正赛期  安保服务期，自2023年9月24日至2023年10月7日。</w:t>
      </w:r>
    </w:p>
    <w:p>
      <w:pPr>
        <w:spacing w:line="360" w:lineRule="auto"/>
        <w:ind w:firstLine="405" w:firstLineChars="193"/>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（3）转换期  安保服务期，自2023年10月8日至2023年10月22日。</w:t>
      </w:r>
    </w:p>
    <w:p>
      <w:pPr>
        <w:spacing w:line="360" w:lineRule="auto"/>
        <w:ind w:firstLine="405" w:firstLineChars="193"/>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（4）亚残会  安保服务期，自2023年10月23日至2023年10月28日。</w:t>
      </w:r>
    </w:p>
    <w:p>
      <w:pPr>
        <w:spacing w:line="360" w:lineRule="auto"/>
        <w:ind w:firstLine="405" w:firstLineChars="193"/>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设备租赁期：</w:t>
      </w:r>
    </w:p>
    <w:p>
      <w:pPr>
        <w:spacing w:line="360" w:lineRule="auto"/>
        <w:ind w:firstLine="405" w:firstLineChars="193"/>
        <w:rPr>
          <w:rFonts w:hint="eastAsia" w:ascii="宋体" w:hAnsi="宋体" w:eastAsia="宋体" w:cs="宋体"/>
          <w:b w:val="0"/>
          <w:color w:val="auto"/>
          <w:kern w:val="0"/>
          <w:sz w:val="21"/>
          <w:szCs w:val="21"/>
          <w:highlight w:val="none"/>
          <w:lang w:val="en-US" w:eastAsia="zh-CN"/>
        </w:rPr>
      </w:pPr>
      <w:r>
        <w:rPr>
          <w:rFonts w:hint="eastAsia" w:ascii="宋体" w:hAnsi="宋体" w:eastAsia="宋体" w:cs="宋体"/>
          <w:b w:val="0"/>
          <w:color w:val="auto"/>
          <w:kern w:val="0"/>
          <w:sz w:val="21"/>
          <w:szCs w:val="21"/>
          <w:highlight w:val="none"/>
        </w:rPr>
        <w:t>常用设备：2023年9月10日至2023年10月28日，共49天</w:t>
      </w:r>
      <w:r>
        <w:rPr>
          <w:rFonts w:hint="eastAsia" w:ascii="宋体" w:hAnsi="宋体" w:cs="宋体"/>
          <w:b w:val="0"/>
          <w:color w:val="auto"/>
          <w:kern w:val="0"/>
          <w:sz w:val="21"/>
          <w:szCs w:val="21"/>
          <w:highlight w:val="none"/>
          <w:lang w:eastAsia="zh-CN"/>
        </w:rPr>
        <w:t>。</w:t>
      </w:r>
    </w:p>
    <w:p>
      <w:pPr>
        <w:spacing w:line="360" w:lineRule="auto"/>
        <w:ind w:firstLine="405" w:firstLineChars="193"/>
        <w:rPr>
          <w:rFonts w:hint="eastAsia" w:ascii="宋体" w:hAnsi="宋体" w:eastAsia="宋体" w:cs="宋体"/>
          <w:b w:val="0"/>
          <w:color w:val="auto"/>
          <w:kern w:val="0"/>
          <w:sz w:val="21"/>
          <w:szCs w:val="21"/>
          <w:highlight w:val="none"/>
          <w:lang w:eastAsia="zh-CN"/>
        </w:rPr>
      </w:pPr>
      <w:r>
        <w:rPr>
          <w:rFonts w:hint="eastAsia" w:ascii="宋体" w:hAnsi="宋体" w:eastAsia="宋体" w:cs="宋体"/>
          <w:b w:val="0"/>
          <w:color w:val="auto"/>
          <w:kern w:val="0"/>
          <w:sz w:val="21"/>
          <w:szCs w:val="21"/>
          <w:highlight w:val="none"/>
        </w:rPr>
        <w:t>一号门安检设备：2023年9月24日至2023年10月28日，共35天</w:t>
      </w:r>
      <w:r>
        <w:rPr>
          <w:rFonts w:hint="eastAsia" w:ascii="宋体" w:hAnsi="宋体" w:cs="宋体"/>
          <w:b w:val="0"/>
          <w:color w:val="auto"/>
          <w:kern w:val="0"/>
          <w:sz w:val="21"/>
          <w:szCs w:val="21"/>
          <w:highlight w:val="none"/>
          <w:lang w:eastAsia="zh-CN"/>
        </w:rPr>
        <w:t>。</w:t>
      </w:r>
    </w:p>
    <w:p>
      <w:pPr>
        <w:spacing w:line="360" w:lineRule="auto"/>
        <w:ind w:firstLine="405" w:firstLineChars="193"/>
        <w:rPr>
          <w:rFonts w:hint="eastAsia" w:ascii="宋体" w:hAnsi="宋体" w:eastAsia="宋体" w:cs="宋体"/>
          <w:b w:val="0"/>
          <w:color w:val="auto"/>
          <w:kern w:val="0"/>
          <w:sz w:val="21"/>
          <w:szCs w:val="21"/>
          <w:highlight w:val="none"/>
          <w:lang w:eastAsia="zh-CN"/>
        </w:rPr>
      </w:pPr>
      <w:r>
        <w:rPr>
          <w:rFonts w:hint="eastAsia" w:ascii="宋体" w:hAnsi="宋体" w:eastAsia="宋体" w:cs="宋体"/>
          <w:b w:val="0"/>
          <w:color w:val="auto"/>
          <w:kern w:val="0"/>
          <w:sz w:val="21"/>
          <w:szCs w:val="21"/>
          <w:highlight w:val="none"/>
        </w:rPr>
        <w:t>二号门安检设备：2023年9月10日至2023年10月28日，共49天</w:t>
      </w:r>
      <w:r>
        <w:rPr>
          <w:rFonts w:hint="eastAsia" w:ascii="宋体" w:hAnsi="宋体" w:cs="宋体"/>
          <w:b w:val="0"/>
          <w:color w:val="auto"/>
          <w:kern w:val="0"/>
          <w:sz w:val="21"/>
          <w:szCs w:val="21"/>
          <w:highlight w:val="none"/>
          <w:lang w:eastAsia="zh-CN"/>
        </w:rPr>
        <w:t>。</w:t>
      </w:r>
    </w:p>
    <w:p>
      <w:pPr>
        <w:spacing w:line="360" w:lineRule="auto"/>
        <w:ind w:firstLine="405" w:firstLineChars="193"/>
        <w:rPr>
          <w:rFonts w:ascii="宋体" w:hAnsi="宋体" w:cs="宋体"/>
          <w:color w:val="auto"/>
          <w:kern w:val="0"/>
          <w:szCs w:val="21"/>
          <w:highlight w:val="none"/>
          <w:u w:val="single"/>
        </w:rPr>
      </w:pPr>
      <w:r>
        <w:rPr>
          <w:rFonts w:hint="eastAsia" w:ascii="宋体" w:hAnsi="宋体" w:cs="宋体"/>
          <w:color w:val="auto"/>
          <w:kern w:val="0"/>
          <w:szCs w:val="21"/>
          <w:highlight w:val="none"/>
          <w:lang w:val="en-US" w:eastAsia="zh-CN"/>
        </w:rPr>
        <w:t>11</w:t>
      </w:r>
      <w:r>
        <w:rPr>
          <w:rFonts w:hint="eastAsia" w:ascii="宋体" w:hAnsi="宋体" w:cs="宋体"/>
          <w:color w:val="auto"/>
          <w:kern w:val="0"/>
          <w:szCs w:val="21"/>
          <w:highlight w:val="none"/>
        </w:rPr>
        <w:t>.2实施地点：</w:t>
      </w:r>
      <w:r>
        <w:rPr>
          <w:rFonts w:hint="eastAsia" w:ascii="宋体" w:hAnsi="宋体" w:cs="宋体"/>
          <w:color w:val="auto"/>
          <w:kern w:val="0"/>
          <w:szCs w:val="21"/>
          <w:highlight w:val="none"/>
          <w:u w:val="single"/>
        </w:rPr>
        <w:t xml:space="preserve">     杭州市滨江区奥体中心网球中心场馆。      </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十</w:t>
      </w:r>
      <w:r>
        <w:rPr>
          <w:rFonts w:hint="eastAsia" w:ascii="宋体" w:hAnsi="宋体" w:cs="宋体"/>
          <w:b/>
          <w:bCs/>
          <w:color w:val="auto"/>
          <w:kern w:val="0"/>
          <w:szCs w:val="21"/>
          <w:highlight w:val="none"/>
          <w:lang w:val="en-US" w:eastAsia="zh-CN"/>
        </w:rPr>
        <w:t>二</w:t>
      </w:r>
      <w:r>
        <w:rPr>
          <w:rFonts w:hint="eastAsia" w:ascii="宋体" w:hAnsi="宋体" w:cs="宋体"/>
          <w:b/>
          <w:bCs/>
          <w:color w:val="auto"/>
          <w:kern w:val="0"/>
          <w:szCs w:val="21"/>
          <w:highlight w:val="none"/>
        </w:rPr>
        <w:t>、合同验收</w:t>
      </w:r>
    </w:p>
    <w:p>
      <w:pPr>
        <w:adjustRightInd/>
        <w:spacing w:line="360" w:lineRule="auto"/>
        <w:ind w:firstLine="405" w:firstLineChars="193"/>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（1）按双方签订的服务合同、乙方投标文件中的应答技术指标验收。</w:t>
      </w:r>
    </w:p>
    <w:p>
      <w:pPr>
        <w:adjustRightInd/>
        <w:spacing w:line="360" w:lineRule="auto"/>
        <w:ind w:firstLine="405" w:firstLineChars="193"/>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（2）验收在甲方所在地现场进行。</w:t>
      </w:r>
    </w:p>
    <w:p>
      <w:pPr>
        <w:adjustRightInd/>
        <w:spacing w:line="360" w:lineRule="auto"/>
        <w:ind w:firstLine="405" w:firstLineChars="193"/>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（3）按国际标准或中华人民共和国及招标文件里的相关标准验收。</w:t>
      </w:r>
    </w:p>
    <w:p>
      <w:pPr>
        <w:adjustRightInd/>
        <w:spacing w:line="360" w:lineRule="auto"/>
        <w:ind w:firstLine="405" w:firstLineChars="193"/>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（4）验收合格后，双方在验收文件上签字生效。验收文件一式二份，双方各保留一份。</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十</w:t>
      </w:r>
      <w:r>
        <w:rPr>
          <w:rFonts w:hint="eastAsia" w:ascii="宋体" w:hAnsi="宋体" w:cs="宋体"/>
          <w:b/>
          <w:bCs/>
          <w:color w:val="auto"/>
          <w:kern w:val="0"/>
          <w:szCs w:val="21"/>
          <w:highlight w:val="none"/>
          <w:lang w:val="en-US" w:eastAsia="zh-CN"/>
        </w:rPr>
        <w:t>三</w:t>
      </w:r>
      <w:r>
        <w:rPr>
          <w:rFonts w:hint="eastAsia" w:ascii="宋体" w:hAnsi="宋体" w:cs="宋体"/>
          <w:b/>
          <w:bCs/>
          <w:color w:val="auto"/>
          <w:kern w:val="0"/>
          <w:szCs w:val="21"/>
          <w:highlight w:val="none"/>
        </w:rPr>
        <w:t>、合同款支付</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.1付款方式与支付条件：</w:t>
      </w:r>
    </w:p>
    <w:p>
      <w:pPr>
        <w:spacing w:line="360" w:lineRule="auto"/>
        <w:ind w:firstLine="405" w:firstLineChars="193"/>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服务费由杭州市公安局滨江区分局统一支付，合同生效并具备实施条件后7个工作日内支付</w:t>
      </w:r>
      <w:r>
        <w:rPr>
          <w:rFonts w:hint="eastAsia" w:ascii="宋体" w:hAnsi="宋体" w:cs="宋体"/>
          <w:color w:val="auto"/>
          <w:kern w:val="0"/>
          <w:szCs w:val="21"/>
          <w:highlight w:val="none"/>
          <w:u w:val="single"/>
          <w:lang w:val="en-US" w:eastAsia="zh-CN"/>
        </w:rPr>
        <w:t>合同金额</w:t>
      </w:r>
      <w:r>
        <w:rPr>
          <w:rFonts w:hint="eastAsia" w:ascii="宋体" w:hAnsi="宋体" w:cs="宋体"/>
          <w:color w:val="auto"/>
          <w:kern w:val="0"/>
          <w:szCs w:val="21"/>
          <w:highlight w:val="none"/>
          <w:u w:val="single"/>
        </w:rPr>
        <w:t>50%预付款，剩余款项于</w:t>
      </w:r>
      <w:r>
        <w:rPr>
          <w:rFonts w:hint="eastAsia" w:ascii="宋体" w:hAnsi="宋体" w:cs="宋体"/>
          <w:color w:val="auto"/>
          <w:kern w:val="0"/>
          <w:szCs w:val="21"/>
          <w:highlight w:val="none"/>
          <w:u w:val="single"/>
          <w:lang w:val="en-US" w:eastAsia="zh-CN"/>
        </w:rPr>
        <w:t>所有</w:t>
      </w:r>
      <w:r>
        <w:rPr>
          <w:rFonts w:hint="eastAsia" w:ascii="宋体" w:hAnsi="宋体" w:cs="宋体"/>
          <w:color w:val="auto"/>
          <w:kern w:val="0"/>
          <w:szCs w:val="21"/>
          <w:highlight w:val="none"/>
          <w:u w:val="single"/>
        </w:rPr>
        <w:t>服务结束</w:t>
      </w:r>
      <w:r>
        <w:rPr>
          <w:rFonts w:hint="eastAsia" w:ascii="宋体" w:hAnsi="宋体" w:cs="宋体"/>
          <w:color w:val="auto"/>
          <w:kern w:val="0"/>
          <w:szCs w:val="21"/>
          <w:highlight w:val="none"/>
          <w:u w:val="single"/>
          <w:lang w:val="en-US" w:eastAsia="zh-CN"/>
        </w:rPr>
        <w:t>并经</w:t>
      </w:r>
      <w:r>
        <w:rPr>
          <w:rFonts w:hint="eastAsia" w:ascii="宋体" w:hAnsi="宋体" w:cs="宋体"/>
          <w:color w:val="auto"/>
          <w:kern w:val="0"/>
          <w:szCs w:val="21"/>
          <w:highlight w:val="none"/>
          <w:u w:val="single"/>
        </w:rPr>
        <w:t>验收合格后，根据实际服务量，</w:t>
      </w:r>
      <w:r>
        <w:rPr>
          <w:rFonts w:hint="eastAsia" w:ascii="宋体" w:hAnsi="宋体" w:cs="宋体"/>
          <w:color w:val="auto"/>
          <w:kern w:val="0"/>
          <w:szCs w:val="21"/>
          <w:highlight w:val="none"/>
          <w:u w:val="single"/>
          <w:lang w:val="en-US" w:eastAsia="zh-CN"/>
        </w:rPr>
        <w:t>乙方</w:t>
      </w:r>
      <w:r>
        <w:rPr>
          <w:rFonts w:hint="eastAsia" w:ascii="宋体" w:hAnsi="宋体" w:cs="宋体"/>
          <w:color w:val="auto"/>
          <w:kern w:val="0"/>
          <w:szCs w:val="21"/>
          <w:highlight w:val="none"/>
          <w:u w:val="single"/>
        </w:rPr>
        <w:t>开具发票后于5个工作日内</w:t>
      </w:r>
      <w:r>
        <w:rPr>
          <w:rFonts w:hint="eastAsia" w:ascii="宋体" w:hAnsi="宋体" w:cs="宋体"/>
          <w:color w:val="auto"/>
          <w:kern w:val="0"/>
          <w:szCs w:val="21"/>
          <w:highlight w:val="none"/>
          <w:u w:val="single"/>
          <w:lang w:val="en-US" w:eastAsia="zh-CN"/>
        </w:rPr>
        <w:t>一次性</w:t>
      </w:r>
      <w:r>
        <w:rPr>
          <w:rFonts w:hint="eastAsia" w:ascii="宋体" w:hAnsi="宋体" w:cs="宋体"/>
          <w:color w:val="auto"/>
          <w:kern w:val="0"/>
          <w:szCs w:val="21"/>
          <w:highlight w:val="none"/>
          <w:u w:val="single"/>
        </w:rPr>
        <w:t>结算。</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十</w:t>
      </w:r>
      <w:r>
        <w:rPr>
          <w:rFonts w:hint="eastAsia" w:ascii="宋体" w:hAnsi="宋体" w:cs="宋体"/>
          <w:b/>
          <w:bCs/>
          <w:color w:val="auto"/>
          <w:kern w:val="0"/>
          <w:szCs w:val="21"/>
          <w:highlight w:val="none"/>
          <w:lang w:val="en-US" w:eastAsia="zh-CN"/>
        </w:rPr>
        <w:t>四</w:t>
      </w:r>
      <w:r>
        <w:rPr>
          <w:rFonts w:hint="eastAsia" w:ascii="宋体" w:hAnsi="宋体" w:cs="宋体"/>
          <w:b/>
          <w:bCs/>
          <w:color w:val="auto"/>
          <w:kern w:val="0"/>
          <w:szCs w:val="21"/>
          <w:highlight w:val="none"/>
        </w:rPr>
        <w:t>、违约责任</w:t>
      </w:r>
    </w:p>
    <w:p>
      <w:pPr>
        <w:spacing w:line="360" w:lineRule="auto"/>
        <w:ind w:firstLine="367" w:firstLineChars="175"/>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.1甲方违约责任</w:t>
      </w:r>
    </w:p>
    <w:p>
      <w:pPr>
        <w:spacing w:line="360" w:lineRule="auto"/>
        <w:ind w:firstLine="367" w:firstLineChars="175"/>
        <w:rPr>
          <w:rFonts w:ascii="宋体" w:hAnsi="宋体" w:cs="宋体"/>
          <w:bCs/>
          <w:color w:val="auto"/>
          <w:kern w:val="0"/>
          <w:szCs w:val="21"/>
          <w:highlight w:val="none"/>
          <w:u w:val="singl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u w:val="single"/>
        </w:rPr>
        <w:t>甲方无正当理由拒收乙方提供服务的，甲方向乙方偿付合同金额千分之六违约金；</w:t>
      </w:r>
    </w:p>
    <w:p>
      <w:pPr>
        <w:spacing w:line="360" w:lineRule="auto"/>
        <w:ind w:firstLine="367" w:firstLineChars="175"/>
        <w:rPr>
          <w:rFonts w:ascii="宋体" w:hAnsi="宋体" w:cs="宋体"/>
          <w:bCs/>
          <w:color w:val="auto"/>
          <w:kern w:val="0"/>
          <w:szCs w:val="21"/>
          <w:highlight w:val="none"/>
          <w:u w:val="single"/>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u w:val="single"/>
        </w:rPr>
        <w:t>甲方无故逾期验收和办理合同款项支付手续的,甲方应按逾期付款总额每日千分之六向乙方支付违约金。</w:t>
      </w:r>
    </w:p>
    <w:p>
      <w:pPr>
        <w:spacing w:line="360" w:lineRule="auto"/>
        <w:ind w:firstLine="367" w:firstLineChars="175"/>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.2乙方违约责任</w:t>
      </w:r>
    </w:p>
    <w:p>
      <w:pPr>
        <w:numPr>
          <w:ilvl w:val="0"/>
          <w:numId w:val="4"/>
        </w:numPr>
        <w:spacing w:line="360" w:lineRule="auto"/>
        <w:ind w:firstLine="367" w:firstLineChars="175"/>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乙方逾期提供服务的，乙方应按逾期交付总额每日千分之六向甲方支付违约金，由甲方从待付款中扣除，逾期超过</w:t>
      </w:r>
      <w:r>
        <w:rPr>
          <w:rFonts w:ascii="宋体" w:hAnsi="宋体" w:cs="宋体"/>
          <w:color w:val="auto"/>
          <w:kern w:val="0"/>
          <w:szCs w:val="21"/>
          <w:highlight w:val="none"/>
          <w:u w:val="single"/>
        </w:rPr>
        <w:t>20</w:t>
      </w:r>
      <w:r>
        <w:rPr>
          <w:rFonts w:hint="eastAsia" w:ascii="宋体" w:hAnsi="宋体" w:cs="宋体"/>
          <w:color w:val="auto"/>
          <w:kern w:val="0"/>
          <w:szCs w:val="21"/>
          <w:highlight w:val="none"/>
          <w:u w:val="single"/>
        </w:rPr>
        <w:t>日的，甲方有权解除合同、没收履约保证金并要求乙方支付合同总金额2</w:t>
      </w:r>
      <w:r>
        <w:rPr>
          <w:rFonts w:ascii="宋体" w:hAnsi="宋体" w:cs="宋体"/>
          <w:color w:val="auto"/>
          <w:kern w:val="0"/>
          <w:szCs w:val="21"/>
          <w:highlight w:val="none"/>
          <w:u w:val="single"/>
        </w:rPr>
        <w:t>0%</w:t>
      </w:r>
      <w:r>
        <w:rPr>
          <w:rFonts w:hint="eastAsia" w:ascii="宋体" w:hAnsi="宋体" w:cs="宋体"/>
          <w:color w:val="auto"/>
          <w:kern w:val="0"/>
          <w:szCs w:val="21"/>
          <w:highlight w:val="none"/>
          <w:u w:val="single"/>
        </w:rPr>
        <w:t>的违约金；</w:t>
      </w:r>
    </w:p>
    <w:p>
      <w:pPr>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u w:val="single"/>
        </w:rPr>
        <w:t>乙方所交付的服务不符合合同规定及《招标文件》规定标准的，甲方有权拒收，乙方愿意重新提供服务但逾期的，按乙方逾期处理；</w:t>
      </w:r>
    </w:p>
    <w:p>
      <w:pPr>
        <w:spacing w:line="360" w:lineRule="auto"/>
        <w:ind w:firstLine="367" w:firstLineChars="175"/>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.3违约责任的范围及承担方式</w:t>
      </w:r>
    </w:p>
    <w:p>
      <w:pPr>
        <w:numPr>
          <w:ilvl w:val="-1"/>
          <w:numId w:val="0"/>
        </w:numPr>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lang w:val="en-US" w:eastAsia="zh-CN"/>
        </w:rPr>
        <w:t>1</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rPr>
        <w:t>违约方需承担守约方因主张权力而支出的所有费用，包括但不限于律师费、调查费、诉讼费、鉴定费、保全费、保全承担费、差旅费等；</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u w:val="single"/>
        </w:rPr>
        <w:t>乙方违约行为致使甲方解除本合同的，甲方有权将乙方的履约情况报送上级有关部门，并将乙方纳入招投标黑名单；</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十</w:t>
      </w:r>
      <w:r>
        <w:rPr>
          <w:rFonts w:hint="eastAsia" w:ascii="宋体" w:hAnsi="宋体" w:cs="宋体"/>
          <w:b/>
          <w:bCs/>
          <w:color w:val="auto"/>
          <w:kern w:val="0"/>
          <w:szCs w:val="21"/>
          <w:highlight w:val="none"/>
          <w:lang w:val="en-US" w:eastAsia="zh-CN"/>
        </w:rPr>
        <w:t>五</w:t>
      </w:r>
      <w:r>
        <w:rPr>
          <w:rFonts w:hint="eastAsia" w:ascii="宋体" w:hAnsi="宋体" w:cs="宋体"/>
          <w:b/>
          <w:bCs/>
          <w:color w:val="auto"/>
          <w:kern w:val="0"/>
          <w:szCs w:val="21"/>
          <w:highlight w:val="none"/>
        </w:rPr>
        <w:t>、不可抗力事件处理</w:t>
      </w:r>
    </w:p>
    <w:p>
      <w:pPr>
        <w:spacing w:line="360" w:lineRule="auto"/>
        <w:ind w:firstLine="405" w:firstLineChars="193"/>
        <w:rPr>
          <w:rFonts w:ascii="宋体" w:hAnsi="宋体" w:cs="宋体"/>
          <w:color w:val="auto"/>
          <w:kern w:val="0"/>
          <w:szCs w:val="21"/>
          <w:highlight w:val="none"/>
          <w:u w:val="singl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在合同有效期内，任何一方因不可抗力事件导致不能履行合同，则合同履行期可延长，其延长期与不可抗力影响期相同。</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w:t>
      </w:r>
      <w:r>
        <w:rPr>
          <w:rFonts w:hint="eastAsia" w:ascii="宋体" w:hAnsi="宋体" w:cs="宋体"/>
          <w:color w:val="auto"/>
          <w:kern w:val="0"/>
          <w:szCs w:val="21"/>
          <w:highlight w:val="none"/>
          <w:u w:val="single"/>
        </w:rPr>
        <w:t>不可抗力事件发生后，应立即通知对方，并寄送有关权威机构出具的证明。</w:t>
      </w:r>
    </w:p>
    <w:p>
      <w:pPr>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w:t>
      </w:r>
      <w:r>
        <w:rPr>
          <w:rFonts w:hint="eastAsia" w:ascii="宋体" w:hAnsi="宋体" w:cs="宋体"/>
          <w:color w:val="auto"/>
          <w:kern w:val="0"/>
          <w:szCs w:val="21"/>
          <w:highlight w:val="none"/>
          <w:u w:val="single"/>
        </w:rPr>
        <w:t>不可抗力事件延续</w:t>
      </w:r>
      <w:r>
        <w:rPr>
          <w:rFonts w:ascii="宋体" w:hAnsi="宋体" w:cs="宋体"/>
          <w:color w:val="auto"/>
          <w:kern w:val="0"/>
          <w:szCs w:val="21"/>
          <w:highlight w:val="none"/>
          <w:u w:val="single"/>
        </w:rPr>
        <w:t>30</w:t>
      </w:r>
      <w:r>
        <w:rPr>
          <w:rFonts w:hint="eastAsia" w:ascii="宋体" w:hAnsi="宋体" w:cs="宋体"/>
          <w:color w:val="auto"/>
          <w:kern w:val="0"/>
          <w:szCs w:val="21"/>
          <w:highlight w:val="none"/>
          <w:u w:val="single"/>
        </w:rPr>
        <w:t>天以上，双方应通过友好协商，确定是否继续履行合同。</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十</w:t>
      </w:r>
      <w:r>
        <w:rPr>
          <w:rFonts w:hint="eastAsia" w:ascii="宋体" w:hAnsi="宋体" w:cs="宋体"/>
          <w:b/>
          <w:bCs/>
          <w:color w:val="auto"/>
          <w:kern w:val="0"/>
          <w:szCs w:val="21"/>
          <w:highlight w:val="none"/>
          <w:lang w:val="en-US" w:eastAsia="zh-CN"/>
        </w:rPr>
        <w:t>六</w:t>
      </w:r>
      <w:r>
        <w:rPr>
          <w:rFonts w:hint="eastAsia" w:ascii="宋体" w:hAnsi="宋体" w:cs="宋体"/>
          <w:b/>
          <w:bCs/>
          <w:color w:val="auto"/>
          <w:kern w:val="0"/>
          <w:szCs w:val="21"/>
          <w:highlight w:val="none"/>
        </w:rPr>
        <w:t>、争议解决与诉讼</w:t>
      </w:r>
    </w:p>
    <w:p>
      <w:pPr>
        <w:spacing w:line="360" w:lineRule="auto"/>
        <w:ind w:firstLine="405" w:firstLineChars="193"/>
        <w:rPr>
          <w:rFonts w:ascii="宋体" w:hAnsi="宋体" w:cs="宋体"/>
          <w:color w:val="auto"/>
          <w:kern w:val="0"/>
          <w:szCs w:val="21"/>
          <w:highlight w:val="none"/>
          <w:u w:val="singl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双方在执行合同中所发生的一切争议，应通过协商解决。如协商不成，可向合同签订地法院起诉，合同签订地在此约定为浙江省杭州市滨江区 。</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十</w:t>
      </w:r>
      <w:r>
        <w:rPr>
          <w:rFonts w:hint="eastAsia" w:ascii="宋体" w:hAnsi="宋体" w:cs="宋体"/>
          <w:b/>
          <w:bCs/>
          <w:color w:val="auto"/>
          <w:kern w:val="0"/>
          <w:szCs w:val="21"/>
          <w:highlight w:val="none"/>
          <w:lang w:val="en-US" w:eastAsia="zh-CN"/>
        </w:rPr>
        <w:t>七</w:t>
      </w:r>
      <w:r>
        <w:rPr>
          <w:rFonts w:hint="eastAsia" w:ascii="宋体" w:hAnsi="宋体" w:cs="宋体"/>
          <w:b/>
          <w:bCs/>
          <w:color w:val="auto"/>
          <w:kern w:val="0"/>
          <w:szCs w:val="21"/>
          <w:highlight w:val="none"/>
        </w:rPr>
        <w:t>、合同生效及其它</w:t>
      </w:r>
    </w:p>
    <w:p>
      <w:pPr>
        <w:spacing w:line="360" w:lineRule="auto"/>
        <w:ind w:firstLine="405" w:firstLineChars="193"/>
        <w:rPr>
          <w:rFonts w:ascii="宋体" w:hAnsi="宋体" w:cs="宋体"/>
          <w:color w:val="auto"/>
          <w:kern w:val="0"/>
          <w:szCs w:val="21"/>
          <w:highlight w:val="none"/>
          <w:u w:val="singl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合同经双方法定代表人或授权委托代理人签字并加盖单位公章后生效。</w:t>
      </w:r>
    </w:p>
    <w:p>
      <w:pPr>
        <w:spacing w:line="360" w:lineRule="auto"/>
        <w:ind w:firstLine="405" w:firstLineChars="193"/>
        <w:rPr>
          <w:rFonts w:ascii="宋体" w:hAnsi="宋体" w:cs="宋体"/>
          <w:color w:val="auto"/>
          <w:kern w:val="0"/>
          <w:szCs w:val="21"/>
          <w:highlight w:val="none"/>
          <w:u w:val="singl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.2</w:t>
      </w:r>
      <w:r>
        <w:rPr>
          <w:rFonts w:hint="eastAsia" w:ascii="宋体" w:hAnsi="宋体" w:cs="宋体"/>
          <w:color w:val="auto"/>
          <w:kern w:val="0"/>
          <w:szCs w:val="21"/>
          <w:highlight w:val="none"/>
          <w:u w:val="single"/>
        </w:rPr>
        <w:t>合同执行中涉及招标资金和招标内容修改或补充的，需经甲方审批，并签书面补充协议报甲方监督管理部门备案，方可作为主合同不可分割的一部分。</w:t>
      </w:r>
    </w:p>
    <w:p>
      <w:pPr>
        <w:spacing w:line="360" w:lineRule="auto"/>
        <w:ind w:firstLine="405" w:firstLineChars="193"/>
        <w:rPr>
          <w:rFonts w:ascii="宋体" w:hAnsi="宋体" w:cs="宋体"/>
          <w:color w:val="auto"/>
          <w:kern w:val="0"/>
          <w:szCs w:val="21"/>
          <w:highlight w:val="none"/>
          <w:u w:val="singl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.3</w:t>
      </w:r>
      <w:r>
        <w:rPr>
          <w:rFonts w:hint="eastAsia" w:ascii="宋体" w:hAnsi="宋体" w:cs="宋体"/>
          <w:color w:val="auto"/>
          <w:kern w:val="0"/>
          <w:szCs w:val="21"/>
          <w:highlight w:val="none"/>
          <w:u w:val="single"/>
        </w:rPr>
        <w:t>本合同未尽事宜，双方可以以另行签订补充协议或其他文件的形式确定，补充协议或其他文件构成本合同不可分割的一部分，与本合同具有同等效力。</w:t>
      </w:r>
    </w:p>
    <w:p>
      <w:pPr>
        <w:spacing w:line="360" w:lineRule="auto"/>
        <w:ind w:firstLine="405" w:firstLineChars="193"/>
        <w:rPr>
          <w:rFonts w:ascii="宋体" w:hAnsi="宋体" w:cs="宋体"/>
          <w:color w:val="auto"/>
          <w:kern w:val="0"/>
          <w:szCs w:val="21"/>
          <w:highlight w:val="none"/>
          <w:u w:val="singl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.4</w:t>
      </w:r>
      <w:r>
        <w:rPr>
          <w:rFonts w:hint="eastAsia" w:ascii="宋体" w:hAnsi="宋体" w:cs="宋体"/>
          <w:color w:val="auto"/>
          <w:kern w:val="0"/>
          <w:szCs w:val="21"/>
          <w:highlight w:val="none"/>
          <w:u w:val="single"/>
        </w:rPr>
        <w:t>本合同一式  陆 份，具有同等法律效力，双方各执  叁 份。</w:t>
      </w:r>
    </w:p>
    <w:p>
      <w:pPr>
        <w:snapToGrid w:val="0"/>
        <w:spacing w:line="360" w:lineRule="auto"/>
        <w:ind w:firstLine="480" w:firstLineChars="200"/>
        <w:rPr>
          <w:rFonts w:ascii="宋体" w:hAnsi="宋体" w:cs="宋体"/>
          <w:color w:val="auto"/>
          <w:sz w:val="24"/>
          <w:highlight w:val="none"/>
        </w:rPr>
      </w:pPr>
    </w:p>
    <w:p>
      <w:pPr>
        <w:snapToGrid w:val="0"/>
        <w:spacing w:line="360" w:lineRule="auto"/>
        <w:ind w:firstLine="480" w:firstLineChars="200"/>
        <w:rPr>
          <w:rFonts w:ascii="宋体" w:hAnsi="宋体" w:cs="宋体"/>
          <w:color w:val="auto"/>
          <w:sz w:val="24"/>
          <w:highlight w:val="none"/>
        </w:rPr>
      </w:pPr>
    </w:p>
    <w:tbl>
      <w:tblPr>
        <w:tblStyle w:val="62"/>
        <w:tblW w:w="0" w:type="auto"/>
        <w:tblInd w:w="426" w:type="dxa"/>
        <w:tblLayout w:type="fixed"/>
        <w:tblCellMar>
          <w:top w:w="0" w:type="dxa"/>
          <w:left w:w="108" w:type="dxa"/>
          <w:bottom w:w="0" w:type="dxa"/>
          <w:right w:w="108" w:type="dxa"/>
        </w:tblCellMar>
      </w:tblPr>
      <w:tblGrid>
        <w:gridCol w:w="3955"/>
        <w:gridCol w:w="4101"/>
      </w:tblGrid>
      <w:tr>
        <w:tblPrEx>
          <w:tblCellMar>
            <w:top w:w="0" w:type="dxa"/>
            <w:left w:w="108" w:type="dxa"/>
            <w:bottom w:w="0" w:type="dxa"/>
            <w:right w:w="108" w:type="dxa"/>
          </w:tblCellMar>
        </w:tblPrEx>
        <w:trPr>
          <w:trHeight w:val="1306" w:hRule="atLeast"/>
        </w:trPr>
        <w:tc>
          <w:tcPr>
            <w:tcW w:w="3955" w:type="dxa"/>
          </w:tcPr>
          <w:p>
            <w:pPr>
              <w:spacing w:line="480" w:lineRule="auto"/>
              <w:ind w:firstLine="482" w:firstLineChars="200"/>
              <w:rPr>
                <w:rFonts w:ascii="宋体" w:hAnsi="宋体" w:cs="宋体"/>
                <w:b/>
                <w:bCs/>
                <w:color w:val="auto"/>
                <w:sz w:val="24"/>
                <w:highlight w:val="none"/>
              </w:rPr>
            </w:pP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甲    方(盖章)：</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授权代表(签字)： </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地  址：</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邮  编：</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电  话：</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传  真：</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开户银行：</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账  号：</w:t>
            </w:r>
          </w:p>
          <w:p>
            <w:pPr>
              <w:spacing w:line="480" w:lineRule="auto"/>
              <w:ind w:firstLine="482" w:firstLineChars="200"/>
              <w:rPr>
                <w:rFonts w:ascii="宋体" w:hAnsi="宋体" w:cs="宋体"/>
                <w:b/>
                <w:bCs/>
                <w:color w:val="auto"/>
                <w:sz w:val="24"/>
                <w:highlight w:val="none"/>
              </w:rPr>
            </w:pPr>
          </w:p>
        </w:tc>
        <w:tc>
          <w:tcPr>
            <w:tcW w:w="4101" w:type="dxa"/>
          </w:tcPr>
          <w:p>
            <w:pPr>
              <w:spacing w:line="480" w:lineRule="auto"/>
              <w:ind w:firstLine="482" w:firstLineChars="200"/>
              <w:rPr>
                <w:rFonts w:ascii="宋体" w:hAnsi="宋体" w:cs="宋体"/>
                <w:b/>
                <w:bCs/>
                <w:color w:val="auto"/>
                <w:sz w:val="24"/>
                <w:highlight w:val="none"/>
              </w:rPr>
            </w:pP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乙    方(盖章)：</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授权代表(签字)： </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地  址：</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邮  编：</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电  话：</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传  真：</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开户银行：</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账  号：</w:t>
            </w:r>
          </w:p>
          <w:p>
            <w:pPr>
              <w:spacing w:line="480" w:lineRule="auto"/>
              <w:ind w:firstLine="482" w:firstLineChars="200"/>
              <w:rPr>
                <w:rFonts w:ascii="宋体" w:hAnsi="宋体" w:cs="宋体"/>
                <w:b/>
                <w:bCs/>
                <w:color w:val="auto"/>
                <w:sz w:val="24"/>
                <w:highlight w:val="none"/>
              </w:rPr>
            </w:pPr>
          </w:p>
        </w:tc>
      </w:tr>
    </w:tbl>
    <w:p>
      <w:pPr>
        <w:snapToGrid w:val="0"/>
        <w:spacing w:line="300" w:lineRule="auto"/>
        <w:ind w:firstLine="4239" w:firstLineChars="1508"/>
        <w:rPr>
          <w:rFonts w:ascii="仿宋" w:hAnsi="仿宋" w:eastAsia="仿宋" w:cs="仿宋"/>
          <w:b/>
          <w:color w:val="auto"/>
          <w:sz w:val="28"/>
          <w:szCs w:val="28"/>
          <w:highlight w:val="none"/>
        </w:rPr>
      </w:pPr>
    </w:p>
    <w:p>
      <w:pPr>
        <w:rPr>
          <w:rFonts w:ascii="仿宋_GB2312" w:hAnsi="仿宋" w:eastAsia="仿宋_GB2312"/>
          <w:color w:val="auto"/>
          <w:sz w:val="24"/>
          <w:highlight w:val="none"/>
        </w:rPr>
      </w:pPr>
      <w:r>
        <w:rPr>
          <w:rFonts w:ascii="仿宋_GB2312" w:hAnsi="仿宋" w:eastAsia="仿宋_GB2312"/>
          <w:color w:val="auto"/>
          <w:sz w:val="24"/>
          <w:highlight w:val="none"/>
        </w:rPr>
        <w:br w:type="page"/>
      </w:r>
    </w:p>
    <w:p>
      <w:pPr>
        <w:spacing w:line="360" w:lineRule="auto"/>
        <w:ind w:left="720" w:firstLine="723" w:firstLineChars="200"/>
        <w:outlineLvl w:val="0"/>
        <w:rPr>
          <w:rFonts w:ascii="仿宋_GB2312" w:hAnsi="仿宋" w:eastAsia="仿宋_GB2312" w:cs="仿宋_GB2312"/>
          <w:b/>
          <w:color w:val="auto"/>
          <w:sz w:val="36"/>
          <w:szCs w:val="20"/>
          <w:highlight w:val="none"/>
        </w:rPr>
      </w:pPr>
      <w:r>
        <w:rPr>
          <w:rFonts w:hint="eastAsia" w:ascii="仿宋_GB2312" w:hAnsi="仿宋" w:eastAsia="仿宋_GB2312" w:cs="仿宋_GB2312"/>
          <w:b/>
          <w:color w:val="auto"/>
          <w:sz w:val="36"/>
          <w:szCs w:val="20"/>
          <w:highlight w:val="none"/>
        </w:rPr>
        <w:t>第六部分</w:t>
      </w:r>
      <w:bookmarkEnd w:id="393"/>
      <w:r>
        <w:rPr>
          <w:rFonts w:hint="eastAsia" w:ascii="仿宋_GB2312" w:hAnsi="仿宋" w:eastAsia="仿宋_GB2312" w:cs="仿宋_GB2312"/>
          <w:b/>
          <w:color w:val="auto"/>
          <w:sz w:val="36"/>
          <w:szCs w:val="20"/>
          <w:highlight w:val="none"/>
        </w:rPr>
        <w:t xml:space="preserve"> </w:t>
      </w:r>
      <w:bookmarkEnd w:id="394"/>
      <w:r>
        <w:rPr>
          <w:rFonts w:hint="eastAsia" w:ascii="仿宋_GB2312" w:hAnsi="仿宋" w:eastAsia="仿宋_GB2312" w:cs="仿宋_GB2312"/>
          <w:b/>
          <w:color w:val="auto"/>
          <w:sz w:val="36"/>
          <w:szCs w:val="20"/>
          <w:highlight w:val="none"/>
        </w:rPr>
        <w:t>应提交的有关格式范例</w:t>
      </w: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（1）符合参加政府采购活动应当具备的一般条件的承诺函……………（页码）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（2）落实政府采购政策需满足的资格要求………………………………（页码）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（3）本项目的特定资格要求………………………………………………（页码）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color w:val="auto"/>
          <w:kern w:val="0"/>
          <w:sz w:val="24"/>
          <w:highlight w:val="none"/>
        </w:rPr>
        <w:br w:type="page"/>
      </w:r>
      <w:r>
        <w:rPr>
          <w:rFonts w:hint="eastAsia" w:ascii="仿宋_GB2312" w:hAnsi="仿宋" w:eastAsia="仿宋_GB2312" w:cs="仿宋_GB2312"/>
          <w:b/>
          <w:color w:val="auto"/>
          <w:kern w:val="0"/>
          <w:sz w:val="32"/>
          <w:szCs w:val="32"/>
          <w:highlight w:val="none"/>
        </w:rPr>
        <w:t xml:space="preserve">  一、符合参加政府采购活动应当具备的一般条件的承诺函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1、具有独立承担民事责任的能力，营业执照（复印件）；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2、具有良好的商业信誉和健全的财务会计制度；</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3、具有履行合同所必需的场地、设备和专业技术能力；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w:t>
      </w:r>
      <w:r>
        <w:rPr>
          <w:rFonts w:hint="eastAsia" w:ascii="仿宋_GB2312" w:hAnsi="仿宋" w:eastAsia="仿宋_GB2312"/>
          <w:color w:val="auto"/>
          <w:sz w:val="24"/>
          <w:highlight w:val="none"/>
        </w:rPr>
        <w:t>名单</w:t>
      </w:r>
      <w:r>
        <w:rPr>
          <w:rFonts w:ascii="仿宋_GB2312" w:hAnsi="仿宋" w:eastAsia="仿宋_GB2312"/>
          <w:color w:val="auto"/>
          <w:sz w:val="24"/>
          <w:highlight w:val="none"/>
        </w:rPr>
        <w:t>、重大税收违法案件当事人名单、政府采购严重违法失信行为记录名单。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numPr>
          <w:ilvl w:val="0"/>
          <w:numId w:val="5"/>
        </w:numPr>
        <w:snapToGrid w:val="0"/>
        <w:spacing w:before="50" w:after="50" w:line="360" w:lineRule="auto"/>
        <w:ind w:firstLine="470" w:firstLineChars="196"/>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p>
    <w:p>
      <w:pPr>
        <w:snapToGrid w:val="0"/>
        <w:spacing w:before="50" w:after="50" w:line="360" w:lineRule="auto"/>
        <w:jc w:val="left"/>
        <w:rPr>
          <w:rFonts w:ascii="仿宋_GB2312" w:hAnsi="仿宋" w:eastAsia="仿宋_GB2312" w:cs="仿宋_GB2312"/>
          <w:color w:val="auto"/>
          <w:sz w:val="24"/>
          <w:highlight w:val="none"/>
        </w:rPr>
      </w:pPr>
      <w:r>
        <w:rPr>
          <w:rFonts w:hint="eastAsia" w:ascii="仿宋_GB2312" w:hAnsi="仿宋" w:eastAsia="仿宋_GB2312" w:cs="仿宋_GB2312"/>
          <w:b/>
          <w:color w:val="auto"/>
          <w:sz w:val="24"/>
          <w:highlight w:val="none"/>
        </w:rPr>
        <w:t xml:space="preserve">  </w:t>
      </w: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授权代表根据招标文件规定及投标内容而对采购人、采购机构所作的任何合法承诺，包括书面澄清及响应等均对联合投标各方产生约束力。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olor w:val="auto"/>
          <w:sz w:val="24"/>
          <w:highlight w:val="none"/>
        </w:rPr>
        <w:t>其中</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XX工作内容</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4"/>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color w:val="auto"/>
          <w:highlight w:val="none"/>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highlight w:val="none"/>
        </w:rPr>
      </w:pPr>
    </w:p>
    <w:p>
      <w:pPr>
        <w:widowControl/>
        <w:jc w:val="left"/>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br w:type="page"/>
      </w:r>
    </w:p>
    <w:p>
      <w:pPr>
        <w:spacing w:line="360" w:lineRule="auto"/>
        <w:ind w:right="420"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3）联合协议</w:t>
      </w:r>
      <w:r>
        <w:rPr>
          <w:rFonts w:hint="eastAsia" w:ascii="仿宋_GB2312" w:hAnsi="仿宋" w:eastAsia="仿宋_GB2312" w:cs="仿宋_GB2312"/>
          <w:color w:val="auto"/>
          <w:sz w:val="24"/>
          <w:highlight w:val="none"/>
        </w:rPr>
        <w:t>（如果有）</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）分包意向协议</w:t>
      </w:r>
      <w:r>
        <w:rPr>
          <w:rFonts w:hint="eastAsia" w:ascii="仿宋_GB2312" w:hAnsi="仿宋" w:eastAsia="仿宋_GB2312" w:cs="仿宋_GB2312"/>
          <w:color w:val="auto"/>
          <w:sz w:val="24"/>
          <w:highlight w:val="none"/>
        </w:rPr>
        <w:t>（如果有）</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（5</w:t>
      </w:r>
      <w:r>
        <w:rPr>
          <w:rFonts w:ascii="仿宋_GB2312" w:hAnsi="仿宋" w:eastAsia="仿宋_GB2312" w:cs="仿宋_GB2312"/>
          <w:color w:val="auto"/>
          <w:sz w:val="24"/>
          <w:highlight w:val="none"/>
        </w:rPr>
        <w:t>）符合性审查资料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（6</w:t>
      </w:r>
      <w:r>
        <w:rPr>
          <w:rFonts w:ascii="仿宋_GB2312" w:hAnsi="仿宋" w:eastAsia="仿宋_GB2312" w:cs="仿宋_GB2312"/>
          <w:color w:val="auto"/>
          <w:sz w:val="24"/>
          <w:highlight w:val="none"/>
        </w:rPr>
        <w:t>）评标标准相应的商务技术资料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（7</w:t>
      </w:r>
      <w:r>
        <w:rPr>
          <w:rFonts w:ascii="仿宋_GB2312" w:hAnsi="仿宋" w:eastAsia="仿宋_GB2312" w:cs="仿宋_GB2312"/>
          <w:color w:val="auto"/>
          <w:sz w:val="24"/>
          <w:highlight w:val="none"/>
        </w:rPr>
        <w:t>）商务技术偏离表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420" w:lineRule="exact"/>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420" w:lineRule="exac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42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】招标的有关活动，并对此项目进行投标。为此：</w:t>
      </w:r>
    </w:p>
    <w:p>
      <w:pPr>
        <w:snapToGrid w:val="0"/>
        <w:spacing w:line="42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42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42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pPr>
        <w:snapToGrid w:val="0"/>
        <w:spacing w:line="420" w:lineRule="exact"/>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pPr>
        <w:snapToGrid w:val="0"/>
        <w:spacing w:line="420" w:lineRule="exact"/>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42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pPr>
        <w:snapToGrid w:val="0"/>
        <w:spacing w:line="42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42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42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4.1在收到中标通知书后，在中标通知书规定的期限内与你方签订合同；</w:t>
      </w:r>
    </w:p>
    <w:p>
      <w:pPr>
        <w:snapToGrid w:val="0"/>
        <w:spacing w:line="42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4.2在签订合同时不向你方提出附加条件；</w:t>
      </w:r>
    </w:p>
    <w:p>
      <w:pPr>
        <w:snapToGrid w:val="0"/>
        <w:spacing w:line="42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4.3按照招标文件要求提交履约保证金；</w:t>
      </w:r>
    </w:p>
    <w:p>
      <w:pPr>
        <w:snapToGrid w:val="0"/>
        <w:spacing w:line="42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4.4在合同约定的期限内完成合同规定的全部义务。</w:t>
      </w:r>
    </w:p>
    <w:p>
      <w:pPr>
        <w:snapToGrid w:val="0"/>
        <w:spacing w:line="42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pacing w:line="420" w:lineRule="exact"/>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pacing w:line="42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授权委托书（适用于联合体投标）</w:t>
      </w:r>
    </w:p>
    <w:p>
      <w:pPr>
        <w:pStyle w:val="4"/>
        <w:rPr>
          <w:color w:val="auto"/>
          <w:highlight w:val="none"/>
        </w:rPr>
      </w:pPr>
    </w:p>
    <w:p>
      <w:pPr>
        <w:snapToGrid w:val="0"/>
        <w:spacing w:line="360" w:lineRule="auto"/>
        <w:rPr>
          <w:rFonts w:ascii="仿宋" w:hAnsi="仿宋" w:eastAsia="仿宋" w:cs="仿宋"/>
          <w:color w:val="auto"/>
          <w:kern w:val="0"/>
          <w:sz w:val="24"/>
          <w:highlight w:val="none"/>
        </w:rPr>
      </w:pPr>
      <w:r>
        <w:rPr>
          <w:rFonts w:hint="eastAsia" w:ascii="宋体" w:hAnsi="宋体" w:cs="宋体"/>
          <w:color w:val="auto"/>
          <w:sz w:val="24"/>
          <w:highlight w:val="none"/>
        </w:rPr>
        <w:t>（采购人）、（采</w:t>
      </w:r>
      <w:r>
        <w:rPr>
          <w:rFonts w:hint="eastAsia" w:ascii="仿宋" w:hAnsi="仿宋" w:eastAsia="仿宋" w:cs="仿宋"/>
          <w:color w:val="auto"/>
          <w:sz w:val="24"/>
          <w:highlight w:val="none"/>
        </w:rPr>
        <w:t>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rPr>
          <w:rFonts w:ascii="仿宋" w:hAnsi="仿宋" w:eastAsia="仿宋" w:cs="仿宋"/>
          <w:color w:val="auto"/>
          <w:highlight w:val="none"/>
        </w:rPr>
      </w:pP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autoSpaceDE w:val="0"/>
        <w:autoSpaceDN w:val="0"/>
        <w:spacing w:line="360" w:lineRule="auto"/>
        <w:jc w:val="center"/>
        <w:rPr>
          <w:rFonts w:ascii="仿宋_GB2312" w:hAnsi="仿宋" w:eastAsia="仿宋_GB2312" w:cs="仿宋_GB2312"/>
          <w:b/>
          <w:color w:val="auto"/>
          <w:kern w:val="0"/>
          <w:sz w:val="32"/>
          <w:szCs w:val="32"/>
          <w:highlight w:val="none"/>
          <w:lang w:val="zh-CN"/>
        </w:rPr>
      </w:pP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146"/>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146"/>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法定代表人、单位负责人或自然人本人和受委托人</w:t>
      </w:r>
      <w:r>
        <w:rPr>
          <w:rFonts w:hint="eastAsia" w:ascii="仿宋_GB2312" w:hAnsi="仿宋" w:eastAsia="仿宋_GB2312" w:cs="仿宋_GB2312"/>
          <w:b/>
          <w:color w:val="auto"/>
          <w:sz w:val="30"/>
          <w:szCs w:val="30"/>
          <w:highlight w:val="none"/>
        </w:rPr>
        <w:t>的身份证明（适用于法定代表人、单位负责人或者自然人本人委托他人代表投标人参加投标）</w:t>
      </w:r>
    </w:p>
    <w:p>
      <w:pPr>
        <w:pStyle w:val="146"/>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委托人身份证件扫描件：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146"/>
              <w:adjustRightInd w:val="0"/>
              <w:spacing w:line="360" w:lineRule="auto"/>
              <w:rPr>
                <w:rFonts w:ascii="仿宋_GB2312" w:hAnsi="仿宋" w:eastAsia="仿宋_GB2312"/>
                <w:bCs/>
                <w:color w:val="auto"/>
                <w:sz w:val="24"/>
                <w:highlight w:val="none"/>
              </w:rPr>
            </w:pPr>
          </w:p>
        </w:tc>
      </w:tr>
    </w:tbl>
    <w:p>
      <w:pPr>
        <w:pStyle w:val="146"/>
        <w:spacing w:line="360" w:lineRule="auto"/>
        <w:rPr>
          <w:rFonts w:ascii="仿宋_GB2312" w:hAnsi="仿宋" w:eastAsia="仿宋_GB2312"/>
          <w:bCs/>
          <w:color w:val="auto"/>
          <w:sz w:val="24"/>
          <w:highlight w:val="none"/>
        </w:rPr>
      </w:pPr>
      <w:r>
        <w:rPr>
          <w:rFonts w:ascii="仿宋_GB2312" w:hAnsi="仿宋" w:eastAsia="仿宋_GB2312" w:cs="仿宋_GB2312"/>
          <w:color w:val="auto"/>
          <w:kern w:val="0"/>
          <w:sz w:val="24"/>
          <w:highlight w:val="none"/>
          <w:lang w:val="zh-CN"/>
        </w:rPr>
        <w:t>受委托人</w:t>
      </w:r>
      <w:r>
        <w:rPr>
          <w:rFonts w:hint="eastAsia" w:ascii="仿宋_GB2312" w:hAnsi="仿宋" w:eastAsia="仿宋_GB2312"/>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146"/>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投标人名称(电子签名)：</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日期：  年  月  日</w:t>
      </w:r>
    </w:p>
    <w:p>
      <w:pPr>
        <w:jc w:val="left"/>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三、联合协议（如果有）</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授权代表根据招标文件规定及投标内容而对采购人、采购机构所作的任何合法承诺，包括书面澄清及响应等均对联合投标各方产生约束力。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jc w:val="left"/>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napToGrid w:val="0"/>
        <w:spacing w:line="360" w:lineRule="auto"/>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四、分包意向协议（如果有）</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XX工作内容</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4"/>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color w:val="auto"/>
          <w:highlight w:val="none"/>
        </w:rPr>
      </w:pPr>
      <w:r>
        <w:rPr>
          <w:rFonts w:ascii="仿宋_GB2312" w:hAnsi="仿宋" w:eastAsia="仿宋_GB2312" w:cs="仿宋_GB2312"/>
          <w:color w:val="auto"/>
          <w:kern w:val="0"/>
          <w:sz w:val="24"/>
          <w:highlight w:val="none"/>
          <w:lang w:val="zh-CN"/>
        </w:rPr>
        <w:t xml:space="preserve">                                        日期：  年  月   日</w:t>
      </w:r>
    </w:p>
    <w:p>
      <w:pPr>
        <w:jc w:val="left"/>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jc w:val="center"/>
        <w:rPr>
          <w:rFonts w:ascii="仿宋_GB2312" w:hAnsi="仿宋" w:eastAsia="仿宋_GB2312" w:cs="仿宋_GB2312"/>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1</w:t>
            </w:r>
          </w:p>
        </w:tc>
        <w:tc>
          <w:tcPr>
            <w:tcW w:w="4991" w:type="dxa"/>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4991" w:type="dxa"/>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418" w:type="dxa"/>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4"/>
              <w:rPr>
                <w:color w:val="auto"/>
                <w:highlight w:val="none"/>
                <w:lang w:val="en-US"/>
              </w:rPr>
            </w:pPr>
            <w:r>
              <w:rPr>
                <w:rFonts w:hint="eastAsia" w:ascii="仿宋" w:eastAsia="仿宋" w:cs="仿宋_GB2312"/>
                <w:b w:val="0"/>
                <w:bCs w:val="0"/>
                <w:color w:val="auto"/>
                <w:sz w:val="24"/>
                <w:szCs w:val="24"/>
                <w:highlight w:val="none"/>
                <w:lang w:val="en-US"/>
              </w:rPr>
              <w:t>第</w:t>
            </w:r>
            <w:r>
              <w:rPr>
                <w:rFonts w:ascii="仿宋" w:eastAsia="仿宋" w:cs="仿宋_GB2312"/>
                <w:b w:val="0"/>
                <w:bCs w:val="0"/>
                <w:color w:val="auto"/>
                <w:sz w:val="24"/>
                <w:szCs w:val="24"/>
                <w:highlight w:val="none"/>
                <w:u w:val="single"/>
                <w:lang w:val="en-US"/>
              </w:rPr>
              <w:t xml:space="preserve">  </w:t>
            </w:r>
            <w:r>
              <w:rPr>
                <w:rFonts w:hint="eastAsia" w:ascii="仿宋" w:eastAsia="仿宋" w:cs="仿宋_GB2312"/>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3</w:t>
            </w:r>
          </w:p>
        </w:tc>
        <w:tc>
          <w:tcPr>
            <w:tcW w:w="4991" w:type="dxa"/>
          </w:tcPr>
          <w:p>
            <w:pP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4</w:t>
            </w:r>
          </w:p>
        </w:tc>
        <w:tc>
          <w:tcPr>
            <w:tcW w:w="4991" w:type="dxa"/>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（按招标文件第四部分评标办法前附表中“投标文件中评标标准相应的商务技术资料”提供资料）</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2）中小企业声明函…………………………………………………………………</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rPr>
        <w:t>（项目名称）</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62"/>
        <w:tblW w:w="1431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309"/>
        <w:gridCol w:w="1843"/>
        <w:gridCol w:w="2836"/>
        <w:gridCol w:w="2245"/>
        <w:gridCol w:w="2573"/>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392"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1309"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1843" w:type="dxa"/>
          </w:tcPr>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品牌（如果有）</w:t>
            </w:r>
          </w:p>
        </w:tc>
        <w:tc>
          <w:tcPr>
            <w:tcW w:w="2836" w:type="dxa"/>
            <w:vAlign w:val="center"/>
          </w:tcPr>
          <w:p>
            <w:pPr>
              <w:spacing w:line="360" w:lineRule="auto"/>
              <w:jc w:val="center"/>
              <w:rPr>
                <w:rFonts w:hint="default" w:ascii="仿宋_GB2312" w:hAnsi="仿宋" w:eastAsia="仿宋_GB2312" w:cs="仿宋_GB2312"/>
                <w:b/>
                <w:color w:val="auto"/>
                <w:sz w:val="24"/>
                <w:highlight w:val="none"/>
                <w:lang w:val="en-US" w:eastAsia="zh-CN"/>
              </w:rPr>
            </w:pPr>
            <w:r>
              <w:rPr>
                <w:rFonts w:hint="eastAsia" w:ascii="仿宋_GB2312" w:hAnsi="仿宋" w:eastAsia="仿宋_GB2312"/>
                <w:b/>
                <w:color w:val="auto"/>
                <w:sz w:val="24"/>
                <w:highlight w:val="none"/>
                <w:lang w:val="en-US" w:eastAsia="zh-CN"/>
              </w:rPr>
              <w:t>服务内容</w:t>
            </w:r>
          </w:p>
        </w:tc>
        <w:tc>
          <w:tcPr>
            <w:tcW w:w="2245" w:type="dxa"/>
            <w:vAlign w:val="center"/>
          </w:tcPr>
          <w:p>
            <w:pPr>
              <w:spacing w:line="360" w:lineRule="auto"/>
              <w:jc w:val="center"/>
              <w:rPr>
                <w:rFonts w:hint="default" w:ascii="仿宋_GB2312" w:hAnsi="仿宋" w:eastAsia="仿宋_GB2312" w:cs="仿宋_GB2312"/>
                <w:b/>
                <w:color w:val="auto"/>
                <w:sz w:val="24"/>
                <w:highlight w:val="none"/>
                <w:lang w:val="en-US" w:eastAsia="zh-CN"/>
              </w:rPr>
            </w:pPr>
            <w:r>
              <w:rPr>
                <w:rFonts w:hint="eastAsia" w:ascii="仿宋_GB2312" w:hAnsi="仿宋" w:eastAsia="仿宋_GB2312"/>
                <w:b/>
                <w:color w:val="auto"/>
                <w:sz w:val="24"/>
                <w:highlight w:val="none"/>
              </w:rPr>
              <w:t>数量</w:t>
            </w:r>
            <w:r>
              <w:rPr>
                <w:rFonts w:hint="eastAsia" w:ascii="仿宋_GB2312" w:hAnsi="仿宋" w:eastAsia="仿宋_GB2312"/>
                <w:b/>
                <w:color w:val="auto"/>
                <w:sz w:val="24"/>
                <w:highlight w:val="none"/>
                <w:lang w:val="en-US" w:eastAsia="zh-CN"/>
              </w:rPr>
              <w:t>/人数</w:t>
            </w:r>
          </w:p>
        </w:tc>
        <w:tc>
          <w:tcPr>
            <w:tcW w:w="2573"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总价</w:t>
            </w:r>
          </w:p>
        </w:tc>
        <w:tc>
          <w:tcPr>
            <w:tcW w:w="3119" w:type="dxa"/>
            <w:vAlign w:val="center"/>
          </w:tcPr>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服务要求（年限）</w:t>
            </w:r>
          </w:p>
          <w:p>
            <w:pPr>
              <w:spacing w:line="360" w:lineRule="auto"/>
              <w:jc w:val="center"/>
              <w:rPr>
                <w:rFonts w:ascii="仿宋_GB2312" w:hAnsi="仿宋" w:eastAsia="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2" w:type="dxa"/>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309" w:type="dxa"/>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人员清单</w:t>
            </w: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2836" w:type="dxa"/>
            <w:vAlign w:val="center"/>
          </w:tcPr>
          <w:p>
            <w:pPr>
              <w:snapToGrid w:val="0"/>
              <w:spacing w:line="360" w:lineRule="auto"/>
              <w:jc w:val="center"/>
              <w:rPr>
                <w:rFonts w:ascii="仿宋_GB2312" w:hAnsi="仿宋" w:eastAsia="仿宋_GB2312" w:cs="仿宋_GB2312"/>
                <w:color w:val="auto"/>
                <w:sz w:val="24"/>
                <w:highlight w:val="none"/>
              </w:rPr>
            </w:pPr>
          </w:p>
        </w:tc>
        <w:tc>
          <w:tcPr>
            <w:tcW w:w="2245" w:type="dxa"/>
            <w:vAlign w:val="center"/>
          </w:tcPr>
          <w:p>
            <w:pPr>
              <w:snapToGrid w:val="0"/>
              <w:spacing w:line="360" w:lineRule="auto"/>
              <w:jc w:val="center"/>
              <w:rPr>
                <w:rFonts w:ascii="仿宋_GB2312" w:hAnsi="仿宋" w:eastAsia="仿宋_GB2312" w:cs="仿宋_GB2312"/>
                <w:color w:val="auto"/>
                <w:sz w:val="24"/>
                <w:highlight w:val="none"/>
              </w:rPr>
            </w:pPr>
          </w:p>
        </w:tc>
        <w:tc>
          <w:tcPr>
            <w:tcW w:w="2573"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92" w:type="dxa"/>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309" w:type="dxa"/>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常用设备清单</w:t>
            </w: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2836" w:type="dxa"/>
            <w:vAlign w:val="center"/>
          </w:tcPr>
          <w:p>
            <w:pPr>
              <w:snapToGrid w:val="0"/>
              <w:spacing w:line="360" w:lineRule="auto"/>
              <w:jc w:val="center"/>
              <w:rPr>
                <w:rFonts w:ascii="仿宋_GB2312" w:hAnsi="仿宋" w:eastAsia="仿宋_GB2312" w:cs="仿宋_GB2312"/>
                <w:color w:val="auto"/>
                <w:sz w:val="24"/>
                <w:highlight w:val="none"/>
              </w:rPr>
            </w:pPr>
          </w:p>
        </w:tc>
        <w:tc>
          <w:tcPr>
            <w:tcW w:w="2245" w:type="dxa"/>
            <w:vAlign w:val="center"/>
          </w:tcPr>
          <w:p>
            <w:pPr>
              <w:snapToGrid w:val="0"/>
              <w:spacing w:line="360" w:lineRule="auto"/>
              <w:jc w:val="center"/>
              <w:rPr>
                <w:rFonts w:ascii="仿宋_GB2312" w:hAnsi="仿宋" w:eastAsia="仿宋_GB2312" w:cs="仿宋_GB2312"/>
                <w:color w:val="auto"/>
                <w:sz w:val="24"/>
                <w:highlight w:val="none"/>
              </w:rPr>
            </w:pPr>
          </w:p>
        </w:tc>
        <w:tc>
          <w:tcPr>
            <w:tcW w:w="2573"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92" w:type="dxa"/>
            <w:vAlign w:val="center"/>
          </w:tcPr>
          <w:p>
            <w:pPr>
              <w:spacing w:line="360" w:lineRule="auto"/>
              <w:jc w:val="center"/>
              <w:rPr>
                <w:rFonts w:hint="eastAsia"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3</w:t>
            </w:r>
          </w:p>
        </w:tc>
        <w:tc>
          <w:tcPr>
            <w:tcW w:w="1309" w:type="dxa"/>
            <w:vAlign w:val="center"/>
          </w:tcPr>
          <w:p>
            <w:pPr>
              <w:snapToGrid w:val="0"/>
              <w:spacing w:line="360" w:lineRule="auto"/>
              <w:jc w:val="center"/>
              <w:rPr>
                <w:rFonts w:hint="eastAsia"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2836" w:type="dxa"/>
            <w:vAlign w:val="center"/>
          </w:tcPr>
          <w:p>
            <w:pPr>
              <w:snapToGrid w:val="0"/>
              <w:spacing w:line="360" w:lineRule="auto"/>
              <w:jc w:val="center"/>
              <w:rPr>
                <w:rFonts w:ascii="仿宋_GB2312" w:hAnsi="仿宋" w:eastAsia="仿宋_GB2312" w:cs="仿宋_GB2312"/>
                <w:color w:val="auto"/>
                <w:sz w:val="24"/>
                <w:highlight w:val="none"/>
              </w:rPr>
            </w:pPr>
          </w:p>
        </w:tc>
        <w:tc>
          <w:tcPr>
            <w:tcW w:w="2245" w:type="dxa"/>
            <w:vAlign w:val="center"/>
          </w:tcPr>
          <w:p>
            <w:pPr>
              <w:snapToGrid w:val="0"/>
              <w:spacing w:line="360" w:lineRule="auto"/>
              <w:jc w:val="center"/>
              <w:rPr>
                <w:rFonts w:ascii="仿宋_GB2312" w:hAnsi="仿宋" w:eastAsia="仿宋_GB2312" w:cs="仿宋_GB2312"/>
                <w:color w:val="auto"/>
                <w:sz w:val="24"/>
                <w:highlight w:val="none"/>
              </w:rPr>
            </w:pPr>
          </w:p>
        </w:tc>
        <w:tc>
          <w:tcPr>
            <w:tcW w:w="2573"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92" w:type="dxa"/>
            <w:vAlign w:val="center"/>
          </w:tcPr>
          <w:p>
            <w:pPr>
              <w:spacing w:line="360" w:lineRule="auto"/>
              <w:jc w:val="center"/>
              <w:rPr>
                <w:rFonts w:hint="eastAsia"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4</w:t>
            </w:r>
          </w:p>
        </w:tc>
        <w:tc>
          <w:tcPr>
            <w:tcW w:w="1309" w:type="dxa"/>
            <w:vAlign w:val="center"/>
          </w:tcPr>
          <w:p>
            <w:pPr>
              <w:snapToGrid w:val="0"/>
              <w:spacing w:line="360" w:lineRule="auto"/>
              <w:jc w:val="center"/>
              <w:rPr>
                <w:rFonts w:hint="eastAsia"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2836" w:type="dxa"/>
            <w:vAlign w:val="center"/>
          </w:tcPr>
          <w:p>
            <w:pPr>
              <w:snapToGrid w:val="0"/>
              <w:spacing w:line="360" w:lineRule="auto"/>
              <w:jc w:val="center"/>
              <w:rPr>
                <w:rFonts w:ascii="仿宋_GB2312" w:hAnsi="仿宋" w:eastAsia="仿宋_GB2312" w:cs="仿宋_GB2312"/>
                <w:color w:val="auto"/>
                <w:sz w:val="24"/>
                <w:highlight w:val="none"/>
              </w:rPr>
            </w:pPr>
          </w:p>
        </w:tc>
        <w:tc>
          <w:tcPr>
            <w:tcW w:w="2245" w:type="dxa"/>
            <w:vAlign w:val="center"/>
          </w:tcPr>
          <w:p>
            <w:pPr>
              <w:snapToGrid w:val="0"/>
              <w:spacing w:line="360" w:lineRule="auto"/>
              <w:jc w:val="center"/>
              <w:rPr>
                <w:rFonts w:ascii="仿宋_GB2312" w:hAnsi="仿宋" w:eastAsia="仿宋_GB2312" w:cs="仿宋_GB2312"/>
                <w:color w:val="auto"/>
                <w:sz w:val="24"/>
                <w:highlight w:val="none"/>
              </w:rPr>
            </w:pPr>
          </w:p>
        </w:tc>
        <w:tc>
          <w:tcPr>
            <w:tcW w:w="2573"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380" w:type="dxa"/>
            <w:gridSpan w:val="4"/>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7937" w:type="dxa"/>
            <w:gridSpan w:val="3"/>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380" w:type="dxa"/>
            <w:gridSpan w:val="4"/>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投标报价（大写）</w:t>
            </w:r>
          </w:p>
        </w:tc>
        <w:tc>
          <w:tcPr>
            <w:tcW w:w="7937" w:type="dxa"/>
            <w:gridSpan w:val="3"/>
            <w:vAlign w:val="center"/>
          </w:tcPr>
          <w:p>
            <w:pPr>
              <w:spacing w:line="360" w:lineRule="auto"/>
              <w:jc w:val="center"/>
              <w:rPr>
                <w:rFonts w:ascii="仿宋_GB2312" w:hAnsi="仿宋" w:eastAsia="仿宋_GB2312" w:cs="仿宋_GB2312"/>
                <w:color w:val="auto"/>
                <w:sz w:val="24"/>
                <w:highlight w:val="none"/>
              </w:rPr>
            </w:pPr>
          </w:p>
        </w:tc>
      </w:tr>
    </w:tbl>
    <w:p>
      <w:pPr>
        <w:spacing w:line="360" w:lineRule="auto"/>
        <w:jc w:val="center"/>
        <w:rPr>
          <w:rFonts w:hint="eastAsia" w:ascii="仿宋_GB2312" w:hAnsi="仿宋" w:eastAsia="仿宋_GB2312" w:cs="仿宋_GB2312"/>
          <w:b/>
          <w:color w:val="auto"/>
          <w:kern w:val="0"/>
          <w:sz w:val="24"/>
          <w:highlight w:val="none"/>
          <w:lang w:val="en-US" w:eastAsia="zh-CN"/>
        </w:rPr>
      </w:pPr>
    </w:p>
    <w:p>
      <w:pPr>
        <w:spacing w:line="240" w:lineRule="auto"/>
        <w:jc w:val="left"/>
        <w:rPr>
          <w:rFonts w:hint="eastAsia" w:ascii="仿宋_GB2312" w:hAnsi="仿宋" w:eastAsia="仿宋_GB2312" w:cs="仿宋_GB2312"/>
          <w:b/>
          <w:color w:val="auto"/>
          <w:kern w:val="0"/>
          <w:sz w:val="24"/>
          <w:highlight w:val="none"/>
          <w:lang w:val="en-US" w:eastAsia="zh-CN"/>
        </w:rPr>
      </w:pPr>
      <w:r>
        <w:rPr>
          <w:rFonts w:hint="eastAsia" w:ascii="仿宋_GB2312" w:hAnsi="仿宋" w:eastAsia="仿宋_GB2312" w:cs="仿宋_GB2312"/>
          <w:b/>
          <w:color w:val="auto"/>
          <w:kern w:val="0"/>
          <w:sz w:val="24"/>
          <w:highlight w:val="none"/>
          <w:lang w:val="en-US" w:eastAsia="zh-CN"/>
        </w:rPr>
        <w:br w:type="page"/>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en-US" w:eastAsia="zh-CN"/>
        </w:rPr>
        <w:t>明细表</w:t>
      </w:r>
      <w:r>
        <w:rPr>
          <w:rFonts w:ascii="仿宋_GB2312" w:hAnsi="仿宋" w:eastAsia="仿宋_GB2312" w:cs="仿宋_GB2312"/>
          <w:b/>
          <w:color w:val="auto"/>
          <w:kern w:val="0"/>
          <w:sz w:val="24"/>
          <w:highlight w:val="none"/>
          <w:lang w:val="zh-CN"/>
        </w:rPr>
        <w:t>(单位均为人民币元)</w:t>
      </w:r>
    </w:p>
    <w:p>
      <w:pPr>
        <w:pStyle w:val="859"/>
        <w:ind w:firstLine="482"/>
        <w:rPr>
          <w:rFonts w:ascii="仿宋" w:hAnsi="仿宋" w:eastAsia="仿宋" w:cs="Times New Roman"/>
          <w:b/>
          <w:color w:val="auto"/>
          <w:kern w:val="0"/>
          <w:highlight w:val="none"/>
        </w:rPr>
      </w:pPr>
      <w:r>
        <w:rPr>
          <w:rFonts w:hint="eastAsia" w:ascii="仿宋" w:hAnsi="仿宋" w:eastAsia="仿宋" w:cs="Times New Roman"/>
          <w:b/>
          <w:color w:val="auto"/>
          <w:kern w:val="0"/>
          <w:highlight w:val="none"/>
        </w:rPr>
        <w:t>1、人员清单：限价6</w:t>
      </w:r>
      <w:r>
        <w:rPr>
          <w:rFonts w:hint="eastAsia" w:ascii="仿宋" w:hAnsi="仿宋" w:eastAsia="仿宋" w:cs="Times New Roman"/>
          <w:b/>
          <w:color w:val="auto"/>
          <w:kern w:val="0"/>
          <w:highlight w:val="none"/>
          <w:lang w:val="en-US" w:eastAsia="zh-CN"/>
        </w:rPr>
        <w:t>0</w:t>
      </w:r>
      <w:r>
        <w:rPr>
          <w:rFonts w:hint="eastAsia" w:ascii="仿宋" w:hAnsi="仿宋" w:eastAsia="仿宋" w:cs="Times New Roman"/>
          <w:b/>
          <w:color w:val="auto"/>
          <w:kern w:val="0"/>
          <w:highlight w:val="none"/>
        </w:rPr>
        <w:t>元/人/小时</w:t>
      </w:r>
    </w:p>
    <w:tbl>
      <w:tblPr>
        <w:tblStyle w:val="62"/>
        <w:tblW w:w="14215" w:type="dxa"/>
        <w:tblInd w:w="98" w:type="dxa"/>
        <w:tblLayout w:type="fixed"/>
        <w:tblCellMar>
          <w:top w:w="0" w:type="dxa"/>
          <w:left w:w="108" w:type="dxa"/>
          <w:bottom w:w="0" w:type="dxa"/>
          <w:right w:w="108" w:type="dxa"/>
        </w:tblCellMar>
      </w:tblPr>
      <w:tblGrid>
        <w:gridCol w:w="1159"/>
        <w:gridCol w:w="1160"/>
        <w:gridCol w:w="1161"/>
        <w:gridCol w:w="1160"/>
        <w:gridCol w:w="1160"/>
        <w:gridCol w:w="1791"/>
        <w:gridCol w:w="1386"/>
        <w:gridCol w:w="1080"/>
        <w:gridCol w:w="1386"/>
        <w:gridCol w:w="1386"/>
        <w:gridCol w:w="1386"/>
      </w:tblGrid>
      <w:tr>
        <w:tblPrEx>
          <w:tblCellMar>
            <w:top w:w="0" w:type="dxa"/>
            <w:left w:w="108" w:type="dxa"/>
            <w:bottom w:w="0" w:type="dxa"/>
            <w:right w:w="108" w:type="dxa"/>
          </w:tblCellMar>
        </w:tblPrEx>
        <w:trPr>
          <w:trHeight w:val="470" w:hRule="atLeast"/>
        </w:trPr>
        <w:tc>
          <w:tcPr>
            <w:tcW w:w="1159"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序号</w:t>
            </w:r>
          </w:p>
        </w:tc>
        <w:tc>
          <w:tcPr>
            <w:tcW w:w="232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阶段</w:t>
            </w:r>
          </w:p>
        </w:tc>
        <w:tc>
          <w:tcPr>
            <w:tcW w:w="11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岗位</w:t>
            </w:r>
          </w:p>
        </w:tc>
        <w:tc>
          <w:tcPr>
            <w:tcW w:w="1160"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人员类别</w:t>
            </w:r>
          </w:p>
        </w:tc>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时间</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时段</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人数</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小计/小时</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auto"/>
                <w:kern w:val="0"/>
                <w:sz w:val="18"/>
                <w:szCs w:val="18"/>
                <w:highlight w:val="none"/>
                <w:lang w:bidi="ar"/>
              </w:rPr>
            </w:pPr>
            <w:r>
              <w:rPr>
                <w:rFonts w:hint="eastAsia" w:ascii="仿宋" w:hAnsi="仿宋" w:eastAsia="仿宋" w:cs="仿宋"/>
                <w:b/>
                <w:bCs/>
                <w:color w:val="auto"/>
                <w:kern w:val="0"/>
                <w:sz w:val="18"/>
                <w:szCs w:val="18"/>
                <w:highlight w:val="none"/>
                <w:lang w:val="en-US" w:eastAsia="zh-CN" w:bidi="ar"/>
              </w:rPr>
              <w:t>报价（元/小时）</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auto"/>
                <w:kern w:val="0"/>
                <w:sz w:val="18"/>
                <w:szCs w:val="18"/>
                <w:highlight w:val="none"/>
                <w:lang w:bidi="ar"/>
              </w:rPr>
            </w:pPr>
            <w:r>
              <w:rPr>
                <w:rFonts w:hint="eastAsia" w:ascii="仿宋" w:hAnsi="仿宋" w:eastAsia="仿宋" w:cs="仿宋"/>
                <w:b/>
                <w:bCs/>
                <w:color w:val="auto"/>
                <w:kern w:val="0"/>
                <w:sz w:val="18"/>
                <w:szCs w:val="18"/>
                <w:highlight w:val="none"/>
                <w:lang w:val="en-US" w:eastAsia="zh-CN" w:bidi="ar"/>
              </w:rPr>
              <w:t>总 价（元）</w:t>
            </w:r>
          </w:p>
        </w:tc>
      </w:tr>
      <w:tr>
        <w:tblPrEx>
          <w:tblCellMar>
            <w:top w:w="0" w:type="dxa"/>
            <w:left w:w="108" w:type="dxa"/>
            <w:bottom w:w="0" w:type="dxa"/>
            <w:right w:w="108" w:type="dxa"/>
          </w:tblCellMar>
        </w:tblPrEx>
        <w:trPr>
          <w:trHeight w:val="958" w:hRule="atLeast"/>
        </w:trPr>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2321" w:type="dxa"/>
            <w:gridSpan w:val="2"/>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锁闭期</w:t>
            </w:r>
          </w:p>
        </w:tc>
        <w:tc>
          <w:tcPr>
            <w:tcW w:w="11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2023.9月10日-2023.9月23日</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06:00-14:00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1120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958" w:hRule="atLeast"/>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18"/>
                <w:szCs w:val="18"/>
                <w:highlight w:val="none"/>
              </w:rPr>
            </w:pPr>
          </w:p>
        </w:tc>
        <w:tc>
          <w:tcPr>
            <w:tcW w:w="23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18"/>
                <w:szCs w:val="18"/>
                <w:highlight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2023.9月10日-2023.9月23日</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14:00-22:00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1120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973" w:hRule="atLeast"/>
        </w:trPr>
        <w:tc>
          <w:tcPr>
            <w:tcW w:w="1159"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116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正赛期</w:t>
            </w:r>
          </w:p>
        </w:tc>
        <w:tc>
          <w:tcPr>
            <w:tcW w:w="116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网球赛</w:t>
            </w:r>
          </w:p>
        </w:tc>
        <w:tc>
          <w:tcPr>
            <w:tcW w:w="11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11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79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2023.9月24日-2023.9月30日</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06:00-14:00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211</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11816</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983" w:hRule="atLeast"/>
        </w:trPr>
        <w:tc>
          <w:tcPr>
            <w:tcW w:w="115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1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16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1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11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79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2023.9月24日-2023.9月30日</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14:00-22:00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211</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11816</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983" w:hRule="atLeast"/>
        </w:trPr>
        <w:tc>
          <w:tcPr>
            <w:tcW w:w="115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1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16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1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11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79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2023.9月24日-2023.9月30日</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06:00-22:00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29</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3248</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983" w:hRule="atLeast"/>
        </w:trPr>
        <w:tc>
          <w:tcPr>
            <w:tcW w:w="115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1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16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1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11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79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2023.9月24日-2023.10月1日</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22:00-06:00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64</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3584</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983" w:hRule="atLeast"/>
        </w:trPr>
        <w:tc>
          <w:tcPr>
            <w:tcW w:w="115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1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161" w:type="dxa"/>
            <w:vMerge w:val="restart"/>
            <w:tcBorders>
              <w:top w:val="nil"/>
              <w:left w:val="single" w:color="000000" w:sz="8" w:space="0"/>
              <w:bottom w:val="nil"/>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休赛期</w:t>
            </w:r>
          </w:p>
        </w:tc>
        <w:tc>
          <w:tcPr>
            <w:tcW w:w="11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11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79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2023.10月1日-2023.10月2日</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06:00-14:00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160</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983" w:hRule="atLeast"/>
        </w:trPr>
        <w:tc>
          <w:tcPr>
            <w:tcW w:w="115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1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161" w:type="dxa"/>
            <w:vMerge w:val="continue"/>
            <w:tcBorders>
              <w:top w:val="nil"/>
              <w:left w:val="single" w:color="000000" w:sz="8" w:space="0"/>
              <w:bottom w:val="nil"/>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1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11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79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2023.10月1日-2023.10月2日</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14:00-22:00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160</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983" w:hRule="atLeast"/>
        </w:trPr>
        <w:tc>
          <w:tcPr>
            <w:tcW w:w="115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1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16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软式网球赛</w:t>
            </w:r>
          </w:p>
        </w:tc>
        <w:tc>
          <w:tcPr>
            <w:tcW w:w="11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11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79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2023.10月3日-2023.10月7日</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06:00-14:00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211</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8440</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983" w:hRule="atLeast"/>
        </w:trPr>
        <w:tc>
          <w:tcPr>
            <w:tcW w:w="115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1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16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1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11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79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2023.10月3日-2023.10月7日</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14:00-22:00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211</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8440</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983" w:hRule="atLeast"/>
        </w:trPr>
        <w:tc>
          <w:tcPr>
            <w:tcW w:w="115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1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16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1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11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79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2023.10月3日-2023.10月7日</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06:00-22:00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29</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2320</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983" w:hRule="atLeast"/>
        </w:trPr>
        <w:tc>
          <w:tcPr>
            <w:tcW w:w="115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1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16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1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11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79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2023.10月3日-2023.10月8日</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22:00-06:00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64</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2560</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983" w:hRule="atLeast"/>
        </w:trPr>
        <w:tc>
          <w:tcPr>
            <w:tcW w:w="1159"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2321"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转换期</w:t>
            </w:r>
          </w:p>
        </w:tc>
        <w:tc>
          <w:tcPr>
            <w:tcW w:w="11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11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79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2023.10月8日-2023.10月22日</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06:00-14:00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1200</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983" w:hRule="atLeast"/>
        </w:trPr>
        <w:tc>
          <w:tcPr>
            <w:tcW w:w="115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2321"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1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11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79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2023.10月8日-2023.10月22日</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14:00-22:00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1200</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983" w:hRule="atLeast"/>
        </w:trPr>
        <w:tc>
          <w:tcPr>
            <w:tcW w:w="1159"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w:t>
            </w:r>
          </w:p>
        </w:tc>
        <w:tc>
          <w:tcPr>
            <w:tcW w:w="2321"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亚残会</w:t>
            </w:r>
          </w:p>
        </w:tc>
        <w:tc>
          <w:tcPr>
            <w:tcW w:w="11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11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79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2023.10月23日-2023.10月28日</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06:00-14:00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211</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10128</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983" w:hRule="atLeast"/>
        </w:trPr>
        <w:tc>
          <w:tcPr>
            <w:tcW w:w="115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2321"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1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11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79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2023.10月23日-2023.10月28日</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14:00-22:00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211</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10128</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983" w:hRule="atLeast"/>
        </w:trPr>
        <w:tc>
          <w:tcPr>
            <w:tcW w:w="115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2321"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1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11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79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2023.10月23日-2023.10月28日</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06:00-22:00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29</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2784</w:t>
            </w: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c>
          <w:tcPr>
            <w:tcW w:w="13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983" w:hRule="atLeast"/>
        </w:trPr>
        <w:tc>
          <w:tcPr>
            <w:tcW w:w="1159" w:type="dxa"/>
            <w:vMerge w:val="continue"/>
            <w:tcBorders>
              <w:top w:val="nil"/>
              <w:left w:val="single" w:color="000000" w:sz="8" w:space="0"/>
              <w:bottom w:val="single" w:color="auto" w:sz="4"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2321" w:type="dxa"/>
            <w:gridSpan w:val="2"/>
            <w:vMerge w:val="continue"/>
            <w:tcBorders>
              <w:top w:val="nil"/>
              <w:left w:val="single" w:color="000000" w:sz="8" w:space="0"/>
              <w:bottom w:val="single" w:color="auto" w:sz="4" w:space="0"/>
              <w:right w:val="single" w:color="000000" w:sz="8" w:space="0"/>
            </w:tcBorders>
            <w:shd w:val="clear" w:color="auto" w:fill="auto"/>
            <w:vAlign w:val="center"/>
          </w:tcPr>
          <w:p>
            <w:pPr>
              <w:jc w:val="center"/>
              <w:rPr>
                <w:rFonts w:ascii="仿宋" w:hAnsi="仿宋" w:eastAsia="仿宋" w:cs="仿宋"/>
                <w:color w:val="auto"/>
                <w:sz w:val="18"/>
                <w:szCs w:val="18"/>
                <w:highlight w:val="none"/>
              </w:rPr>
            </w:pPr>
          </w:p>
        </w:tc>
        <w:tc>
          <w:tcPr>
            <w:tcW w:w="1160" w:type="dxa"/>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项目全区域</w:t>
            </w:r>
          </w:p>
        </w:tc>
        <w:tc>
          <w:tcPr>
            <w:tcW w:w="1160" w:type="dxa"/>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保安</w:t>
            </w:r>
          </w:p>
        </w:tc>
        <w:tc>
          <w:tcPr>
            <w:tcW w:w="1791" w:type="dxa"/>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2023.10月23日-2023.10月29日</w:t>
            </w:r>
          </w:p>
        </w:tc>
        <w:tc>
          <w:tcPr>
            <w:tcW w:w="1386" w:type="dxa"/>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22:00-06:00</w:t>
            </w:r>
          </w:p>
        </w:tc>
        <w:tc>
          <w:tcPr>
            <w:tcW w:w="1080" w:type="dxa"/>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64</w:t>
            </w:r>
          </w:p>
        </w:tc>
        <w:tc>
          <w:tcPr>
            <w:tcW w:w="1386" w:type="dxa"/>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3072</w:t>
            </w:r>
          </w:p>
        </w:tc>
        <w:tc>
          <w:tcPr>
            <w:tcW w:w="1386" w:type="dxa"/>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c>
          <w:tcPr>
            <w:tcW w:w="1386" w:type="dxa"/>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331" w:hRule="atLeast"/>
        </w:trPr>
        <w:tc>
          <w:tcPr>
            <w:tcW w:w="8977"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spacing w:line="360" w:lineRule="auto"/>
              <w:jc w:val="center"/>
              <w:rPr>
                <w:rFonts w:hint="eastAsia" w:ascii="仿宋" w:hAnsi="仿宋" w:eastAsia="仿宋" w:cs="仿宋"/>
                <w:color w:val="auto"/>
                <w:sz w:val="18"/>
                <w:szCs w:val="18"/>
                <w:highlight w:val="none"/>
                <w:lang w:eastAsia="zh-CN"/>
              </w:rPr>
            </w:pPr>
            <w:r>
              <w:rPr>
                <w:rFonts w:hint="eastAsia" w:ascii="仿宋_GB2312" w:hAnsi="仿宋" w:eastAsia="仿宋_GB2312" w:cs="仿宋_GB2312"/>
                <w:b/>
                <w:color w:val="auto"/>
                <w:sz w:val="24"/>
                <w:highlight w:val="none"/>
                <w:lang w:val="en-US" w:eastAsia="zh-CN"/>
              </w:rPr>
              <w:t>合计（元）</w:t>
            </w:r>
          </w:p>
        </w:tc>
        <w:tc>
          <w:tcPr>
            <w:tcW w:w="5238"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spacing w:line="360" w:lineRule="auto"/>
              <w:jc w:val="center"/>
              <w:rPr>
                <w:rFonts w:hint="default" w:ascii="仿宋" w:hAnsi="仿宋" w:eastAsia="仿宋" w:cs="仿宋"/>
                <w:color w:val="auto"/>
                <w:kern w:val="0"/>
                <w:sz w:val="18"/>
                <w:szCs w:val="18"/>
                <w:highlight w:val="none"/>
                <w:lang w:val="en-US" w:eastAsia="zh-CN" w:bidi="ar"/>
              </w:rPr>
            </w:pPr>
            <w:r>
              <w:rPr>
                <w:rFonts w:hint="eastAsia" w:ascii="仿宋_GB2312" w:hAnsi="仿宋" w:eastAsia="仿宋_GB2312" w:cs="仿宋_GB2312"/>
                <w:b/>
                <w:color w:val="auto"/>
                <w:sz w:val="24"/>
                <w:highlight w:val="none"/>
                <w:lang w:val="en-US" w:eastAsia="zh-CN"/>
              </w:rPr>
              <w:t>大写：          小写：</w:t>
            </w:r>
          </w:p>
        </w:tc>
      </w:tr>
    </w:tbl>
    <w:p>
      <w:pPr>
        <w:pStyle w:val="859"/>
        <w:ind w:firstLine="0" w:firstLineChars="0"/>
        <w:rPr>
          <w:rFonts w:ascii="仿宋" w:hAnsi="仿宋" w:eastAsia="仿宋" w:cs="Times New Roman"/>
          <w:b/>
          <w:color w:val="auto"/>
          <w:kern w:val="0"/>
          <w:highlight w:val="none"/>
        </w:rPr>
      </w:pPr>
    </w:p>
    <w:p>
      <w:pPr>
        <w:pStyle w:val="859"/>
        <w:ind w:firstLine="0" w:firstLineChars="0"/>
        <w:rPr>
          <w:rFonts w:ascii="仿宋" w:hAnsi="仿宋" w:eastAsia="仿宋" w:cs="Times New Roman"/>
          <w:b/>
          <w:color w:val="auto"/>
          <w:kern w:val="0"/>
          <w:sz w:val="18"/>
          <w:szCs w:val="18"/>
          <w:highlight w:val="none"/>
        </w:rPr>
      </w:pPr>
    </w:p>
    <w:p>
      <w:pPr>
        <w:pStyle w:val="859"/>
        <w:ind w:firstLine="482"/>
        <w:rPr>
          <w:rFonts w:ascii="仿宋" w:hAnsi="仿宋" w:eastAsia="仿宋" w:cs="Times New Roman"/>
          <w:b/>
          <w:color w:val="auto"/>
          <w:kern w:val="0"/>
          <w:highlight w:val="none"/>
        </w:rPr>
      </w:pPr>
      <w:r>
        <w:rPr>
          <w:rFonts w:hint="eastAsia" w:ascii="仿宋" w:hAnsi="仿宋" w:eastAsia="仿宋" w:cs="Times New Roman"/>
          <w:b/>
          <w:color w:val="auto"/>
          <w:kern w:val="0"/>
          <w:highlight w:val="none"/>
        </w:rPr>
        <w:t>2、常用设备清单及租赁期： 9月10日至10月28日，共计49天</w:t>
      </w:r>
    </w:p>
    <w:p>
      <w:pPr>
        <w:pStyle w:val="859"/>
        <w:ind w:firstLine="181" w:firstLineChars="100"/>
        <w:rPr>
          <w:rFonts w:ascii="仿宋" w:hAnsi="仿宋" w:eastAsia="仿宋" w:cs="Times New Roman"/>
          <w:b/>
          <w:color w:val="auto"/>
          <w:kern w:val="0"/>
          <w:sz w:val="18"/>
          <w:szCs w:val="18"/>
          <w:highlight w:val="none"/>
        </w:rPr>
      </w:pPr>
    </w:p>
    <w:tbl>
      <w:tblPr>
        <w:tblStyle w:val="62"/>
        <w:tblW w:w="14055" w:type="dxa"/>
        <w:tblInd w:w="98" w:type="dxa"/>
        <w:tblLayout w:type="fixed"/>
        <w:tblCellMar>
          <w:top w:w="0" w:type="dxa"/>
          <w:left w:w="108" w:type="dxa"/>
          <w:bottom w:w="0" w:type="dxa"/>
          <w:right w:w="108" w:type="dxa"/>
        </w:tblCellMar>
      </w:tblPr>
      <w:tblGrid>
        <w:gridCol w:w="2486"/>
        <w:gridCol w:w="2157"/>
        <w:gridCol w:w="1229"/>
        <w:gridCol w:w="1537"/>
        <w:gridCol w:w="3323"/>
        <w:gridCol w:w="3323"/>
      </w:tblGrid>
      <w:tr>
        <w:tblPrEx>
          <w:tblCellMar>
            <w:top w:w="0" w:type="dxa"/>
            <w:left w:w="108" w:type="dxa"/>
            <w:bottom w:w="0" w:type="dxa"/>
            <w:right w:w="108" w:type="dxa"/>
          </w:tblCellMar>
        </w:tblPrEx>
        <w:trPr>
          <w:trHeight w:val="1072" w:hRule="atLeast"/>
        </w:trPr>
        <w:tc>
          <w:tcPr>
            <w:tcW w:w="248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序号</w:t>
            </w:r>
          </w:p>
        </w:tc>
        <w:tc>
          <w:tcPr>
            <w:tcW w:w="215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设备名称</w:t>
            </w:r>
          </w:p>
        </w:tc>
        <w:tc>
          <w:tcPr>
            <w:tcW w:w="1229"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单位</w:t>
            </w:r>
          </w:p>
        </w:tc>
        <w:tc>
          <w:tcPr>
            <w:tcW w:w="153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数量</w:t>
            </w:r>
          </w:p>
        </w:tc>
        <w:tc>
          <w:tcPr>
            <w:tcW w:w="3323"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val="en-US" w:eastAsia="zh-CN" w:bidi="ar"/>
              </w:rPr>
              <w:t>报价（元/天/台、米、套、门、个）</w:t>
            </w:r>
          </w:p>
        </w:tc>
        <w:tc>
          <w:tcPr>
            <w:tcW w:w="3323"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val="en-US" w:eastAsia="zh-CN" w:bidi="ar"/>
              </w:rPr>
              <w:t>总 价（元）</w:t>
            </w:r>
          </w:p>
        </w:tc>
      </w:tr>
      <w:tr>
        <w:tblPrEx>
          <w:tblCellMar>
            <w:top w:w="0" w:type="dxa"/>
            <w:left w:w="108" w:type="dxa"/>
            <w:bottom w:w="0" w:type="dxa"/>
            <w:right w:w="108" w:type="dxa"/>
          </w:tblCellMar>
        </w:tblPrEx>
        <w:trPr>
          <w:trHeight w:val="805" w:hRule="atLeast"/>
        </w:trPr>
        <w:tc>
          <w:tcPr>
            <w:tcW w:w="248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215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移动护栏（内部）</w:t>
            </w:r>
          </w:p>
        </w:tc>
        <w:tc>
          <w:tcPr>
            <w:tcW w:w="122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米</w:t>
            </w:r>
          </w:p>
        </w:tc>
        <w:tc>
          <w:tcPr>
            <w:tcW w:w="153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100</w:t>
            </w:r>
          </w:p>
        </w:tc>
        <w:tc>
          <w:tcPr>
            <w:tcW w:w="3323"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hint="eastAsia" w:ascii="仿宋" w:hAnsi="仿宋" w:eastAsia="仿宋" w:cs="仿宋"/>
                <w:color w:val="auto"/>
                <w:kern w:val="0"/>
                <w:sz w:val="18"/>
                <w:szCs w:val="18"/>
                <w:highlight w:val="none"/>
                <w:lang w:bidi="ar"/>
              </w:rPr>
            </w:pPr>
          </w:p>
        </w:tc>
        <w:tc>
          <w:tcPr>
            <w:tcW w:w="3323"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hint="eastAsia"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889" w:hRule="atLeast"/>
        </w:trPr>
        <w:tc>
          <w:tcPr>
            <w:tcW w:w="2486" w:type="dxa"/>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2157"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执法记录仪</w:t>
            </w:r>
          </w:p>
        </w:tc>
        <w:tc>
          <w:tcPr>
            <w:tcW w:w="1229"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个</w:t>
            </w:r>
          </w:p>
        </w:tc>
        <w:tc>
          <w:tcPr>
            <w:tcW w:w="1537"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t>
            </w:r>
          </w:p>
        </w:tc>
        <w:tc>
          <w:tcPr>
            <w:tcW w:w="3323" w:type="dxa"/>
            <w:tcBorders>
              <w:top w:val="nil"/>
              <w:left w:val="nil"/>
              <w:bottom w:val="single" w:color="auto" w:sz="4" w:space="0"/>
              <w:right w:val="single" w:color="000000" w:sz="8" w:space="0"/>
            </w:tcBorders>
            <w:shd w:val="clear" w:color="auto" w:fill="auto"/>
            <w:vAlign w:val="center"/>
          </w:tcPr>
          <w:p>
            <w:pPr>
              <w:widowControl/>
              <w:textAlignment w:val="center"/>
              <w:rPr>
                <w:rFonts w:hint="eastAsia" w:ascii="仿宋" w:hAnsi="仿宋" w:eastAsia="仿宋" w:cs="仿宋"/>
                <w:color w:val="auto"/>
                <w:kern w:val="0"/>
                <w:sz w:val="18"/>
                <w:szCs w:val="18"/>
                <w:highlight w:val="none"/>
                <w:lang w:bidi="ar"/>
              </w:rPr>
            </w:pPr>
          </w:p>
        </w:tc>
        <w:tc>
          <w:tcPr>
            <w:tcW w:w="3323" w:type="dxa"/>
            <w:tcBorders>
              <w:top w:val="nil"/>
              <w:left w:val="nil"/>
              <w:bottom w:val="single" w:color="auto" w:sz="4" w:space="0"/>
              <w:right w:val="single" w:color="000000" w:sz="8" w:space="0"/>
            </w:tcBorders>
            <w:shd w:val="clear" w:color="auto" w:fill="auto"/>
            <w:vAlign w:val="center"/>
          </w:tcPr>
          <w:p>
            <w:pPr>
              <w:widowControl/>
              <w:textAlignment w:val="center"/>
              <w:rPr>
                <w:rFonts w:hint="eastAsia"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782" w:hRule="atLeast"/>
        </w:trPr>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拒马</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个</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w:t>
            </w:r>
          </w:p>
        </w:tc>
        <w:tc>
          <w:tcPr>
            <w:tcW w:w="33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 w:hAnsi="仿宋" w:eastAsia="仿宋" w:cs="仿宋"/>
                <w:color w:val="auto"/>
                <w:kern w:val="0"/>
                <w:sz w:val="18"/>
                <w:szCs w:val="18"/>
                <w:highlight w:val="none"/>
                <w:lang w:bidi="ar"/>
              </w:rPr>
            </w:pPr>
          </w:p>
        </w:tc>
        <w:tc>
          <w:tcPr>
            <w:tcW w:w="33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90" w:hRule="atLeast"/>
        </w:trPr>
        <w:tc>
          <w:tcPr>
            <w:tcW w:w="7409"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spacing w:line="360" w:lineRule="auto"/>
              <w:jc w:val="center"/>
              <w:rPr>
                <w:rFonts w:hint="eastAsia" w:ascii="仿宋" w:hAnsi="仿宋" w:eastAsia="仿宋" w:cs="仿宋"/>
                <w:color w:val="auto"/>
                <w:kern w:val="0"/>
                <w:sz w:val="18"/>
                <w:szCs w:val="18"/>
                <w:highlight w:val="none"/>
                <w:lang w:bidi="ar"/>
              </w:rPr>
            </w:pPr>
            <w:r>
              <w:rPr>
                <w:rFonts w:hint="eastAsia" w:ascii="仿宋_GB2312" w:hAnsi="仿宋" w:eastAsia="仿宋_GB2312" w:cs="仿宋_GB2312"/>
                <w:b/>
                <w:color w:val="auto"/>
                <w:sz w:val="24"/>
                <w:highlight w:val="none"/>
                <w:lang w:val="en-US" w:eastAsia="zh-CN"/>
              </w:rPr>
              <w:t>合计（元）</w:t>
            </w:r>
          </w:p>
        </w:tc>
        <w:tc>
          <w:tcPr>
            <w:tcW w:w="664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spacing w:line="360" w:lineRule="auto"/>
              <w:jc w:val="center"/>
              <w:rPr>
                <w:rFonts w:hint="eastAsia" w:ascii="仿宋" w:hAnsi="仿宋" w:eastAsia="仿宋" w:cs="仿宋"/>
                <w:color w:val="auto"/>
                <w:kern w:val="0"/>
                <w:sz w:val="18"/>
                <w:szCs w:val="18"/>
                <w:highlight w:val="none"/>
                <w:lang w:bidi="ar"/>
              </w:rPr>
            </w:pPr>
            <w:r>
              <w:rPr>
                <w:rFonts w:hint="eastAsia" w:ascii="仿宋_GB2312" w:hAnsi="仿宋" w:eastAsia="仿宋_GB2312" w:cs="仿宋_GB2312"/>
                <w:b/>
                <w:color w:val="auto"/>
                <w:sz w:val="24"/>
                <w:highlight w:val="none"/>
                <w:lang w:val="en-US" w:eastAsia="zh-CN"/>
              </w:rPr>
              <w:t>大写：          小写：</w:t>
            </w:r>
          </w:p>
        </w:tc>
      </w:tr>
    </w:tbl>
    <w:p>
      <w:pPr>
        <w:pStyle w:val="859"/>
        <w:ind w:firstLine="361"/>
        <w:rPr>
          <w:rFonts w:ascii="仿宋" w:hAnsi="仿宋" w:eastAsia="仿宋" w:cs="Times New Roman"/>
          <w:b/>
          <w:color w:val="auto"/>
          <w:kern w:val="0"/>
          <w:sz w:val="18"/>
          <w:szCs w:val="18"/>
          <w:highlight w:val="none"/>
        </w:rPr>
      </w:pPr>
    </w:p>
    <w:p>
      <w:pPr>
        <w:pStyle w:val="859"/>
        <w:ind w:firstLine="361"/>
        <w:rPr>
          <w:rFonts w:ascii="仿宋" w:hAnsi="仿宋" w:eastAsia="仿宋" w:cs="Times New Roman"/>
          <w:b/>
          <w:color w:val="auto"/>
          <w:kern w:val="0"/>
          <w:highlight w:val="none"/>
        </w:rPr>
      </w:pPr>
      <w:r>
        <w:rPr>
          <w:rFonts w:hint="eastAsia" w:ascii="仿宋" w:hAnsi="仿宋" w:eastAsia="仿宋" w:cs="Times New Roman"/>
          <w:b/>
          <w:color w:val="auto"/>
          <w:kern w:val="0"/>
          <w:sz w:val="18"/>
          <w:szCs w:val="18"/>
          <w:highlight w:val="none"/>
        </w:rPr>
        <w:t xml:space="preserve"> </w:t>
      </w:r>
      <w:r>
        <w:rPr>
          <w:rFonts w:hint="eastAsia" w:ascii="仿宋" w:hAnsi="仿宋" w:eastAsia="仿宋" w:cs="Times New Roman"/>
          <w:b/>
          <w:color w:val="auto"/>
          <w:kern w:val="0"/>
          <w:highlight w:val="none"/>
        </w:rPr>
        <w:t>3、一号门安检设备清单及租赁期： 9月24日至10月28日，共计35天</w:t>
      </w:r>
    </w:p>
    <w:p>
      <w:pPr>
        <w:pStyle w:val="859"/>
        <w:ind w:firstLine="482"/>
        <w:rPr>
          <w:rFonts w:ascii="仿宋" w:hAnsi="仿宋" w:eastAsia="仿宋" w:cs="Times New Roman"/>
          <w:b/>
          <w:color w:val="auto"/>
          <w:kern w:val="0"/>
          <w:highlight w:val="none"/>
        </w:rPr>
      </w:pPr>
    </w:p>
    <w:tbl>
      <w:tblPr>
        <w:tblStyle w:val="62"/>
        <w:tblW w:w="13778" w:type="dxa"/>
        <w:tblInd w:w="118" w:type="dxa"/>
        <w:tblLayout w:type="fixed"/>
        <w:tblCellMar>
          <w:top w:w="0" w:type="dxa"/>
          <w:left w:w="108" w:type="dxa"/>
          <w:bottom w:w="0" w:type="dxa"/>
          <w:right w:w="108" w:type="dxa"/>
        </w:tblCellMar>
      </w:tblPr>
      <w:tblGrid>
        <w:gridCol w:w="2098"/>
        <w:gridCol w:w="2098"/>
        <w:gridCol w:w="1115"/>
        <w:gridCol w:w="1399"/>
        <w:gridCol w:w="3534"/>
        <w:gridCol w:w="3534"/>
      </w:tblGrid>
      <w:tr>
        <w:tblPrEx>
          <w:tblCellMar>
            <w:top w:w="0" w:type="dxa"/>
            <w:left w:w="108" w:type="dxa"/>
            <w:bottom w:w="0" w:type="dxa"/>
            <w:right w:w="108" w:type="dxa"/>
          </w:tblCellMar>
        </w:tblPrEx>
        <w:trPr>
          <w:trHeight w:val="585" w:hRule="atLeast"/>
        </w:trPr>
        <w:tc>
          <w:tcPr>
            <w:tcW w:w="209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序号</w:t>
            </w:r>
          </w:p>
        </w:tc>
        <w:tc>
          <w:tcPr>
            <w:tcW w:w="2098" w:type="dxa"/>
            <w:tcBorders>
              <w:top w:val="single" w:color="000000" w:sz="8" w:space="0"/>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设备名称</w:t>
            </w:r>
          </w:p>
        </w:tc>
        <w:tc>
          <w:tcPr>
            <w:tcW w:w="1115" w:type="dxa"/>
            <w:tcBorders>
              <w:top w:val="single" w:color="000000" w:sz="8" w:space="0"/>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单位</w:t>
            </w: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数量</w:t>
            </w:r>
          </w:p>
        </w:tc>
        <w:tc>
          <w:tcPr>
            <w:tcW w:w="3534" w:type="dxa"/>
            <w:tcBorders>
              <w:top w:val="single" w:color="000000" w:sz="8" w:space="0"/>
              <w:left w:val="nil"/>
              <w:bottom w:val="single" w:color="000000" w:sz="8" w:space="0"/>
              <w:right w:val="single" w:color="000000" w:sz="8" w:space="0"/>
            </w:tcBorders>
            <w:shd w:val="clear" w:color="auto" w:fill="auto"/>
            <w:vAlign w:val="center"/>
          </w:tcPr>
          <w:p>
            <w:pPr>
              <w:widowControl/>
              <w:adjustRightInd/>
              <w:jc w:val="center"/>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lang w:val="en-US" w:eastAsia="zh-CN"/>
              </w:rPr>
              <w:t>报价（元/天/台、米、套、门、个）</w:t>
            </w:r>
          </w:p>
        </w:tc>
        <w:tc>
          <w:tcPr>
            <w:tcW w:w="3534" w:type="dxa"/>
            <w:tcBorders>
              <w:top w:val="single" w:color="000000" w:sz="8" w:space="0"/>
              <w:left w:val="nil"/>
              <w:bottom w:val="single" w:color="000000" w:sz="8" w:space="0"/>
              <w:right w:val="single" w:color="000000" w:sz="8" w:space="0"/>
            </w:tcBorders>
            <w:shd w:val="clear" w:color="auto" w:fill="auto"/>
            <w:vAlign w:val="center"/>
          </w:tcPr>
          <w:p>
            <w:pPr>
              <w:widowControl/>
              <w:adjustRightInd/>
              <w:jc w:val="center"/>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lang w:val="en-US" w:eastAsia="zh-CN"/>
              </w:rPr>
              <w:t>总 价（元）</w:t>
            </w:r>
          </w:p>
        </w:tc>
      </w:tr>
      <w:tr>
        <w:tblPrEx>
          <w:tblCellMar>
            <w:top w:w="0" w:type="dxa"/>
            <w:left w:w="108" w:type="dxa"/>
            <w:bottom w:w="0" w:type="dxa"/>
            <w:right w:w="108" w:type="dxa"/>
          </w:tblCellMar>
        </w:tblPrEx>
        <w:trPr>
          <w:trHeight w:val="1012" w:hRule="atLeast"/>
        </w:trPr>
        <w:tc>
          <w:tcPr>
            <w:tcW w:w="2098"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w:t>
            </w:r>
          </w:p>
        </w:tc>
        <w:tc>
          <w:tcPr>
            <w:tcW w:w="2098"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防爆罐</w:t>
            </w:r>
          </w:p>
        </w:tc>
        <w:tc>
          <w:tcPr>
            <w:tcW w:w="1115"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个</w:t>
            </w:r>
          </w:p>
        </w:tc>
        <w:tc>
          <w:tcPr>
            <w:tcW w:w="1399"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8</w:t>
            </w:r>
          </w:p>
        </w:tc>
        <w:tc>
          <w:tcPr>
            <w:tcW w:w="3534" w:type="dxa"/>
            <w:tcBorders>
              <w:top w:val="nil"/>
              <w:left w:val="nil"/>
              <w:bottom w:val="single" w:color="000000" w:sz="8" w:space="0"/>
              <w:right w:val="single" w:color="000000" w:sz="8" w:space="0"/>
            </w:tcBorders>
            <w:shd w:val="clear" w:color="auto" w:fill="auto"/>
            <w:vAlign w:val="center"/>
          </w:tcPr>
          <w:p>
            <w:pPr>
              <w:widowControl/>
              <w:adjustRightInd/>
              <w:jc w:val="center"/>
              <w:rPr>
                <w:rFonts w:hint="eastAsia" w:ascii="仿宋" w:hAnsi="仿宋" w:eastAsia="仿宋" w:cs="宋体"/>
                <w:color w:val="auto"/>
                <w:kern w:val="0"/>
                <w:sz w:val="18"/>
                <w:szCs w:val="18"/>
                <w:highlight w:val="none"/>
              </w:rPr>
            </w:pPr>
          </w:p>
        </w:tc>
        <w:tc>
          <w:tcPr>
            <w:tcW w:w="3534" w:type="dxa"/>
            <w:tcBorders>
              <w:top w:val="nil"/>
              <w:left w:val="nil"/>
              <w:bottom w:val="single" w:color="000000" w:sz="8" w:space="0"/>
              <w:right w:val="single" w:color="000000" w:sz="8" w:space="0"/>
            </w:tcBorders>
            <w:shd w:val="clear" w:color="auto" w:fill="auto"/>
            <w:vAlign w:val="center"/>
          </w:tcPr>
          <w:p>
            <w:pPr>
              <w:widowControl/>
              <w:adjustRightInd/>
              <w:jc w:val="center"/>
              <w:rPr>
                <w:rFonts w:hint="eastAsia" w:ascii="仿宋" w:hAnsi="仿宋" w:eastAsia="仿宋" w:cs="宋体"/>
                <w:color w:val="auto"/>
                <w:kern w:val="0"/>
                <w:sz w:val="18"/>
                <w:szCs w:val="18"/>
                <w:highlight w:val="none"/>
              </w:rPr>
            </w:pPr>
          </w:p>
        </w:tc>
      </w:tr>
      <w:tr>
        <w:tblPrEx>
          <w:tblCellMar>
            <w:top w:w="0" w:type="dxa"/>
            <w:left w:w="108" w:type="dxa"/>
            <w:bottom w:w="0" w:type="dxa"/>
            <w:right w:w="108" w:type="dxa"/>
          </w:tblCellMar>
        </w:tblPrEx>
        <w:trPr>
          <w:trHeight w:val="585" w:hRule="atLeast"/>
        </w:trPr>
        <w:tc>
          <w:tcPr>
            <w:tcW w:w="2098" w:type="dxa"/>
            <w:tcBorders>
              <w:top w:val="nil"/>
              <w:left w:val="single" w:color="000000" w:sz="8" w:space="0"/>
              <w:bottom w:val="single" w:color="auto" w:sz="4"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w:t>
            </w:r>
          </w:p>
        </w:tc>
        <w:tc>
          <w:tcPr>
            <w:tcW w:w="2098" w:type="dxa"/>
            <w:tcBorders>
              <w:top w:val="nil"/>
              <w:left w:val="nil"/>
              <w:bottom w:val="single" w:color="auto" w:sz="4"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暂扣桶</w:t>
            </w:r>
          </w:p>
        </w:tc>
        <w:tc>
          <w:tcPr>
            <w:tcW w:w="1115" w:type="dxa"/>
            <w:tcBorders>
              <w:top w:val="nil"/>
              <w:left w:val="nil"/>
              <w:bottom w:val="single" w:color="auto" w:sz="4"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个</w:t>
            </w:r>
          </w:p>
        </w:tc>
        <w:tc>
          <w:tcPr>
            <w:tcW w:w="1399" w:type="dxa"/>
            <w:tcBorders>
              <w:top w:val="nil"/>
              <w:left w:val="nil"/>
              <w:bottom w:val="single" w:color="auto" w:sz="4"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8</w:t>
            </w:r>
          </w:p>
        </w:tc>
        <w:tc>
          <w:tcPr>
            <w:tcW w:w="3534" w:type="dxa"/>
            <w:tcBorders>
              <w:top w:val="nil"/>
              <w:left w:val="nil"/>
              <w:bottom w:val="single" w:color="auto" w:sz="4" w:space="0"/>
              <w:right w:val="single" w:color="000000" w:sz="8" w:space="0"/>
            </w:tcBorders>
            <w:shd w:val="clear" w:color="auto" w:fill="auto"/>
            <w:vAlign w:val="center"/>
          </w:tcPr>
          <w:p>
            <w:pPr>
              <w:widowControl/>
              <w:adjustRightInd/>
              <w:jc w:val="center"/>
              <w:rPr>
                <w:rFonts w:hint="eastAsia" w:ascii="仿宋" w:hAnsi="仿宋" w:eastAsia="仿宋" w:cs="宋体"/>
                <w:color w:val="auto"/>
                <w:kern w:val="0"/>
                <w:sz w:val="18"/>
                <w:szCs w:val="18"/>
                <w:highlight w:val="none"/>
              </w:rPr>
            </w:pPr>
          </w:p>
        </w:tc>
        <w:tc>
          <w:tcPr>
            <w:tcW w:w="3534" w:type="dxa"/>
            <w:tcBorders>
              <w:top w:val="nil"/>
              <w:left w:val="nil"/>
              <w:bottom w:val="single" w:color="auto" w:sz="4" w:space="0"/>
              <w:right w:val="single" w:color="000000" w:sz="8" w:space="0"/>
            </w:tcBorders>
            <w:shd w:val="clear" w:color="auto" w:fill="auto"/>
            <w:vAlign w:val="center"/>
          </w:tcPr>
          <w:p>
            <w:pPr>
              <w:widowControl/>
              <w:adjustRightInd/>
              <w:jc w:val="center"/>
              <w:rPr>
                <w:rFonts w:hint="eastAsia" w:ascii="仿宋" w:hAnsi="仿宋" w:eastAsia="仿宋" w:cs="宋体"/>
                <w:color w:val="auto"/>
                <w:kern w:val="0"/>
                <w:sz w:val="18"/>
                <w:szCs w:val="18"/>
                <w:highlight w:val="none"/>
              </w:rPr>
            </w:pPr>
          </w:p>
        </w:tc>
      </w:tr>
      <w:tr>
        <w:tblPrEx>
          <w:tblCellMar>
            <w:top w:w="0" w:type="dxa"/>
            <w:left w:w="108" w:type="dxa"/>
            <w:bottom w:w="0" w:type="dxa"/>
            <w:right w:w="108" w:type="dxa"/>
          </w:tblCellMar>
        </w:tblPrEx>
        <w:trPr>
          <w:trHeight w:val="1400" w:hRule="atLeast"/>
        </w:trPr>
        <w:tc>
          <w:tcPr>
            <w:tcW w:w="2098" w:type="dxa"/>
            <w:tcBorders>
              <w:top w:val="single" w:color="auto" w:sz="4" w:space="0"/>
              <w:left w:val="single" w:color="auto" w:sz="4"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w:t>
            </w:r>
          </w:p>
        </w:tc>
        <w:tc>
          <w:tcPr>
            <w:tcW w:w="2098" w:type="dxa"/>
            <w:tcBorders>
              <w:top w:val="single" w:color="auto" w:sz="4" w:space="0"/>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防爆毯</w:t>
            </w:r>
          </w:p>
        </w:tc>
        <w:tc>
          <w:tcPr>
            <w:tcW w:w="1115" w:type="dxa"/>
            <w:tcBorders>
              <w:top w:val="single" w:color="auto" w:sz="4" w:space="0"/>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个</w:t>
            </w:r>
          </w:p>
        </w:tc>
        <w:tc>
          <w:tcPr>
            <w:tcW w:w="1399" w:type="dxa"/>
            <w:tcBorders>
              <w:top w:val="single" w:color="auto" w:sz="4" w:space="0"/>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8</w:t>
            </w:r>
          </w:p>
        </w:tc>
        <w:tc>
          <w:tcPr>
            <w:tcW w:w="3534" w:type="dxa"/>
            <w:tcBorders>
              <w:top w:val="single" w:color="auto" w:sz="4" w:space="0"/>
              <w:left w:val="nil"/>
              <w:bottom w:val="single" w:color="000000" w:sz="8" w:space="0"/>
              <w:right w:val="single" w:color="000000" w:sz="8" w:space="0"/>
            </w:tcBorders>
            <w:shd w:val="clear" w:color="auto" w:fill="auto"/>
            <w:vAlign w:val="center"/>
          </w:tcPr>
          <w:p>
            <w:pPr>
              <w:widowControl/>
              <w:adjustRightInd/>
              <w:jc w:val="center"/>
              <w:rPr>
                <w:rFonts w:hint="eastAsia" w:ascii="仿宋" w:hAnsi="仿宋" w:eastAsia="仿宋" w:cs="宋体"/>
                <w:color w:val="auto"/>
                <w:kern w:val="0"/>
                <w:sz w:val="18"/>
                <w:szCs w:val="18"/>
                <w:highlight w:val="none"/>
              </w:rPr>
            </w:pPr>
          </w:p>
        </w:tc>
        <w:tc>
          <w:tcPr>
            <w:tcW w:w="3534" w:type="dxa"/>
            <w:tcBorders>
              <w:top w:val="single" w:color="auto" w:sz="4" w:space="0"/>
              <w:left w:val="nil"/>
              <w:bottom w:val="single" w:color="000000" w:sz="8" w:space="0"/>
              <w:right w:val="single" w:color="auto" w:sz="4" w:space="0"/>
            </w:tcBorders>
            <w:shd w:val="clear" w:color="auto" w:fill="auto"/>
            <w:vAlign w:val="center"/>
          </w:tcPr>
          <w:p>
            <w:pPr>
              <w:widowControl/>
              <w:adjustRightInd/>
              <w:jc w:val="center"/>
              <w:rPr>
                <w:rFonts w:hint="eastAsia" w:ascii="仿宋" w:hAnsi="仿宋" w:eastAsia="仿宋" w:cs="宋体"/>
                <w:color w:val="auto"/>
                <w:kern w:val="0"/>
                <w:sz w:val="18"/>
                <w:szCs w:val="18"/>
                <w:highlight w:val="none"/>
              </w:rPr>
            </w:pPr>
          </w:p>
        </w:tc>
      </w:tr>
      <w:tr>
        <w:tblPrEx>
          <w:tblCellMar>
            <w:top w:w="0" w:type="dxa"/>
            <w:left w:w="108" w:type="dxa"/>
            <w:bottom w:w="0" w:type="dxa"/>
            <w:right w:w="108" w:type="dxa"/>
          </w:tblCellMar>
        </w:tblPrEx>
        <w:trPr>
          <w:trHeight w:val="1218" w:hRule="atLeast"/>
        </w:trPr>
        <w:tc>
          <w:tcPr>
            <w:tcW w:w="2098" w:type="dxa"/>
            <w:tcBorders>
              <w:top w:val="nil"/>
              <w:left w:val="single" w:color="auto" w:sz="4" w:space="0"/>
              <w:bottom w:val="single" w:color="auto" w:sz="4"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4</w:t>
            </w:r>
          </w:p>
        </w:tc>
        <w:tc>
          <w:tcPr>
            <w:tcW w:w="2098" w:type="dxa"/>
            <w:tcBorders>
              <w:top w:val="nil"/>
              <w:left w:val="nil"/>
              <w:bottom w:val="single" w:color="auto" w:sz="4"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人证比对终端（含立柱）</w:t>
            </w:r>
          </w:p>
        </w:tc>
        <w:tc>
          <w:tcPr>
            <w:tcW w:w="1115" w:type="dxa"/>
            <w:tcBorders>
              <w:top w:val="nil"/>
              <w:left w:val="nil"/>
              <w:bottom w:val="single" w:color="auto" w:sz="4"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套</w:t>
            </w:r>
          </w:p>
        </w:tc>
        <w:tc>
          <w:tcPr>
            <w:tcW w:w="1399" w:type="dxa"/>
            <w:tcBorders>
              <w:top w:val="nil"/>
              <w:left w:val="nil"/>
              <w:bottom w:val="single" w:color="auto" w:sz="4"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8</w:t>
            </w:r>
          </w:p>
        </w:tc>
        <w:tc>
          <w:tcPr>
            <w:tcW w:w="3534" w:type="dxa"/>
            <w:tcBorders>
              <w:top w:val="nil"/>
              <w:left w:val="nil"/>
              <w:bottom w:val="single" w:color="auto" w:sz="4" w:space="0"/>
              <w:right w:val="single" w:color="000000" w:sz="8" w:space="0"/>
            </w:tcBorders>
            <w:shd w:val="clear" w:color="auto" w:fill="auto"/>
            <w:vAlign w:val="center"/>
          </w:tcPr>
          <w:p>
            <w:pPr>
              <w:widowControl/>
              <w:adjustRightInd/>
              <w:jc w:val="center"/>
              <w:rPr>
                <w:rFonts w:hint="eastAsia" w:ascii="仿宋" w:hAnsi="仿宋" w:eastAsia="仿宋" w:cs="宋体"/>
                <w:color w:val="auto"/>
                <w:kern w:val="0"/>
                <w:sz w:val="18"/>
                <w:szCs w:val="18"/>
                <w:highlight w:val="none"/>
              </w:rPr>
            </w:pPr>
          </w:p>
        </w:tc>
        <w:tc>
          <w:tcPr>
            <w:tcW w:w="3534"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宋体"/>
                <w:color w:val="auto"/>
                <w:kern w:val="0"/>
                <w:sz w:val="18"/>
                <w:szCs w:val="18"/>
                <w:highlight w:val="none"/>
              </w:rPr>
            </w:pPr>
          </w:p>
        </w:tc>
      </w:tr>
      <w:tr>
        <w:tblPrEx>
          <w:tblCellMar>
            <w:top w:w="0" w:type="dxa"/>
            <w:left w:w="108" w:type="dxa"/>
            <w:bottom w:w="0" w:type="dxa"/>
            <w:right w:w="108" w:type="dxa"/>
          </w:tblCellMar>
        </w:tblPrEx>
        <w:trPr>
          <w:trHeight w:val="3227" w:hRule="atLeast"/>
        </w:trPr>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w:t>
            </w:r>
          </w:p>
        </w:tc>
        <w:tc>
          <w:tcPr>
            <w:tcW w:w="2098"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X光机</w:t>
            </w:r>
          </w:p>
        </w:tc>
        <w:tc>
          <w:tcPr>
            <w:tcW w:w="1115"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台</w:t>
            </w:r>
          </w:p>
        </w:tc>
        <w:tc>
          <w:tcPr>
            <w:tcW w:w="1399"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8</w:t>
            </w:r>
          </w:p>
        </w:tc>
        <w:tc>
          <w:tcPr>
            <w:tcW w:w="3534"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宋体"/>
                <w:color w:val="auto"/>
                <w:kern w:val="0"/>
                <w:sz w:val="18"/>
                <w:szCs w:val="18"/>
                <w:highlight w:val="none"/>
              </w:rPr>
            </w:pPr>
          </w:p>
        </w:tc>
        <w:tc>
          <w:tcPr>
            <w:tcW w:w="3534"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宋体"/>
                <w:color w:val="auto"/>
                <w:kern w:val="0"/>
                <w:sz w:val="18"/>
                <w:szCs w:val="18"/>
                <w:highlight w:val="none"/>
              </w:rPr>
            </w:pPr>
          </w:p>
        </w:tc>
      </w:tr>
      <w:tr>
        <w:tblPrEx>
          <w:tblCellMar>
            <w:top w:w="0" w:type="dxa"/>
            <w:left w:w="108" w:type="dxa"/>
            <w:bottom w:w="0" w:type="dxa"/>
            <w:right w:w="108" w:type="dxa"/>
          </w:tblCellMar>
        </w:tblPrEx>
        <w:trPr>
          <w:trHeight w:val="1853" w:hRule="atLeast"/>
        </w:trPr>
        <w:tc>
          <w:tcPr>
            <w:tcW w:w="2098"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6</w:t>
            </w:r>
          </w:p>
        </w:tc>
        <w:tc>
          <w:tcPr>
            <w:tcW w:w="2098"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安检门</w:t>
            </w:r>
          </w:p>
        </w:tc>
        <w:tc>
          <w:tcPr>
            <w:tcW w:w="111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门</w:t>
            </w:r>
          </w:p>
        </w:tc>
        <w:tc>
          <w:tcPr>
            <w:tcW w:w="1399"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18</w:t>
            </w:r>
          </w:p>
        </w:tc>
        <w:tc>
          <w:tcPr>
            <w:tcW w:w="3534"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宋体"/>
                <w:color w:val="auto"/>
                <w:kern w:val="0"/>
                <w:sz w:val="18"/>
                <w:szCs w:val="18"/>
                <w:highlight w:val="none"/>
              </w:rPr>
            </w:pPr>
          </w:p>
        </w:tc>
        <w:tc>
          <w:tcPr>
            <w:tcW w:w="3534"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宋体"/>
                <w:color w:val="auto"/>
                <w:kern w:val="0"/>
                <w:sz w:val="18"/>
                <w:szCs w:val="18"/>
                <w:highlight w:val="none"/>
              </w:rPr>
            </w:pPr>
          </w:p>
        </w:tc>
      </w:tr>
      <w:tr>
        <w:tblPrEx>
          <w:tblCellMar>
            <w:top w:w="0" w:type="dxa"/>
            <w:left w:w="108" w:type="dxa"/>
            <w:bottom w:w="0" w:type="dxa"/>
            <w:right w:w="108" w:type="dxa"/>
          </w:tblCellMar>
        </w:tblPrEx>
        <w:trPr>
          <w:trHeight w:val="1404" w:hRule="atLeast"/>
        </w:trPr>
        <w:tc>
          <w:tcPr>
            <w:tcW w:w="2098"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7</w:t>
            </w:r>
          </w:p>
        </w:tc>
        <w:tc>
          <w:tcPr>
            <w:tcW w:w="2098"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安检辅助设备( 开包检查桌、安检托盘、脚踏)</w:t>
            </w:r>
          </w:p>
        </w:tc>
        <w:tc>
          <w:tcPr>
            <w:tcW w:w="1115"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套</w:t>
            </w:r>
          </w:p>
        </w:tc>
        <w:tc>
          <w:tcPr>
            <w:tcW w:w="1399"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9</w:t>
            </w:r>
          </w:p>
        </w:tc>
        <w:tc>
          <w:tcPr>
            <w:tcW w:w="3534" w:type="dxa"/>
            <w:tcBorders>
              <w:top w:val="nil"/>
              <w:left w:val="nil"/>
              <w:bottom w:val="single" w:color="000000" w:sz="8" w:space="0"/>
              <w:right w:val="single" w:color="000000" w:sz="8" w:space="0"/>
            </w:tcBorders>
            <w:shd w:val="clear" w:color="auto" w:fill="auto"/>
            <w:vAlign w:val="center"/>
          </w:tcPr>
          <w:p>
            <w:pPr>
              <w:widowControl/>
              <w:adjustRightInd/>
              <w:jc w:val="left"/>
              <w:rPr>
                <w:rFonts w:hint="eastAsia" w:ascii="仿宋" w:hAnsi="仿宋" w:eastAsia="仿宋" w:cs="宋体"/>
                <w:color w:val="auto"/>
                <w:kern w:val="0"/>
                <w:sz w:val="18"/>
                <w:szCs w:val="18"/>
                <w:highlight w:val="none"/>
              </w:rPr>
            </w:pPr>
          </w:p>
        </w:tc>
        <w:tc>
          <w:tcPr>
            <w:tcW w:w="3534" w:type="dxa"/>
            <w:tcBorders>
              <w:top w:val="nil"/>
              <w:left w:val="nil"/>
              <w:bottom w:val="single" w:color="000000" w:sz="8" w:space="0"/>
              <w:right w:val="single" w:color="000000" w:sz="8" w:space="0"/>
            </w:tcBorders>
            <w:shd w:val="clear" w:color="auto" w:fill="auto"/>
            <w:vAlign w:val="center"/>
          </w:tcPr>
          <w:p>
            <w:pPr>
              <w:widowControl/>
              <w:adjustRightInd/>
              <w:jc w:val="left"/>
              <w:rPr>
                <w:rFonts w:hint="eastAsia" w:ascii="仿宋" w:hAnsi="仿宋" w:eastAsia="仿宋" w:cs="宋体"/>
                <w:color w:val="auto"/>
                <w:kern w:val="0"/>
                <w:sz w:val="18"/>
                <w:szCs w:val="18"/>
                <w:highlight w:val="none"/>
              </w:rPr>
            </w:pPr>
          </w:p>
        </w:tc>
      </w:tr>
      <w:tr>
        <w:tblPrEx>
          <w:tblCellMar>
            <w:top w:w="0" w:type="dxa"/>
            <w:left w:w="108" w:type="dxa"/>
            <w:bottom w:w="0" w:type="dxa"/>
            <w:right w:w="108" w:type="dxa"/>
          </w:tblCellMar>
        </w:tblPrEx>
        <w:trPr>
          <w:trHeight w:val="1836" w:hRule="atLeast"/>
        </w:trPr>
        <w:tc>
          <w:tcPr>
            <w:tcW w:w="2098" w:type="dxa"/>
            <w:tcBorders>
              <w:top w:val="nil"/>
              <w:left w:val="single" w:color="000000" w:sz="8" w:space="0"/>
              <w:bottom w:val="single" w:color="auto" w:sz="4"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8</w:t>
            </w:r>
          </w:p>
        </w:tc>
        <w:tc>
          <w:tcPr>
            <w:tcW w:w="2098" w:type="dxa"/>
            <w:tcBorders>
              <w:top w:val="nil"/>
              <w:left w:val="nil"/>
              <w:bottom w:val="single" w:color="auto" w:sz="4"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炸药探测器</w:t>
            </w:r>
          </w:p>
        </w:tc>
        <w:tc>
          <w:tcPr>
            <w:tcW w:w="1115" w:type="dxa"/>
            <w:tcBorders>
              <w:top w:val="nil"/>
              <w:left w:val="nil"/>
              <w:bottom w:val="single" w:color="auto" w:sz="4"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套</w:t>
            </w:r>
          </w:p>
        </w:tc>
        <w:tc>
          <w:tcPr>
            <w:tcW w:w="1399" w:type="dxa"/>
            <w:tcBorders>
              <w:top w:val="nil"/>
              <w:left w:val="nil"/>
              <w:bottom w:val="single" w:color="auto" w:sz="4"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8</w:t>
            </w:r>
          </w:p>
        </w:tc>
        <w:tc>
          <w:tcPr>
            <w:tcW w:w="3534" w:type="dxa"/>
            <w:tcBorders>
              <w:top w:val="nil"/>
              <w:left w:val="nil"/>
              <w:bottom w:val="single" w:color="auto" w:sz="4" w:space="0"/>
              <w:right w:val="single" w:color="000000" w:sz="8" w:space="0"/>
            </w:tcBorders>
            <w:shd w:val="clear" w:color="auto" w:fill="auto"/>
            <w:vAlign w:val="center"/>
          </w:tcPr>
          <w:p>
            <w:pPr>
              <w:widowControl/>
              <w:adjustRightInd/>
              <w:jc w:val="left"/>
              <w:rPr>
                <w:rFonts w:hint="eastAsia" w:ascii="仿宋" w:hAnsi="仿宋" w:eastAsia="仿宋" w:cs="宋体"/>
                <w:color w:val="auto"/>
                <w:kern w:val="0"/>
                <w:sz w:val="18"/>
                <w:szCs w:val="18"/>
                <w:highlight w:val="none"/>
              </w:rPr>
            </w:pPr>
          </w:p>
        </w:tc>
        <w:tc>
          <w:tcPr>
            <w:tcW w:w="3534" w:type="dxa"/>
            <w:tcBorders>
              <w:top w:val="nil"/>
              <w:left w:val="nil"/>
              <w:bottom w:val="single" w:color="auto" w:sz="4" w:space="0"/>
              <w:right w:val="single" w:color="000000" w:sz="8" w:space="0"/>
            </w:tcBorders>
            <w:shd w:val="clear" w:color="auto" w:fill="auto"/>
            <w:vAlign w:val="center"/>
          </w:tcPr>
          <w:p>
            <w:pPr>
              <w:widowControl/>
              <w:adjustRightInd/>
              <w:jc w:val="left"/>
              <w:rPr>
                <w:rFonts w:hint="eastAsia" w:ascii="仿宋" w:hAnsi="仿宋" w:eastAsia="仿宋" w:cs="宋体"/>
                <w:color w:val="auto"/>
                <w:kern w:val="0"/>
                <w:sz w:val="18"/>
                <w:szCs w:val="18"/>
                <w:highlight w:val="none"/>
              </w:rPr>
            </w:pPr>
          </w:p>
        </w:tc>
      </w:tr>
      <w:tr>
        <w:tblPrEx>
          <w:tblCellMar>
            <w:top w:w="0" w:type="dxa"/>
            <w:left w:w="108" w:type="dxa"/>
            <w:bottom w:w="0" w:type="dxa"/>
            <w:right w:w="108" w:type="dxa"/>
          </w:tblCellMar>
        </w:tblPrEx>
        <w:trPr>
          <w:trHeight w:val="2139" w:hRule="atLeast"/>
        </w:trPr>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9</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液体检测仪（台式）</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套</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8</w:t>
            </w:r>
          </w:p>
        </w:tc>
        <w:tc>
          <w:tcPr>
            <w:tcW w:w="3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rPr>
                <w:rFonts w:hint="eastAsia" w:ascii="仿宋" w:hAnsi="仿宋" w:eastAsia="仿宋" w:cs="宋体"/>
                <w:color w:val="auto"/>
                <w:kern w:val="0"/>
                <w:sz w:val="18"/>
                <w:szCs w:val="18"/>
                <w:highlight w:val="none"/>
              </w:rPr>
            </w:pPr>
          </w:p>
        </w:tc>
        <w:tc>
          <w:tcPr>
            <w:tcW w:w="3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rPr>
                <w:rFonts w:hint="eastAsia" w:ascii="仿宋" w:hAnsi="仿宋" w:eastAsia="仿宋" w:cs="宋体"/>
                <w:color w:val="auto"/>
                <w:kern w:val="0"/>
                <w:sz w:val="18"/>
                <w:szCs w:val="18"/>
                <w:highlight w:val="none"/>
              </w:rPr>
            </w:pPr>
          </w:p>
        </w:tc>
      </w:tr>
      <w:tr>
        <w:tblPrEx>
          <w:tblCellMar>
            <w:top w:w="0" w:type="dxa"/>
            <w:left w:w="108" w:type="dxa"/>
            <w:bottom w:w="0" w:type="dxa"/>
            <w:right w:w="108" w:type="dxa"/>
          </w:tblCellMar>
        </w:tblPrEx>
        <w:trPr>
          <w:trHeight w:val="599" w:hRule="atLeast"/>
        </w:trPr>
        <w:tc>
          <w:tcPr>
            <w:tcW w:w="6710"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spacing w:line="360" w:lineRule="auto"/>
              <w:jc w:val="center"/>
              <w:rPr>
                <w:rFonts w:hint="eastAsia" w:ascii="仿宋" w:hAnsi="仿宋" w:eastAsia="仿宋" w:cs="宋体"/>
                <w:color w:val="auto"/>
                <w:kern w:val="0"/>
                <w:sz w:val="18"/>
                <w:szCs w:val="18"/>
                <w:highlight w:val="none"/>
              </w:rPr>
            </w:pPr>
            <w:r>
              <w:rPr>
                <w:rFonts w:hint="eastAsia" w:ascii="仿宋_GB2312" w:hAnsi="仿宋" w:eastAsia="仿宋_GB2312" w:cs="仿宋_GB2312"/>
                <w:b/>
                <w:color w:val="auto"/>
                <w:sz w:val="24"/>
                <w:highlight w:val="none"/>
                <w:lang w:val="en-US" w:eastAsia="zh-CN"/>
              </w:rPr>
              <w:t>合计（元）</w:t>
            </w:r>
          </w:p>
        </w:tc>
        <w:tc>
          <w:tcPr>
            <w:tcW w:w="7068"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spacing w:line="360" w:lineRule="auto"/>
              <w:jc w:val="center"/>
              <w:rPr>
                <w:rFonts w:hint="eastAsia" w:ascii="仿宋" w:hAnsi="仿宋" w:eastAsia="仿宋" w:cs="宋体"/>
                <w:color w:val="auto"/>
                <w:kern w:val="0"/>
                <w:sz w:val="18"/>
                <w:szCs w:val="18"/>
                <w:highlight w:val="none"/>
              </w:rPr>
            </w:pPr>
            <w:r>
              <w:rPr>
                <w:rFonts w:hint="eastAsia" w:ascii="仿宋_GB2312" w:hAnsi="仿宋" w:eastAsia="仿宋_GB2312" w:cs="仿宋_GB2312"/>
                <w:b/>
                <w:color w:val="auto"/>
                <w:sz w:val="24"/>
                <w:highlight w:val="none"/>
                <w:lang w:val="en-US" w:eastAsia="zh-CN"/>
              </w:rPr>
              <w:t>大写：          小写：</w:t>
            </w:r>
          </w:p>
        </w:tc>
      </w:tr>
    </w:tbl>
    <w:p>
      <w:pPr>
        <w:pStyle w:val="859"/>
        <w:ind w:firstLine="482"/>
        <w:rPr>
          <w:rFonts w:ascii="仿宋" w:hAnsi="仿宋" w:eastAsia="仿宋" w:cs="Times New Roman"/>
          <w:b/>
          <w:color w:val="auto"/>
          <w:kern w:val="0"/>
          <w:highlight w:val="none"/>
        </w:rPr>
      </w:pPr>
    </w:p>
    <w:p>
      <w:pPr>
        <w:pStyle w:val="859"/>
        <w:ind w:firstLine="361"/>
        <w:rPr>
          <w:rFonts w:ascii="仿宋" w:hAnsi="仿宋" w:eastAsia="仿宋" w:cs="Times New Roman"/>
          <w:b/>
          <w:color w:val="auto"/>
          <w:kern w:val="0"/>
          <w:highlight w:val="none"/>
        </w:rPr>
      </w:pPr>
      <w:r>
        <w:rPr>
          <w:rFonts w:hint="eastAsia" w:ascii="仿宋" w:hAnsi="仿宋" w:eastAsia="仿宋" w:cs="Times New Roman"/>
          <w:b/>
          <w:color w:val="auto"/>
          <w:kern w:val="0"/>
          <w:sz w:val="18"/>
          <w:szCs w:val="18"/>
          <w:highlight w:val="none"/>
        </w:rPr>
        <w:t>4、</w:t>
      </w:r>
      <w:r>
        <w:rPr>
          <w:rFonts w:hint="eastAsia" w:ascii="仿宋" w:hAnsi="仿宋" w:eastAsia="仿宋" w:cs="Times New Roman"/>
          <w:b/>
          <w:color w:val="auto"/>
          <w:kern w:val="0"/>
          <w:highlight w:val="none"/>
        </w:rPr>
        <w:t>二号门安检设备清单及租赁期： 9月10日至10月28日，共计49天</w:t>
      </w:r>
    </w:p>
    <w:p>
      <w:pPr>
        <w:pStyle w:val="859"/>
        <w:ind w:firstLine="482"/>
        <w:rPr>
          <w:rFonts w:ascii="仿宋" w:hAnsi="仿宋" w:eastAsia="仿宋" w:cs="Times New Roman"/>
          <w:b/>
          <w:color w:val="auto"/>
          <w:kern w:val="0"/>
          <w:highlight w:val="none"/>
        </w:rPr>
      </w:pPr>
    </w:p>
    <w:tbl>
      <w:tblPr>
        <w:tblStyle w:val="62"/>
        <w:tblW w:w="13895" w:type="dxa"/>
        <w:tblInd w:w="118" w:type="dxa"/>
        <w:tblLayout w:type="fixed"/>
        <w:tblCellMar>
          <w:top w:w="0" w:type="dxa"/>
          <w:left w:w="108" w:type="dxa"/>
          <w:bottom w:w="0" w:type="dxa"/>
          <w:right w:w="108" w:type="dxa"/>
        </w:tblCellMar>
      </w:tblPr>
      <w:tblGrid>
        <w:gridCol w:w="2401"/>
        <w:gridCol w:w="2401"/>
        <w:gridCol w:w="1276"/>
        <w:gridCol w:w="1603"/>
        <w:gridCol w:w="3107"/>
        <w:gridCol w:w="3107"/>
      </w:tblGrid>
      <w:tr>
        <w:tblPrEx>
          <w:tblCellMar>
            <w:top w:w="0" w:type="dxa"/>
            <w:left w:w="108" w:type="dxa"/>
            <w:bottom w:w="0" w:type="dxa"/>
            <w:right w:w="108" w:type="dxa"/>
          </w:tblCellMar>
        </w:tblPrEx>
        <w:trPr>
          <w:trHeight w:val="1011" w:hRule="atLeast"/>
        </w:trPr>
        <w:tc>
          <w:tcPr>
            <w:tcW w:w="240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序号</w:t>
            </w:r>
          </w:p>
        </w:tc>
        <w:tc>
          <w:tcPr>
            <w:tcW w:w="2401" w:type="dxa"/>
            <w:tcBorders>
              <w:top w:val="single" w:color="000000" w:sz="8" w:space="0"/>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设备名称</w:t>
            </w:r>
          </w:p>
        </w:tc>
        <w:tc>
          <w:tcPr>
            <w:tcW w:w="1276" w:type="dxa"/>
            <w:tcBorders>
              <w:top w:val="single" w:color="000000" w:sz="8" w:space="0"/>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单位</w:t>
            </w:r>
          </w:p>
        </w:tc>
        <w:tc>
          <w:tcPr>
            <w:tcW w:w="1603" w:type="dxa"/>
            <w:tcBorders>
              <w:top w:val="single" w:color="000000" w:sz="8" w:space="0"/>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数量</w:t>
            </w:r>
          </w:p>
        </w:tc>
        <w:tc>
          <w:tcPr>
            <w:tcW w:w="310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kern w:val="0"/>
                <w:sz w:val="18"/>
                <w:szCs w:val="18"/>
                <w:highlight w:val="none"/>
              </w:rPr>
            </w:pPr>
            <w:r>
              <w:rPr>
                <w:rFonts w:hint="eastAsia" w:ascii="仿宋" w:hAnsi="仿宋" w:eastAsia="仿宋" w:cs="仿宋"/>
                <w:b/>
                <w:bCs/>
                <w:i w:val="0"/>
                <w:iCs w:val="0"/>
                <w:color w:val="auto"/>
                <w:kern w:val="0"/>
                <w:sz w:val="24"/>
                <w:szCs w:val="24"/>
                <w:highlight w:val="none"/>
                <w:u w:val="none"/>
                <w:lang w:val="en-US" w:eastAsia="zh-CN" w:bidi="ar"/>
              </w:rPr>
              <w:t>报价（元/天/台、米、套、门、个）</w:t>
            </w:r>
          </w:p>
        </w:tc>
        <w:tc>
          <w:tcPr>
            <w:tcW w:w="310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kern w:val="0"/>
                <w:sz w:val="18"/>
                <w:szCs w:val="18"/>
                <w:highlight w:val="none"/>
              </w:rPr>
            </w:pPr>
            <w:r>
              <w:rPr>
                <w:rFonts w:hint="eastAsia" w:ascii="仿宋" w:hAnsi="仿宋" w:eastAsia="仿宋" w:cs="仿宋"/>
                <w:b/>
                <w:bCs/>
                <w:i w:val="0"/>
                <w:iCs w:val="0"/>
                <w:color w:val="auto"/>
                <w:kern w:val="0"/>
                <w:sz w:val="24"/>
                <w:szCs w:val="24"/>
                <w:highlight w:val="none"/>
                <w:u w:val="none"/>
                <w:lang w:val="en-US" w:eastAsia="zh-CN" w:bidi="ar"/>
              </w:rPr>
              <w:t>总 价（元）</w:t>
            </w:r>
          </w:p>
        </w:tc>
      </w:tr>
      <w:tr>
        <w:tblPrEx>
          <w:tblCellMar>
            <w:top w:w="0" w:type="dxa"/>
            <w:left w:w="108" w:type="dxa"/>
            <w:bottom w:w="0" w:type="dxa"/>
            <w:right w:w="108" w:type="dxa"/>
          </w:tblCellMar>
        </w:tblPrEx>
        <w:trPr>
          <w:trHeight w:val="966" w:hRule="atLeast"/>
        </w:trPr>
        <w:tc>
          <w:tcPr>
            <w:tcW w:w="2401"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w:t>
            </w:r>
          </w:p>
        </w:tc>
        <w:tc>
          <w:tcPr>
            <w:tcW w:w="2401"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防爆罐</w:t>
            </w:r>
          </w:p>
        </w:tc>
        <w:tc>
          <w:tcPr>
            <w:tcW w:w="1276"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个</w:t>
            </w:r>
          </w:p>
        </w:tc>
        <w:tc>
          <w:tcPr>
            <w:tcW w:w="1603"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w:t>
            </w:r>
          </w:p>
        </w:tc>
        <w:tc>
          <w:tcPr>
            <w:tcW w:w="3107" w:type="dxa"/>
            <w:tcBorders>
              <w:top w:val="nil"/>
              <w:left w:val="nil"/>
              <w:bottom w:val="single" w:color="000000" w:sz="8" w:space="0"/>
              <w:right w:val="single" w:color="000000" w:sz="8" w:space="0"/>
            </w:tcBorders>
            <w:shd w:val="clear" w:color="auto" w:fill="auto"/>
            <w:vAlign w:val="center"/>
          </w:tcPr>
          <w:p>
            <w:pPr>
              <w:widowControl/>
              <w:adjustRightInd/>
              <w:jc w:val="left"/>
              <w:rPr>
                <w:rFonts w:hint="eastAsia" w:ascii="仿宋" w:hAnsi="仿宋" w:eastAsia="仿宋" w:cs="宋体"/>
                <w:color w:val="auto"/>
                <w:kern w:val="0"/>
                <w:sz w:val="18"/>
                <w:szCs w:val="18"/>
                <w:highlight w:val="none"/>
              </w:rPr>
            </w:pPr>
          </w:p>
        </w:tc>
        <w:tc>
          <w:tcPr>
            <w:tcW w:w="3107" w:type="dxa"/>
            <w:tcBorders>
              <w:top w:val="nil"/>
              <w:left w:val="nil"/>
              <w:bottom w:val="single" w:color="000000" w:sz="8" w:space="0"/>
              <w:right w:val="single" w:color="000000" w:sz="8" w:space="0"/>
            </w:tcBorders>
            <w:shd w:val="clear" w:color="auto" w:fill="auto"/>
            <w:vAlign w:val="center"/>
          </w:tcPr>
          <w:p>
            <w:pPr>
              <w:widowControl/>
              <w:adjustRightInd/>
              <w:jc w:val="left"/>
              <w:rPr>
                <w:rFonts w:hint="eastAsia" w:ascii="仿宋" w:hAnsi="仿宋" w:eastAsia="仿宋" w:cs="宋体"/>
                <w:color w:val="auto"/>
                <w:kern w:val="0"/>
                <w:sz w:val="18"/>
                <w:szCs w:val="18"/>
                <w:highlight w:val="none"/>
              </w:rPr>
            </w:pPr>
          </w:p>
        </w:tc>
      </w:tr>
      <w:tr>
        <w:tblPrEx>
          <w:tblCellMar>
            <w:top w:w="0" w:type="dxa"/>
            <w:left w:w="108" w:type="dxa"/>
            <w:bottom w:w="0" w:type="dxa"/>
            <w:right w:w="108" w:type="dxa"/>
          </w:tblCellMar>
        </w:tblPrEx>
        <w:trPr>
          <w:trHeight w:val="667" w:hRule="atLeast"/>
        </w:trPr>
        <w:tc>
          <w:tcPr>
            <w:tcW w:w="2401"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w:t>
            </w:r>
          </w:p>
        </w:tc>
        <w:tc>
          <w:tcPr>
            <w:tcW w:w="2401"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暂扣桶</w:t>
            </w:r>
          </w:p>
        </w:tc>
        <w:tc>
          <w:tcPr>
            <w:tcW w:w="1276"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个</w:t>
            </w:r>
          </w:p>
        </w:tc>
        <w:tc>
          <w:tcPr>
            <w:tcW w:w="1603"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w:t>
            </w:r>
          </w:p>
        </w:tc>
        <w:tc>
          <w:tcPr>
            <w:tcW w:w="3107" w:type="dxa"/>
            <w:tcBorders>
              <w:top w:val="nil"/>
              <w:left w:val="nil"/>
              <w:bottom w:val="single" w:color="000000" w:sz="8" w:space="0"/>
              <w:right w:val="single" w:color="000000" w:sz="8" w:space="0"/>
            </w:tcBorders>
            <w:shd w:val="clear" w:color="auto" w:fill="auto"/>
            <w:vAlign w:val="center"/>
          </w:tcPr>
          <w:p>
            <w:pPr>
              <w:widowControl/>
              <w:adjustRightInd/>
              <w:jc w:val="left"/>
              <w:rPr>
                <w:rFonts w:hint="eastAsia" w:ascii="仿宋" w:hAnsi="仿宋" w:eastAsia="仿宋" w:cs="宋体"/>
                <w:color w:val="auto"/>
                <w:kern w:val="0"/>
                <w:sz w:val="18"/>
                <w:szCs w:val="18"/>
                <w:highlight w:val="none"/>
              </w:rPr>
            </w:pPr>
          </w:p>
        </w:tc>
        <w:tc>
          <w:tcPr>
            <w:tcW w:w="3107" w:type="dxa"/>
            <w:tcBorders>
              <w:top w:val="nil"/>
              <w:left w:val="nil"/>
              <w:bottom w:val="single" w:color="000000" w:sz="8" w:space="0"/>
              <w:right w:val="single" w:color="000000" w:sz="8" w:space="0"/>
            </w:tcBorders>
            <w:shd w:val="clear" w:color="auto" w:fill="auto"/>
            <w:vAlign w:val="center"/>
          </w:tcPr>
          <w:p>
            <w:pPr>
              <w:widowControl/>
              <w:adjustRightInd/>
              <w:jc w:val="left"/>
              <w:rPr>
                <w:rFonts w:hint="eastAsia" w:ascii="仿宋" w:hAnsi="仿宋" w:eastAsia="仿宋" w:cs="宋体"/>
                <w:color w:val="auto"/>
                <w:kern w:val="0"/>
                <w:sz w:val="18"/>
                <w:szCs w:val="18"/>
                <w:highlight w:val="none"/>
              </w:rPr>
            </w:pPr>
          </w:p>
        </w:tc>
      </w:tr>
      <w:tr>
        <w:tblPrEx>
          <w:tblCellMar>
            <w:top w:w="0" w:type="dxa"/>
            <w:left w:w="108" w:type="dxa"/>
            <w:bottom w:w="0" w:type="dxa"/>
            <w:right w:w="108" w:type="dxa"/>
          </w:tblCellMar>
        </w:tblPrEx>
        <w:trPr>
          <w:trHeight w:val="1247" w:hRule="atLeast"/>
        </w:trPr>
        <w:tc>
          <w:tcPr>
            <w:tcW w:w="2401" w:type="dxa"/>
            <w:tcBorders>
              <w:top w:val="nil"/>
              <w:left w:val="single" w:color="000000" w:sz="8" w:space="0"/>
              <w:bottom w:val="single" w:color="auto" w:sz="4"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w:t>
            </w:r>
          </w:p>
        </w:tc>
        <w:tc>
          <w:tcPr>
            <w:tcW w:w="2401" w:type="dxa"/>
            <w:tcBorders>
              <w:top w:val="nil"/>
              <w:left w:val="nil"/>
              <w:bottom w:val="single" w:color="auto" w:sz="4"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防爆毯</w:t>
            </w:r>
          </w:p>
        </w:tc>
        <w:tc>
          <w:tcPr>
            <w:tcW w:w="1276" w:type="dxa"/>
            <w:tcBorders>
              <w:top w:val="nil"/>
              <w:left w:val="nil"/>
              <w:bottom w:val="single" w:color="auto" w:sz="4"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个</w:t>
            </w:r>
          </w:p>
        </w:tc>
        <w:tc>
          <w:tcPr>
            <w:tcW w:w="1603" w:type="dxa"/>
            <w:tcBorders>
              <w:top w:val="nil"/>
              <w:left w:val="nil"/>
              <w:bottom w:val="single" w:color="auto" w:sz="4"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w:t>
            </w:r>
          </w:p>
        </w:tc>
        <w:tc>
          <w:tcPr>
            <w:tcW w:w="3107" w:type="dxa"/>
            <w:tcBorders>
              <w:top w:val="nil"/>
              <w:left w:val="nil"/>
              <w:bottom w:val="single" w:color="auto" w:sz="4" w:space="0"/>
              <w:right w:val="single" w:color="000000" w:sz="8" w:space="0"/>
            </w:tcBorders>
            <w:shd w:val="clear" w:color="auto" w:fill="auto"/>
            <w:vAlign w:val="center"/>
          </w:tcPr>
          <w:p>
            <w:pPr>
              <w:widowControl/>
              <w:adjustRightInd/>
              <w:jc w:val="left"/>
              <w:rPr>
                <w:rFonts w:hint="eastAsia" w:ascii="仿宋" w:hAnsi="仿宋" w:eastAsia="仿宋" w:cs="宋体"/>
                <w:color w:val="auto"/>
                <w:kern w:val="0"/>
                <w:sz w:val="18"/>
                <w:szCs w:val="18"/>
                <w:highlight w:val="none"/>
              </w:rPr>
            </w:pPr>
          </w:p>
        </w:tc>
        <w:tc>
          <w:tcPr>
            <w:tcW w:w="3107" w:type="dxa"/>
            <w:tcBorders>
              <w:top w:val="nil"/>
              <w:left w:val="nil"/>
              <w:bottom w:val="single" w:color="auto" w:sz="4" w:space="0"/>
              <w:right w:val="single" w:color="000000" w:sz="8" w:space="0"/>
            </w:tcBorders>
            <w:shd w:val="clear" w:color="auto" w:fill="auto"/>
            <w:vAlign w:val="center"/>
          </w:tcPr>
          <w:p>
            <w:pPr>
              <w:widowControl/>
              <w:adjustRightInd/>
              <w:jc w:val="left"/>
              <w:rPr>
                <w:rFonts w:hint="eastAsia" w:ascii="仿宋" w:hAnsi="仿宋" w:eastAsia="仿宋" w:cs="宋体"/>
                <w:color w:val="auto"/>
                <w:kern w:val="0"/>
                <w:sz w:val="18"/>
                <w:szCs w:val="18"/>
                <w:highlight w:val="none"/>
              </w:rPr>
            </w:pPr>
          </w:p>
        </w:tc>
      </w:tr>
      <w:tr>
        <w:tblPrEx>
          <w:tblCellMar>
            <w:top w:w="0" w:type="dxa"/>
            <w:left w:w="108" w:type="dxa"/>
            <w:bottom w:w="0" w:type="dxa"/>
            <w:right w:w="108" w:type="dxa"/>
          </w:tblCellMar>
        </w:tblPrEx>
        <w:trPr>
          <w:trHeight w:val="1220" w:hRule="atLeast"/>
        </w:trPr>
        <w:tc>
          <w:tcPr>
            <w:tcW w:w="2401"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4</w:t>
            </w:r>
          </w:p>
        </w:tc>
        <w:tc>
          <w:tcPr>
            <w:tcW w:w="2401" w:type="dxa"/>
            <w:tcBorders>
              <w:top w:val="single" w:color="auto" w:sz="4" w:space="0"/>
              <w:left w:val="nil"/>
              <w:bottom w:val="single" w:color="auto" w:sz="4"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人证比对终端（含立柱）</w:t>
            </w:r>
          </w:p>
        </w:tc>
        <w:tc>
          <w:tcPr>
            <w:tcW w:w="1276" w:type="dxa"/>
            <w:tcBorders>
              <w:top w:val="single" w:color="auto" w:sz="4" w:space="0"/>
              <w:left w:val="nil"/>
              <w:bottom w:val="single" w:color="auto" w:sz="4"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套</w:t>
            </w:r>
          </w:p>
        </w:tc>
        <w:tc>
          <w:tcPr>
            <w:tcW w:w="1603" w:type="dxa"/>
            <w:tcBorders>
              <w:top w:val="single" w:color="auto" w:sz="4" w:space="0"/>
              <w:left w:val="nil"/>
              <w:bottom w:val="single" w:color="auto" w:sz="4"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w:t>
            </w:r>
          </w:p>
        </w:tc>
        <w:tc>
          <w:tcPr>
            <w:tcW w:w="3107" w:type="dxa"/>
            <w:tcBorders>
              <w:top w:val="single" w:color="auto" w:sz="4" w:space="0"/>
              <w:left w:val="nil"/>
              <w:bottom w:val="single" w:color="auto" w:sz="4" w:space="0"/>
              <w:right w:val="single" w:color="000000" w:sz="8" w:space="0"/>
            </w:tcBorders>
            <w:shd w:val="clear" w:color="auto" w:fill="auto"/>
            <w:vAlign w:val="center"/>
          </w:tcPr>
          <w:p>
            <w:pPr>
              <w:widowControl/>
              <w:adjustRightInd/>
              <w:jc w:val="left"/>
              <w:rPr>
                <w:rFonts w:hint="eastAsia" w:ascii="仿宋" w:hAnsi="仿宋" w:eastAsia="仿宋" w:cs="宋体"/>
                <w:color w:val="auto"/>
                <w:kern w:val="0"/>
                <w:sz w:val="18"/>
                <w:szCs w:val="18"/>
                <w:highlight w:val="none"/>
              </w:rPr>
            </w:pPr>
          </w:p>
        </w:tc>
        <w:tc>
          <w:tcPr>
            <w:tcW w:w="3107" w:type="dxa"/>
            <w:tcBorders>
              <w:top w:val="single" w:color="auto" w:sz="4" w:space="0"/>
              <w:left w:val="nil"/>
              <w:bottom w:val="single" w:color="auto" w:sz="4" w:space="0"/>
              <w:right w:val="single" w:color="auto" w:sz="4" w:space="0"/>
            </w:tcBorders>
            <w:shd w:val="clear" w:color="auto" w:fill="auto"/>
            <w:vAlign w:val="center"/>
          </w:tcPr>
          <w:p>
            <w:pPr>
              <w:widowControl/>
              <w:adjustRightInd/>
              <w:jc w:val="left"/>
              <w:rPr>
                <w:rFonts w:hint="eastAsia" w:ascii="仿宋" w:hAnsi="仿宋" w:eastAsia="仿宋" w:cs="宋体"/>
                <w:color w:val="auto"/>
                <w:kern w:val="0"/>
                <w:sz w:val="18"/>
                <w:szCs w:val="18"/>
                <w:highlight w:val="none"/>
              </w:rPr>
            </w:pPr>
          </w:p>
        </w:tc>
      </w:tr>
      <w:tr>
        <w:tblPrEx>
          <w:tblCellMar>
            <w:top w:w="0" w:type="dxa"/>
            <w:left w:w="108" w:type="dxa"/>
            <w:bottom w:w="0" w:type="dxa"/>
            <w:right w:w="108" w:type="dxa"/>
          </w:tblCellMar>
        </w:tblPrEx>
        <w:trPr>
          <w:trHeight w:val="1145" w:hRule="atLeast"/>
        </w:trPr>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w:t>
            </w:r>
          </w:p>
        </w:tc>
        <w:tc>
          <w:tcPr>
            <w:tcW w:w="2401"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车辆抓拍单元（（含立柱））</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套</w:t>
            </w:r>
          </w:p>
        </w:tc>
        <w:tc>
          <w:tcPr>
            <w:tcW w:w="1603"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w:t>
            </w:r>
          </w:p>
        </w:tc>
        <w:tc>
          <w:tcPr>
            <w:tcW w:w="3107" w:type="dxa"/>
            <w:tcBorders>
              <w:top w:val="single" w:color="auto" w:sz="4" w:space="0"/>
              <w:left w:val="nil"/>
              <w:bottom w:val="single" w:color="auto" w:sz="4" w:space="0"/>
              <w:right w:val="single" w:color="auto" w:sz="4" w:space="0"/>
            </w:tcBorders>
            <w:shd w:val="clear" w:color="auto" w:fill="auto"/>
            <w:vAlign w:val="center"/>
          </w:tcPr>
          <w:p>
            <w:pPr>
              <w:widowControl/>
              <w:adjustRightInd/>
              <w:jc w:val="left"/>
              <w:rPr>
                <w:rFonts w:hint="eastAsia" w:ascii="仿宋" w:hAnsi="仿宋" w:eastAsia="仿宋" w:cs="宋体"/>
                <w:color w:val="auto"/>
                <w:kern w:val="0"/>
                <w:sz w:val="18"/>
                <w:szCs w:val="18"/>
                <w:highlight w:val="none"/>
              </w:rPr>
            </w:pPr>
          </w:p>
        </w:tc>
        <w:tc>
          <w:tcPr>
            <w:tcW w:w="3107" w:type="dxa"/>
            <w:tcBorders>
              <w:top w:val="single" w:color="auto" w:sz="4" w:space="0"/>
              <w:left w:val="nil"/>
              <w:bottom w:val="single" w:color="auto" w:sz="4" w:space="0"/>
              <w:right w:val="single" w:color="auto" w:sz="4" w:space="0"/>
            </w:tcBorders>
            <w:shd w:val="clear" w:color="auto" w:fill="auto"/>
            <w:vAlign w:val="center"/>
          </w:tcPr>
          <w:p>
            <w:pPr>
              <w:widowControl/>
              <w:adjustRightInd/>
              <w:jc w:val="left"/>
              <w:rPr>
                <w:rFonts w:hint="eastAsia" w:ascii="仿宋" w:hAnsi="仿宋" w:eastAsia="仿宋" w:cs="宋体"/>
                <w:color w:val="auto"/>
                <w:kern w:val="0"/>
                <w:sz w:val="18"/>
                <w:szCs w:val="18"/>
                <w:highlight w:val="none"/>
              </w:rPr>
            </w:pPr>
          </w:p>
        </w:tc>
      </w:tr>
      <w:tr>
        <w:tblPrEx>
          <w:tblCellMar>
            <w:top w:w="0" w:type="dxa"/>
            <w:left w:w="108" w:type="dxa"/>
            <w:bottom w:w="0" w:type="dxa"/>
            <w:right w:w="108" w:type="dxa"/>
          </w:tblCellMar>
        </w:tblPrEx>
        <w:trPr>
          <w:trHeight w:val="2624" w:hRule="atLeast"/>
        </w:trPr>
        <w:tc>
          <w:tcPr>
            <w:tcW w:w="240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6</w:t>
            </w:r>
          </w:p>
        </w:tc>
        <w:tc>
          <w:tcPr>
            <w:tcW w:w="240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X光机</w:t>
            </w:r>
          </w:p>
        </w:tc>
        <w:tc>
          <w:tcPr>
            <w:tcW w:w="127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台</w:t>
            </w:r>
          </w:p>
        </w:tc>
        <w:tc>
          <w:tcPr>
            <w:tcW w:w="1603"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w:t>
            </w:r>
          </w:p>
        </w:tc>
        <w:tc>
          <w:tcPr>
            <w:tcW w:w="3107" w:type="dxa"/>
            <w:tcBorders>
              <w:top w:val="nil"/>
              <w:left w:val="nil"/>
              <w:bottom w:val="single" w:color="auto" w:sz="4" w:space="0"/>
              <w:right w:val="single" w:color="auto" w:sz="4" w:space="0"/>
            </w:tcBorders>
            <w:shd w:val="clear" w:color="auto" w:fill="auto"/>
            <w:vAlign w:val="center"/>
          </w:tcPr>
          <w:p>
            <w:pPr>
              <w:widowControl/>
              <w:adjustRightInd/>
              <w:jc w:val="left"/>
              <w:rPr>
                <w:rFonts w:hint="eastAsia" w:ascii="仿宋" w:hAnsi="仿宋" w:eastAsia="仿宋" w:cs="宋体"/>
                <w:color w:val="auto"/>
                <w:kern w:val="0"/>
                <w:sz w:val="18"/>
                <w:szCs w:val="18"/>
                <w:highlight w:val="none"/>
              </w:rPr>
            </w:pPr>
          </w:p>
        </w:tc>
        <w:tc>
          <w:tcPr>
            <w:tcW w:w="3107" w:type="dxa"/>
            <w:tcBorders>
              <w:top w:val="nil"/>
              <w:left w:val="nil"/>
              <w:bottom w:val="single" w:color="auto" w:sz="4" w:space="0"/>
              <w:right w:val="single" w:color="auto" w:sz="4" w:space="0"/>
            </w:tcBorders>
            <w:shd w:val="clear" w:color="auto" w:fill="auto"/>
            <w:vAlign w:val="center"/>
          </w:tcPr>
          <w:p>
            <w:pPr>
              <w:widowControl/>
              <w:adjustRightInd/>
              <w:jc w:val="left"/>
              <w:rPr>
                <w:rFonts w:hint="eastAsia" w:ascii="仿宋" w:hAnsi="仿宋" w:eastAsia="仿宋" w:cs="宋体"/>
                <w:color w:val="auto"/>
                <w:kern w:val="0"/>
                <w:sz w:val="18"/>
                <w:szCs w:val="18"/>
                <w:highlight w:val="none"/>
              </w:rPr>
            </w:pPr>
          </w:p>
        </w:tc>
      </w:tr>
      <w:tr>
        <w:tblPrEx>
          <w:tblCellMar>
            <w:top w:w="0" w:type="dxa"/>
            <w:left w:w="108" w:type="dxa"/>
            <w:bottom w:w="0" w:type="dxa"/>
            <w:right w:w="108" w:type="dxa"/>
          </w:tblCellMar>
        </w:tblPrEx>
        <w:trPr>
          <w:trHeight w:val="1880" w:hRule="atLeast"/>
        </w:trPr>
        <w:tc>
          <w:tcPr>
            <w:tcW w:w="2401"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7</w:t>
            </w:r>
          </w:p>
        </w:tc>
        <w:tc>
          <w:tcPr>
            <w:tcW w:w="2401"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安检门</w:t>
            </w:r>
          </w:p>
        </w:tc>
        <w:tc>
          <w:tcPr>
            <w:tcW w:w="1276"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门</w:t>
            </w:r>
          </w:p>
        </w:tc>
        <w:tc>
          <w:tcPr>
            <w:tcW w:w="1603"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4</w:t>
            </w:r>
          </w:p>
        </w:tc>
        <w:tc>
          <w:tcPr>
            <w:tcW w:w="3107" w:type="dxa"/>
            <w:tcBorders>
              <w:top w:val="nil"/>
              <w:left w:val="nil"/>
              <w:bottom w:val="single" w:color="000000" w:sz="8" w:space="0"/>
              <w:right w:val="single" w:color="000000" w:sz="8" w:space="0"/>
            </w:tcBorders>
            <w:shd w:val="clear" w:color="auto" w:fill="auto"/>
            <w:vAlign w:val="center"/>
          </w:tcPr>
          <w:p>
            <w:pPr>
              <w:widowControl/>
              <w:adjustRightInd/>
              <w:jc w:val="left"/>
              <w:rPr>
                <w:rFonts w:hint="eastAsia" w:ascii="仿宋" w:hAnsi="仿宋" w:eastAsia="仿宋" w:cs="宋体"/>
                <w:color w:val="auto"/>
                <w:kern w:val="0"/>
                <w:sz w:val="18"/>
                <w:szCs w:val="18"/>
                <w:highlight w:val="none"/>
              </w:rPr>
            </w:pPr>
          </w:p>
        </w:tc>
        <w:tc>
          <w:tcPr>
            <w:tcW w:w="3107" w:type="dxa"/>
            <w:tcBorders>
              <w:top w:val="nil"/>
              <w:left w:val="nil"/>
              <w:bottom w:val="single" w:color="000000" w:sz="8" w:space="0"/>
              <w:right w:val="single" w:color="000000" w:sz="8" w:space="0"/>
            </w:tcBorders>
            <w:shd w:val="clear" w:color="auto" w:fill="auto"/>
            <w:vAlign w:val="center"/>
          </w:tcPr>
          <w:p>
            <w:pPr>
              <w:widowControl/>
              <w:adjustRightInd/>
              <w:jc w:val="left"/>
              <w:rPr>
                <w:rFonts w:hint="eastAsia" w:ascii="仿宋" w:hAnsi="仿宋" w:eastAsia="仿宋" w:cs="宋体"/>
                <w:color w:val="auto"/>
                <w:kern w:val="0"/>
                <w:sz w:val="18"/>
                <w:szCs w:val="18"/>
                <w:highlight w:val="none"/>
              </w:rPr>
            </w:pPr>
          </w:p>
        </w:tc>
      </w:tr>
      <w:tr>
        <w:tblPrEx>
          <w:tblCellMar>
            <w:top w:w="0" w:type="dxa"/>
            <w:left w:w="108" w:type="dxa"/>
            <w:bottom w:w="0" w:type="dxa"/>
            <w:right w:w="108" w:type="dxa"/>
          </w:tblCellMar>
        </w:tblPrEx>
        <w:trPr>
          <w:trHeight w:val="1743" w:hRule="atLeast"/>
        </w:trPr>
        <w:tc>
          <w:tcPr>
            <w:tcW w:w="2401"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8</w:t>
            </w:r>
          </w:p>
        </w:tc>
        <w:tc>
          <w:tcPr>
            <w:tcW w:w="2401"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安检辅助设备( 开包检查桌、安检托盘、脚踏)</w:t>
            </w:r>
          </w:p>
        </w:tc>
        <w:tc>
          <w:tcPr>
            <w:tcW w:w="1276"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套</w:t>
            </w:r>
          </w:p>
        </w:tc>
        <w:tc>
          <w:tcPr>
            <w:tcW w:w="1603"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w:t>
            </w:r>
          </w:p>
        </w:tc>
        <w:tc>
          <w:tcPr>
            <w:tcW w:w="3107" w:type="dxa"/>
            <w:tcBorders>
              <w:top w:val="nil"/>
              <w:left w:val="nil"/>
              <w:bottom w:val="single" w:color="000000" w:sz="8" w:space="0"/>
              <w:right w:val="single" w:color="000000" w:sz="8" w:space="0"/>
            </w:tcBorders>
            <w:shd w:val="clear" w:color="auto" w:fill="auto"/>
            <w:vAlign w:val="center"/>
          </w:tcPr>
          <w:p>
            <w:pPr>
              <w:widowControl/>
              <w:adjustRightInd/>
              <w:jc w:val="left"/>
              <w:rPr>
                <w:rFonts w:hint="eastAsia" w:ascii="仿宋" w:hAnsi="仿宋" w:eastAsia="仿宋" w:cs="宋体"/>
                <w:color w:val="auto"/>
                <w:kern w:val="0"/>
                <w:sz w:val="18"/>
                <w:szCs w:val="18"/>
                <w:highlight w:val="none"/>
              </w:rPr>
            </w:pPr>
          </w:p>
        </w:tc>
        <w:tc>
          <w:tcPr>
            <w:tcW w:w="3107" w:type="dxa"/>
            <w:tcBorders>
              <w:top w:val="nil"/>
              <w:left w:val="nil"/>
              <w:bottom w:val="single" w:color="000000" w:sz="8" w:space="0"/>
              <w:right w:val="single" w:color="000000" w:sz="8" w:space="0"/>
            </w:tcBorders>
            <w:shd w:val="clear" w:color="auto" w:fill="auto"/>
            <w:vAlign w:val="center"/>
          </w:tcPr>
          <w:p>
            <w:pPr>
              <w:widowControl/>
              <w:adjustRightInd/>
              <w:jc w:val="left"/>
              <w:rPr>
                <w:rFonts w:hint="eastAsia" w:ascii="仿宋" w:hAnsi="仿宋" w:eastAsia="仿宋" w:cs="宋体"/>
                <w:color w:val="auto"/>
                <w:kern w:val="0"/>
                <w:sz w:val="18"/>
                <w:szCs w:val="18"/>
                <w:highlight w:val="none"/>
              </w:rPr>
            </w:pPr>
          </w:p>
        </w:tc>
      </w:tr>
      <w:tr>
        <w:tblPrEx>
          <w:tblCellMar>
            <w:top w:w="0" w:type="dxa"/>
            <w:left w:w="108" w:type="dxa"/>
            <w:bottom w:w="0" w:type="dxa"/>
            <w:right w:w="108" w:type="dxa"/>
          </w:tblCellMar>
        </w:tblPrEx>
        <w:trPr>
          <w:trHeight w:val="737" w:hRule="atLeast"/>
        </w:trPr>
        <w:tc>
          <w:tcPr>
            <w:tcW w:w="2401" w:type="dxa"/>
            <w:tcBorders>
              <w:top w:val="nil"/>
              <w:left w:val="single" w:color="000000" w:sz="8" w:space="0"/>
              <w:bottom w:val="single" w:color="auto" w:sz="4"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9</w:t>
            </w:r>
          </w:p>
        </w:tc>
        <w:tc>
          <w:tcPr>
            <w:tcW w:w="2401" w:type="dxa"/>
            <w:tcBorders>
              <w:top w:val="nil"/>
              <w:left w:val="nil"/>
              <w:bottom w:val="single" w:color="auto" w:sz="4"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安检信息上传第三方设备平台</w:t>
            </w:r>
          </w:p>
        </w:tc>
        <w:tc>
          <w:tcPr>
            <w:tcW w:w="1276" w:type="dxa"/>
            <w:tcBorders>
              <w:top w:val="nil"/>
              <w:left w:val="nil"/>
              <w:bottom w:val="single" w:color="auto" w:sz="4"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套</w:t>
            </w:r>
          </w:p>
        </w:tc>
        <w:tc>
          <w:tcPr>
            <w:tcW w:w="1603" w:type="dxa"/>
            <w:tcBorders>
              <w:top w:val="nil"/>
              <w:left w:val="nil"/>
              <w:bottom w:val="single" w:color="auto" w:sz="4"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w:t>
            </w:r>
          </w:p>
        </w:tc>
        <w:tc>
          <w:tcPr>
            <w:tcW w:w="3107" w:type="dxa"/>
            <w:tcBorders>
              <w:top w:val="nil"/>
              <w:left w:val="nil"/>
              <w:bottom w:val="single" w:color="auto" w:sz="4" w:space="0"/>
              <w:right w:val="single" w:color="000000" w:sz="8" w:space="0"/>
            </w:tcBorders>
            <w:shd w:val="clear" w:color="auto" w:fill="auto"/>
            <w:vAlign w:val="center"/>
          </w:tcPr>
          <w:p>
            <w:pPr>
              <w:widowControl/>
              <w:adjustRightInd/>
              <w:rPr>
                <w:rFonts w:hint="eastAsia" w:ascii="仿宋" w:hAnsi="仿宋" w:eastAsia="仿宋" w:cs="宋体"/>
                <w:color w:val="auto"/>
                <w:kern w:val="0"/>
                <w:sz w:val="18"/>
                <w:szCs w:val="18"/>
                <w:highlight w:val="none"/>
              </w:rPr>
            </w:pPr>
          </w:p>
        </w:tc>
        <w:tc>
          <w:tcPr>
            <w:tcW w:w="3107" w:type="dxa"/>
            <w:tcBorders>
              <w:top w:val="nil"/>
              <w:left w:val="nil"/>
              <w:bottom w:val="single" w:color="auto" w:sz="4" w:space="0"/>
              <w:right w:val="single" w:color="000000" w:sz="8" w:space="0"/>
            </w:tcBorders>
            <w:shd w:val="clear" w:color="auto" w:fill="auto"/>
            <w:vAlign w:val="center"/>
          </w:tcPr>
          <w:p>
            <w:pPr>
              <w:widowControl/>
              <w:adjustRightInd/>
              <w:rPr>
                <w:rFonts w:hint="eastAsia" w:ascii="仿宋" w:hAnsi="仿宋" w:eastAsia="仿宋" w:cs="宋体"/>
                <w:color w:val="auto"/>
                <w:kern w:val="0"/>
                <w:sz w:val="18"/>
                <w:szCs w:val="18"/>
                <w:highlight w:val="none"/>
              </w:rPr>
            </w:pPr>
          </w:p>
        </w:tc>
      </w:tr>
      <w:tr>
        <w:tblPrEx>
          <w:tblCellMar>
            <w:top w:w="0" w:type="dxa"/>
            <w:left w:w="108" w:type="dxa"/>
            <w:bottom w:w="0" w:type="dxa"/>
            <w:right w:w="108" w:type="dxa"/>
          </w:tblCellMar>
        </w:tblPrEx>
        <w:trPr>
          <w:trHeight w:val="2028" w:hRule="atLeast"/>
        </w:trPr>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自动车底检测系统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套</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rPr>
                <w:rFonts w:hint="eastAsia" w:ascii="仿宋" w:hAnsi="仿宋" w:eastAsia="仿宋" w:cs="宋体"/>
                <w:color w:val="auto"/>
                <w:kern w:val="0"/>
                <w:sz w:val="18"/>
                <w:szCs w:val="18"/>
                <w:highlight w:val="none"/>
              </w:rPr>
            </w:pP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rPr>
                <w:rFonts w:hint="eastAsia" w:ascii="仿宋" w:hAnsi="仿宋" w:eastAsia="仿宋" w:cs="宋体"/>
                <w:color w:val="auto"/>
                <w:kern w:val="0"/>
                <w:sz w:val="18"/>
                <w:szCs w:val="18"/>
                <w:highlight w:val="none"/>
              </w:rPr>
            </w:pPr>
          </w:p>
        </w:tc>
      </w:tr>
      <w:tr>
        <w:tblPrEx>
          <w:tblCellMar>
            <w:top w:w="0" w:type="dxa"/>
            <w:left w:w="108" w:type="dxa"/>
            <w:bottom w:w="0" w:type="dxa"/>
            <w:right w:w="108" w:type="dxa"/>
          </w:tblCellMar>
        </w:tblPrEx>
        <w:trPr>
          <w:trHeight w:val="1041" w:hRule="atLeast"/>
        </w:trPr>
        <w:tc>
          <w:tcPr>
            <w:tcW w:w="2401"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11</w:t>
            </w:r>
          </w:p>
        </w:tc>
        <w:tc>
          <w:tcPr>
            <w:tcW w:w="2401" w:type="dxa"/>
            <w:tcBorders>
              <w:top w:val="single" w:color="auto" w:sz="4" w:space="0"/>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手动车底检查镜</w:t>
            </w:r>
          </w:p>
        </w:tc>
        <w:tc>
          <w:tcPr>
            <w:tcW w:w="1276" w:type="dxa"/>
            <w:tcBorders>
              <w:top w:val="single" w:color="auto" w:sz="4" w:space="0"/>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套</w:t>
            </w:r>
          </w:p>
        </w:tc>
        <w:tc>
          <w:tcPr>
            <w:tcW w:w="1603" w:type="dxa"/>
            <w:tcBorders>
              <w:top w:val="single" w:color="auto" w:sz="4" w:space="0"/>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w:t>
            </w:r>
          </w:p>
        </w:tc>
        <w:tc>
          <w:tcPr>
            <w:tcW w:w="3107" w:type="dxa"/>
            <w:tcBorders>
              <w:top w:val="single" w:color="auto" w:sz="4" w:space="0"/>
              <w:left w:val="nil"/>
              <w:bottom w:val="single" w:color="000000" w:sz="8" w:space="0"/>
              <w:right w:val="single" w:color="000000" w:sz="8" w:space="0"/>
            </w:tcBorders>
            <w:shd w:val="clear" w:color="auto" w:fill="auto"/>
            <w:vAlign w:val="center"/>
          </w:tcPr>
          <w:p>
            <w:pPr>
              <w:widowControl/>
              <w:adjustRightInd/>
              <w:rPr>
                <w:rFonts w:hint="eastAsia" w:ascii="仿宋" w:hAnsi="仿宋" w:eastAsia="仿宋" w:cs="宋体"/>
                <w:color w:val="auto"/>
                <w:kern w:val="0"/>
                <w:sz w:val="18"/>
                <w:szCs w:val="18"/>
                <w:highlight w:val="none"/>
              </w:rPr>
            </w:pPr>
          </w:p>
        </w:tc>
        <w:tc>
          <w:tcPr>
            <w:tcW w:w="3107" w:type="dxa"/>
            <w:tcBorders>
              <w:top w:val="single" w:color="auto" w:sz="4" w:space="0"/>
              <w:left w:val="nil"/>
              <w:bottom w:val="single" w:color="000000" w:sz="8" w:space="0"/>
              <w:right w:val="single" w:color="000000" w:sz="8" w:space="0"/>
            </w:tcBorders>
            <w:shd w:val="clear" w:color="auto" w:fill="auto"/>
            <w:vAlign w:val="center"/>
          </w:tcPr>
          <w:p>
            <w:pPr>
              <w:widowControl/>
              <w:adjustRightInd/>
              <w:rPr>
                <w:rFonts w:hint="eastAsia" w:ascii="仿宋" w:hAnsi="仿宋" w:eastAsia="仿宋" w:cs="宋体"/>
                <w:color w:val="auto"/>
                <w:kern w:val="0"/>
                <w:sz w:val="18"/>
                <w:szCs w:val="18"/>
                <w:highlight w:val="none"/>
              </w:rPr>
            </w:pPr>
          </w:p>
        </w:tc>
      </w:tr>
      <w:tr>
        <w:tblPrEx>
          <w:tblCellMar>
            <w:top w:w="0" w:type="dxa"/>
            <w:left w:w="108" w:type="dxa"/>
            <w:bottom w:w="0" w:type="dxa"/>
            <w:right w:w="108" w:type="dxa"/>
          </w:tblCellMar>
        </w:tblPrEx>
        <w:trPr>
          <w:trHeight w:val="1041" w:hRule="atLeast"/>
        </w:trPr>
        <w:tc>
          <w:tcPr>
            <w:tcW w:w="2401"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12</w:t>
            </w:r>
          </w:p>
        </w:tc>
        <w:tc>
          <w:tcPr>
            <w:tcW w:w="2401"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伸缩视频车顶检查镜</w:t>
            </w:r>
          </w:p>
        </w:tc>
        <w:tc>
          <w:tcPr>
            <w:tcW w:w="1276"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套</w:t>
            </w:r>
          </w:p>
        </w:tc>
        <w:tc>
          <w:tcPr>
            <w:tcW w:w="1603"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w:t>
            </w:r>
          </w:p>
        </w:tc>
        <w:tc>
          <w:tcPr>
            <w:tcW w:w="3107" w:type="dxa"/>
            <w:tcBorders>
              <w:top w:val="nil"/>
              <w:left w:val="nil"/>
              <w:bottom w:val="single" w:color="000000" w:sz="8" w:space="0"/>
              <w:right w:val="single" w:color="000000" w:sz="8" w:space="0"/>
            </w:tcBorders>
            <w:shd w:val="clear" w:color="auto" w:fill="auto"/>
            <w:vAlign w:val="center"/>
          </w:tcPr>
          <w:p>
            <w:pPr>
              <w:widowControl/>
              <w:adjustRightInd/>
              <w:rPr>
                <w:rFonts w:hint="eastAsia" w:ascii="仿宋" w:hAnsi="仿宋" w:eastAsia="仿宋" w:cs="宋体"/>
                <w:color w:val="auto"/>
                <w:kern w:val="0"/>
                <w:sz w:val="18"/>
                <w:szCs w:val="18"/>
                <w:highlight w:val="none"/>
              </w:rPr>
            </w:pPr>
          </w:p>
        </w:tc>
        <w:tc>
          <w:tcPr>
            <w:tcW w:w="3107" w:type="dxa"/>
            <w:tcBorders>
              <w:top w:val="nil"/>
              <w:left w:val="nil"/>
              <w:bottom w:val="single" w:color="000000" w:sz="8" w:space="0"/>
              <w:right w:val="single" w:color="000000" w:sz="8" w:space="0"/>
            </w:tcBorders>
            <w:shd w:val="clear" w:color="auto" w:fill="auto"/>
            <w:vAlign w:val="center"/>
          </w:tcPr>
          <w:p>
            <w:pPr>
              <w:widowControl/>
              <w:adjustRightInd/>
              <w:rPr>
                <w:rFonts w:hint="eastAsia" w:ascii="仿宋" w:hAnsi="仿宋" w:eastAsia="仿宋" w:cs="宋体"/>
                <w:color w:val="auto"/>
                <w:kern w:val="0"/>
                <w:sz w:val="18"/>
                <w:szCs w:val="18"/>
                <w:highlight w:val="none"/>
              </w:rPr>
            </w:pPr>
          </w:p>
        </w:tc>
      </w:tr>
      <w:tr>
        <w:tblPrEx>
          <w:tblCellMar>
            <w:top w:w="0" w:type="dxa"/>
            <w:left w:w="108" w:type="dxa"/>
            <w:bottom w:w="0" w:type="dxa"/>
            <w:right w:w="108" w:type="dxa"/>
          </w:tblCellMar>
        </w:tblPrEx>
        <w:trPr>
          <w:trHeight w:val="1041" w:hRule="atLeast"/>
        </w:trPr>
        <w:tc>
          <w:tcPr>
            <w:tcW w:w="2401"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13</w:t>
            </w:r>
          </w:p>
        </w:tc>
        <w:tc>
          <w:tcPr>
            <w:tcW w:w="2401"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检查点硬盘录像机</w:t>
            </w:r>
          </w:p>
        </w:tc>
        <w:tc>
          <w:tcPr>
            <w:tcW w:w="1276"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台</w:t>
            </w:r>
          </w:p>
        </w:tc>
        <w:tc>
          <w:tcPr>
            <w:tcW w:w="1603"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w:t>
            </w:r>
          </w:p>
        </w:tc>
        <w:tc>
          <w:tcPr>
            <w:tcW w:w="3107" w:type="dxa"/>
            <w:tcBorders>
              <w:top w:val="nil"/>
              <w:left w:val="nil"/>
              <w:bottom w:val="single" w:color="000000" w:sz="8" w:space="0"/>
              <w:right w:val="single" w:color="000000" w:sz="8" w:space="0"/>
            </w:tcBorders>
            <w:shd w:val="clear" w:color="auto" w:fill="auto"/>
            <w:vAlign w:val="center"/>
          </w:tcPr>
          <w:p>
            <w:pPr>
              <w:widowControl/>
              <w:adjustRightInd/>
              <w:rPr>
                <w:rFonts w:hint="eastAsia" w:ascii="仿宋" w:hAnsi="仿宋" w:eastAsia="仿宋" w:cs="宋体"/>
                <w:color w:val="auto"/>
                <w:kern w:val="0"/>
                <w:sz w:val="18"/>
                <w:szCs w:val="18"/>
                <w:highlight w:val="none"/>
              </w:rPr>
            </w:pPr>
          </w:p>
        </w:tc>
        <w:tc>
          <w:tcPr>
            <w:tcW w:w="3107" w:type="dxa"/>
            <w:tcBorders>
              <w:top w:val="nil"/>
              <w:left w:val="nil"/>
              <w:bottom w:val="single" w:color="000000" w:sz="8" w:space="0"/>
              <w:right w:val="single" w:color="000000" w:sz="8" w:space="0"/>
            </w:tcBorders>
            <w:shd w:val="clear" w:color="auto" w:fill="auto"/>
            <w:vAlign w:val="center"/>
          </w:tcPr>
          <w:p>
            <w:pPr>
              <w:widowControl/>
              <w:adjustRightInd/>
              <w:rPr>
                <w:rFonts w:hint="eastAsia" w:ascii="仿宋" w:hAnsi="仿宋" w:eastAsia="仿宋" w:cs="宋体"/>
                <w:color w:val="auto"/>
                <w:kern w:val="0"/>
                <w:sz w:val="18"/>
                <w:szCs w:val="18"/>
                <w:highlight w:val="none"/>
              </w:rPr>
            </w:pPr>
          </w:p>
        </w:tc>
      </w:tr>
      <w:tr>
        <w:tblPrEx>
          <w:tblCellMar>
            <w:top w:w="0" w:type="dxa"/>
            <w:left w:w="108" w:type="dxa"/>
            <w:bottom w:w="0" w:type="dxa"/>
            <w:right w:w="108" w:type="dxa"/>
          </w:tblCellMar>
        </w:tblPrEx>
        <w:trPr>
          <w:trHeight w:val="1908" w:hRule="atLeast"/>
        </w:trPr>
        <w:tc>
          <w:tcPr>
            <w:tcW w:w="2401" w:type="dxa"/>
            <w:tcBorders>
              <w:top w:val="nil"/>
              <w:left w:val="single" w:color="000000" w:sz="8" w:space="0"/>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14</w:t>
            </w:r>
          </w:p>
        </w:tc>
        <w:tc>
          <w:tcPr>
            <w:tcW w:w="2401"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炸药探测器</w:t>
            </w:r>
          </w:p>
        </w:tc>
        <w:tc>
          <w:tcPr>
            <w:tcW w:w="1276"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套</w:t>
            </w:r>
          </w:p>
        </w:tc>
        <w:tc>
          <w:tcPr>
            <w:tcW w:w="1603" w:type="dxa"/>
            <w:tcBorders>
              <w:top w:val="nil"/>
              <w:left w:val="nil"/>
              <w:bottom w:val="single" w:color="000000" w:sz="8"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w:t>
            </w:r>
          </w:p>
        </w:tc>
        <w:tc>
          <w:tcPr>
            <w:tcW w:w="3107" w:type="dxa"/>
            <w:tcBorders>
              <w:top w:val="nil"/>
              <w:left w:val="nil"/>
              <w:bottom w:val="single" w:color="000000" w:sz="8" w:space="0"/>
              <w:right w:val="single" w:color="000000" w:sz="8" w:space="0"/>
            </w:tcBorders>
            <w:shd w:val="clear" w:color="auto" w:fill="auto"/>
            <w:vAlign w:val="center"/>
          </w:tcPr>
          <w:p>
            <w:pPr>
              <w:widowControl/>
              <w:adjustRightInd/>
              <w:rPr>
                <w:rFonts w:hint="eastAsia" w:ascii="仿宋" w:hAnsi="仿宋" w:eastAsia="仿宋" w:cs="宋体"/>
                <w:color w:val="auto"/>
                <w:kern w:val="0"/>
                <w:sz w:val="18"/>
                <w:szCs w:val="18"/>
                <w:highlight w:val="none"/>
              </w:rPr>
            </w:pPr>
          </w:p>
        </w:tc>
        <w:tc>
          <w:tcPr>
            <w:tcW w:w="3107" w:type="dxa"/>
            <w:tcBorders>
              <w:top w:val="nil"/>
              <w:left w:val="nil"/>
              <w:bottom w:val="single" w:color="000000" w:sz="8" w:space="0"/>
              <w:right w:val="single" w:color="000000" w:sz="8" w:space="0"/>
            </w:tcBorders>
            <w:shd w:val="clear" w:color="auto" w:fill="auto"/>
            <w:vAlign w:val="center"/>
          </w:tcPr>
          <w:p>
            <w:pPr>
              <w:widowControl/>
              <w:adjustRightInd/>
              <w:rPr>
                <w:rFonts w:hint="eastAsia" w:ascii="仿宋" w:hAnsi="仿宋" w:eastAsia="仿宋" w:cs="宋体"/>
                <w:color w:val="auto"/>
                <w:kern w:val="0"/>
                <w:sz w:val="18"/>
                <w:szCs w:val="18"/>
                <w:highlight w:val="none"/>
              </w:rPr>
            </w:pPr>
          </w:p>
        </w:tc>
      </w:tr>
      <w:tr>
        <w:tblPrEx>
          <w:tblCellMar>
            <w:top w:w="0" w:type="dxa"/>
            <w:left w:w="108" w:type="dxa"/>
            <w:bottom w:w="0" w:type="dxa"/>
            <w:right w:w="108" w:type="dxa"/>
          </w:tblCellMar>
        </w:tblPrEx>
        <w:trPr>
          <w:trHeight w:val="2057" w:hRule="atLeast"/>
        </w:trPr>
        <w:tc>
          <w:tcPr>
            <w:tcW w:w="2401" w:type="dxa"/>
            <w:tcBorders>
              <w:top w:val="nil"/>
              <w:left w:val="single" w:color="000000" w:sz="8" w:space="0"/>
              <w:bottom w:val="single" w:color="auto" w:sz="4"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15</w:t>
            </w:r>
          </w:p>
        </w:tc>
        <w:tc>
          <w:tcPr>
            <w:tcW w:w="2401" w:type="dxa"/>
            <w:tcBorders>
              <w:top w:val="nil"/>
              <w:left w:val="nil"/>
              <w:bottom w:val="single" w:color="auto" w:sz="4"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液体检测仪（台式）</w:t>
            </w:r>
          </w:p>
        </w:tc>
        <w:tc>
          <w:tcPr>
            <w:tcW w:w="1276" w:type="dxa"/>
            <w:tcBorders>
              <w:top w:val="nil"/>
              <w:left w:val="nil"/>
              <w:bottom w:val="single" w:color="auto" w:sz="4"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套</w:t>
            </w:r>
          </w:p>
        </w:tc>
        <w:tc>
          <w:tcPr>
            <w:tcW w:w="1603" w:type="dxa"/>
            <w:tcBorders>
              <w:top w:val="nil"/>
              <w:left w:val="nil"/>
              <w:bottom w:val="single" w:color="auto" w:sz="4" w:space="0"/>
              <w:right w:val="single" w:color="000000" w:sz="8"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w:t>
            </w:r>
          </w:p>
        </w:tc>
        <w:tc>
          <w:tcPr>
            <w:tcW w:w="3107" w:type="dxa"/>
            <w:tcBorders>
              <w:top w:val="nil"/>
              <w:left w:val="nil"/>
              <w:bottom w:val="single" w:color="auto" w:sz="4" w:space="0"/>
              <w:right w:val="single" w:color="000000" w:sz="8" w:space="0"/>
            </w:tcBorders>
            <w:shd w:val="clear" w:color="auto" w:fill="auto"/>
            <w:vAlign w:val="center"/>
          </w:tcPr>
          <w:p>
            <w:pPr>
              <w:widowControl/>
              <w:adjustRightInd/>
              <w:rPr>
                <w:rFonts w:hint="eastAsia" w:ascii="仿宋" w:hAnsi="仿宋" w:eastAsia="仿宋" w:cs="宋体"/>
                <w:color w:val="auto"/>
                <w:kern w:val="0"/>
                <w:sz w:val="18"/>
                <w:szCs w:val="18"/>
                <w:highlight w:val="none"/>
              </w:rPr>
            </w:pPr>
          </w:p>
        </w:tc>
        <w:tc>
          <w:tcPr>
            <w:tcW w:w="3107" w:type="dxa"/>
            <w:tcBorders>
              <w:top w:val="nil"/>
              <w:left w:val="nil"/>
              <w:bottom w:val="single" w:color="auto" w:sz="4" w:space="0"/>
              <w:right w:val="single" w:color="000000" w:sz="8" w:space="0"/>
            </w:tcBorders>
            <w:shd w:val="clear" w:color="auto" w:fill="auto"/>
            <w:vAlign w:val="center"/>
          </w:tcPr>
          <w:p>
            <w:pPr>
              <w:widowControl/>
              <w:adjustRightInd/>
              <w:rPr>
                <w:rFonts w:hint="eastAsia" w:ascii="仿宋" w:hAnsi="仿宋" w:eastAsia="仿宋" w:cs="宋体"/>
                <w:color w:val="auto"/>
                <w:kern w:val="0"/>
                <w:sz w:val="18"/>
                <w:szCs w:val="18"/>
                <w:highlight w:val="none"/>
              </w:rPr>
            </w:pPr>
          </w:p>
        </w:tc>
      </w:tr>
      <w:tr>
        <w:tblPrEx>
          <w:tblCellMar>
            <w:top w:w="0" w:type="dxa"/>
            <w:left w:w="108" w:type="dxa"/>
            <w:bottom w:w="0" w:type="dxa"/>
            <w:right w:w="108" w:type="dxa"/>
          </w:tblCellMar>
        </w:tblPrEx>
        <w:trPr>
          <w:trHeight w:val="1081" w:hRule="atLeast"/>
        </w:trPr>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16</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防撞阻车系统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套</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rPr>
                <w:rFonts w:hint="eastAsia" w:ascii="仿宋" w:hAnsi="仿宋" w:eastAsia="仿宋" w:cs="宋体"/>
                <w:color w:val="auto"/>
                <w:kern w:val="0"/>
                <w:sz w:val="18"/>
                <w:szCs w:val="18"/>
                <w:highlight w:val="none"/>
              </w:rPr>
            </w:pP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rPr>
                <w:rFonts w:hint="eastAsia" w:ascii="仿宋" w:hAnsi="仿宋" w:eastAsia="仿宋" w:cs="宋体"/>
                <w:color w:val="auto"/>
                <w:kern w:val="0"/>
                <w:sz w:val="18"/>
                <w:szCs w:val="18"/>
                <w:highlight w:val="none"/>
              </w:rPr>
            </w:pPr>
          </w:p>
        </w:tc>
      </w:tr>
      <w:tr>
        <w:tblPrEx>
          <w:tblCellMar>
            <w:top w:w="0" w:type="dxa"/>
            <w:left w:w="108" w:type="dxa"/>
            <w:bottom w:w="0" w:type="dxa"/>
            <w:right w:w="108" w:type="dxa"/>
          </w:tblCellMar>
        </w:tblPrEx>
        <w:trPr>
          <w:trHeight w:val="601" w:hRule="atLeast"/>
        </w:trPr>
        <w:tc>
          <w:tcPr>
            <w:tcW w:w="7681"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spacing w:line="360" w:lineRule="auto"/>
              <w:jc w:val="center"/>
              <w:rPr>
                <w:rFonts w:hint="eastAsia" w:ascii="仿宋" w:hAnsi="仿宋" w:eastAsia="仿宋" w:cs="宋体"/>
                <w:color w:val="auto"/>
                <w:kern w:val="0"/>
                <w:sz w:val="18"/>
                <w:szCs w:val="18"/>
                <w:highlight w:val="none"/>
              </w:rPr>
            </w:pPr>
            <w:r>
              <w:rPr>
                <w:rFonts w:hint="eastAsia" w:ascii="仿宋_GB2312" w:hAnsi="仿宋" w:eastAsia="仿宋_GB2312" w:cs="仿宋_GB2312"/>
                <w:b/>
                <w:color w:val="auto"/>
                <w:sz w:val="24"/>
                <w:highlight w:val="none"/>
                <w:lang w:val="en-US" w:eastAsia="zh-CN"/>
              </w:rPr>
              <w:t>合计（元）</w:t>
            </w:r>
          </w:p>
        </w:tc>
        <w:tc>
          <w:tcPr>
            <w:tcW w:w="621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spacing w:line="360" w:lineRule="auto"/>
              <w:jc w:val="center"/>
              <w:rPr>
                <w:rFonts w:hint="eastAsia" w:ascii="仿宋" w:hAnsi="仿宋" w:eastAsia="仿宋" w:cs="宋体"/>
                <w:color w:val="auto"/>
                <w:kern w:val="0"/>
                <w:sz w:val="18"/>
                <w:szCs w:val="18"/>
                <w:highlight w:val="none"/>
              </w:rPr>
            </w:pPr>
            <w:r>
              <w:rPr>
                <w:rFonts w:hint="eastAsia" w:ascii="仿宋_GB2312" w:hAnsi="仿宋" w:eastAsia="仿宋_GB2312" w:cs="仿宋_GB2312"/>
                <w:b/>
                <w:color w:val="auto"/>
                <w:sz w:val="24"/>
                <w:highlight w:val="none"/>
                <w:lang w:val="en-US" w:eastAsia="zh-CN"/>
              </w:rPr>
              <w:t>大写：          小写：</w:t>
            </w:r>
          </w:p>
        </w:tc>
      </w:tr>
    </w:tbl>
    <w:p>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pacing w:line="360" w:lineRule="auto"/>
        <w:ind w:left="-2" w:leftChars="-1"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1、投标人需按本表格式填写，不得自行更改</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en-US" w:eastAsia="zh-CN"/>
        </w:rPr>
        <w:t>按采购需求中项目采购清单所列内容报价</w:t>
      </w:r>
      <w:r>
        <w:rPr>
          <w:rFonts w:ascii="仿宋_GB2312" w:hAnsi="仿宋" w:eastAsia="仿宋_GB2312" w:cs="仿宋_GB2312"/>
          <w:color w:val="auto"/>
          <w:kern w:val="0"/>
          <w:sz w:val="24"/>
          <w:highlight w:val="none"/>
          <w:lang w:val="zh-CN"/>
        </w:rPr>
        <w:t>。</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投标文件含有采购人不能接受的附加条件，投标无效</w:t>
      </w:r>
      <w:r>
        <w:rPr>
          <w:rFonts w:hint="eastAsia" w:ascii="仿宋_GB2312" w:hAnsi="仿宋" w:eastAsia="仿宋_GB2312" w:cs="仿宋_GB2312"/>
          <w:b/>
          <w:color w:val="auto"/>
          <w:kern w:val="0"/>
          <w:sz w:val="24"/>
          <w:highlight w:val="none"/>
          <w:lang w:val="zh-CN"/>
        </w:rPr>
        <w:t>。</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color w:val="auto"/>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b/>
          <w:color w:val="auto"/>
          <w:kern w:val="0"/>
          <w:sz w:val="24"/>
          <w:highlight w:val="none"/>
        </w:rPr>
      </w:pPr>
      <w:r>
        <w:rPr>
          <w:rFonts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p>
    <w:p>
      <w:pPr>
        <w:jc w:val="center"/>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杭州高新开发区（滨江）政府采购支持</w:t>
      </w:r>
    </w:p>
    <w:p>
      <w:pPr>
        <w:jc w:val="center"/>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中小企业信用融资暂行办法</w:t>
      </w:r>
    </w:p>
    <w:p>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p>
    <w:p>
      <w:pPr>
        <w:spacing w:line="360" w:lineRule="auto"/>
        <w:ind w:firstLine="480" w:firstLineChars="2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为贯彻落实中央和省、市政府关于支持和促进中小企业发展的有关文件精神，进一步发挥政府采购政策功能，促进政府采购制度创新，加强诚信体系建设，根据财政部、工信部《政府采购促进中小企业发展暂行办法》、《浙江省政府采购支持中小企业信用融资试点办法》、《杭州市政府采购支持中小企业信用融资暂行办法》等有关规定，结合本区实际，制定本办法。</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一、适用对象</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凡已在浙江省政府采购云平台上注册入库，并取得杭州高新开发区（滨江）政府采购合同的区内中小企业供应商（以下简称供应商），均可申请政府采购信用融资。</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开展本区政府采购信用融资工作的银行，应当为区内注册或设立分支机构、且已开展中小企业贷款业务的商业银行。</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二、相关信息获取方式</w:t>
      </w:r>
    </w:p>
    <w:p>
      <w:pPr>
        <w:wordWrap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供应商可通过滨江区门户网站公布的政采贷合作银行相关信息(http://www.hhtz.gov.cn/art/2022/1/11/art_1487037_59039349.html)进行接洽申请。政采贷合作银行可通过浙江政府采购网(https://zfcg.czt.zj.gov.cn/)了解滨江区政府采购项目相关公示信息主动联系供应商。鼓励各银行加大融资规模。区财政局积极推进政府采购中标成交信息、合同信息等信息资源共享，提供相关的服务支持，做好协调工作。</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三、　政府采购信用融资操作流程：</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（一）线上融资模式：</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1.供应商中标后，可通过“政采云-金融服务-融资贷款”向合作银行测算授信额度；</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2.供应商根据合作银行提供的方案，自行选择金融产品，并办理开户等手续；</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3.采购合同签订后，供应商向相应银行发出融资申请；</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4.审批通过后，在线办理放贷手续。</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（二）线下融资模式：</w:t>
      </w:r>
    </w:p>
    <w:p>
      <w:pPr>
        <w:wordWrap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1.供应商根据杭州市滨江区政府门户网站</w:t>
      </w:r>
      <w:r>
        <w:rPr>
          <w:color w:val="auto"/>
          <w:highlight w:val="none"/>
        </w:rPr>
        <w:fldChar w:fldCharType="begin"/>
      </w:r>
      <w:r>
        <w:rPr>
          <w:color w:val="auto"/>
          <w:highlight w:val="none"/>
        </w:rPr>
        <w:instrText xml:space="preserve"> HYPERLINK "http://www.hhtz.gov.cn/art/2022/1/11/art_1487037_59039349.html" </w:instrText>
      </w:r>
      <w:r>
        <w:rPr>
          <w:color w:val="auto"/>
          <w:highlight w:val="none"/>
        </w:rPr>
        <w:fldChar w:fldCharType="separate"/>
      </w:r>
      <w:r>
        <w:rPr>
          <w:rStyle w:val="76"/>
          <w:rFonts w:hint="eastAsia" w:ascii="仿宋_GB2312" w:hAnsi="仿宋" w:eastAsia="仿宋_GB2312" w:cs="Times New Roman"/>
          <w:color w:val="auto"/>
          <w:kern w:val="2"/>
          <w:sz w:val="24"/>
          <w:szCs w:val="24"/>
          <w:highlight w:val="none"/>
        </w:rPr>
        <w:t>http://www.hhtz.gov.cn/art/2022/1/11/art_1487037_59039349.html</w:t>
      </w:r>
      <w:r>
        <w:rPr>
          <w:rStyle w:val="76"/>
          <w:rFonts w:hint="eastAsia" w:ascii="仿宋_GB2312" w:hAnsi="仿宋" w:eastAsia="仿宋_GB2312" w:cs="Times New Roman"/>
          <w:color w:val="auto"/>
          <w:kern w:val="2"/>
          <w:sz w:val="24"/>
          <w:szCs w:val="24"/>
          <w:highlight w:val="none"/>
        </w:rPr>
        <w:fldChar w:fldCharType="end"/>
      </w:r>
      <w:r>
        <w:rPr>
          <w:rFonts w:hint="eastAsia" w:ascii="仿宋_GB2312" w:hAnsi="仿宋" w:eastAsia="仿宋_GB2312"/>
          <w:color w:val="auto"/>
          <w:sz w:val="24"/>
          <w:highlight w:val="none"/>
        </w:rPr>
        <w:t>获取滨江区政采贷合作银行联系人信息，根据合作银行提供的方案，自行选择金融产品，向合作银行提出信用资格预审，并办理开户等手续；</w:t>
      </w:r>
    </w:p>
    <w:p>
      <w:pPr>
        <w:wordWrap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2.采购合同签订后，向合作银行发出融资申请；</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3.合作银行受理申请后，供应商提供审批材料。合作银行应对申请信用融资的供应商及备案的政府采购合同信息进行核对和审查；</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4.审批通过后，合作银行应按照与杭州市滨江区财政局合作备忘录中约定的审批放款期限和优惠利率及时予以放款。</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四、注意事项</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highlight w:val="none"/>
        </w:rPr>
        <w:t>。</w:t>
      </w:r>
    </w:p>
    <w:p>
      <w:pPr>
        <w:spacing w:line="360" w:lineRule="auto"/>
        <w:ind w:left="5060" w:hanging="5060" w:hangingChars="2100"/>
        <w:rPr>
          <w:rFonts w:ascii="仿宋_GB2312" w:hAnsi="仿宋" w:eastAsia="仿宋_GB2312" w:cs="仿宋_GB2312"/>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bookmarkStart w:id="395" w:name="_Toc465665161"/>
      <w:r>
        <w:rPr>
          <w:rFonts w:hint="eastAsia" w:ascii="仿宋_GB2312" w:hAnsi="仿宋" w:eastAsia="仿宋_GB2312"/>
          <w:color w:val="auto"/>
          <w:highlight w:val="none"/>
        </w:rPr>
        <w:t>附件</w:t>
      </w:r>
      <w:bookmarkEnd w:id="395"/>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396" w:name="OLE_LINK13"/>
      <w:bookmarkStart w:id="397" w:name="OLE_LINK14"/>
      <w:r>
        <w:rPr>
          <w:rFonts w:hint="eastAsia" w:ascii="仿宋_GB2312" w:hAnsi="仿宋" w:eastAsia="仿宋_GB2312"/>
          <w:b/>
          <w:color w:val="auto"/>
          <w:spacing w:val="6"/>
          <w:sz w:val="32"/>
          <w:szCs w:val="32"/>
          <w:highlight w:val="none"/>
        </w:rPr>
        <w:t>残疾人福利性单位声明函</w:t>
      </w:r>
    </w:p>
    <w:bookmarkEnd w:id="396"/>
    <w:bookmarkEnd w:id="397"/>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righ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righ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ascii="仿宋_GB2312" w:hAnsi="仿宋" w:eastAsia="仿宋_GB2312"/>
          <w:color w:val="auto"/>
          <w:sz w:val="24"/>
          <w:highlight w:val="none"/>
        </w:rPr>
        <w:t>分包号：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分包号</w:t>
      </w:r>
      <w:r>
        <w:rPr>
          <w:rFonts w:hint="eastAsia" w:ascii="仿宋_GB2312" w:hAnsi="仿宋" w:eastAsia="仿宋_GB2312"/>
          <w:color w:val="auto"/>
          <w:sz w:val="24"/>
          <w:highlight w:val="none"/>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（项目名称）项目</w:t>
      </w:r>
      <w:r>
        <w:rPr>
          <w:rFonts w:hint="eastAsia" w:ascii="仿宋" w:hAnsi="仿宋" w:eastAsia="仿宋" w:cs="仿宋_GB2312"/>
          <w:color w:val="auto"/>
          <w:sz w:val="24"/>
          <w:highlight w:val="none"/>
        </w:rPr>
        <w:t>【招标编号：（采购编号）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2020﹞46</w:t>
      </w:r>
      <w:r>
        <w:rPr>
          <w:rFonts w:hint="eastAsia" w:ascii="仿宋_GB2312" w:hAnsi="宋体" w:eastAsia="仿宋_GB2312"/>
          <w:color w:val="auto"/>
          <w:sz w:val="24"/>
          <w:highlight w:val="none"/>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；承建（承接）企业为</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（中型企业、小型企业、微型企业）</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；承建（承接）企业为</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（中型企业、小型企业、微型企业）</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rPr>
          <w:rFonts w:ascii="仿宋_GB2312" w:hAnsi="仿宋" w:eastAsia="仿宋_GB2312" w:cs="仿宋_GB2312"/>
          <w:color w:val="auto"/>
          <w:sz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r>
        <w:rPr>
          <w:rFonts w:ascii="仿宋_GB2312" w:hAnsi="仿宋" w:eastAsia="仿宋_GB2312" w:cs="仿宋_GB2312"/>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hd w:val="clear" w:color="auto" w:fill="FFFFFF"/>
        <w:spacing w:before="150" w:line="600" w:lineRule="atLeast"/>
        <w:jc w:val="left"/>
        <w:textAlignment w:val="baseline"/>
        <w:rPr>
          <w:rFonts w:ascii="宋体" w:hAnsi="宋体" w:cs="宋体"/>
          <w:b/>
          <w:bCs/>
          <w:color w:val="auto"/>
          <w:sz w:val="36"/>
          <w:szCs w:val="36"/>
          <w:highlight w:val="none"/>
        </w:rPr>
      </w:pPr>
      <w:r>
        <w:rPr>
          <w:rFonts w:hint="eastAsia" w:ascii="宋体" w:hAnsi="宋体" w:cs="宋体"/>
          <w:b/>
          <w:bCs/>
          <w:color w:val="auto"/>
          <w:sz w:val="36"/>
          <w:szCs w:val="36"/>
          <w:highlight w:val="none"/>
        </w:rPr>
        <w:t>附件6：</w:t>
      </w:r>
      <w:r>
        <w:rPr>
          <w:rFonts w:ascii="宋体" w:hAnsi="宋体" w:cs="宋体"/>
          <w:b/>
          <w:bCs/>
          <w:color w:val="auto"/>
          <w:sz w:val="36"/>
          <w:szCs w:val="36"/>
          <w:highlight w:val="none"/>
        </w:rPr>
        <w:t>大中小微型企业划分标准</w:t>
      </w:r>
    </w:p>
    <w:tbl>
      <w:tblPr>
        <w:tblStyle w:val="62"/>
        <w:tblW w:w="12350" w:type="dxa"/>
        <w:jc w:val="center"/>
        <w:tblLayout w:type="fixed"/>
        <w:tblCellMar>
          <w:top w:w="0" w:type="dxa"/>
          <w:left w:w="0" w:type="dxa"/>
          <w:bottom w:w="0" w:type="dxa"/>
          <w:right w:w="0" w:type="dxa"/>
        </w:tblCellMar>
      </w:tblPr>
      <w:tblGrid>
        <w:gridCol w:w="2261"/>
        <w:gridCol w:w="1913"/>
        <w:gridCol w:w="1208"/>
        <w:gridCol w:w="1913"/>
        <w:gridCol w:w="1913"/>
        <w:gridCol w:w="1913"/>
        <w:gridCol w:w="1229"/>
      </w:tblGrid>
      <w:tr>
        <w:tblPrEx>
          <w:tblCellMar>
            <w:top w:w="0" w:type="dxa"/>
            <w:left w:w="0" w:type="dxa"/>
            <w:bottom w:w="0" w:type="dxa"/>
            <w:right w:w="0" w:type="dxa"/>
          </w:tblCellMar>
        </w:tblPrEx>
        <w:trPr>
          <w:jc w:val="center"/>
        </w:trPr>
        <w:tc>
          <w:tcPr>
            <w:tcW w:w="2261"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pPr>
              <w:jc w:val="center"/>
              <w:rPr>
                <w:rFonts w:ascii="宋体" w:hAnsi="宋体" w:cs="宋体"/>
                <w:b/>
                <w:bCs/>
                <w:color w:val="auto"/>
                <w:szCs w:val="21"/>
                <w:highlight w:val="none"/>
              </w:rPr>
            </w:pPr>
            <w:r>
              <w:rPr>
                <w:rFonts w:ascii="宋体" w:hAnsi="宋体" w:cs="宋体"/>
                <w:b/>
                <w:bCs/>
                <w:color w:val="auto"/>
                <w:szCs w:val="21"/>
                <w:highlight w:val="none"/>
              </w:rPr>
              <w:t>行业名称</w:t>
            </w:r>
          </w:p>
        </w:tc>
        <w:tc>
          <w:tcPr>
            <w:tcW w:w="1913"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pPr>
              <w:jc w:val="center"/>
              <w:rPr>
                <w:rFonts w:ascii="宋体" w:hAnsi="宋体" w:cs="宋体"/>
                <w:b/>
                <w:bCs/>
                <w:color w:val="auto"/>
                <w:szCs w:val="21"/>
                <w:highlight w:val="none"/>
              </w:rPr>
            </w:pPr>
            <w:r>
              <w:rPr>
                <w:rFonts w:ascii="宋体" w:hAnsi="宋体" w:cs="宋体"/>
                <w:b/>
                <w:bCs/>
                <w:color w:val="auto"/>
                <w:szCs w:val="21"/>
                <w:highlight w:val="none"/>
              </w:rPr>
              <w:t>指标名称</w:t>
            </w:r>
          </w:p>
        </w:tc>
        <w:tc>
          <w:tcPr>
            <w:tcW w:w="120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pPr>
              <w:jc w:val="center"/>
              <w:rPr>
                <w:rFonts w:ascii="宋体" w:hAnsi="宋体" w:cs="宋体"/>
                <w:b/>
                <w:bCs/>
                <w:color w:val="auto"/>
                <w:szCs w:val="21"/>
                <w:highlight w:val="none"/>
              </w:rPr>
            </w:pPr>
            <w:r>
              <w:rPr>
                <w:rFonts w:ascii="宋体" w:hAnsi="宋体" w:cs="宋体"/>
                <w:b/>
                <w:bCs/>
                <w:color w:val="auto"/>
                <w:szCs w:val="21"/>
                <w:highlight w:val="none"/>
              </w:rPr>
              <w:t>计量单位</w:t>
            </w:r>
          </w:p>
        </w:tc>
        <w:tc>
          <w:tcPr>
            <w:tcW w:w="1913"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pPr>
              <w:jc w:val="center"/>
              <w:rPr>
                <w:rFonts w:ascii="宋体" w:hAnsi="宋体" w:cs="宋体"/>
                <w:b/>
                <w:bCs/>
                <w:color w:val="auto"/>
                <w:szCs w:val="21"/>
                <w:highlight w:val="none"/>
              </w:rPr>
            </w:pPr>
            <w:r>
              <w:rPr>
                <w:rFonts w:ascii="宋体" w:hAnsi="宋体" w:cs="宋体"/>
                <w:b/>
                <w:bCs/>
                <w:color w:val="auto"/>
                <w:szCs w:val="21"/>
                <w:highlight w:val="none"/>
              </w:rPr>
              <w:t>大型</w:t>
            </w:r>
          </w:p>
        </w:tc>
        <w:tc>
          <w:tcPr>
            <w:tcW w:w="1913"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pPr>
              <w:jc w:val="center"/>
              <w:rPr>
                <w:rFonts w:ascii="宋体" w:hAnsi="宋体" w:cs="宋体"/>
                <w:b/>
                <w:bCs/>
                <w:color w:val="auto"/>
                <w:szCs w:val="21"/>
                <w:highlight w:val="none"/>
              </w:rPr>
            </w:pPr>
            <w:r>
              <w:rPr>
                <w:rFonts w:ascii="宋体" w:hAnsi="宋体" w:cs="宋体"/>
                <w:b/>
                <w:bCs/>
                <w:color w:val="auto"/>
                <w:szCs w:val="21"/>
                <w:highlight w:val="none"/>
              </w:rPr>
              <w:t>中型</w:t>
            </w:r>
          </w:p>
        </w:tc>
        <w:tc>
          <w:tcPr>
            <w:tcW w:w="1913"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pPr>
              <w:jc w:val="center"/>
              <w:rPr>
                <w:rFonts w:ascii="宋体" w:hAnsi="宋体" w:cs="宋体"/>
                <w:b/>
                <w:bCs/>
                <w:color w:val="auto"/>
                <w:szCs w:val="21"/>
                <w:highlight w:val="none"/>
              </w:rPr>
            </w:pPr>
            <w:r>
              <w:rPr>
                <w:rFonts w:ascii="宋体" w:hAnsi="宋体" w:cs="宋体"/>
                <w:b/>
                <w:bCs/>
                <w:color w:val="auto"/>
                <w:szCs w:val="21"/>
                <w:highlight w:val="none"/>
              </w:rPr>
              <w:t>小型</w:t>
            </w:r>
          </w:p>
        </w:tc>
        <w:tc>
          <w:tcPr>
            <w:tcW w:w="1229"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pPr>
              <w:jc w:val="center"/>
              <w:rPr>
                <w:rFonts w:ascii="宋体" w:hAnsi="宋体" w:cs="宋体"/>
                <w:b/>
                <w:bCs/>
                <w:color w:val="auto"/>
                <w:szCs w:val="21"/>
                <w:highlight w:val="none"/>
              </w:rPr>
            </w:pPr>
            <w:r>
              <w:rPr>
                <w:rFonts w:ascii="宋体" w:hAnsi="宋体" w:cs="宋体"/>
                <w:b/>
                <w:bCs/>
                <w:color w:val="auto"/>
                <w:szCs w:val="21"/>
                <w:highlight w:val="none"/>
              </w:rPr>
              <w:t>微型</w:t>
            </w:r>
          </w:p>
        </w:tc>
      </w:tr>
      <w:tr>
        <w:tblPrEx>
          <w:tblCellMar>
            <w:top w:w="0" w:type="dxa"/>
            <w:left w:w="0" w:type="dxa"/>
            <w:bottom w:w="0" w:type="dxa"/>
            <w:right w:w="0" w:type="dxa"/>
          </w:tblCellMar>
        </w:tblPrEx>
        <w:trPr>
          <w:jc w:val="center"/>
        </w:trPr>
        <w:tc>
          <w:tcPr>
            <w:tcW w:w="2261"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农、林、牧、渔业</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营业收入(Y)</w:t>
            </w:r>
          </w:p>
        </w:tc>
        <w:tc>
          <w:tcPr>
            <w:tcW w:w="1208"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Y≥20000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500≤Y＜20000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50≤Y＜500</w:t>
            </w:r>
          </w:p>
        </w:tc>
        <w:tc>
          <w:tcPr>
            <w:tcW w:w="1229"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Y＜50</w:t>
            </w:r>
          </w:p>
        </w:tc>
      </w:tr>
      <w:tr>
        <w:tblPrEx>
          <w:tblCellMar>
            <w:top w:w="0" w:type="dxa"/>
            <w:left w:w="0" w:type="dxa"/>
            <w:bottom w:w="0" w:type="dxa"/>
            <w:right w:w="0" w:type="dxa"/>
          </w:tblCellMar>
        </w:tblPrEx>
        <w:trPr>
          <w:jc w:val="center"/>
        </w:trPr>
        <w:tc>
          <w:tcPr>
            <w:tcW w:w="2261" w:type="dxa"/>
            <w:vMerge w:val="restart"/>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工业 *</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从业人员(X)</w:t>
            </w:r>
          </w:p>
        </w:tc>
        <w:tc>
          <w:tcPr>
            <w:tcW w:w="1208"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人</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X≥1000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300≤X＜1000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20≤X＜300</w:t>
            </w:r>
          </w:p>
        </w:tc>
        <w:tc>
          <w:tcPr>
            <w:tcW w:w="1229"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X＜20</w:t>
            </w:r>
          </w:p>
        </w:tc>
      </w:tr>
      <w:tr>
        <w:tblPrEx>
          <w:tblCellMar>
            <w:top w:w="0" w:type="dxa"/>
            <w:left w:w="0" w:type="dxa"/>
            <w:bottom w:w="0" w:type="dxa"/>
            <w:right w:w="0" w:type="dxa"/>
          </w:tblCellMar>
        </w:tblPrEx>
        <w:trPr>
          <w:jc w:val="center"/>
        </w:trPr>
        <w:tc>
          <w:tcPr>
            <w:tcW w:w="2261" w:type="dxa"/>
            <w:vMerge w:val="continue"/>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营业收入(Y)</w:t>
            </w:r>
          </w:p>
        </w:tc>
        <w:tc>
          <w:tcPr>
            <w:tcW w:w="1208"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Y≥40000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2000≤Y＜40000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300≤Y＜2000</w:t>
            </w:r>
          </w:p>
        </w:tc>
        <w:tc>
          <w:tcPr>
            <w:tcW w:w="1229"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Y＜300</w:t>
            </w:r>
          </w:p>
        </w:tc>
      </w:tr>
      <w:tr>
        <w:tblPrEx>
          <w:tblCellMar>
            <w:top w:w="0" w:type="dxa"/>
            <w:left w:w="0" w:type="dxa"/>
            <w:bottom w:w="0" w:type="dxa"/>
            <w:right w:w="0" w:type="dxa"/>
          </w:tblCellMar>
        </w:tblPrEx>
        <w:trPr>
          <w:jc w:val="center"/>
        </w:trPr>
        <w:tc>
          <w:tcPr>
            <w:tcW w:w="2261" w:type="dxa"/>
            <w:vMerge w:val="restart"/>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建筑业</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营业收入(Y)</w:t>
            </w:r>
          </w:p>
        </w:tc>
        <w:tc>
          <w:tcPr>
            <w:tcW w:w="1208"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Y≥80000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6000≤Y＜80000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300≤Y＜6000</w:t>
            </w:r>
          </w:p>
        </w:tc>
        <w:tc>
          <w:tcPr>
            <w:tcW w:w="1229"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Y＜300</w:t>
            </w:r>
          </w:p>
        </w:tc>
      </w:tr>
      <w:tr>
        <w:tblPrEx>
          <w:tblCellMar>
            <w:top w:w="0" w:type="dxa"/>
            <w:left w:w="0" w:type="dxa"/>
            <w:bottom w:w="0" w:type="dxa"/>
            <w:right w:w="0" w:type="dxa"/>
          </w:tblCellMar>
        </w:tblPrEx>
        <w:trPr>
          <w:jc w:val="center"/>
        </w:trPr>
        <w:tc>
          <w:tcPr>
            <w:tcW w:w="2261" w:type="dxa"/>
            <w:vMerge w:val="continue"/>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资产总额(Z)</w:t>
            </w:r>
          </w:p>
        </w:tc>
        <w:tc>
          <w:tcPr>
            <w:tcW w:w="1208"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Z≥80000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5000≤Z＜80000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300≤Z＜5000</w:t>
            </w:r>
          </w:p>
        </w:tc>
        <w:tc>
          <w:tcPr>
            <w:tcW w:w="1229"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Z＜300</w:t>
            </w:r>
          </w:p>
        </w:tc>
      </w:tr>
      <w:tr>
        <w:tblPrEx>
          <w:tblCellMar>
            <w:top w:w="0" w:type="dxa"/>
            <w:left w:w="0" w:type="dxa"/>
            <w:bottom w:w="0" w:type="dxa"/>
            <w:right w:w="0" w:type="dxa"/>
          </w:tblCellMar>
        </w:tblPrEx>
        <w:trPr>
          <w:jc w:val="center"/>
        </w:trPr>
        <w:tc>
          <w:tcPr>
            <w:tcW w:w="2261" w:type="dxa"/>
            <w:vMerge w:val="restart"/>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批发业</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从业人员(X)</w:t>
            </w:r>
          </w:p>
        </w:tc>
        <w:tc>
          <w:tcPr>
            <w:tcW w:w="1208"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人</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X≥200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20≤X＜200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5≤X＜20</w:t>
            </w:r>
          </w:p>
        </w:tc>
        <w:tc>
          <w:tcPr>
            <w:tcW w:w="1229"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X＜5</w:t>
            </w:r>
          </w:p>
        </w:tc>
      </w:tr>
      <w:tr>
        <w:tblPrEx>
          <w:tblCellMar>
            <w:top w:w="0" w:type="dxa"/>
            <w:left w:w="0" w:type="dxa"/>
            <w:bottom w:w="0" w:type="dxa"/>
            <w:right w:w="0" w:type="dxa"/>
          </w:tblCellMar>
        </w:tblPrEx>
        <w:trPr>
          <w:jc w:val="center"/>
        </w:trPr>
        <w:tc>
          <w:tcPr>
            <w:tcW w:w="2261" w:type="dxa"/>
            <w:vMerge w:val="continue"/>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营业收入(Y)</w:t>
            </w:r>
          </w:p>
        </w:tc>
        <w:tc>
          <w:tcPr>
            <w:tcW w:w="1208"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Y≥40000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5000≤Y＜40000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1000≤Y＜5000</w:t>
            </w:r>
          </w:p>
        </w:tc>
        <w:tc>
          <w:tcPr>
            <w:tcW w:w="1229"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Y＜1000</w:t>
            </w:r>
          </w:p>
        </w:tc>
      </w:tr>
      <w:tr>
        <w:tblPrEx>
          <w:tblCellMar>
            <w:top w:w="0" w:type="dxa"/>
            <w:left w:w="0" w:type="dxa"/>
            <w:bottom w:w="0" w:type="dxa"/>
            <w:right w:w="0" w:type="dxa"/>
          </w:tblCellMar>
        </w:tblPrEx>
        <w:trPr>
          <w:jc w:val="center"/>
        </w:trPr>
        <w:tc>
          <w:tcPr>
            <w:tcW w:w="2261" w:type="dxa"/>
            <w:vMerge w:val="restart"/>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零售业</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从业人员(X)</w:t>
            </w:r>
          </w:p>
        </w:tc>
        <w:tc>
          <w:tcPr>
            <w:tcW w:w="1208"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人</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X≥300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50≤X＜300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10≤X＜50</w:t>
            </w:r>
          </w:p>
        </w:tc>
        <w:tc>
          <w:tcPr>
            <w:tcW w:w="1229"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X＜10</w:t>
            </w:r>
          </w:p>
        </w:tc>
      </w:tr>
      <w:tr>
        <w:tblPrEx>
          <w:tblCellMar>
            <w:top w:w="0" w:type="dxa"/>
            <w:left w:w="0" w:type="dxa"/>
            <w:bottom w:w="0" w:type="dxa"/>
            <w:right w:w="0" w:type="dxa"/>
          </w:tblCellMar>
        </w:tblPrEx>
        <w:trPr>
          <w:jc w:val="center"/>
        </w:trPr>
        <w:tc>
          <w:tcPr>
            <w:tcW w:w="2261" w:type="dxa"/>
            <w:vMerge w:val="continue"/>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营业收入(Y)</w:t>
            </w:r>
          </w:p>
        </w:tc>
        <w:tc>
          <w:tcPr>
            <w:tcW w:w="1208"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Y≥20000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500≤Y＜20000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100≤Y＜500</w:t>
            </w:r>
          </w:p>
        </w:tc>
        <w:tc>
          <w:tcPr>
            <w:tcW w:w="1229"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Y＜100</w:t>
            </w:r>
          </w:p>
        </w:tc>
      </w:tr>
      <w:tr>
        <w:tblPrEx>
          <w:tblCellMar>
            <w:top w:w="0" w:type="dxa"/>
            <w:left w:w="0" w:type="dxa"/>
            <w:bottom w:w="0" w:type="dxa"/>
            <w:right w:w="0" w:type="dxa"/>
          </w:tblCellMar>
        </w:tblPrEx>
        <w:trPr>
          <w:jc w:val="center"/>
        </w:trPr>
        <w:tc>
          <w:tcPr>
            <w:tcW w:w="2261" w:type="dxa"/>
            <w:vMerge w:val="restart"/>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交通运输业 *</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从业人员(X)</w:t>
            </w:r>
          </w:p>
        </w:tc>
        <w:tc>
          <w:tcPr>
            <w:tcW w:w="1208"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人</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X≥1000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300≤X＜1000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20≤X＜300</w:t>
            </w:r>
          </w:p>
        </w:tc>
        <w:tc>
          <w:tcPr>
            <w:tcW w:w="1229"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X＜20</w:t>
            </w:r>
          </w:p>
        </w:tc>
      </w:tr>
      <w:tr>
        <w:tblPrEx>
          <w:tblCellMar>
            <w:top w:w="0" w:type="dxa"/>
            <w:left w:w="0" w:type="dxa"/>
            <w:bottom w:w="0" w:type="dxa"/>
            <w:right w:w="0" w:type="dxa"/>
          </w:tblCellMar>
        </w:tblPrEx>
        <w:trPr>
          <w:jc w:val="center"/>
        </w:trPr>
        <w:tc>
          <w:tcPr>
            <w:tcW w:w="2261" w:type="dxa"/>
            <w:vMerge w:val="continue"/>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营业收入(Y)</w:t>
            </w:r>
          </w:p>
        </w:tc>
        <w:tc>
          <w:tcPr>
            <w:tcW w:w="1208"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Y≥30000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3000≤Y＜30000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200≤Y＜3000</w:t>
            </w:r>
          </w:p>
        </w:tc>
        <w:tc>
          <w:tcPr>
            <w:tcW w:w="1229"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Y＜200</w:t>
            </w:r>
          </w:p>
        </w:tc>
      </w:tr>
      <w:tr>
        <w:tblPrEx>
          <w:tblCellMar>
            <w:top w:w="0" w:type="dxa"/>
            <w:left w:w="0" w:type="dxa"/>
            <w:bottom w:w="0" w:type="dxa"/>
            <w:right w:w="0" w:type="dxa"/>
          </w:tblCellMar>
        </w:tblPrEx>
        <w:trPr>
          <w:jc w:val="center"/>
        </w:trPr>
        <w:tc>
          <w:tcPr>
            <w:tcW w:w="2261" w:type="dxa"/>
            <w:vMerge w:val="restart"/>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仓储业*</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从业人员(X)</w:t>
            </w:r>
          </w:p>
        </w:tc>
        <w:tc>
          <w:tcPr>
            <w:tcW w:w="1208"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人</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X≥200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100≤X＜200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20≤X＜100</w:t>
            </w:r>
          </w:p>
        </w:tc>
        <w:tc>
          <w:tcPr>
            <w:tcW w:w="1229"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X＜20</w:t>
            </w:r>
          </w:p>
        </w:tc>
      </w:tr>
      <w:tr>
        <w:tblPrEx>
          <w:tblCellMar>
            <w:top w:w="0" w:type="dxa"/>
            <w:left w:w="0" w:type="dxa"/>
            <w:bottom w:w="0" w:type="dxa"/>
            <w:right w:w="0" w:type="dxa"/>
          </w:tblCellMar>
        </w:tblPrEx>
        <w:trPr>
          <w:jc w:val="center"/>
        </w:trPr>
        <w:tc>
          <w:tcPr>
            <w:tcW w:w="2261" w:type="dxa"/>
            <w:vMerge w:val="continue"/>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营业收入(Y)</w:t>
            </w:r>
          </w:p>
        </w:tc>
        <w:tc>
          <w:tcPr>
            <w:tcW w:w="1208"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Y≥30000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1000≤Y＜30000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100≤Y＜1000</w:t>
            </w:r>
          </w:p>
        </w:tc>
        <w:tc>
          <w:tcPr>
            <w:tcW w:w="1229"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Y＜100</w:t>
            </w:r>
          </w:p>
        </w:tc>
      </w:tr>
      <w:tr>
        <w:tblPrEx>
          <w:tblCellMar>
            <w:top w:w="0" w:type="dxa"/>
            <w:left w:w="0" w:type="dxa"/>
            <w:bottom w:w="0" w:type="dxa"/>
            <w:right w:w="0" w:type="dxa"/>
          </w:tblCellMar>
        </w:tblPrEx>
        <w:trPr>
          <w:jc w:val="center"/>
        </w:trPr>
        <w:tc>
          <w:tcPr>
            <w:tcW w:w="2261" w:type="dxa"/>
            <w:vMerge w:val="restart"/>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邮政业</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从业人员(X)</w:t>
            </w:r>
          </w:p>
        </w:tc>
        <w:tc>
          <w:tcPr>
            <w:tcW w:w="1208"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人</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X≥1000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300≤X＜1000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20≤X＜300</w:t>
            </w:r>
          </w:p>
        </w:tc>
        <w:tc>
          <w:tcPr>
            <w:tcW w:w="1229"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X＜20</w:t>
            </w:r>
          </w:p>
        </w:tc>
      </w:tr>
      <w:tr>
        <w:tblPrEx>
          <w:tblCellMar>
            <w:top w:w="0" w:type="dxa"/>
            <w:left w:w="0" w:type="dxa"/>
            <w:bottom w:w="0" w:type="dxa"/>
            <w:right w:w="0" w:type="dxa"/>
          </w:tblCellMar>
        </w:tblPrEx>
        <w:trPr>
          <w:jc w:val="center"/>
        </w:trPr>
        <w:tc>
          <w:tcPr>
            <w:tcW w:w="2261" w:type="dxa"/>
            <w:vMerge w:val="continue"/>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营业收入(Y)</w:t>
            </w:r>
          </w:p>
        </w:tc>
        <w:tc>
          <w:tcPr>
            <w:tcW w:w="1208"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Y≥30000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2000≤Y＜30000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100≤Y＜2000</w:t>
            </w:r>
          </w:p>
        </w:tc>
        <w:tc>
          <w:tcPr>
            <w:tcW w:w="1229"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Y＜100</w:t>
            </w:r>
          </w:p>
        </w:tc>
      </w:tr>
      <w:tr>
        <w:tblPrEx>
          <w:tblCellMar>
            <w:top w:w="0" w:type="dxa"/>
            <w:left w:w="0" w:type="dxa"/>
            <w:bottom w:w="0" w:type="dxa"/>
            <w:right w:w="0" w:type="dxa"/>
          </w:tblCellMar>
        </w:tblPrEx>
        <w:trPr>
          <w:jc w:val="center"/>
        </w:trPr>
        <w:tc>
          <w:tcPr>
            <w:tcW w:w="2261" w:type="dxa"/>
            <w:vMerge w:val="restart"/>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住宿业</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从业人员(X)</w:t>
            </w:r>
          </w:p>
        </w:tc>
        <w:tc>
          <w:tcPr>
            <w:tcW w:w="1208"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人</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X≥300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100≤X＜300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10≤X＜100</w:t>
            </w:r>
          </w:p>
        </w:tc>
        <w:tc>
          <w:tcPr>
            <w:tcW w:w="1229"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X＜10</w:t>
            </w:r>
          </w:p>
        </w:tc>
      </w:tr>
      <w:tr>
        <w:tblPrEx>
          <w:tblCellMar>
            <w:top w:w="0" w:type="dxa"/>
            <w:left w:w="0" w:type="dxa"/>
            <w:bottom w:w="0" w:type="dxa"/>
            <w:right w:w="0" w:type="dxa"/>
          </w:tblCellMar>
        </w:tblPrEx>
        <w:trPr>
          <w:jc w:val="center"/>
        </w:trPr>
        <w:tc>
          <w:tcPr>
            <w:tcW w:w="2261" w:type="dxa"/>
            <w:vMerge w:val="continue"/>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营业收入(Y)</w:t>
            </w:r>
          </w:p>
        </w:tc>
        <w:tc>
          <w:tcPr>
            <w:tcW w:w="1208"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Y≥10000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2000≤Y＜10000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100≤Y＜2000</w:t>
            </w:r>
          </w:p>
        </w:tc>
        <w:tc>
          <w:tcPr>
            <w:tcW w:w="1229"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Y＜100</w:t>
            </w:r>
          </w:p>
        </w:tc>
      </w:tr>
      <w:tr>
        <w:tblPrEx>
          <w:tblCellMar>
            <w:top w:w="0" w:type="dxa"/>
            <w:left w:w="0" w:type="dxa"/>
            <w:bottom w:w="0" w:type="dxa"/>
            <w:right w:w="0" w:type="dxa"/>
          </w:tblCellMar>
        </w:tblPrEx>
        <w:trPr>
          <w:jc w:val="center"/>
        </w:trPr>
        <w:tc>
          <w:tcPr>
            <w:tcW w:w="2261" w:type="dxa"/>
            <w:vMerge w:val="restart"/>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餐饮业</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从业人员(X)</w:t>
            </w:r>
          </w:p>
        </w:tc>
        <w:tc>
          <w:tcPr>
            <w:tcW w:w="1208"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人</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X≥300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100≤X＜300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10≤X＜100</w:t>
            </w:r>
          </w:p>
        </w:tc>
        <w:tc>
          <w:tcPr>
            <w:tcW w:w="1229"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X＜10</w:t>
            </w:r>
          </w:p>
        </w:tc>
      </w:tr>
      <w:tr>
        <w:tblPrEx>
          <w:tblCellMar>
            <w:top w:w="0" w:type="dxa"/>
            <w:left w:w="0" w:type="dxa"/>
            <w:bottom w:w="0" w:type="dxa"/>
            <w:right w:w="0" w:type="dxa"/>
          </w:tblCellMar>
        </w:tblPrEx>
        <w:trPr>
          <w:jc w:val="center"/>
        </w:trPr>
        <w:tc>
          <w:tcPr>
            <w:tcW w:w="2261" w:type="dxa"/>
            <w:vMerge w:val="continue"/>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营业收入(Y)</w:t>
            </w:r>
          </w:p>
        </w:tc>
        <w:tc>
          <w:tcPr>
            <w:tcW w:w="1208"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Y≥10000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2000≤Y＜10000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100≤Y＜2000</w:t>
            </w:r>
          </w:p>
        </w:tc>
        <w:tc>
          <w:tcPr>
            <w:tcW w:w="1229"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Y＜100</w:t>
            </w:r>
          </w:p>
        </w:tc>
      </w:tr>
      <w:tr>
        <w:tblPrEx>
          <w:tblCellMar>
            <w:top w:w="0" w:type="dxa"/>
            <w:left w:w="0" w:type="dxa"/>
            <w:bottom w:w="0" w:type="dxa"/>
            <w:right w:w="0" w:type="dxa"/>
          </w:tblCellMar>
        </w:tblPrEx>
        <w:trPr>
          <w:jc w:val="center"/>
        </w:trPr>
        <w:tc>
          <w:tcPr>
            <w:tcW w:w="2261" w:type="dxa"/>
            <w:vMerge w:val="restart"/>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hint="eastAsia" w:ascii="inherit" w:hAnsi="inherit" w:cs="宋体"/>
                <w:color w:val="auto"/>
                <w:highlight w:val="none"/>
              </w:rPr>
              <w:t xml:space="preserve"> </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从业人员(X)</w:t>
            </w:r>
          </w:p>
        </w:tc>
        <w:tc>
          <w:tcPr>
            <w:tcW w:w="1208"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人</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X≥2000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100≤X＜2000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10≤X＜100</w:t>
            </w:r>
          </w:p>
        </w:tc>
        <w:tc>
          <w:tcPr>
            <w:tcW w:w="1229"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X＜10</w:t>
            </w:r>
          </w:p>
        </w:tc>
      </w:tr>
      <w:tr>
        <w:tblPrEx>
          <w:tblCellMar>
            <w:top w:w="0" w:type="dxa"/>
            <w:left w:w="0" w:type="dxa"/>
            <w:bottom w:w="0" w:type="dxa"/>
            <w:right w:w="0" w:type="dxa"/>
          </w:tblCellMar>
        </w:tblPrEx>
        <w:trPr>
          <w:jc w:val="center"/>
        </w:trPr>
        <w:tc>
          <w:tcPr>
            <w:tcW w:w="2261" w:type="dxa"/>
            <w:vMerge w:val="continue"/>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营业收入(Y)</w:t>
            </w:r>
          </w:p>
        </w:tc>
        <w:tc>
          <w:tcPr>
            <w:tcW w:w="1208"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Y≥100000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1000≤Y＜100000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100≤Y＜1000</w:t>
            </w:r>
          </w:p>
        </w:tc>
        <w:tc>
          <w:tcPr>
            <w:tcW w:w="1229"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Y＜100</w:t>
            </w:r>
          </w:p>
        </w:tc>
      </w:tr>
      <w:tr>
        <w:tblPrEx>
          <w:tblCellMar>
            <w:top w:w="0" w:type="dxa"/>
            <w:left w:w="0" w:type="dxa"/>
            <w:bottom w:w="0" w:type="dxa"/>
            <w:right w:w="0" w:type="dxa"/>
          </w:tblCellMar>
        </w:tblPrEx>
        <w:trPr>
          <w:jc w:val="center"/>
        </w:trPr>
        <w:tc>
          <w:tcPr>
            <w:tcW w:w="2261" w:type="dxa"/>
            <w:vMerge w:val="restart"/>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软件和信息技术服务业</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从业人员(X)</w:t>
            </w:r>
          </w:p>
        </w:tc>
        <w:tc>
          <w:tcPr>
            <w:tcW w:w="1208"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人</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X≥300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100≤X＜300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10≤X＜100</w:t>
            </w:r>
          </w:p>
        </w:tc>
        <w:tc>
          <w:tcPr>
            <w:tcW w:w="1229"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X＜10</w:t>
            </w:r>
          </w:p>
        </w:tc>
      </w:tr>
      <w:tr>
        <w:tblPrEx>
          <w:tblCellMar>
            <w:top w:w="0" w:type="dxa"/>
            <w:left w:w="0" w:type="dxa"/>
            <w:bottom w:w="0" w:type="dxa"/>
            <w:right w:w="0" w:type="dxa"/>
          </w:tblCellMar>
        </w:tblPrEx>
        <w:trPr>
          <w:jc w:val="center"/>
        </w:trPr>
        <w:tc>
          <w:tcPr>
            <w:tcW w:w="2261" w:type="dxa"/>
            <w:vMerge w:val="continue"/>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营业收入(Y)</w:t>
            </w:r>
          </w:p>
        </w:tc>
        <w:tc>
          <w:tcPr>
            <w:tcW w:w="1208"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Y≥10000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1000≤Y＜10000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50≤Y＜1000</w:t>
            </w:r>
          </w:p>
        </w:tc>
        <w:tc>
          <w:tcPr>
            <w:tcW w:w="1229"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Y＜50</w:t>
            </w:r>
          </w:p>
        </w:tc>
      </w:tr>
      <w:tr>
        <w:tblPrEx>
          <w:tblCellMar>
            <w:top w:w="0" w:type="dxa"/>
            <w:left w:w="0" w:type="dxa"/>
            <w:bottom w:w="0" w:type="dxa"/>
            <w:right w:w="0" w:type="dxa"/>
          </w:tblCellMar>
        </w:tblPrEx>
        <w:trPr>
          <w:jc w:val="center"/>
        </w:trPr>
        <w:tc>
          <w:tcPr>
            <w:tcW w:w="2261" w:type="dxa"/>
            <w:vMerge w:val="restart"/>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房地产开发经营</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营业收入(Y)</w:t>
            </w:r>
          </w:p>
        </w:tc>
        <w:tc>
          <w:tcPr>
            <w:tcW w:w="1208"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Y≥200000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1000≤Y＜200000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100≤Y＜1000</w:t>
            </w:r>
          </w:p>
        </w:tc>
        <w:tc>
          <w:tcPr>
            <w:tcW w:w="1229"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Y＜100</w:t>
            </w:r>
          </w:p>
        </w:tc>
      </w:tr>
      <w:tr>
        <w:tblPrEx>
          <w:tblCellMar>
            <w:top w:w="0" w:type="dxa"/>
            <w:left w:w="0" w:type="dxa"/>
            <w:bottom w:w="0" w:type="dxa"/>
            <w:right w:w="0" w:type="dxa"/>
          </w:tblCellMar>
        </w:tblPrEx>
        <w:trPr>
          <w:jc w:val="center"/>
        </w:trPr>
        <w:tc>
          <w:tcPr>
            <w:tcW w:w="2261" w:type="dxa"/>
            <w:vMerge w:val="continue"/>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资产总额(Z)</w:t>
            </w:r>
          </w:p>
        </w:tc>
        <w:tc>
          <w:tcPr>
            <w:tcW w:w="1208"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Z≥10000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5000≤Z＜10000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2000≤Z＜5000</w:t>
            </w:r>
          </w:p>
        </w:tc>
        <w:tc>
          <w:tcPr>
            <w:tcW w:w="1229"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Z＜2000</w:t>
            </w:r>
          </w:p>
        </w:tc>
      </w:tr>
      <w:tr>
        <w:tblPrEx>
          <w:tblCellMar>
            <w:top w:w="0" w:type="dxa"/>
            <w:left w:w="0" w:type="dxa"/>
            <w:bottom w:w="0" w:type="dxa"/>
            <w:right w:w="0" w:type="dxa"/>
          </w:tblCellMar>
        </w:tblPrEx>
        <w:trPr>
          <w:jc w:val="center"/>
        </w:trPr>
        <w:tc>
          <w:tcPr>
            <w:tcW w:w="2261" w:type="dxa"/>
            <w:vMerge w:val="restart"/>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物业管理</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从业人员(X)</w:t>
            </w:r>
          </w:p>
        </w:tc>
        <w:tc>
          <w:tcPr>
            <w:tcW w:w="1208"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人</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X≥1000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300≤X＜1000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100≤X＜300</w:t>
            </w:r>
          </w:p>
        </w:tc>
        <w:tc>
          <w:tcPr>
            <w:tcW w:w="1229"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X＜100</w:t>
            </w:r>
          </w:p>
        </w:tc>
      </w:tr>
      <w:tr>
        <w:tblPrEx>
          <w:tblCellMar>
            <w:top w:w="0" w:type="dxa"/>
            <w:left w:w="0" w:type="dxa"/>
            <w:bottom w:w="0" w:type="dxa"/>
            <w:right w:w="0" w:type="dxa"/>
          </w:tblCellMar>
        </w:tblPrEx>
        <w:trPr>
          <w:jc w:val="center"/>
        </w:trPr>
        <w:tc>
          <w:tcPr>
            <w:tcW w:w="2261" w:type="dxa"/>
            <w:vMerge w:val="continue"/>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营业收入(Y)</w:t>
            </w:r>
          </w:p>
        </w:tc>
        <w:tc>
          <w:tcPr>
            <w:tcW w:w="1208"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Y≥5000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1000≤Y＜5000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500≤Y＜1000</w:t>
            </w:r>
          </w:p>
        </w:tc>
        <w:tc>
          <w:tcPr>
            <w:tcW w:w="1229"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Y＜500</w:t>
            </w:r>
          </w:p>
        </w:tc>
      </w:tr>
      <w:tr>
        <w:tblPrEx>
          <w:tblCellMar>
            <w:top w:w="0" w:type="dxa"/>
            <w:left w:w="0" w:type="dxa"/>
            <w:bottom w:w="0" w:type="dxa"/>
            <w:right w:w="0" w:type="dxa"/>
          </w:tblCellMar>
        </w:tblPrEx>
        <w:trPr>
          <w:jc w:val="center"/>
        </w:trPr>
        <w:tc>
          <w:tcPr>
            <w:tcW w:w="2261" w:type="dxa"/>
            <w:vMerge w:val="restart"/>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租赁和商务服务业</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从业人员(X)</w:t>
            </w:r>
          </w:p>
        </w:tc>
        <w:tc>
          <w:tcPr>
            <w:tcW w:w="1208"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人</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X≥300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100≤X＜300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10≤X＜100</w:t>
            </w:r>
          </w:p>
        </w:tc>
        <w:tc>
          <w:tcPr>
            <w:tcW w:w="1229"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X＜10</w:t>
            </w:r>
          </w:p>
        </w:tc>
      </w:tr>
      <w:tr>
        <w:tblPrEx>
          <w:tblCellMar>
            <w:top w:w="0" w:type="dxa"/>
            <w:left w:w="0" w:type="dxa"/>
            <w:bottom w:w="0" w:type="dxa"/>
            <w:right w:w="0" w:type="dxa"/>
          </w:tblCellMar>
        </w:tblPrEx>
        <w:trPr>
          <w:jc w:val="center"/>
        </w:trPr>
        <w:tc>
          <w:tcPr>
            <w:tcW w:w="2261" w:type="dxa"/>
            <w:vMerge w:val="continue"/>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资产总额(Z)</w:t>
            </w:r>
          </w:p>
        </w:tc>
        <w:tc>
          <w:tcPr>
            <w:tcW w:w="1208"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Z≥120000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8000≤Z＜120000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100≤Z＜8000</w:t>
            </w:r>
          </w:p>
        </w:tc>
        <w:tc>
          <w:tcPr>
            <w:tcW w:w="1229"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Z＜100</w:t>
            </w:r>
          </w:p>
        </w:tc>
      </w:tr>
      <w:tr>
        <w:tblPrEx>
          <w:tblCellMar>
            <w:top w:w="0" w:type="dxa"/>
            <w:left w:w="0" w:type="dxa"/>
            <w:bottom w:w="0" w:type="dxa"/>
            <w:right w:w="0" w:type="dxa"/>
          </w:tblCellMar>
        </w:tblPrEx>
        <w:trPr>
          <w:jc w:val="center"/>
        </w:trPr>
        <w:tc>
          <w:tcPr>
            <w:tcW w:w="2261"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其他未列明行业 *</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从业人员(X)</w:t>
            </w:r>
          </w:p>
        </w:tc>
        <w:tc>
          <w:tcPr>
            <w:tcW w:w="1208"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人</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X≥300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100≤X＜300</w:t>
            </w:r>
          </w:p>
        </w:tc>
        <w:tc>
          <w:tcPr>
            <w:tcW w:w="1913"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10≤X＜100</w:t>
            </w:r>
          </w:p>
        </w:tc>
        <w:tc>
          <w:tcPr>
            <w:tcW w:w="1229" w:type="dxa"/>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X＜10</w:t>
            </w:r>
          </w:p>
        </w:tc>
      </w:tr>
    </w:tbl>
    <w:p>
      <w:pPr>
        <w:shd w:val="clear" w:color="auto" w:fill="FFFFFF"/>
        <w:spacing w:line="420" w:lineRule="atLeast"/>
        <w:textAlignment w:val="baseline"/>
        <w:rPr>
          <w:rFonts w:ascii="宋体" w:hAnsi="宋体" w:cs="宋体"/>
          <w:color w:val="auto"/>
          <w:szCs w:val="2"/>
          <w:highlight w:val="none"/>
        </w:rPr>
      </w:pPr>
      <w:r>
        <w:rPr>
          <w:rFonts w:ascii="宋体" w:hAnsi="宋体" w:cs="宋体"/>
          <w:color w:val="auto"/>
          <w:szCs w:val="21"/>
          <w:highlight w:val="none"/>
        </w:rPr>
        <w:t>说明： 　　</w:t>
      </w:r>
    </w:p>
    <w:p>
      <w:pPr>
        <w:shd w:val="clear" w:color="auto" w:fill="FFFFFF"/>
        <w:spacing w:line="420" w:lineRule="atLeast"/>
        <w:textAlignment w:val="baseline"/>
        <w:rPr>
          <w:rFonts w:ascii="宋体" w:hAnsi="宋体" w:cs="宋体"/>
          <w:color w:val="auto"/>
          <w:szCs w:val="21"/>
          <w:highlight w:val="none"/>
        </w:rPr>
      </w:pPr>
      <w:r>
        <w:rPr>
          <w:rFonts w:ascii="宋体" w:hAnsi="宋体" w:cs="宋体"/>
          <w:color w:val="auto"/>
          <w:szCs w:val="21"/>
          <w:highlight w:val="none"/>
        </w:rPr>
        <w:t>    1.大型、中型和小型企业须同时满足所列指标的下限，否则下划一档；微型企业只须满足所列指标中的一项即可。 　　</w:t>
      </w:r>
    </w:p>
    <w:p>
      <w:pPr>
        <w:shd w:val="clear" w:color="auto" w:fill="FFFFFF"/>
        <w:spacing w:line="420" w:lineRule="atLeast"/>
        <w:textAlignment w:val="baseline"/>
        <w:rPr>
          <w:rFonts w:ascii="宋体" w:hAnsi="宋体" w:cs="宋体"/>
          <w:color w:val="auto"/>
          <w:szCs w:val="21"/>
          <w:highlight w:val="none"/>
        </w:rPr>
      </w:pPr>
      <w:r>
        <w:rPr>
          <w:rFonts w:ascii="宋体" w:hAnsi="宋体" w:cs="宋体"/>
          <w:color w:val="auto"/>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pPr>
        <w:shd w:val="clear" w:color="auto" w:fill="FFFFFF"/>
        <w:spacing w:line="420" w:lineRule="atLeast"/>
        <w:textAlignment w:val="baseline"/>
        <w:rPr>
          <w:rFonts w:ascii="宋体" w:hAnsi="宋体" w:cs="宋体"/>
          <w:color w:val="auto"/>
          <w:szCs w:val="21"/>
          <w:highlight w:val="none"/>
        </w:rPr>
      </w:pPr>
      <w:r>
        <w:rPr>
          <w:rFonts w:ascii="宋体" w:hAnsi="宋体" w:cs="宋体"/>
          <w:color w:val="auto"/>
          <w:szCs w:val="21"/>
          <w:highlight w:val="none"/>
        </w:rPr>
        <w:t>    3.企业划分指标以现行统计制度为准。 </w:t>
      </w:r>
    </w:p>
    <w:p>
      <w:pPr>
        <w:shd w:val="clear" w:color="auto" w:fill="FFFFFF"/>
        <w:spacing w:line="420" w:lineRule="atLeast"/>
        <w:textAlignment w:val="baseline"/>
        <w:rPr>
          <w:rFonts w:ascii="宋体" w:hAnsi="宋体" w:cs="宋体"/>
          <w:color w:val="auto"/>
          <w:szCs w:val="21"/>
          <w:highlight w:val="none"/>
        </w:rPr>
      </w:pPr>
      <w:r>
        <w:rPr>
          <w:rFonts w:ascii="宋体" w:hAnsi="宋体" w:cs="宋体"/>
          <w:color w:val="auto"/>
          <w:szCs w:val="21"/>
          <w:highlight w:val="none"/>
        </w:rPr>
        <w:t>    （1）从业人员，是指期末从业人员数，没有期末从业人员数的，采用全年平均人员数代替。 </w:t>
      </w:r>
    </w:p>
    <w:p>
      <w:pPr>
        <w:shd w:val="clear" w:color="auto" w:fill="FFFFFF"/>
        <w:spacing w:line="420" w:lineRule="atLeast"/>
        <w:textAlignment w:val="baseline"/>
        <w:rPr>
          <w:rFonts w:ascii="宋体" w:hAnsi="宋体" w:cs="宋体"/>
          <w:color w:val="auto"/>
          <w:szCs w:val="21"/>
          <w:highlight w:val="none"/>
        </w:rPr>
      </w:pPr>
      <w:r>
        <w:rPr>
          <w:rFonts w:ascii="宋体" w:hAnsi="宋体" w:cs="宋体"/>
          <w:color w:val="auto"/>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p>
    <w:p>
      <w:pPr>
        <w:shd w:val="clear" w:color="auto" w:fill="FFFFFF"/>
        <w:spacing w:line="420" w:lineRule="atLeast"/>
        <w:textAlignment w:val="baseline"/>
        <w:rPr>
          <w:rFonts w:ascii="宋体" w:hAnsi="宋体" w:cs="宋体"/>
          <w:color w:val="auto"/>
          <w:szCs w:val="21"/>
          <w:highlight w:val="none"/>
        </w:rPr>
      </w:pPr>
      <w:r>
        <w:rPr>
          <w:rFonts w:ascii="宋体" w:hAnsi="宋体" w:cs="宋体"/>
          <w:color w:val="auto"/>
          <w:szCs w:val="21"/>
          <w:highlight w:val="none"/>
        </w:rPr>
        <w:t>    （3）资产总额，采用资产总计代替。</w:t>
      </w:r>
    </w:p>
    <w:p>
      <w:pPr>
        <w:pStyle w:val="2"/>
        <w:rPr>
          <w:color w:val="auto"/>
          <w:highlight w:val="none"/>
        </w:rPr>
      </w:pPr>
    </w:p>
    <w:p>
      <w:pPr>
        <w:pStyle w:val="4"/>
        <w:rPr>
          <w:color w:val="auto"/>
          <w:highlight w:val="none"/>
        </w:rPr>
      </w:pPr>
    </w:p>
    <w:sectPr>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ymbol">
    <w:panose1 w:val="05050102010706020507"/>
    <w:charset w:val="00"/>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inherit">
    <w:altName w:val="宋体"/>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23</w:t>
                    </w:r>
                    <w:r>
                      <w:fldChar w:fldCharType="end"/>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22</w:t>
                    </w:r>
                    <w:r>
                      <w:fldChar w:fldCharType="end"/>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69</w:t>
                    </w:r>
                    <w:r>
                      <w:fldChar w:fldCharType="end"/>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67</w:t>
                    </w:r>
                    <w:r>
                      <w:fldChar w:fldCharType="end"/>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 w:hAnsi="仿宋" w:eastAsia="仿宋" w:cs="仿宋"/>
        <w:sz w:val="21"/>
        <w:szCs w:val="21"/>
      </w:rPr>
    </w:pPr>
    <w:r>
      <w:rPr>
        <w:rFonts w:hint="eastAsia" w:ascii="仿宋" w:hAnsi="仿宋" w:eastAsia="仿宋" w:cs="仿宋"/>
        <w:sz w:val="21"/>
        <w:szCs w:val="21"/>
      </w:rPr>
      <w:tab/>
    </w:r>
    <w:r>
      <w:rPr>
        <w:rFonts w:hint="eastAsia" w:ascii="仿宋" w:hAnsi="仿宋" w:eastAsia="仿宋" w:cs="仿宋"/>
        <w:sz w:val="21"/>
        <w:szCs w:val="21"/>
      </w:rPr>
      <w:t>杭州市</w:t>
    </w:r>
    <w:r>
      <w:rPr>
        <w:rFonts w:hint="eastAsia" w:ascii="仿宋" w:hAnsi="仿宋" w:eastAsia="仿宋" w:cs="仿宋"/>
        <w:sz w:val="21"/>
        <w:szCs w:val="21"/>
        <w:lang w:val="zh-CN"/>
      </w:rPr>
      <w:t>滨江区政府采购公开招标文件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 w:hAnsi="仿宋" w:eastAsia="仿宋" w:cs="仿宋"/>
        <w:sz w:val="21"/>
        <w:szCs w:val="21"/>
      </w:rPr>
    </w:pPr>
    <w:r>
      <w:rPr>
        <w:rFonts w:hint="eastAsia" w:ascii="仿宋" w:hAnsi="仿宋" w:eastAsia="仿宋" w:cs="仿宋"/>
        <w:sz w:val="21"/>
        <w:szCs w:val="21"/>
      </w:rPr>
      <w:tab/>
    </w:r>
    <w:r>
      <w:rPr>
        <w:rFonts w:hint="eastAsia" w:ascii="仿宋" w:hAnsi="仿宋" w:eastAsia="仿宋" w:cs="仿宋"/>
        <w:sz w:val="21"/>
        <w:szCs w:val="21"/>
      </w:rPr>
      <w:t>杭州市</w:t>
    </w:r>
    <w:r>
      <w:rPr>
        <w:rFonts w:hint="eastAsia" w:ascii="仿宋" w:hAnsi="仿宋" w:eastAsia="仿宋" w:cs="仿宋"/>
        <w:sz w:val="21"/>
        <w:szCs w:val="21"/>
        <w:lang w:val="zh-CN"/>
      </w:rPr>
      <w:t>滨江区政府采购公开招标文件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rFonts w:hint="eastAsia" w:ascii="仿宋" w:hAnsi="仿宋" w:eastAsia="仿宋" w:cs="仿宋"/>
        <w:sz w:val="21"/>
        <w:szCs w:val="21"/>
      </w:rPr>
      <w:tab/>
    </w:r>
    <w:r>
      <w:rPr>
        <w:rFonts w:hint="eastAsia" w:ascii="仿宋" w:hAnsi="仿宋" w:eastAsia="仿宋" w:cs="仿宋"/>
        <w:sz w:val="21"/>
        <w:szCs w:val="21"/>
      </w:rPr>
      <w:t>杭州市</w:t>
    </w:r>
    <w:r>
      <w:rPr>
        <w:rFonts w:hint="eastAsia" w:ascii="仿宋" w:hAnsi="仿宋" w:eastAsia="仿宋" w:cs="仿宋"/>
        <w:sz w:val="21"/>
        <w:szCs w:val="21"/>
        <w:lang w:val="zh-CN"/>
      </w:rPr>
      <w:t>滨江区政府采购公开招标文件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rFonts w:hint="eastAsia" w:ascii="仿宋" w:hAnsi="仿宋" w:eastAsia="仿宋" w:cs="仿宋"/>
        <w:sz w:val="21"/>
        <w:szCs w:val="21"/>
      </w:rPr>
      <w:tab/>
    </w:r>
    <w:r>
      <w:rPr>
        <w:rFonts w:hint="eastAsia" w:ascii="仿宋" w:hAnsi="仿宋" w:eastAsia="仿宋" w:cs="仿宋"/>
        <w:sz w:val="21"/>
        <w:szCs w:val="21"/>
      </w:rPr>
      <w:t>杭州市</w:t>
    </w:r>
    <w:r>
      <w:rPr>
        <w:rFonts w:hint="eastAsia" w:ascii="仿宋" w:hAnsi="仿宋" w:eastAsia="仿宋" w:cs="仿宋"/>
        <w:sz w:val="21"/>
        <w:szCs w:val="21"/>
        <w:lang w:val="zh-CN"/>
      </w:rPr>
      <w:t>滨江区政府采购公开招标文件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rFonts w:hint="eastAsia" w:ascii="仿宋" w:hAnsi="仿宋" w:eastAsia="仿宋" w:cs="仿宋"/>
        <w:sz w:val="21"/>
        <w:szCs w:val="21"/>
      </w:rPr>
      <w:t>杭州市</w:t>
    </w:r>
    <w:r>
      <w:rPr>
        <w:rFonts w:hint="eastAsia" w:ascii="仿宋" w:hAnsi="仿宋" w:eastAsia="仿宋" w:cs="仿宋"/>
        <w:sz w:val="21"/>
        <w:szCs w:val="21"/>
        <w:lang w:val="zh-CN"/>
      </w:rPr>
      <w:t>滨江区政府采购公开招标文件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rFonts w:hint="eastAsia" w:ascii="仿宋" w:hAnsi="仿宋" w:eastAsia="仿宋" w:cs="仿宋"/>
        <w:sz w:val="21"/>
        <w:szCs w:val="21"/>
      </w:rPr>
      <w:t>杭州市</w:t>
    </w:r>
    <w:r>
      <w:rPr>
        <w:rFonts w:hint="eastAsia" w:ascii="仿宋" w:hAnsi="仿宋" w:eastAsia="仿宋" w:cs="仿宋"/>
        <w:sz w:val="21"/>
        <w:szCs w:val="21"/>
        <w:lang w:val="zh-CN"/>
      </w:rPr>
      <w:t>滨江区政府采购公开招标文件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rFonts w:hint="eastAsia" w:ascii="仿宋" w:hAnsi="仿宋" w:eastAsia="仿宋" w:cs="仿宋"/>
        <w:sz w:val="21"/>
        <w:szCs w:val="21"/>
      </w:rPr>
      <w:t xml:space="preserve"> </w:t>
    </w:r>
    <w:r>
      <w:rPr>
        <w:rFonts w:hint="eastAsia" w:ascii="仿宋" w:hAnsi="仿宋" w:eastAsia="仿宋" w:cs="仿宋"/>
        <w:sz w:val="21"/>
        <w:szCs w:val="21"/>
      </w:rPr>
      <w:tab/>
    </w:r>
    <w:r>
      <w:rPr>
        <w:rFonts w:hint="eastAsia" w:ascii="仿宋" w:hAnsi="仿宋" w:eastAsia="仿宋" w:cs="仿宋"/>
        <w:sz w:val="21"/>
        <w:szCs w:val="21"/>
      </w:rPr>
      <w:t>杭州市</w:t>
    </w:r>
    <w:r>
      <w:rPr>
        <w:rFonts w:hint="eastAsia" w:ascii="仿宋" w:hAnsi="仿宋" w:eastAsia="仿宋" w:cs="仿宋"/>
        <w:sz w:val="21"/>
        <w:szCs w:val="21"/>
        <w:lang w:val="zh-CN"/>
      </w:rPr>
      <w:t>滨江区政府采购公开招标文件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rFonts w:hint="eastAsia" w:ascii="仿宋" w:hAnsi="仿宋" w:eastAsia="仿宋" w:cs="仿宋"/>
        <w:sz w:val="21"/>
        <w:szCs w:val="21"/>
      </w:rPr>
      <w:t>杭州市</w:t>
    </w:r>
    <w:r>
      <w:rPr>
        <w:rFonts w:hint="eastAsia" w:ascii="仿宋" w:hAnsi="仿宋" w:eastAsia="仿宋" w:cs="仿宋"/>
        <w:sz w:val="21"/>
        <w:szCs w:val="21"/>
        <w:lang w:val="zh-CN"/>
      </w:rPr>
      <w:t>滨江区政府采购公开招标文件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90EBF"/>
    <w:multiLevelType w:val="singleLevel"/>
    <w:tmpl w:val="85A90EBF"/>
    <w:lvl w:ilvl="0" w:tentative="0">
      <w:start w:val="1"/>
      <w:numFmt w:val="upperLetter"/>
      <w:lvlText w:val="%1."/>
      <w:lvlJc w:val="left"/>
      <w:pPr>
        <w:tabs>
          <w:tab w:val="left" w:pos="312"/>
        </w:tabs>
      </w:pPr>
    </w:lvl>
  </w:abstractNum>
  <w:abstractNum w:abstractNumId="1">
    <w:nsid w:val="02CA5B1C"/>
    <w:multiLevelType w:val="singleLevel"/>
    <w:tmpl w:val="02CA5B1C"/>
    <w:lvl w:ilvl="0" w:tentative="0">
      <w:start w:val="3"/>
      <w:numFmt w:val="chineseCounting"/>
      <w:suff w:val="space"/>
      <w:lvlText w:val="第%1部分"/>
      <w:lvlJc w:val="left"/>
      <w:rPr>
        <w:rFonts w:hint="eastAsia"/>
      </w:rPr>
    </w:lvl>
  </w:abstractNum>
  <w:abstractNum w:abstractNumId="2">
    <w:nsid w:val="26D7A6D5"/>
    <w:multiLevelType w:val="singleLevel"/>
    <w:tmpl w:val="26D7A6D5"/>
    <w:lvl w:ilvl="0" w:tentative="0">
      <w:start w:val="1"/>
      <w:numFmt w:val="chineseCounting"/>
      <w:suff w:val="nothing"/>
      <w:lvlText w:val="%1、"/>
      <w:lvlJc w:val="left"/>
      <w:rPr>
        <w:rFonts w:hint="eastAsia"/>
      </w:rPr>
    </w:lvl>
  </w:abstractNum>
  <w:abstractNum w:abstractNumId="3">
    <w:nsid w:val="65377F21"/>
    <w:multiLevelType w:val="singleLevel"/>
    <w:tmpl w:val="65377F21"/>
    <w:lvl w:ilvl="0" w:tentative="0">
      <w:start w:val="1"/>
      <w:numFmt w:val="decimal"/>
      <w:suff w:val="space"/>
      <w:lvlText w:val="%1."/>
      <w:lvlJc w:val="left"/>
    </w:lvl>
  </w:abstractNum>
  <w:abstractNum w:abstractNumId="4">
    <w:nsid w:val="66EBC05D"/>
    <w:multiLevelType w:val="singleLevel"/>
    <w:tmpl w:val="66EBC05D"/>
    <w:lvl w:ilvl="0" w:tentative="0">
      <w:start w:val="1"/>
      <w:numFmt w:val="decimal"/>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M2M3NjFmYTc2YWVlZWExMzAwZWEwY2YzZGM5MmIifQ=="/>
  </w:docVars>
  <w:rsids>
    <w:rsidRoot w:val="00000000"/>
    <w:rsid w:val="7D9161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Indent"/>
    <w:basedOn w:val="1"/>
    <w:next w:val="1"/>
    <w:link w:val="262"/>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18"/>
    <w:qFormat/>
    <w:uiPriority w:val="0"/>
    <w:pPr>
      <w:ind w:firstLine="420"/>
    </w:pPr>
    <w:rPr>
      <w:rFonts w:hAnsi="Calibri" w:cs="Times New Roman"/>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07"/>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3"/>
    <w:qFormat/>
    <w:uiPriority w:val="0"/>
    <w:rPr>
      <w:b/>
      <w:bCs/>
    </w:rPr>
  </w:style>
  <w:style w:type="paragraph" w:styleId="61">
    <w:name w:val="Body Text First Indent 2"/>
    <w:basedOn w:val="2"/>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basedOn w:val="69"/>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7"/>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z w:val="28"/>
    </w:rPr>
  </w:style>
  <w:style w:type="paragraph" w:customStyle="1" w:styleId="196">
    <w:name w:val="3级"/>
    <w:basedOn w:val="197"/>
    <w:link w:val="195"/>
    <w:qFormat/>
    <w:uiPriority w:val="0"/>
    <w:pPr>
      <w:ind w:left="0" w:right="466" w:firstLine="288"/>
    </w:pPr>
    <w:rPr>
      <w:rFonts w:hAnsi="宋体"/>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basedOn w:val="69"/>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25"/>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2"/>
    <w:qFormat/>
    <w:uiPriority w:val="0"/>
    <w:rPr>
      <w:kern w:val="2"/>
      <w:sz w:val="21"/>
    </w:rPr>
  </w:style>
  <w:style w:type="character" w:customStyle="1" w:styleId="328">
    <w:name w:val="font31"/>
    <w:basedOn w:val="69"/>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0"/>
    <w:qFormat/>
    <w:uiPriority w:val="0"/>
    <w:rPr>
      <w:kern w:val="2"/>
      <w:sz w:val="21"/>
      <w:szCs w:val="24"/>
    </w:rPr>
  </w:style>
  <w:style w:type="character" w:customStyle="1" w:styleId="342">
    <w:name w:val="签名 字符"/>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6"/>
    <w:link w:val="425"/>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7">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basedOn w:val="69"/>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1"/>
    <w:basedOn w:val="1"/>
    <w:next w:val="56"/>
    <w:qFormat/>
    <w:uiPriority w:val="99"/>
    <w:pPr>
      <w:widowControl/>
      <w:snapToGrid w:val="0"/>
      <w:spacing w:line="440" w:lineRule="atLeast"/>
      <w:ind w:firstLine="480"/>
    </w:pPr>
    <w:rPr>
      <w:kern w:val="0"/>
      <w:sz w:val="24"/>
      <w:szCs w:val="20"/>
    </w:rPr>
  </w:style>
  <w:style w:type="paragraph" w:customStyle="1" w:styleId="962">
    <w:name w:val="[Normal]"/>
    <w:qFormat/>
    <w:uiPriority w:val="0"/>
    <w:rPr>
      <w:rFonts w:ascii="宋体" w:hAnsi="宋体" w:eastAsia="宋体" w:cs="Times New Roman"/>
      <w:sz w:val="24"/>
      <w:szCs w:val="22"/>
      <w:lang w:val="zh-CN" w:eastAsia="zh-CN" w:bidi="ar-SA"/>
    </w:rPr>
  </w:style>
  <w:style w:type="paragraph" w:customStyle="1" w:styleId="963">
    <w:name w:val="_Style 717"/>
    <w:basedOn w:val="1"/>
    <w:next w:val="255"/>
    <w:qFormat/>
    <w:uiPriority w:val="34"/>
    <w:pPr>
      <w:adjustRightInd/>
      <w:ind w:firstLine="420" w:firstLineChars="200"/>
    </w:pPr>
  </w:style>
  <w:style w:type="paragraph" w:customStyle="1" w:styleId="96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43195</Words>
  <Characters>48289</Characters>
  <Lines>454</Lines>
  <Paragraphs>127</Paragraphs>
  <TotalTime>2</TotalTime>
  <ScaleCrop>false</ScaleCrop>
  <LinksUpToDate>false</LinksUpToDate>
  <CharactersWithSpaces>53319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2022-06-20T19:01:00Z</dcterms:created>
  <dc:creator>玥</dc:creator>
  <cp:lastModifiedBy>Ｄ先生</cp:lastModifiedBy>
  <cp:lastPrinted>2023-07-27T15:33:00Z</cp:lastPrinted>
  <dcterms:modified xsi:type="dcterms:W3CDTF">2023-08-05T04:56:13Z</dcterms:modified>
  <dc:title>杭州市市民卡扩大发卡工程</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4AC5B0CBD2D44C36AE95E0CF2667E294_13</vt:lpwstr>
  </property>
</Properties>
</file>