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color w:val="000000" w:themeColor="text1"/>
          <w:sz w:val="40"/>
          <w:lang w:eastAsia="zh-CN"/>
          <w14:textFill>
            <w14:solidFill>
              <w14:schemeClr w14:val="tx1"/>
            </w14:solidFill>
          </w14:textFill>
        </w:rPr>
      </w:pPr>
      <w:r>
        <w:rPr>
          <w:rFonts w:hint="eastAsia" w:ascii="宋体" w:hAnsi="宋体" w:eastAsia="宋体" w:cs="宋体"/>
          <w:color w:val="000000" w:themeColor="text1"/>
          <w:sz w:val="40"/>
          <w:lang w:eastAsia="zh-CN"/>
          <w14:textFill>
            <w14:solidFill>
              <w14:schemeClr w14:val="tx1"/>
            </w14:solidFill>
          </w14:textFill>
        </w:rPr>
        <w:t>杭州市萧山区综合交通信息指挥中心二期项目</w:t>
      </w:r>
    </w:p>
    <w:p>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招标文件</w:t>
      </w:r>
    </w:p>
    <w:p>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编号:</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36"/>
          <w:lang w:eastAsia="zh-CN"/>
          <w14:textFill>
            <w14:solidFill>
              <w14:schemeClr w14:val="tx1"/>
            </w14:solidFill>
          </w14:textFill>
        </w:rPr>
        <w:t>XSJTJ2022001</w:t>
      </w:r>
    </w:p>
    <w:p>
      <w:pPr>
        <w:jc w:val="center"/>
        <w:rPr>
          <w:rFonts w:hint="eastAsia" w:ascii="宋体" w:hAnsi="宋体" w:eastAsia="宋体" w:cs="宋体"/>
          <w:color w:val="000000" w:themeColor="text1"/>
          <w:sz w:val="36"/>
          <w14:textFill>
            <w14:solidFill>
              <w14:schemeClr w14:val="tx1"/>
            </w14:solidFill>
          </w14:textFill>
        </w:rPr>
      </w:pPr>
    </w:p>
    <w:p>
      <w:pPr>
        <w:jc w:val="center"/>
        <w:rPr>
          <w:rFonts w:hint="eastAsia" w:ascii="宋体" w:hAnsi="宋体" w:eastAsia="宋体" w:cs="宋体"/>
          <w:color w:val="000000" w:themeColor="text1"/>
          <w:sz w:val="36"/>
          <w14:textFill>
            <w14:solidFill>
              <w14:schemeClr w14:val="tx1"/>
            </w14:solidFill>
          </w14:textFill>
        </w:rPr>
      </w:pPr>
    </w:p>
    <w:p>
      <w:pPr>
        <w:pStyle w:val="15"/>
        <w:rPr>
          <w:rFonts w:hint="eastAsia" w:ascii="宋体" w:hAnsi="宋体" w:eastAsia="宋体" w:cs="宋体"/>
          <w:color w:val="000000" w:themeColor="text1"/>
          <w:sz w:val="36"/>
          <w14:textFill>
            <w14:solidFill>
              <w14:schemeClr w14:val="tx1"/>
            </w14:solidFill>
          </w14:textFill>
        </w:rPr>
      </w:pPr>
    </w:p>
    <w:p>
      <w:pPr>
        <w:pStyle w:val="15"/>
        <w:rPr>
          <w:rFonts w:hint="eastAsia" w:ascii="宋体" w:hAnsi="宋体" w:eastAsia="宋体" w:cs="宋体"/>
          <w:color w:val="000000" w:themeColor="text1"/>
          <w:sz w:val="36"/>
          <w14:textFill>
            <w14:solidFill>
              <w14:schemeClr w14:val="tx1"/>
            </w14:solidFill>
          </w14:textFill>
        </w:rPr>
      </w:pPr>
    </w:p>
    <w:p>
      <w:pPr>
        <w:pStyle w:val="15"/>
        <w:rPr>
          <w:rFonts w:hint="eastAsia" w:ascii="宋体" w:hAnsi="宋体" w:eastAsia="宋体" w:cs="宋体"/>
          <w:color w:val="000000" w:themeColor="text1"/>
          <w:sz w:val="36"/>
          <w14:textFill>
            <w14:solidFill>
              <w14:schemeClr w14:val="tx1"/>
            </w14:solidFill>
          </w14:textFill>
        </w:rPr>
      </w:pPr>
    </w:p>
    <w:p>
      <w:pPr>
        <w:jc w:val="center"/>
        <w:rPr>
          <w:rFonts w:hint="eastAsia" w:ascii="宋体" w:hAnsi="宋体" w:eastAsia="宋体" w:cs="宋体"/>
          <w:color w:val="000000" w:themeColor="text1"/>
          <w:sz w:val="36"/>
          <w14:textFill>
            <w14:solidFill>
              <w14:schemeClr w14:val="tx1"/>
            </w14:solidFill>
          </w14:textFill>
        </w:rPr>
      </w:pPr>
    </w:p>
    <w:p>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lang w:val="en-US" w:eastAsia="zh-CN"/>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lang w:eastAsia="zh-CN"/>
          <w14:textFill>
            <w14:solidFill>
              <w14:schemeClr w14:val="tx1"/>
            </w14:solidFill>
          </w14:textFill>
        </w:rPr>
        <w:t>杭州市萧山区交通运输局</w:t>
      </w:r>
    </w:p>
    <w:p>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lang w:eastAsia="zh-CN"/>
          <w14:textFill>
            <w14:solidFill>
              <w14:schemeClr w14:val="tx1"/>
            </w14:solidFill>
          </w14:textFill>
        </w:rPr>
        <w:t>浙江经济建设投资咨询中心有限公司</w:t>
      </w:r>
    </w:p>
    <w:p>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lang w:val="en-US" w:eastAsia="zh-CN"/>
          <w14:textFill>
            <w14:solidFill>
              <w14:schemeClr w14:val="tx1"/>
            </w14:solidFill>
          </w14:textFill>
        </w:rPr>
        <w:t>2022</w:t>
      </w:r>
      <w:r>
        <w:rPr>
          <w:rFonts w:hint="eastAsia" w:ascii="宋体" w:hAnsi="宋体" w:eastAsia="宋体" w:cs="宋体"/>
          <w:color w:val="000000" w:themeColor="text1"/>
          <w:sz w:val="36"/>
          <w14:textFill>
            <w14:solidFill>
              <w14:schemeClr w14:val="tx1"/>
            </w14:solidFill>
          </w14:textFill>
        </w:rPr>
        <w:t>年</w:t>
      </w:r>
      <w:r>
        <w:rPr>
          <w:rFonts w:hint="eastAsia" w:ascii="宋体" w:hAnsi="宋体" w:eastAsia="宋体" w:cs="宋体"/>
          <w:color w:val="000000" w:themeColor="text1"/>
          <w:sz w:val="36"/>
          <w:lang w:val="en-US" w:eastAsia="zh-CN"/>
          <w14:textFill>
            <w14:solidFill>
              <w14:schemeClr w14:val="tx1"/>
            </w14:solidFill>
          </w14:textFill>
        </w:rPr>
        <w:t>11</w:t>
      </w:r>
      <w:r>
        <w:rPr>
          <w:rFonts w:hint="eastAsia" w:ascii="宋体" w:hAnsi="宋体" w:eastAsia="宋体" w:cs="宋体"/>
          <w:color w:val="000000" w:themeColor="text1"/>
          <w:sz w:val="36"/>
          <w14:textFill>
            <w14:solidFill>
              <w14:schemeClr w14:val="tx1"/>
            </w14:solidFill>
          </w14:textFill>
        </w:rPr>
        <w:t>月</w:t>
      </w:r>
    </w:p>
    <w:p>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p>
    <w:p>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第一部分      招标公告</w:t>
      </w:r>
    </w:p>
    <w:p>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第二部分      投标人须知</w:t>
      </w:r>
    </w:p>
    <w:p>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第三部分      采购需求</w:t>
      </w:r>
    </w:p>
    <w:p>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第四部分      评标办法</w:t>
      </w:r>
    </w:p>
    <w:p>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第五部分      拟签订的合同文本</w:t>
      </w:r>
    </w:p>
    <w:p>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第六部分      应提交的有关格式范例</w:t>
      </w:r>
    </w:p>
    <w:p>
      <w:pPr>
        <w:spacing w:line="276" w:lineRule="auto"/>
        <w:rPr>
          <w:rFonts w:hint="eastAsia" w:ascii="宋体" w:hAnsi="宋体" w:eastAsia="宋体" w:cs="宋体"/>
          <w:color w:val="000000" w:themeColor="text1"/>
          <w:sz w:val="32"/>
          <w14:textFill>
            <w14:solidFill>
              <w14:schemeClr w14:val="tx1"/>
            </w14:solidFill>
          </w14:textFill>
        </w:rPr>
      </w:pPr>
    </w:p>
    <w:p>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招标公告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项目概况</w:t>
            </w:r>
          </w:p>
          <w:p>
            <w:pPr>
              <w:spacing w:after="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杭州市萧山区综合交通信息指挥中心二期项目</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招标项目的潜在投标人应在政采云平台（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https://www.zcygov.cn/）获取（下载）招标文件，并于202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 xml:space="preserve">  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 xml:space="preserve"> 日</w:t>
            </w:r>
            <w:r>
              <w:rPr>
                <w:rFonts w:hint="eastAsia" w:ascii="宋体" w:hAnsi="宋体" w:eastAsia="宋体"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分00秒</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（北京时间）前递交（上传）投标文件。</w:t>
            </w:r>
          </w:p>
          <w:p>
            <w:pPr>
              <w:spacing w:after="0"/>
              <w:rPr>
                <w:rFonts w:hint="eastAsia" w:ascii="宋体" w:hAnsi="宋体" w:eastAsia="宋体" w:cs="宋体"/>
                <w:color w:val="000000" w:themeColor="text1"/>
                <w14:textFill>
                  <w14:solidFill>
                    <w14:schemeClr w14:val="tx1"/>
                  </w14:solidFill>
                </w14:textFill>
              </w:rPr>
            </w:pPr>
          </w:p>
        </w:tc>
      </w:tr>
    </w:tbl>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一、项目基本情况                                            </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lang w:eastAsia="zh-CN"/>
          <w14:textFill>
            <w14:solidFill>
              <w14:schemeClr w14:val="tx1"/>
            </w14:solidFill>
          </w14:textFill>
        </w:rPr>
        <w:t>XSJTJ2022001</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eastAsia="zh-CN"/>
          <w14:textFill>
            <w14:solidFill>
              <w14:schemeClr w14:val="tx1"/>
            </w14:solidFill>
          </w14:textFill>
        </w:rPr>
        <w:t>杭州市萧山区综合交通信息指挥中心二期项目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预算金额（元）：</w:t>
      </w:r>
      <w:r>
        <w:rPr>
          <w:rFonts w:hint="eastAsia" w:ascii="宋体" w:hAnsi="宋体" w:eastAsia="宋体" w:cs="宋体"/>
          <w:color w:val="000000" w:themeColor="text1"/>
          <w:sz w:val="24"/>
          <w:lang w:val="en-US" w:eastAsia="zh-CN"/>
          <w14:textFill>
            <w14:solidFill>
              <w14:schemeClr w14:val="tx1"/>
            </w14:solidFill>
          </w14:textFill>
        </w:rPr>
        <w:t>7522130</w:t>
      </w:r>
      <w:r>
        <w:rPr>
          <w:rFonts w:hint="eastAsia" w:ascii="宋体" w:hAnsi="宋体" w:eastAsia="宋体" w:cs="宋体"/>
          <w:color w:val="000000" w:themeColor="text1"/>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最高限价（元）：</w:t>
      </w:r>
      <w:r>
        <w:rPr>
          <w:rFonts w:hint="eastAsia" w:ascii="宋体" w:hAnsi="宋体" w:eastAsia="宋体" w:cs="宋体"/>
          <w:color w:val="000000" w:themeColor="text1"/>
          <w:sz w:val="24"/>
          <w:lang w:val="en-US" w:eastAsia="zh-CN"/>
          <w14:textFill>
            <w14:solidFill>
              <w14:schemeClr w14:val="tx1"/>
            </w14:solidFill>
          </w14:textFill>
        </w:rPr>
        <w:t>7522130</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采购需求：（项目名称）主要内容：</w:t>
      </w:r>
      <w:bookmarkStart w:id="0" w:name="OLE_LINK2"/>
      <w:r>
        <w:rPr>
          <w:rFonts w:hint="eastAsia" w:ascii="宋体" w:hAnsi="宋体" w:eastAsia="宋体" w:cs="宋体"/>
          <w:color w:val="000000" w:themeColor="text1"/>
          <w14:textFill>
            <w14:solidFill>
              <w14:schemeClr w14:val="tx1"/>
            </w14:solidFill>
          </w14:textFill>
        </w:rPr>
        <w:t>详见招标文件第三部分采购需求</w:t>
      </w:r>
      <w:bookmarkEnd w:id="0"/>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合同履约期限：</w:t>
      </w:r>
      <w:r>
        <w:rPr>
          <w:rFonts w:hint="eastAsia" w:ascii="宋体" w:hAnsi="宋体" w:eastAsia="宋体" w:cs="宋体"/>
          <w:color w:val="000000" w:themeColor="text1"/>
          <w:lang w:val="en-US" w:eastAsia="zh-CN"/>
          <w14:textFill>
            <w14:solidFill>
              <w14:schemeClr w14:val="tx1"/>
            </w14:solidFill>
          </w14:textFill>
        </w:rPr>
        <w:t>按招标文件要求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本项目接受联合体投标：（√）是；（ ）否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二、申请人的资格要求</w:t>
      </w:r>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2.落实政府采购政策需满足的资格要求：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）无；</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）专门面向中小企业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）货物全部由符合政策要求的中小企业制造，提供中小企业声明函；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）货物全部由符合政策要求的小微企业制造，提供中小企业声明函；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）服务全部由符合政策要求的中小企业承接，提供中小企业声明函；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）服务全部由符合政策要求的小微企业承接，提供中小企业声明函；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3.本项目的特定资格要求：无；</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5. 联合体组成成员单位不超过2家。</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三、获取招标文件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时间：/至202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日，每天上午00:00至12:00 ，下午12:00至23:59（北京时间，线上获取法定节假日均可，线下获取文件法定节假日除外）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地点（网址）：</w:t>
      </w:r>
      <w:bookmarkStart w:id="1" w:name="OLE_LINK3"/>
      <w:r>
        <w:rPr>
          <w:rFonts w:hint="eastAsia" w:ascii="宋体" w:hAnsi="宋体" w:eastAsia="宋体" w:cs="宋体"/>
          <w:color w:val="000000" w:themeColor="text1"/>
          <w14:textFill>
            <w14:solidFill>
              <w14:schemeClr w14:val="tx1"/>
            </w14:solidFill>
          </w14:textFill>
        </w:rPr>
        <w:t xml:space="preserve">政采云平台（https://www.zcygov.cn/） </w:t>
      </w:r>
      <w:bookmarkEnd w:id="1"/>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售价（元）：0 </w:t>
      </w:r>
      <w:r>
        <w:rPr>
          <w:rFonts w:hint="eastAsia" w:ascii="宋体" w:hAnsi="宋体" w:eastAsia="宋体" w:cs="宋体"/>
          <w:color w:val="000000" w:themeColor="text1"/>
          <w14:textFill>
            <w14:solidFill>
              <w14:schemeClr w14:val="tx1"/>
            </w14:solidFill>
          </w14:textFill>
        </w:rPr>
        <w:tab/>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四、提交投标文件截止时间、开标时间和地点</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提交投标文件截止时间： 202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 （北京时间）</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投标地点（网址）：政采云平台（https://www.zcygov.cn/）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开标时间：202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ascii="宋体" w:hAnsi="宋体" w:eastAsia="宋体"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 xml:space="preserve">分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开标地点（网址）：政采云平台（https://www.zcygov.cn/）</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五、公告期限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自本公告发布之日起5个工作日。</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六、其他补充事宜</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七、对本次采购提出询问、质疑、投诉，请按以下方式联系</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1.采购人信息</w:t>
      </w:r>
    </w:p>
    <w:p>
      <w:pPr>
        <w:rPr>
          <w:rFonts w:ascii="宋体" w:hAnsi="宋体" w:eastAsia="宋体" w:cs="宋体"/>
          <w:color w:val="000000" w:themeColor="text1"/>
          <w14:textFill>
            <w14:solidFill>
              <w14:schemeClr w14:val="tx1"/>
            </w14:solidFill>
          </w14:textFill>
        </w:rPr>
      </w:pPr>
      <w:bookmarkStart w:id="2" w:name="_Toc28359086"/>
      <w:bookmarkStart w:id="3" w:name="_Toc28359009"/>
      <w:r>
        <w:rPr>
          <w:rFonts w:hint="eastAsia" w:ascii="宋体" w:hAnsi="宋体" w:eastAsia="宋体" w:cs="宋体"/>
          <w:color w:val="000000" w:themeColor="text1"/>
          <w14:textFill>
            <w14:solidFill>
              <w14:schemeClr w14:val="tx1"/>
            </w14:solidFill>
          </w14:textFill>
        </w:rPr>
        <w:t>名 称：杭州市萧山区交通运输局</w:t>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 杭州市萧山区市心中路</w:t>
      </w:r>
      <w:r>
        <w:rPr>
          <w:rFonts w:ascii="宋体" w:hAnsi="宋体" w:eastAsia="宋体" w:cs="宋体"/>
          <w:color w:val="000000" w:themeColor="text1"/>
          <w14:textFill>
            <w14:solidFill>
              <w14:schemeClr w14:val="tx1"/>
            </w14:solidFill>
          </w14:textFill>
        </w:rPr>
        <w:t>1058号</w:t>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传真：/</w:t>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项目联系人（询问）：刘女士</w:t>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项目联系方式（询问）：0</w:t>
      </w:r>
      <w:r>
        <w:rPr>
          <w:rFonts w:ascii="宋体" w:hAnsi="宋体" w:eastAsia="宋体" w:cs="宋体"/>
          <w:color w:val="000000" w:themeColor="text1"/>
          <w14:textFill>
            <w14:solidFill>
              <w14:schemeClr w14:val="tx1"/>
            </w14:solidFill>
          </w14:textFill>
        </w:rPr>
        <w:t>571-82709228</w:t>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质疑联系人：洪先生</w:t>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质疑联系方式 ：</w:t>
      </w:r>
      <w:r>
        <w:rPr>
          <w:rFonts w:ascii="宋体" w:hAnsi="宋体" w:eastAsia="宋体" w:cs="宋体"/>
          <w:color w:val="000000" w:themeColor="text1"/>
          <w14:textFill>
            <w14:solidFill>
              <w14:schemeClr w14:val="tx1"/>
            </w14:solidFill>
          </w14:textFill>
        </w:rPr>
        <w:t>0571-82709518</w:t>
      </w:r>
    </w:p>
    <w:p>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2.采购代理机构信息</w:t>
      </w:r>
      <w:bookmarkEnd w:id="2"/>
      <w:bookmarkEnd w:id="3"/>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名 称：浙江经济建设投资咨询中心有限公司</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地 址：萧山工陶家居商场5楼</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传真：/</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项目联系人（询问）：孙先生  </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项目联系方式（询问）：15267126588</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质疑联系人：高杰</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质疑联系方式：13867138864</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3.同级政府采购监督管理部门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称：萧山区财政局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址：萧山区人民路318号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   真：0571-82756122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 ：汤先生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监督投诉电话：0571-82756122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CA问题联系电话（人工）：汇信CA 400-888-4636；天谷CA 400-087-8198。</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投标人须知</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前附表</w:t>
      </w:r>
    </w:p>
    <w:tbl>
      <w:tblPr>
        <w:tblStyle w:val="2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822"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事项</w:t>
            </w:r>
          </w:p>
        </w:tc>
        <w:tc>
          <w:tcPr>
            <w:tcW w:w="3867"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项目属性与核心产品</w:t>
            </w:r>
          </w:p>
        </w:tc>
        <w:tc>
          <w:tcPr>
            <w:tcW w:w="3867" w:type="pct"/>
            <w:vAlign w:val="center"/>
          </w:tcPr>
          <w:p>
            <w:pPr>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)A货物类，单一产品或核心产品为：</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采购标的对应的中小企业划分标准所属行业</w:t>
            </w:r>
          </w:p>
        </w:tc>
        <w:tc>
          <w:tcPr>
            <w:tcW w:w="3867" w:type="pct"/>
            <w:vAlign w:val="center"/>
          </w:tcPr>
          <w:p>
            <w:pPr>
              <w:spacing w:after="0"/>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（1）标的：</w:t>
            </w:r>
            <w:r>
              <w:rPr>
                <w:rFonts w:hint="eastAsia" w:ascii="宋体" w:hAnsi="宋体" w:eastAsia="宋体" w:cs="宋体"/>
                <w:color w:val="000000" w:themeColor="text1"/>
                <w:sz w:val="24"/>
                <w:lang w:eastAsia="zh-CN"/>
                <w14:textFill>
                  <w14:solidFill>
                    <w14:schemeClr w14:val="tx1"/>
                  </w14:solidFill>
                </w14:textFill>
              </w:rPr>
              <w:t>杭州市萧山区综合交通信息指挥中心二期项目</w:t>
            </w:r>
            <w:r>
              <w:rPr>
                <w:rFonts w:hint="eastAsia" w:ascii="宋体" w:hAnsi="宋体" w:eastAsia="宋体" w:cs="宋体"/>
                <w:color w:val="000000" w:themeColor="text1"/>
                <w:sz w:val="22"/>
                <w14:textFill>
                  <w14:solidFill>
                    <w14:schemeClr w14:val="tx1"/>
                  </w14:solidFill>
                </w14:textFill>
              </w:rPr>
              <w:t xml:space="preserve"> ，属于</w:t>
            </w:r>
            <w:r>
              <w:rPr>
                <w:rFonts w:hint="eastAsia" w:ascii="宋体" w:hAnsi="宋体" w:eastAsia="宋体" w:cs="宋体"/>
                <w:color w:val="000000" w:themeColor="text1"/>
                <w:sz w:val="24"/>
                <w:u w:val="single"/>
                <w14:textFill>
                  <w14:solidFill>
                    <w14:schemeClr w14:val="tx1"/>
                  </w14:solidFill>
                </w14:textFill>
              </w:rPr>
              <w:t>软件和信息技术服务业</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行业；</w:t>
            </w:r>
            <w:r>
              <w:rPr>
                <w:rFonts w:hint="eastAsia" w:ascii="宋体" w:hAnsi="宋体" w:eastAsia="宋体" w:cs="宋体"/>
                <w:color w:val="000000" w:themeColor="text1"/>
                <w:sz w:val="22"/>
                <w:lang w:val="en-US" w:eastAsia="zh-CN"/>
                <w14:textFill>
                  <w14:solidFill>
                    <w14:schemeClr w14:val="tx1"/>
                  </w14:solidFill>
                </w14:textFill>
              </w:rPr>
              <w:t xml:space="preserve"> </w:t>
            </w:r>
          </w:p>
          <w:p>
            <w:pPr>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行业划分标准：</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是否允许采购进口产品</w:t>
            </w:r>
          </w:p>
        </w:tc>
        <w:tc>
          <w:tcPr>
            <w:tcW w:w="3867" w:type="pct"/>
            <w:vAlign w:val="center"/>
          </w:tcPr>
          <w:p>
            <w:pPr>
              <w:spacing w:after="0" w:line="360" w:lineRule="auto"/>
              <w:rPr>
                <w:rFonts w:hint="eastAsia" w:ascii="宋体" w:hAnsi="宋体" w:eastAsia="宋体" w:cs="宋体"/>
                <w:color w:val="000000" w:themeColor="text1"/>
                <w:sz w:val="22"/>
                <w:szCs w:val="3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szCs w:val="32"/>
                <w14:textFill>
                  <w14:solidFill>
                    <w14:schemeClr w14:val="tx1"/>
                  </w14:solidFill>
                </w14:textFill>
              </w:rPr>
              <w:t>本项目不允许采购进口产品。</w:t>
            </w:r>
          </w:p>
          <w:p>
            <w:pPr>
              <w:spacing w:after="0" w:line="360" w:lineRule="auto"/>
              <w:rPr>
                <w:rFonts w:hint="eastAsia" w:ascii="宋体" w:hAnsi="宋体" w:eastAsia="宋体" w:cs="宋体"/>
                <w:color w:val="000000" w:themeColor="text1"/>
                <w:sz w:val="22"/>
                <w:szCs w:val="3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w:t>
            </w:r>
            <w:r>
              <w:rPr>
                <w:rFonts w:hint="eastAsia" w:ascii="宋体" w:hAnsi="宋体" w:eastAsia="宋体" w:cs="宋体"/>
                <w:color w:val="000000" w:themeColor="text1"/>
                <w:sz w:val="22"/>
                <w:szCs w:val="32"/>
                <w14:textFill>
                  <w14:solidFill>
                    <w14:schemeClr w14:val="tx1"/>
                  </w14:solidFill>
                </w14:textFill>
              </w:rPr>
              <w:t>可以就    采购进口产品。</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分包</w:t>
            </w:r>
          </w:p>
        </w:tc>
        <w:tc>
          <w:tcPr>
            <w:tcW w:w="3867" w:type="pct"/>
            <w:vAlign w:val="center"/>
          </w:tcPr>
          <w:p>
            <w:pPr>
              <w:snapToGrid w:val="0"/>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 ）</w:t>
            </w:r>
            <w:r>
              <w:rPr>
                <w:rFonts w:hint="eastAsia" w:ascii="宋体" w:hAnsi="宋体" w:eastAsia="宋体" w:cs="宋体"/>
                <w:color w:val="000000" w:themeColor="text1"/>
                <w:sz w:val="22"/>
                <w14:textFill>
                  <w14:solidFill>
                    <w14:schemeClr w14:val="tx1"/>
                  </w14:solidFill>
                </w14:textFill>
              </w:rPr>
              <w:t>A同意将非主体、非关键性的</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工</w:t>
            </w:r>
            <w:bookmarkStart w:id="529" w:name="_GoBack"/>
            <w:bookmarkEnd w:id="529"/>
            <w:r>
              <w:rPr>
                <w:rFonts w:hint="eastAsia" w:ascii="宋体" w:hAnsi="宋体" w:eastAsia="宋体" w:cs="宋体"/>
                <w:color w:val="000000" w:themeColor="text1"/>
                <w:sz w:val="22"/>
                <w14:textFill>
                  <w14:solidFill>
                    <w14:schemeClr w14:val="tx1"/>
                  </w14:solidFill>
                </w14:textFill>
              </w:rPr>
              <w:t>作分包。</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开标前答疑会或现场考察</w:t>
            </w:r>
          </w:p>
        </w:tc>
        <w:tc>
          <w:tcPr>
            <w:tcW w:w="3867" w:type="pct"/>
            <w:vAlign w:val="center"/>
          </w:tcPr>
          <w:p>
            <w:pPr>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A不组织。</w:t>
            </w:r>
          </w:p>
          <w:p>
            <w:pPr>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  ）</w:t>
            </w:r>
            <w:r>
              <w:rPr>
                <w:rFonts w:hint="eastAsia" w:ascii="宋体" w:hAnsi="宋体" w:eastAsia="宋体" w:cs="宋体"/>
                <w:color w:val="000000" w:themeColor="text1"/>
                <w:sz w:val="22"/>
                <w14:textFill>
                  <w14:solidFill>
                    <w14:schemeClr w14:val="tx1"/>
                  </w14:solidFill>
                </w14:textFill>
              </w:rPr>
              <w:t>B组织，时间：</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,地点：</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联系人：</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样品提供</w:t>
            </w:r>
          </w:p>
        </w:tc>
        <w:tc>
          <w:tcPr>
            <w:tcW w:w="3867" w:type="pct"/>
            <w:vAlign w:val="center"/>
          </w:tcPr>
          <w:p>
            <w:pPr>
              <w:spacing w:after="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411" w:type="dxa"/>
            <w:vAlign w:val="center"/>
          </w:tcPr>
          <w:p>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现场演示</w:t>
            </w:r>
          </w:p>
        </w:tc>
        <w:tc>
          <w:tcPr>
            <w:tcW w:w="6640" w:type="dxa"/>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在评标时安排每个投标人现场演示，</w:t>
            </w:r>
            <w:r>
              <w:rPr>
                <w:rFonts w:hint="eastAsia" w:ascii="宋体" w:hAnsi="宋体" w:eastAsia="宋体" w:cs="宋体"/>
                <w:color w:val="000000" w:themeColor="text1"/>
                <w14:textFill>
                  <w14:solidFill>
                    <w14:schemeClr w14:val="tx1"/>
                  </w14:solidFill>
                </w14:textFill>
              </w:rPr>
              <w:t>投标人接到工作人员电话通知时起5分钟内到达</w:t>
            </w:r>
            <w:r>
              <w:rPr>
                <w:rFonts w:hint="eastAsia" w:ascii="宋体" w:hAnsi="宋体" w:eastAsia="宋体" w:cs="宋体"/>
                <w:b/>
                <w:bCs/>
                <w:color w:val="000000" w:themeColor="text1"/>
                <w:u w:val="none"/>
                <w:lang w:val="en-US" w:eastAsia="zh-CN"/>
                <w14:textFill>
                  <w14:solidFill>
                    <w14:schemeClr w14:val="tx1"/>
                  </w14:solidFill>
                </w14:textFill>
              </w:rPr>
              <w:t>萧山工陶家居商场5楼开标室</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否则不得进场</w:t>
            </w:r>
            <w:r>
              <w:rPr>
                <w:rFonts w:hint="eastAsia" w:ascii="宋体" w:hAnsi="宋体" w:eastAsia="宋体" w:cs="宋体"/>
                <w:color w:val="000000" w:themeColor="text1"/>
                <w14:textFill>
                  <w14:solidFill>
                    <w14:schemeClr w14:val="tx1"/>
                  </w14:solidFill>
                </w14:textFill>
              </w:rPr>
              <w:t>演示</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，并在工作人员的带领下进入演示地点，</w:t>
            </w:r>
            <w:r>
              <w:rPr>
                <w:rFonts w:hint="eastAsia" w:ascii="宋体" w:hAnsi="宋体" w:eastAsia="宋体" w:cs="宋体"/>
                <w:color w:val="000000" w:themeColor="text1"/>
                <w:lang w:val="zh-CN"/>
                <w14:textFill>
                  <w14:solidFill>
                    <w14:schemeClr w14:val="tx1"/>
                  </w14:solidFill>
                </w14:textFill>
              </w:rPr>
              <w:t>每个投标人</w:t>
            </w:r>
            <w:r>
              <w:rPr>
                <w:rFonts w:hint="eastAsia" w:ascii="宋体" w:hAnsi="宋体" w:eastAsia="宋体" w:cs="宋体"/>
                <w:color w:val="000000" w:themeColor="text1"/>
                <w14:textFill>
                  <w14:solidFill>
                    <w14:schemeClr w14:val="tx1"/>
                  </w14:solidFill>
                </w14:textFill>
              </w:rPr>
              <w:t>演示</w:t>
            </w:r>
            <w:r>
              <w:rPr>
                <w:rFonts w:hint="eastAsia" w:ascii="宋体" w:hAnsi="宋体" w:eastAsia="宋体" w:cs="宋体"/>
                <w:color w:val="000000" w:themeColor="text1"/>
                <w:lang w:val="zh-CN"/>
                <w14:textFill>
                  <w14:solidFill>
                    <w14:schemeClr w14:val="tx1"/>
                  </w14:solidFill>
                </w14:textFill>
              </w:rPr>
              <w:t>时间不超过</w:t>
            </w:r>
            <w:r>
              <w:rPr>
                <w:rFonts w:hint="eastAsia" w:ascii="宋体" w:hAnsi="宋体" w:eastAsia="宋体" w:cs="宋体"/>
                <w:color w:val="000000" w:themeColor="text1"/>
                <w:lang w:val="en-US" w:eastAsia="zh-CN"/>
                <w14:textFill>
                  <w14:solidFill>
                    <w14:schemeClr w14:val="tx1"/>
                  </w14:solidFill>
                </w14:textFill>
              </w:rPr>
              <w:t>25</w:t>
            </w:r>
            <w:r>
              <w:rPr>
                <w:rFonts w:hint="eastAsia" w:ascii="宋体" w:hAnsi="宋体" w:eastAsia="宋体" w:cs="宋体"/>
                <w:color w:val="000000" w:themeColor="text1"/>
                <w:lang w:val="zh-CN"/>
                <w14:textFill>
                  <w14:solidFill>
                    <w14:schemeClr w14:val="tx1"/>
                  </w14:solidFill>
                </w14:textFill>
              </w:rPr>
              <w:t>分钟。现场演示次序以投标登记先后次序为准。现场演示人员不超过</w:t>
            </w:r>
            <w:r>
              <w:rPr>
                <w:rFonts w:hint="eastAsia" w:ascii="宋体" w:hAnsi="宋体" w:eastAsia="宋体" w:cs="宋体"/>
                <w:color w:val="000000" w:themeColor="text1"/>
                <w:lang w:val="en-US"/>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人，且必须包含法定代表人或其授权代表；现场演示人员进场时携带身份证</w:t>
            </w:r>
            <w:r>
              <w:rPr>
                <w:rFonts w:hint="eastAsia" w:ascii="宋体" w:hAnsi="宋体" w:eastAsia="宋体" w:cs="宋体"/>
                <w:color w:val="000000" w:themeColor="text1"/>
                <w14:textFill>
                  <w14:solidFill>
                    <w14:schemeClr w14:val="tx1"/>
                  </w14:solidFill>
                </w14:textFill>
              </w:rPr>
              <w:t>原件</w:t>
            </w:r>
            <w:r>
              <w:rPr>
                <w:rFonts w:hint="eastAsia" w:ascii="宋体" w:hAnsi="宋体" w:eastAsia="宋体" w:cs="宋体"/>
                <w:color w:val="000000" w:themeColor="text1"/>
                <w:lang w:val="zh-CN"/>
                <w14:textFill>
                  <w14:solidFill>
                    <w14:schemeClr w14:val="tx1"/>
                  </w14:solidFill>
                </w14:textFill>
              </w:rPr>
              <w:t>、授权委托书（详见招标文件格式范例附件6，法人代表可不携带）、演示人员</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lang w:val="zh-CN"/>
                <w14:textFill>
                  <w14:solidFill>
                    <w14:schemeClr w14:val="tx1"/>
                  </w14:solidFill>
                </w14:textFill>
              </w:rPr>
              <w:t>自2022年</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zh-CN"/>
                <w14:textFill>
                  <w14:solidFill>
                    <w14:schemeClr w14:val="tx1"/>
                  </w14:solidFill>
                </w14:textFill>
              </w:rPr>
              <w:t>月-2022年</w:t>
            </w: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lang w:val="zh-CN"/>
                <w14:textFill>
                  <w14:solidFill>
                    <w14:schemeClr w14:val="tx1"/>
                  </w14:solidFill>
                </w14:textFill>
              </w:rPr>
              <w:t>月的任意三个月的在职社保证明（法人代表可不携带），否则不得进场。现场演示后按要求解答评标委员会的提问。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投标人应当提供的资格、资信证明文件</w:t>
            </w:r>
          </w:p>
        </w:tc>
        <w:tc>
          <w:tcPr>
            <w:tcW w:w="3867" w:type="pct"/>
            <w:vAlign w:val="center"/>
          </w:tcPr>
          <w:p>
            <w:pPr>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（1）资格证明文件：见招标文件第二部分11.1。</w:t>
            </w:r>
          </w:p>
          <w:p>
            <w:pPr>
              <w:spacing w:after="0"/>
              <w:rPr>
                <w:rFonts w:hint="eastAsia" w:ascii="宋体" w:hAnsi="宋体" w:eastAsia="宋体" w:cs="宋体"/>
                <w:color w:val="000000" w:themeColor="text1"/>
                <w:sz w:val="22"/>
                <w:lang w:val="zh-CN"/>
                <w14:textFill>
                  <w14:solidFill>
                    <w14:schemeClr w14:val="tx1"/>
                  </w14:solidFill>
                </w14:textFill>
              </w:rPr>
            </w:pPr>
            <w:r>
              <w:rPr>
                <w:rFonts w:hint="eastAsia" w:ascii="宋体" w:hAnsi="宋体" w:eastAsia="宋体" w:cs="宋体"/>
                <w:color w:val="000000" w:themeColor="text1"/>
                <w:sz w:val="22"/>
                <w:lang w:val="zh-CN"/>
                <w14:textFill>
                  <w14:solidFill>
                    <w14:schemeClr w14:val="tx1"/>
                  </w14:solidFill>
                </w14:textFill>
              </w:rPr>
              <w:t>投标人未提供有效的资格证明文件的，视为投标人不具备招标文件中规定的资格要求，投标无效。</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节能产品、环境标志产品</w:t>
            </w:r>
          </w:p>
        </w:tc>
        <w:tc>
          <w:tcPr>
            <w:tcW w:w="3867"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报价要求</w:t>
            </w:r>
          </w:p>
        </w:tc>
        <w:tc>
          <w:tcPr>
            <w:tcW w:w="3867" w:type="pct"/>
            <w:vAlign w:val="center"/>
          </w:tcPr>
          <w:p>
            <w:pPr>
              <w:spacing w:after="0"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有关本项目实施所需的所有费用（含税费）均计入报价。</w:t>
            </w:r>
            <w:r>
              <w:rPr>
                <w:rFonts w:hint="eastAsia" w:ascii="宋体" w:hAnsi="宋体" w:eastAsia="宋体" w:cs="宋体"/>
                <w:bCs/>
                <w:color w:val="000000" w:themeColor="text1"/>
                <w:sz w:val="22"/>
                <w14:textFill>
                  <w14:solidFill>
                    <w14:schemeClr w14:val="tx1"/>
                  </w14:solidFill>
                </w14:textFill>
              </w:rPr>
              <w:t>开标一览表（报价表）是报价的唯一载体</w:t>
            </w:r>
            <w:r>
              <w:rPr>
                <w:rFonts w:hint="eastAsia" w:ascii="宋体" w:hAnsi="宋体" w:eastAsia="宋体" w:cs="宋体"/>
                <w:bCs/>
                <w:color w:val="000000" w:themeColor="text1"/>
                <w:sz w:val="22"/>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pacing w:after="0" w:line="360" w:lineRule="auto"/>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投标报价出现下列情形的，投标无效：</w:t>
            </w:r>
          </w:p>
          <w:p>
            <w:pPr>
              <w:spacing w:after="0"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投标文件出现不是唯一的、有选择性投标报价的；</w:t>
            </w:r>
          </w:p>
          <w:p>
            <w:pPr>
              <w:spacing w:after="0"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投标报价超过招标文件中规定的预算金额或者最高限价的;</w:t>
            </w:r>
          </w:p>
          <w:p>
            <w:pPr>
              <w:spacing w:after="0"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投标人对根据修正原则修正后的报价不确认的。</w:t>
            </w:r>
          </w:p>
          <w:p>
            <w:pPr>
              <w:spacing w:after="0"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资格文件、商务技术文件与报价文件未分开制作。</w:t>
            </w:r>
          </w:p>
          <w:p>
            <w:pPr>
              <w:spacing w:after="0"/>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中小企业信用融资</w:t>
            </w:r>
          </w:p>
        </w:tc>
        <w:tc>
          <w:tcPr>
            <w:tcW w:w="3867" w:type="pct"/>
            <w:vAlign w:val="center"/>
          </w:tcPr>
          <w:p>
            <w:pPr>
              <w:snapToGrid w:val="0"/>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本项目支持《杭州市萧山区政府采购支持中小企业信用融资暂行办法》。</w:t>
            </w:r>
          </w:p>
          <w:p>
            <w:pPr>
              <w:spacing w:after="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有融资需求的中标供应商可参照相关规定及银行方案凭政府采购合同向相关合作银行提出信用融资（贷款）申请。详见</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"http://www.xiaoshan.gov.cn/art/2018/12/20/art_1229293109_1559514.html" </w:instrText>
            </w:r>
            <w:r>
              <w:rPr>
                <w:rFonts w:hint="eastAsia" w:ascii="宋体" w:hAnsi="宋体" w:eastAsia="宋体" w:cs="宋体"/>
                <w:color w:val="000000" w:themeColor="text1"/>
                <w14:textFill>
                  <w14:solidFill>
                    <w14:schemeClr w14:val="tx1"/>
                  </w14:solidFill>
                </w14:textFill>
              </w:rPr>
              <w:fldChar w:fldCharType="separate"/>
            </w:r>
            <w:r>
              <w:rPr>
                <w:rStyle w:val="30"/>
                <w:rFonts w:hint="eastAsia" w:ascii="宋体" w:hAnsi="宋体" w:eastAsia="宋体" w:cs="宋体"/>
                <w:snapToGrid/>
                <w:color w:val="000000" w:themeColor="text1"/>
                <w:sz w:val="22"/>
                <w:szCs w:val="24"/>
                <w14:textFill>
                  <w14:solidFill>
                    <w14:schemeClr w14:val="tx1"/>
                  </w14:solidFill>
                </w14:textFill>
              </w:rPr>
              <w:t>http://www.xiaoshan.gov.cn/art/2018/12/20/art_1229293109_1559514.html</w:t>
            </w:r>
            <w:r>
              <w:rPr>
                <w:rStyle w:val="30"/>
                <w:rFonts w:hint="eastAsia" w:ascii="宋体" w:hAnsi="宋体" w:eastAsia="宋体" w:cs="宋体"/>
                <w:snapToGrid/>
                <w:color w:val="000000" w:themeColor="text1"/>
                <w:sz w:val="22"/>
                <w:szCs w:val="24"/>
                <w14:textFill>
                  <w14:solidFill>
                    <w14:schemeClr w14:val="tx1"/>
                  </w14:solidFill>
                </w14:textFill>
              </w:rPr>
              <w:fldChar w:fldCharType="end"/>
            </w:r>
          </w:p>
          <w:p>
            <w:pPr>
              <w:spacing w:after="0"/>
              <w:rPr>
                <w:rFonts w:hint="eastAsia" w:ascii="宋体" w:hAnsi="宋体" w:eastAsia="宋体" w:cs="宋体"/>
                <w:color w:val="000000" w:themeColor="text1"/>
                <w:sz w:val="22"/>
                <w14:textFill>
                  <w14:solidFill>
                    <w14:schemeClr w14:val="tx1"/>
                  </w14:solidFill>
                </w14:textFill>
              </w:rPr>
            </w:pP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kern w:val="28"/>
                <w:sz w:val="22"/>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备份投标文件</w:t>
            </w:r>
          </w:p>
        </w:tc>
        <w:tc>
          <w:tcPr>
            <w:tcW w:w="3867" w:type="pct"/>
            <w:vAlign w:val="center"/>
          </w:tcPr>
          <w:p>
            <w:pPr>
              <w:pStyle w:val="16"/>
              <w:spacing w:line="360" w:lineRule="auto"/>
              <w:rPr>
                <w:rFonts w:hint="eastAsia" w:ascii="宋体" w:hAnsi="宋体" w:eastAsia="宋体" w:cs="宋体"/>
                <w:color w:val="000000" w:themeColor="text1"/>
                <w:kern w:val="28"/>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备份文件是否收取：可提交备份</w:t>
            </w:r>
          </w:p>
          <w:p>
            <w:pPr>
              <w:pStyle w:val="16"/>
              <w:spacing w:line="360" w:lineRule="auto"/>
              <w:ind w:left="880" w:hanging="880" w:hangingChars="400"/>
              <w:rPr>
                <w:rFonts w:hint="eastAsia" w:ascii="宋体" w:hAnsi="宋体" w:eastAsia="宋体" w:cs="宋体"/>
                <w:color w:val="000000" w:themeColor="text1"/>
                <w:kern w:val="28"/>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备份投标文件送达地点：</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u w:val="single"/>
                <w:lang w:val="en-US" w:eastAsia="zh-CN"/>
                <w14:textFill>
                  <w14:solidFill>
                    <w14:schemeClr w14:val="tx1"/>
                  </w14:solidFill>
                </w14:textFill>
              </w:rPr>
              <w:t>萧山工陶家居商场5楼</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kern w:val="28"/>
                <w:sz w:val="22"/>
                <w:szCs w:val="24"/>
                <w14:textFill>
                  <w14:solidFill>
                    <w14:schemeClr w14:val="tx1"/>
                  </w14:solidFill>
                </w14:textFill>
              </w:rPr>
              <w:t>；</w:t>
            </w:r>
          </w:p>
          <w:p>
            <w:pPr>
              <w:pStyle w:val="16"/>
              <w:spacing w:line="360" w:lineRule="auto"/>
              <w:ind w:left="880" w:hanging="880" w:hangingChars="400"/>
              <w:rPr>
                <w:rFonts w:hint="eastAsia" w:ascii="宋体" w:hAnsi="宋体" w:eastAsia="宋体" w:cs="宋体"/>
                <w:color w:val="000000" w:themeColor="text1"/>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备份投标文件签收人员联系电话：</w:t>
            </w:r>
            <w:r>
              <w:rPr>
                <w:rFonts w:hint="eastAsia" w:ascii="宋体" w:hAnsi="宋体" w:eastAsia="宋体" w:cs="宋体"/>
                <w:color w:val="000000" w:themeColor="text1"/>
                <w:kern w:val="28"/>
                <w:sz w:val="22"/>
                <w:szCs w:val="24"/>
                <w:lang w:val="en-US" w:eastAsia="zh-CN"/>
                <w14:textFill>
                  <w14:solidFill>
                    <w14:schemeClr w14:val="tx1"/>
                  </w14:solidFill>
                </w14:textFill>
              </w:rPr>
              <w:t>孙先生15267126588</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szCs w:val="24"/>
                <w14:textFill>
                  <w14:solidFill>
                    <w14:schemeClr w14:val="tx1"/>
                  </w14:solidFill>
                </w14:textFill>
              </w:rPr>
              <w:t>。</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采购机构代理费用</w:t>
            </w:r>
          </w:p>
        </w:tc>
        <w:tc>
          <w:tcPr>
            <w:tcW w:w="3867"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本项目的招标代理服务费由中标人支付。招标代理服务费计费标准：以中标（成交）金额为计费基准，按计价格[2002]1980号文及发改办价格［2003］857号文规定的收费标准计取。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履约保证金</w:t>
            </w:r>
          </w:p>
        </w:tc>
        <w:tc>
          <w:tcPr>
            <w:tcW w:w="3867" w:type="pct"/>
            <w:vAlign w:val="center"/>
          </w:tcPr>
          <w:p>
            <w:pPr>
              <w:pStyle w:val="16"/>
              <w:spacing w:line="360" w:lineRule="auto"/>
              <w:ind w:hanging="4"/>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履约保证金：不收取</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资格审查和信用信息审查</w:t>
            </w:r>
          </w:p>
        </w:tc>
        <w:tc>
          <w:tcPr>
            <w:tcW w:w="3867"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本项目由采购机构进行资格文件及信用信息查询。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质疑接收人及答复</w:t>
            </w:r>
          </w:p>
        </w:tc>
        <w:tc>
          <w:tcPr>
            <w:tcW w:w="3867" w:type="pct"/>
            <w:vAlign w:val="center"/>
          </w:tcPr>
          <w:p>
            <w:pPr>
              <w:snapToGrid w:val="0"/>
              <w:spacing w:after="0" w:line="360" w:lineRule="auto"/>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采购人、采购机构质疑接收人、联系方式：详见公告</w:t>
            </w:r>
          </w:p>
          <w:p>
            <w:pPr>
              <w:snapToGrid w:val="0"/>
              <w:spacing w:after="0" w:line="360" w:lineRule="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本项目涉及资格条件、采购需求、评分办法及采购过程中有关现场考察或开标前答疑会等事项由采购人进行答复。</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822"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特别说明</w:t>
            </w:r>
          </w:p>
        </w:tc>
        <w:tc>
          <w:tcPr>
            <w:tcW w:w="3867" w:type="pct"/>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本项目通用总则条款与前附表等专用特别规定有冲突之处，以专用条款（特别规定）为准</w:t>
            </w:r>
          </w:p>
        </w:tc>
      </w:tr>
    </w:tbl>
    <w:p>
      <w:pPr>
        <w:rPr>
          <w:rFonts w:hint="eastAsia" w:ascii="宋体" w:hAnsi="宋体" w:eastAsia="宋体" w:cs="宋体"/>
          <w:color w:val="000000" w:themeColor="text1"/>
          <w14:textFill>
            <w14:solidFill>
              <w14:schemeClr w14:val="tx1"/>
            </w14:solidFill>
          </w14:textFill>
        </w:rPr>
      </w:pP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一、总则</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适用范围</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本招标文件适用于该项目的招标、投标、开标、资格审查及信用信息查询、评标、定标、合同、验收等行为（法律、法规另有规定的，从其规定）。</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“采购人”系指招标公告中载明的本项目的采购人。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“采购机构”系指招标公告中载明的本项目的采购机构。</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“投标人”系指是指响应招标、参加投标竞争的法人、其他组织或者自然人。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“负责人”系指法人企业的法定负责人，或其他组织为法律、行政法规规定代表单位行使职权的主要负责人，或自然人本人。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2.6“电子交易平台”是指本项目政府采购活动所依托的政府采购云平台（https://www.zcygov.cn/）。</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 “▲” 系指实质性要求条款，“（√）” 系指适用本项目的要求，“（  ）”系指不适用本项目的要求。</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采购项目需要落实的政府采购政策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 支持绿色发展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 修缮、装修类项目采购建材的，采购人应将绿色建筑和绿色建材性能、指标等作为实质性条件纳入招标文件和合同。</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3.3支持中小企业发展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符合中小企业划分标准的个体工商户，在政府采购活动中视同中小企业。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3.3.2在政府采购活动中，投标人提供的货物、工程或者服务符合下列情形的，享受中小企业扶持政策：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3.3.2.1在货物采购项目中，货物由中小企业制造，即货物由中小企业生产且使用该中小企业商号或者注册商标；</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3.3.2.2在工程采购项目中，工程由中小企业承建，即工程施工单位为中小企业；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3.3.2.3在服务采购项目中，服务由中小企业承接，即提供服务的人员为中小企业依照《中华人民共和国劳动合同法》订立劳动合同的从业人员。</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在货物采购项目中，投标人提供的货物既有中小企业制造货物，也有大型企业制造货物的，不享受中小企业扶持政策。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3.3.7中小企业享受扶持政策获得政府采购合同的，小微企业不得将合同分包给大中型企业，中型企业不得将合同分包给大型企业。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3.4支持创新发展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 采购人优先采购被认定为首台套产品和“制造精品”的自主创新产品。</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询问、质疑、投诉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4.1供应商询问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4.2供应商质疑</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4.2.1提出质疑的供应商应当是参与所质疑项目采购活动的供应商。潜在供应商已依法获取其可质疑的招标文件的，可以对该文件提出质疑。</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4.2.2.1对招标文件提出质疑的，质疑期限为供应商获得招标文件之日或者招标文件公告期限届满之日起计算。</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4.2.2.3对采购结果提出质疑的，质疑期限自采购结果公告期限届满之日起计算。</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4.2.3供应商提出质疑应当提交质疑函和必要的证明材料。质疑函应当包括下列内容：</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4.2.3.1供应商的姓名或者名称、地址、邮编、联系人及联系电话；</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4.2.3.2质疑项目的名称、编号；</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4.2.3.3具体、明确的质疑事项和与质疑事项相关的请求；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4.2.3.4事实依据；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4.2.3.5必要的法律依据；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4.2.3.6提出质疑的日期。</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4.2.5询问或者质疑事项可能影响采购结果的，采购人应当暂停签订合同，已经签订合同的，应当中止履行合同。</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4.3供应商投诉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4.3.2供应商投诉的事项不得超出已质疑事项的范围，基于质疑答复内容提出的投诉事项除外。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4.3.3供应商投诉应当有明确的请求和必要的证明材料。</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4.3.4 以联合体形式参加政府采购活动的，其投诉应当由组成联合体的所有供应商共同提出。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投诉书范本及制作说明详见附件3。</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二、招标文件的构成、澄清、修改</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5．招标文件的构成</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招标文件包括下列文件及附件：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5.1.1招标公告；</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5.1.2投标人须知；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5.1.3采购需求；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5.1.4评标办法；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5.1.5拟签订的合同文本；</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5.1.6应提交的有关格式范例。</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5.2与本项目有关的澄清或者修改的内容为招标文件的组成部分。</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招标文件的澄清、修改</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6.1已获取招标文件的潜在投标人，若有问题需要澄清，应于投标截止时间前，以书面形式向采购机构提出。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招标文件的获取</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详见招标公告中获取招标文件的时间期限、地点、方式及招标文件售价。</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8.开标前答疑会或现场考察</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9.投标保证金</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本项目不需缴纳投标保证金。</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 投标文件的语言</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投标文件及投标人与采购有关的来往通知、函件和文件均应使用中文。</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投标文件的组成</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11.1资格文件：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11.1.1符合参加政府采购活动应当具备的一般条件的承诺函；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11.1.2落实政府采购政策需满足的资格要求；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11.1.3本项目的特定资格要求。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商务技术文件：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11.2.1投标函；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11.2.2授权委托书或法定代表人（单位负责人、自然人本人）身份证明；</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11.2.3联合协议；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11.2.4分包意向协议；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11.2.5符合性审查资料；</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11.2.6评标标准相应的商务技术资料；</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11.2.7投标标的清单；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11.2.8商务技术偏离表；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11.2.9政府采购供应商廉洁自律承诺书；</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11.3报价文件：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11.3.1开标一览表（报价表）；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11.3.2中小企业声明函。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投标文件含有采购人不能接受的附加条件的，投标无效；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投标人提供虚假材料投标的，投标无效。</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 投标文件的编制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13.投标文件的签署、盖章</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13.1投标文件按照招标文件第六部分格式要求进行签署、盖章。▲投标人的投标文件未按照招标文件要求签署、盖章的，其投标无效。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13.3招标文件对投标文件签署、盖章的要求适用于电子签名。</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 投标文件的提交、补充、修改、撤回</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15.备份投标文件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15.5投标人仅提交备份投标文件，未在电子交易平台传输递交投标文件的，投标无效。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16.投标文件的无效处理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有招标文件第四部分4.2规定的情形之一的，投标无效：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17.投标有效期</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17.1投标有效期为从提交投标文件的截止之日起90天。▲投标人的投标文件中承诺的投标有效期少于招标文件中载明的投标有效期的，投标无效。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17.2投标文件合格投递后，自投标截止日期起，在投标有效期内有效。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四、开标、资格审查与信用信息查询</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18.开标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18.1采购机构按照招标文件规定的时间通过电子交易平台组织开标，所有投标人均应当准时在线参加。投标人不足3家的，不得开标。</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18.3投标文件未按时解密，投标人提供了备份投标文件的，以备份投标文件作为依据，否则视为投标文件撤回。投标文件已按时解密的，备份投标文件自动失效。</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19、资格审查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19.1开标后，采购人或采购机构将依法对投标人的资格进行审查。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19.2采购人或采购机构依据法律法规和招标文件的规定，对投标人的基本资格条件、特定资格条件进行审查。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19.4对未通过资格审查的投标人，采购人或采购机构告知其未通过的原因。</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19.5合格投标人不足3家的，不再评标。</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20、信用信息查询</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20.2信用信息查询记录和证据留存的具体方式：现场查询的投标人的信用记录、查询结果经确认后将与采购文件一起存档。</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20.3信用信息的使用规则：经查询列入失信被执行人名单、重大税收违法案件当事人名单（税收违法黑名单）、政府采购严重违法失信行为记录名单的投标人将被拒绝参与政府采购活动。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五、评标</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评标</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六、定 标</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确定中标供应商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采购人将自收到评审报告之日起5个工作日内通过电子交易平台在评审报告推荐的中标候选人中按顺序确定中标供应商。</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中标通知与中标结果公告</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23.3公告期限为1个工作日。</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七、合同授予</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合同主要条款详见第五部分拟签订的合同文本。</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 合同的签订</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 采购人与中标人应当通过电子交易平台在中标通知书发出之日起三十日内，按照招标文件确定的事项签订政府采购合同，并在合同签订之日起2个工作日内依法发布合同公告。</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履约保证金</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eastAsia" w:ascii="宋体" w:hAnsi="宋体" w:eastAsia="宋体" w:cs="宋体"/>
          <w:color w:val="000000" w:themeColor="text1"/>
          <w14:textFill>
            <w14:solidFill>
              <w14:schemeClr w14:val="tx1"/>
            </w14:solidFill>
          </w14:textFill>
        </w:rPr>
      </w:pPr>
    </w:p>
    <w:p>
      <w:pPr>
        <w:spacing w:line="276" w:lineRule="auto"/>
        <w:rPr>
          <w:rFonts w:hint="eastAsia" w:ascii="宋体" w:hAnsi="宋体" w:eastAsia="宋体" w:cs="宋体"/>
          <w:b/>
          <w:smallCaps/>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八、电子交易活动的中止</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 电子交易活动的中止。</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27.1电子交易平台发生故障而无法登录访问的；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27.2电子交易平台应用或数据库出现错误，不能进行正常操作的；</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27.3电子交易平台发现严重安全漏洞，有潜在泄密危险的；</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27.4病毒发作导致不能进行正常操作的；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27.5其他无法保证电子交易的公平、公正和安全的情况。</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九、验收</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29.验收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 0571-83587785/0571-82816012  联系地址: 萧山区通惠北路2-1号302室</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采购需求</w:t>
      </w:r>
    </w:p>
    <w:p>
      <w:pPr>
        <w:snapToGrid w:val="0"/>
        <w:rPr>
          <w:rStyle w:val="51"/>
          <w:rFonts w:hint="eastAsia" w:ascii="宋体" w:hAnsi="宋体" w:eastAsia="宋体" w:cs="宋体"/>
          <w:i w:val="0"/>
          <w:iCs w:val="0"/>
          <w:color w:val="000000" w:themeColor="text1"/>
          <w14:textFill>
            <w14:solidFill>
              <w14:schemeClr w14:val="tx1"/>
            </w14:solidFill>
          </w14:textFill>
        </w:rPr>
      </w:pPr>
      <w:r>
        <w:rPr>
          <w:rStyle w:val="51"/>
          <w:rFonts w:hint="eastAsia" w:ascii="宋体" w:hAnsi="宋体" w:eastAsia="宋体" w:cs="宋体"/>
          <w:i w:val="0"/>
          <w:iCs w:val="0"/>
          <w:color w:val="000000" w:themeColor="text1"/>
          <w14:textFill>
            <w14:solidFill>
              <w14:schemeClr w14:val="tx1"/>
            </w14:solidFill>
          </w14:textFill>
        </w:rPr>
        <w:t>属于实质性要求条款的，请用符号“▲”标明，否则属于非实质性要求。</w:t>
      </w:r>
    </w:p>
    <w:p>
      <w:pPr>
        <w:snapToGrid w:val="0"/>
        <w:rPr>
          <w:rStyle w:val="51"/>
          <w:rFonts w:hint="eastAsia" w:ascii="宋体" w:hAnsi="宋体" w:eastAsia="宋体" w:cs="宋体"/>
          <w:i w:val="0"/>
          <w:iCs w:val="0"/>
          <w:color w:val="000000" w:themeColor="text1"/>
          <w14:textFill>
            <w14:solidFill>
              <w14:schemeClr w14:val="tx1"/>
            </w14:solidFill>
          </w14:textFill>
        </w:rPr>
      </w:pPr>
      <w:r>
        <w:rPr>
          <w:rStyle w:val="51"/>
          <w:rFonts w:hint="eastAsia" w:ascii="宋体" w:hAnsi="宋体" w:eastAsia="宋体" w:cs="宋体"/>
          <w:i w:val="0"/>
          <w:iCs w:val="0"/>
          <w:color w:val="000000" w:themeColor="text1"/>
          <w14:textFill>
            <w14:solidFill>
              <w14:schemeClr w14:val="tx1"/>
            </w14:solidFill>
          </w14:textFill>
        </w:rPr>
        <w:t>“★”系产品采购项目中单一产品或核心产品。</w:t>
      </w:r>
    </w:p>
    <w:p>
      <w:pPr>
        <w:numPr>
          <w:ilvl w:val="0"/>
          <w:numId w:val="2"/>
        </w:numPr>
        <w:spacing w:line="360" w:lineRule="auto"/>
        <w:ind w:left="360" w:hanging="36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交易一览表</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交易项：一</w:t>
      </w:r>
    </w:p>
    <w:tbl>
      <w:tblPr>
        <w:tblStyle w:val="25"/>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0"/>
        <w:gridCol w:w="851"/>
        <w:gridCol w:w="130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pPr>
              <w:jc w:val="center"/>
              <w:rPr>
                <w:rFonts w:hint="eastAsia" w:ascii="宋体" w:hAnsi="宋体" w:eastAsia="宋体" w:cs="宋体"/>
                <w:b/>
                <w:color w:val="000000" w:themeColor="text1"/>
                <w:sz w:val="24"/>
                <w14:textFill>
                  <w14:solidFill>
                    <w14:schemeClr w14:val="tx1"/>
                  </w14:solidFill>
                </w14:textFill>
              </w:rPr>
            </w:pPr>
            <w:bookmarkStart w:id="4" w:name="_二期网络工程项目改造需求"/>
            <w:bookmarkEnd w:id="4"/>
            <w:r>
              <w:rPr>
                <w:rFonts w:hint="eastAsia" w:ascii="宋体" w:hAnsi="宋体" w:eastAsia="宋体" w:cs="宋体"/>
                <w:b/>
                <w:color w:val="000000" w:themeColor="text1"/>
                <w:sz w:val="24"/>
                <w14:textFill>
                  <w14:solidFill>
                    <w14:schemeClr w14:val="tx1"/>
                  </w14:solidFill>
                </w14:textFill>
              </w:rPr>
              <w:t>交易项</w:t>
            </w:r>
          </w:p>
        </w:tc>
        <w:tc>
          <w:tcPr>
            <w:tcW w:w="2551"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项目内容</w:t>
            </w:r>
          </w:p>
        </w:tc>
        <w:tc>
          <w:tcPr>
            <w:tcW w:w="850"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单位</w:t>
            </w:r>
          </w:p>
        </w:tc>
        <w:tc>
          <w:tcPr>
            <w:tcW w:w="851"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3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参考品牌</w:t>
            </w:r>
          </w:p>
        </w:tc>
        <w:tc>
          <w:tcPr>
            <w:tcW w:w="2048"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988"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551" w:type="dxa"/>
            <w:vAlign w:val="center"/>
          </w:tcPr>
          <w:p>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杭州市萧山区综合交通信息指挥中心二期项目</w:t>
            </w:r>
          </w:p>
        </w:tc>
        <w:tc>
          <w:tcPr>
            <w:tcW w:w="85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批</w:t>
            </w:r>
          </w:p>
        </w:tc>
        <w:tc>
          <w:tcPr>
            <w:tcW w:w="851"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09"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c>
          <w:tcPr>
            <w:tcW w:w="2048" w:type="dxa"/>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r>
    </w:tbl>
    <w:p>
      <w:pPr>
        <w:widowControl w:val="0"/>
        <w:adjustRightInd/>
        <w:spacing w:after="0" w:line="440" w:lineRule="exact"/>
        <w:jc w:val="both"/>
        <w:rPr>
          <w:rFonts w:hint="eastAsia" w:ascii="宋体" w:hAnsi="宋体" w:eastAsia="宋体" w:cs="宋体"/>
          <w:b/>
          <w:bCs w:val="0"/>
          <w:color w:val="000000" w:themeColor="text1"/>
          <w:kern w:val="44"/>
          <w:sz w:val="32"/>
          <w:szCs w:val="44"/>
          <w:lang w:val="en-US" w:eastAsia="zh-CN" w:bidi="ar-SA"/>
          <w14:textFill>
            <w14:solidFill>
              <w14:schemeClr w14:val="tx1"/>
            </w14:solidFill>
          </w14:textFill>
        </w:rPr>
      </w:pPr>
    </w:p>
    <w:p>
      <w:pPr>
        <w:keepNext/>
        <w:keepLines/>
        <w:widowControl w:val="0"/>
        <w:numPr>
          <w:ilvl w:val="0"/>
          <w:numId w:val="3"/>
        </w:numPr>
        <w:tabs>
          <w:tab w:val="left" w:pos="0"/>
        </w:tabs>
        <w:spacing w:before="312" w:beforeLines="100" w:after="156" w:afterLines="50" w:line="360" w:lineRule="auto"/>
        <w:ind w:firstLine="200" w:firstLineChars="0"/>
        <w:jc w:val="left"/>
        <w:outlineLvl w:val="0"/>
        <w:rPr>
          <w:rFonts w:ascii="宋体" w:hAnsi="宋体" w:eastAsia="宋体" w:cs="Times New Roman"/>
          <w:b/>
          <w:bCs w:val="0"/>
          <w:color w:val="000000" w:themeColor="text1"/>
          <w:kern w:val="44"/>
          <w:sz w:val="32"/>
          <w:szCs w:val="44"/>
          <w:lang w:val="zh-CN" w:eastAsia="zh-CN" w:bidi="ar-SA"/>
          <w14:textFill>
            <w14:solidFill>
              <w14:schemeClr w14:val="tx1"/>
            </w14:solidFill>
          </w14:textFill>
        </w:rPr>
      </w:pPr>
      <w:r>
        <w:rPr>
          <w:rFonts w:hint="eastAsia" w:ascii="宋体" w:hAnsi="宋体" w:eastAsia="宋体" w:cs="Times New Roman"/>
          <w:b/>
          <w:bCs w:val="0"/>
          <w:color w:val="000000" w:themeColor="text1"/>
          <w:kern w:val="44"/>
          <w:sz w:val="32"/>
          <w:szCs w:val="44"/>
          <w:lang w:val="zh-CN" w:eastAsia="zh-CN" w:bidi="ar-SA"/>
          <w14:textFill>
            <w14:solidFill>
              <w14:schemeClr w14:val="tx1"/>
            </w14:solidFill>
          </w14:textFill>
        </w:rPr>
        <w:t>建设背景</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经过萧山区综合交通信息指挥中心一期项目的建设，萧山交通运输系统信息化水平大幅提升，交通信息数据质量和采集内容得到增强，交通出行服务信息化明显提高，但在智慧交通平台的感知化、业务化、移动化、数据化等方面，仍有较大的提升空间。随着亚运会会期将近，届时将吸引大量的客流从全国各地、世界各地来到杭州、来到萧山，进行参会观光。交通作为参会的第一步体验，具有重要的形象展示和服务能力展示作用。在尽可能保障城市居民基本交通出行的基础上，利用信息化手段提升对萧山交通行业治理，彰显萧山交通运输面貌。</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本期项目将借力“人工智能、互联网+、大数据”等新一代技术，在国务院《国家综合立体交通网规划纲要》、国务院《交通强国建设纲要》、交通运输部《数字交通发展规划纲要》、交通运输部《推进综合交通运输大数据发展行动纲要（2020-2025年）》、中共浙江省委《浙江省数字化改革总体方案》、浙江省交通运输厅《浙江省交通数字化改革行动方案》等指导下，加快新基建和交通运输领域的深度融合，建立覆盖交通运行状态感知、运输动态信息服务、交通行业管理等全方位的数字交通管理与服务体系，实现交通信息服务精准化、交通管理精细化、交通决策科学化，进一步提升萧山区全域交通智慧化设施和管控水平，引领萧山交通运输行业转型升级。</w:t>
      </w:r>
    </w:p>
    <w:p>
      <w:pPr>
        <w:keepNext/>
        <w:keepLines/>
        <w:widowControl w:val="0"/>
        <w:numPr>
          <w:ilvl w:val="0"/>
          <w:numId w:val="3"/>
        </w:numPr>
        <w:tabs>
          <w:tab w:val="left" w:pos="0"/>
        </w:tabs>
        <w:spacing w:before="312" w:beforeLines="100" w:after="156" w:afterLines="50" w:line="360" w:lineRule="auto"/>
        <w:ind w:firstLine="200" w:firstLineChars="0"/>
        <w:jc w:val="left"/>
        <w:outlineLvl w:val="0"/>
        <w:rPr>
          <w:rFonts w:ascii="宋体" w:hAnsi="宋体" w:eastAsia="宋体" w:cs="宋体"/>
          <w:b/>
          <w:bCs w:val="0"/>
          <w:color w:val="000000" w:themeColor="text1"/>
          <w:kern w:val="44"/>
          <w:sz w:val="32"/>
          <w:szCs w:val="44"/>
          <w:lang w:val="zh-CN" w:eastAsia="zh-CN" w:bidi="ar-SA"/>
          <w14:textFill>
            <w14:solidFill>
              <w14:schemeClr w14:val="tx1"/>
            </w14:solidFill>
          </w14:textFill>
        </w:rPr>
      </w:pPr>
      <w:r>
        <w:rPr>
          <w:rFonts w:hint="eastAsia" w:ascii="宋体" w:hAnsi="宋体" w:eastAsia="宋体" w:cs="宋体"/>
          <w:b/>
          <w:bCs w:val="0"/>
          <w:color w:val="000000" w:themeColor="text1"/>
          <w:kern w:val="44"/>
          <w:sz w:val="32"/>
          <w:szCs w:val="44"/>
          <w:lang w:val="zh-CN" w:eastAsia="zh-CN" w:bidi="ar-SA"/>
          <w14:textFill>
            <w14:solidFill>
              <w14:schemeClr w14:val="tx1"/>
            </w14:solidFill>
          </w14:textFill>
        </w:rPr>
        <w:t>建设目标</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深入贯彻数字化改革的中心思想，围绕建设数字浙江目标，统筹运用数字化技术、数字化思维、数字化认知，把数字化、一体化、现代化贯穿于本次智慧交通项目的建设中。把握一体化、全方位、制度重塑、数字赋能、现代化的改革特征；聚焦数字政府、数字经济、数字社会、数字法治的改革重点，在根本上实现萧山区域整体智治、高效协同，努力成为“重要窗口”的重大标志性成果。进一步整合、完善萧山区交通运输系统信息化基础设施和信息资源，进一步丰富综合交通大数据枢纽数字资源，构建一流的保障体系，创造一流的通行环境，提供一流的出行服务，确保亚运期间通行顺畅、路域环境良好、运输安全高效、应急保障有力，实现萧山区日常及亚运赛会期间交通安全、畅通，亚运保障圆满、高效；市民出行舒心、便捷。</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（1）实现数字赋能大型活动期间交通运输组织保障</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确保亚运会等大型活动举办期间交通运输的安全有序、先进便捷，形成萧山交通运输可持续发展的机制，满足大型活动交通运输一体化协同指挥调度机制需求，运用信息化手段分析研判大型活动期间客流需求，为预案制定、运力调度提供切实有据的辅助决策，赋能大型活动期间交通运输组织保障工作有序开展，解决大型活动智慧交通系统建设、运行、保障的引领性问题。</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（2）实现疫情常态下交通转运快速响应、精准调度</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交通运输部门作为疫情防控转运的关键执行者，更需借助数字化手段，构建防疫转运一张图，动态统筹转运车辆等防疫要素的部署及调度，通过转运任务全面线上流转、线上闭环执行的方式，与时间赛跑，提升疫情防控转运效率，落实防疫转运任务点对点精确完成，助力疫情防控交通转运环节增能提效，减轻转运一线工作人员负担。同时可全面分析研判疫情防控转运相关资源使用情况，为后期防疫工作调度部署提供辅助决策支持。</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（3）迎亚运环境整治，推进交通运输行业精准治理</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深入贯彻落实习近平总书记关于安全生产的重要指示批示精神，深刻汲取“9·28 ”特大道路交通事故教训，坚决有力抓好“遏重大”攻坚行动和平安交通年建设年活动，有效维护道路客运市场秩序，消除行业风险隐患和突出问题，保障人民群众的生命财产安全，依据《浙江省道路客运“数字打非”工作规范》等有关规定，进一步完善接入重点车辆相关数据信息，针对性提高打击客运各类非法营运、超限运输、行业企业管理等重点行业场景的力度，全面优化大数据运用能力，实现精确分析、精准管控、精细管理和精心服务，为亚运会营造良好的交通运输市场环境。</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（4）提升完善可视化的交通运输应急指挥平台</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通过整合道路、车辆、人员、物资等资源，建立快速信息通道，构建智能化可视化应急指挥系统，提供灾害性天气和重大突发事件的决策信息支持手段，形成信息快速获取、快速响应、快速处置、快速反馈的能力，实现应急指挥与多部门协调联动。依托指挥中心融合通信系统可与执法车辆车载视频监控系统、卫星定位系统、手持单兵设备以及应急指挥智能终端等进行相互通信，实现应急事件信息和现场实时视频、数据的上传下达、协调联动，并以可视化形式动态展现，满足应急管理要求。以提高交通运输应急保障能力为核心，按照预防与应急并重、常态与非常态结合的要求，全面提升萧山区交通运输行业应急处置能力、管理效率和信息服务水平，为保障亚运期间交通运输行业安全有序畅通提供有力支撑。</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（5）完善公众出行信息服务</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结合公众出行需求，结合萧山特色深化“浙里办”，构建本地适用“浙里畅行”功能模块，实现交通服务不止交通，更能辐射萧山市民生活的方方面面。以移动端为依托，梳理交通统一服务热线受理记录中市民出行咨询的热点问题，大型活动期间发布出行导引信息、交通管制信息，设置热点问题一键查的功能，为公众提供“一站式”、多维度、精细化定制型交通信息出行服务。</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（6）完善交通运输信息资源整合</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在萧山区综合交通信息指挥中心一期项目建设基础上，进一步完善交通数据接入，完善外场感知设备建设，提升、完善数字交通基础平台，全面夯实基础系统和行业数据，完善支撑平台底座建设，为萧山区交通运输数字化改革提供全面支撑。</w:t>
      </w:r>
    </w:p>
    <w:p>
      <w:pPr>
        <w:keepNext/>
        <w:keepLines/>
        <w:widowControl w:val="0"/>
        <w:numPr>
          <w:ilvl w:val="0"/>
          <w:numId w:val="3"/>
        </w:numPr>
        <w:tabs>
          <w:tab w:val="left" w:pos="0"/>
        </w:tabs>
        <w:spacing w:before="312" w:beforeLines="100" w:after="156" w:afterLines="50" w:line="360" w:lineRule="auto"/>
        <w:ind w:firstLine="200" w:firstLineChars="0"/>
        <w:jc w:val="left"/>
        <w:outlineLvl w:val="0"/>
        <w:rPr>
          <w:rFonts w:ascii="Times New Roman" w:hAnsi="Times New Roman" w:eastAsia="宋体" w:cs="Times New Roman"/>
          <w:b/>
          <w:bCs w:val="0"/>
          <w:color w:val="000000" w:themeColor="text1"/>
          <w:kern w:val="44"/>
          <w:sz w:val="32"/>
          <w:szCs w:val="44"/>
          <w:lang w:val="zh-CN" w:eastAsia="zh-CN" w:bidi="ar-SA"/>
          <w14:textFill>
            <w14:solidFill>
              <w14:schemeClr w14:val="tx1"/>
            </w14:solidFill>
          </w14:textFill>
        </w:rPr>
      </w:pPr>
      <w:r>
        <w:rPr>
          <w:rFonts w:hint="eastAsia" w:ascii="Times New Roman" w:hAnsi="Times New Roman" w:eastAsia="宋体" w:cs="Times New Roman"/>
          <w:b/>
          <w:bCs w:val="0"/>
          <w:color w:val="000000" w:themeColor="text1"/>
          <w:kern w:val="44"/>
          <w:sz w:val="32"/>
          <w:szCs w:val="44"/>
          <w:lang w:val="zh-CN" w:eastAsia="zh-CN" w:bidi="ar-SA"/>
          <w14:textFill>
            <w14:solidFill>
              <w14:schemeClr w14:val="tx1"/>
            </w14:solidFill>
          </w14:textFill>
        </w:rPr>
        <w:t>总体建设内容</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萧山区综合交通信息指挥中心二期项目搭建“1+6+3”总体架构。</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“1”是在萧山综合交通指挥中心一期建设基础上，提升、完善1个数字交通基础平台，全面夯实基础系统和行业数据，完善支撑平台底座建设，为萧山交通数字化改革提供全面支撑；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“6”是围绕党政机关整体智治、数字政府、数字经济、数字社会、数字法治五大方面，以业务为牵引，抓好数字公路、工程管理、法制信用、安全应急、机关智治、公众服务六个业务板块的数字化改革；</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“3”是在全面推进基础上，围绕重大任务进行重点突破,分别打造“大型活动期间交通数字化组织保障”、“交通转运‘疫安行’”、“非法营运靶向数治”等三个基层交通管理部门数字化改革实践。</w:t>
      </w:r>
    </w:p>
    <w:p>
      <w:pPr>
        <w:keepNext/>
        <w:keepLines/>
        <w:widowControl w:val="0"/>
        <w:numPr>
          <w:ilvl w:val="0"/>
          <w:numId w:val="3"/>
        </w:numPr>
        <w:tabs>
          <w:tab w:val="left" w:pos="0"/>
        </w:tabs>
        <w:spacing w:before="312" w:beforeLines="100" w:after="156" w:afterLines="50" w:line="360" w:lineRule="auto"/>
        <w:ind w:firstLine="200" w:firstLineChars="0"/>
        <w:jc w:val="left"/>
        <w:outlineLvl w:val="0"/>
        <w:rPr>
          <w:rFonts w:ascii="宋体" w:hAnsi="宋体" w:eastAsia="宋体" w:cs="宋体"/>
          <w:b/>
          <w:bCs w:val="0"/>
          <w:color w:val="000000" w:themeColor="text1"/>
          <w:kern w:val="44"/>
          <w:sz w:val="32"/>
          <w:szCs w:val="44"/>
          <w:lang w:val="zh-CN" w:eastAsia="zh-CN" w:bidi="ar-SA"/>
          <w14:textFill>
            <w14:solidFill>
              <w14:schemeClr w14:val="tx1"/>
            </w14:solidFill>
          </w14:textFill>
        </w:rPr>
      </w:pPr>
      <w:r>
        <w:rPr>
          <w:rFonts w:hint="eastAsia" w:ascii="宋体" w:hAnsi="宋体" w:eastAsia="宋体" w:cs="宋体"/>
          <w:b/>
          <w:bCs w:val="0"/>
          <w:color w:val="000000" w:themeColor="text1"/>
          <w:kern w:val="44"/>
          <w:sz w:val="32"/>
          <w:szCs w:val="44"/>
          <w:lang w:val="zh-CN" w:eastAsia="zh-CN" w:bidi="ar-SA"/>
          <w14:textFill>
            <w14:solidFill>
              <w14:schemeClr w14:val="tx1"/>
            </w14:solidFill>
          </w14:textFill>
        </w:rPr>
        <w:t>详细建设需求</w:t>
      </w:r>
    </w:p>
    <w:p>
      <w:pPr>
        <w:keepNext/>
        <w:keepLines/>
        <w:numPr>
          <w:ilvl w:val="1"/>
          <w:numId w:val="3"/>
        </w:numPr>
        <w:spacing w:before="312" w:beforeLines="100" w:after="156" w:afterLines="50"/>
        <w:ind w:left="0"/>
        <w:outlineLvl w:val="1"/>
        <w:rPr>
          <w:rFonts w:ascii="宋体" w:hAnsi="宋体" w:eastAsia="宋体" w:cs="宋体"/>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交通数字化改革场景</w:t>
      </w:r>
    </w:p>
    <w:p>
      <w:pPr>
        <w:keepNext/>
        <w:keepLines/>
        <w:numPr>
          <w:ilvl w:val="2"/>
          <w:numId w:val="3"/>
        </w:numPr>
        <w:tabs>
          <w:tab w:val="left" w:pos="567"/>
        </w:tabs>
        <w:spacing w:before="312" w:beforeLines="100" w:after="156" w:afterLines="50"/>
        <w:outlineLvl w:val="2"/>
        <w:rPr>
          <w:rFonts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大型活动期间交通数字化组织保障</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lang w:val="zh-CN" w:eastAsia="zh-CN" w:bidi="ar-SA"/>
          <w14:textFill>
            <w14:solidFill>
              <w14:schemeClr w14:val="tx1"/>
            </w14:solidFill>
          </w14:textFill>
        </w:rPr>
        <w:t>大型活动出行</w:t>
      </w: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8"/>
          <w:szCs w:val="28"/>
          <w:lang w:val="zh-CN" w:eastAsia="zh-CN" w:bidi="ar-SA"/>
          <w14:textFill>
            <w14:solidFill>
              <w14:schemeClr w14:val="tx1"/>
            </w14:solidFill>
          </w14:textFill>
        </w:rPr>
        <w:t>早保障</w:t>
      </w: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从清底数、查隐患、定预案三个方向出发，构建系统、安全、完备的大型活动事前准备工作，划分大型活动管控“三区”，充分摸排区内交通运输行业企业，以及各类交通设施资产，明晰大型活动场馆周边交通运输行业底数；</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确认交通运输隐患排查整治清单，从加强落实行业主管部门的监管责任、运输从业企业的安全主体责任出发，加强对企业日常安全生产监管，从而实现大型活动开展期间交通行业安全运行；</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充分调研交通运力情况及大型活动旅客情况，保障大型活动交通组织，助力活动结束后人员疏散转运。</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交通运输行业底数梳理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将全区范围内的交通运输行业的企业（包括公交、客运、货运、出租车、驾培、航运、港口码头等）、站点、桥梁、隧道以及交通工程在建项目底数进行梳理，要求能够在平台建立“底数清单”，实现对大型活动开展场馆周边的底数摸排。</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（1）交通运输行业底数信息建档</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（2）交通运输行业底数信息管理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（3）交通运输行业底数信息关联</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大型活动场景要素管理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（1）管控区域施划</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根据大型活动前期对行业摸排的需求，构建大型活动主要场馆整治范围“三区”，平台需能够支持用户以灵活绘制、方框框选、圆形圈选的三种形式，在电子地图上自定义绘制重点区域、严控区域、管控区域，根据行业底数梳理的各要素地理信息坐标，支持一键自动获取各区域内各交通运输行业信息，为相关要素的智能展示提供基础，便于活动开展前对相关要素进行快捷搜索，为行业隐患摸排提供有力抓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（2）场景要素管理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平台需支持在当前专题内对交通运输相关企业、交通设施点位进行增添、修改，支持在地图选点或输入经纬度坐标，增补相关交通运输企业、交通设施点位情况。</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（3）场景图层管理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需提供包括交通设施图层、交通运输行业企业图层、营运车辆图层、场所图层、监控设备图层。</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交通运输隐患排查整治</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针对萧山区公交、客运、普货运输、危货运输等交通运输行业企业，以及站点、桥梁、隧道等底数，在平台实现隐患排查整治清单生成、检查计划设定、检查任务推送、检查反馈结果接入的功能。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（1）隐患排查名单自动生成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（2）隐患排查名单补录</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（3）隐患排查任务计划生成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（4）隐患排查任务提醒</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（5）隐患排查任务流转</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（6）隐患排查任务处置情况跟踪</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（7）隐患排查任务处置情况归档</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运力调度基础信息梳理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实现对大型活动交通保障组涉及的各部门的在岗人员状况进行统一管理，对涉及的接驳车辆、运输企业、相关司机、活动期间组织保障人员等相关信息进行统一管理，为活动期间车辆调度及人员接驳做好基础。</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（1）交通保障组人员信息梳理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（2）接驳运输企业信息梳理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（3）接驳车辆信息梳理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（4）接驳司机信息梳理</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交通出行评估模型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需充分融合互联网数据，以及人员入场之后散场之前的客流数据，将于大型活动相关的多源数据进行分析，对大型活动开展前后人员接驳疏散所需的交通运力进行评估，并输出相关运力调度建议。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（1）活动期间交通状态分析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（2）停车场可用情况分析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（3）公交站台客流分析</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大型活动态势“全掌握”</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平台需能够对接入数据的处理和分析计算，实现对场馆人流情况、场馆周边交通运行情况的可视化监测与展示。当出现大量旅客聚集时，能够通过系统下发相关运力调度指令，实现人员的接驳疏散。</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场馆周边交通动态分析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平台需接入大型活动开展场馆周边、公交站台周边等重点位置外场感知设备的实时图像，通过视频图像对场馆周边人员客流情况、交通拥堵情况等动态进行实时监测分析，并针对交通事件发生的具体出入口位置，动态调整相关交通运力的调配决策。</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如发现大量人员聚集、车辆异常聚集等状况，则及时调整运力部署，提供将相关调度要求派发给出租、公交、长运等企业进行运力调配的功能。</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客流动态分析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平台需能够结合互联网第三方数据等，获取场馆周边实时客流数据、交通拥堵情况，为活动人员疏散运力调配提供辅助决策；</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如场馆周边发现大量拥堵车辆，则与交警进行协同联动，对车辆及人员及时进行相关引导及处置。</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交通态势专题监测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建立交通态势专题监测模型，梳理大型活动期间场馆周边公交、出租车、停车场信息等各要素的实时动态信息，基于交通出行模型设定指标项和参数信息，实现对动态数据进行相应指标的实时分析研判，支撑大型活动公共交通运行态势的清晰掌控。</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（1）场馆周边公交动态指标分析展示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（2）场馆周边出租车动态指标分析展示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（3）场馆周边停车场动态指标分析展示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（4）场馆客流情况动态指标分析展示</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交通态势异常告警</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通过告警配置管理，实现对重要通道大客流、交通运力不足、恶劣天气等进行告警设置及提示，平台能够实现对告警信息的推送和展示，帮助相关部门和客运企业对告警信息进行研判，确定是否采取相关措施。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（1）告警配置管理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（2）异常实时告警模型</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公共出行运力调度</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结合大型活动开展前及开展期间接入的数据情况，以及交通出行评估模型对交通需求的分析结果、交通态势异常告警的告警内容，如发现场馆周边的公交、出租、地铁等公共交通出行运力存在不足的情况，平台能够及时将所需转运的客流需求信息推送给相关企业进行处置，并核实确认处置效果，实现运力调度任务的在线闭环处置，支撑相关公共交通线路的增减和排班进行优化协同，提升整体的运行效率，使交通运载能力满足大型活动期间客流需求。</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（1）运力调度任务设定</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（2）待办接驳单管理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（3）已办接驳单管理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（4）运力调度任务派发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（5）接驳车辆动态监测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（6）运力调度任务反馈</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（7）运力调度任务完结</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区域交通管控</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平台提供针对大型活动设置管控区域电子围栏的功能，实现对区域内营运车辆尤其是两客一危车辆进行立体、全方位、自动化的监控，保障活动期间交通运输的生产安全。</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（1）数据研判分析模型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（2）出行管控圈划定模型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（3）异常车辆告警模型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（4）车辆动态追踪模型</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大型活动复盘“再升级”</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通过事后对大型活动交通组织保障调度的全过程跟踪记录、信息收集汇总、统计分析，需提供对管控效率、资源调配效率等评价要素的分析和评估功能，评估实际情况与事前预案的偏差，在复盘的基础上总结经验和教训，做好记录保存，以此作为预案升级优化的依据。</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大型活动归档信息梳理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平台需对大型活动中采集到的信息进行统一的信息管理，针对每一次活动进行独立电子建档，能够通过关键词搜索的方式锁定过往重大活动的档案，并能够在此基础上进行相关信息的编辑。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（1）交通隐患排查整治情况</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（2）大型活动举办状态信息</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大型活动管控效果评价</w:t>
      </w:r>
    </w:p>
    <w:p>
      <w:pPr>
        <w:keepNext/>
        <w:keepLines/>
        <w:numPr>
          <w:ilvl w:val="5"/>
          <w:numId w:val="3"/>
        </w:numPr>
        <w:tabs>
          <w:tab w:val="left" w:pos="993"/>
        </w:tabs>
        <w:spacing w:before="312" w:beforeLines="100" w:after="156" w:afterLines="50"/>
        <w:outlineLvl w:val="5"/>
        <w:rPr>
          <w:rFonts w:ascii="Times New Roman" w:hAnsi="Times New Roman" w:eastAsia="宋体" w:cs="Times New Roman"/>
          <w:b/>
          <w:bCs/>
          <w:color w:val="000000" w:themeColor="text1"/>
          <w:kern w:val="2"/>
          <w:sz w:val="21"/>
          <w:szCs w:val="24"/>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4"/>
          <w:lang w:val="zh-CN" w:eastAsia="zh-CN" w:bidi="ar-SA"/>
          <w14:textFill>
            <w14:solidFill>
              <w14:schemeClr w14:val="tx1"/>
            </w14:solidFill>
          </w14:textFill>
        </w:rPr>
        <w:t>大型活动隐患排查评价</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根据大型活动安全隐患排查工作的计划安排，需提供对隐患排查工作计划的执行情况、接入的隐患排查治理的整改情况进行评价的功能，并形成研判分析报表。</w:t>
      </w:r>
    </w:p>
    <w:p>
      <w:pPr>
        <w:keepNext/>
        <w:keepLines/>
        <w:numPr>
          <w:ilvl w:val="5"/>
          <w:numId w:val="3"/>
        </w:numPr>
        <w:tabs>
          <w:tab w:val="left" w:pos="993"/>
        </w:tabs>
        <w:spacing w:before="312" w:beforeLines="100" w:after="156" w:afterLines="50"/>
        <w:outlineLvl w:val="5"/>
        <w:rPr>
          <w:rFonts w:ascii="Times New Roman" w:hAnsi="Times New Roman" w:eastAsia="宋体" w:cs="Times New Roman"/>
          <w:b/>
          <w:bCs/>
          <w:color w:val="000000" w:themeColor="text1"/>
          <w:kern w:val="2"/>
          <w:sz w:val="21"/>
          <w:szCs w:val="24"/>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4"/>
          <w:lang w:val="zh-CN" w:eastAsia="zh-CN" w:bidi="ar-SA"/>
          <w14:textFill>
            <w14:solidFill>
              <w14:schemeClr w14:val="tx1"/>
            </w14:solidFill>
          </w14:textFill>
        </w:rPr>
        <w:t>大型活动预案效果评价</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要求对大型活动中重要的管控要素如分配的公交、出租车等交通工具在大型活动期间的运力进行统计分析，从运力资源调度响应时间、车辆到场情况进行研判分析，为事前预案制定提供辅助决策。</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事后专题分析报表</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要求能实现大型活动期间交通运输运行监测指标如多种交通出行方式的运行情况、停车场饱和情况等指标的统计分析报告的自动生成，作为事后分析研判以及预案优化升级的辅助依据。</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t>大型活动“畅行萧山”</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对一期项目已建的“萧山交通公众服务平台”微信端同步迁移至浙里办端，并进一步分析市民出行需求，研判群众出行痛点，结合萧山特色深化“浙里办”，能够梳理群众日常投诉、咨询的热点问题，为市民提供交通出行规划、交通拥堵信息、交通换乘、出行热点问题等特色化服务；</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在大型活动开展期间，能够发布活动信息推送、出行引导信息发布、管制安排通知等便民信息，提升群众交通出行、参观购票的体验。</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微信端服务同步迁移</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要求将一期项目已建的“萧山交通公众服务平台”微信端同步迁移至浙里办端，并提供访客统计功能。</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活动期间信息梳理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要求在活动开展期间梳理相关活动信息以及相应的购票渠道，在观众购票的同时进行出行方式调研，为深入挖掘群众出行需求提供抓手。</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交通管制信息发布</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联动交警，推送大型活动期间交通管制信息。</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信访投诉接入梳理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要求将群众信访咨询、投诉信息提取关键字信息，进行分析。</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咨询问题热力分析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对信访投诉咨询问题的频率、热度进行实时监控、热力排序，相关投诉咨询热词、新词以词云图的形式在大屏进行滚动展示。</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热点问题问答固化</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排名靠前的问题能够推送至平台，提示操作人员进行问答固化确认，提取关键词，便于后期实现出行咨询问题速查。</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多维出行信息整合</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要求将固化完成的出行咨询问答速查信息与萧山的旅游服务相关信息进行整合。</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出行信息多端推送</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通过浙里办端，实现对日常及大型活动期间萧山出行信息进行发布。</w:t>
      </w:r>
    </w:p>
    <w:p>
      <w:pPr>
        <w:keepNext/>
        <w:keepLines/>
        <w:numPr>
          <w:ilvl w:val="2"/>
          <w:numId w:val="3"/>
        </w:numPr>
        <w:tabs>
          <w:tab w:val="left" w:pos="567"/>
        </w:tabs>
        <w:spacing w:before="312" w:beforeLines="100" w:after="156" w:afterLines="50"/>
        <w:outlineLvl w:val="2"/>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交通转运</w:t>
      </w:r>
      <w:r>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t>“</w:t>
      </w: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疫安行</w:t>
      </w:r>
      <w:r>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t>”</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为奋力打造亚运新窗口，在疫情常态化形势下确保经济社会的正常运行和发展，打造交通转运“疫安行”数字化改革实践，持之以恒做好疫情常态化防控工作。动态接入疫情防控、人员转运的相关人员及车辆数据，实现疫情转运相关信息的全程动态透明掌握；打造疫情防疫点对点转运任务全链条在线流转，助力疫情防控转运增能提效；建设防疫转运浙政钉端、企业端、司机端，实现转运任务的指尖一键确认、一键转发，为疫情转运一线工作人员提供端对端的便捷处置服务；全面分析研判疫情防控相关资源使用情况，为后期防疫工作调度部署提供辅助决策。</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lang w:eastAsia="zh-CN"/>
          <w14:textFill>
            <w14:solidFill>
              <w14:schemeClr w14:val="tx1"/>
            </w14:solidFill>
          </w14:textFill>
        </w:rPr>
        <w:t>※</w:t>
      </w:r>
      <w:r>
        <w:rPr>
          <w:rFonts w:hint="eastAsia" w:ascii="Times New Roman" w:hAnsi="Times New Roman" w:eastAsia="宋体" w:cs="Times New Roman"/>
          <w:color w:val="000000" w:themeColor="text1"/>
          <w:kern w:val="2"/>
          <w:szCs w:val="20"/>
          <w14:textFill>
            <w14:solidFill>
              <w14:schemeClr w14:val="tx1"/>
            </w14:solidFill>
          </w14:textFill>
        </w:rPr>
        <w:t>投标人需根据对项目需求的理解，1）对本场景中防疫转运业务流程进行详细设计，提供流程图；2）结合本场景需求，以及防疫转运工作中不同部门的具体业务职责，提供镇街、卫健、交通等不同部门角色的功能设计；3）结合本场景建设内容，对数据需求进行详细分析。</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防疫转运一屏统览</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转运车辆动态指标分析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要求实时动态分析转运车辆的车辆状态、可用车座数等指标，展示当前各个状态下的转运车辆可用指标情况。</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（1）转运车辆指标展示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（2）转运车辆图层筛选</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（3）转运车辆人员关联</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转运车辆动态轨迹绘制</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要求根据转运车辆的历史定位数据、当前定位位置，实现转运车辆的实时动态轨迹绘制、历史轨迹回看等功能，帮助管理人员了解转运车辆当前行驶动向。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（1）车辆轨迹分析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（2）车辆轨迹绘制</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（3）车辆轨迹倍数回放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（4）车辆速度分析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（5）车辆速度曲线绘制</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（6）车辆速度峰值分析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（7）车辆行驶总里程分析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（8）车辆最近定位时间分析</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转运车辆实时视频接入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要求能够实时调取转运车辆的视频信息，通过点击地图上转运车辆或根据车牌号、人员信息等搜索到的车辆，实现查询获取转运车辆安装在车头、车内的视频监控。</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被转运隔离人员动态指标分析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实时展示处于转运中各个环节人员数量，包括处于纳入集中管控的人员的总数、派单中、到达转运起点途中、运送中、已到达人数，对处于转运中的各环节的人员数量进行展示，对异常人员相关信息进行展示，通过大屏进行循环播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（1）被转运隔离人员数量分布</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（2）被转运隔离人员热力图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（3）被转运隔离人员迁徙图</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大规模转运车队关联</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要求能够在大规模转运场景下，对转运车队进行统一展示，包括车队中各车辆的实时位置信息及转运状态信息，分析大规模转运总人数以及待转运人数、转运中人数、已完成转运的人数，实时更新转运进度。</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（1）大规模转运进度指标展示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（2）大规模转运车辆动态关联</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转运司机动态指标分析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要求实时分析各转运司机的休息中、工作中、隔离中等工作状态，展示当前各个状态下的司机数量及比例，并提供司机联系方式、姓名等指标的同步查看。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（1）转运司机指标展示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（2）转运司机图层筛选</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转运企业动态指标分析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要求实时分析萧山区转运企业的相关数据状态，展示当前转运企业各类数据指标情况，实现企业地址、负责人联系方式、主要联系人等指标的同步可视。</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隔离酒店动态指标分析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要求能够根据隔离酒店每日上报的可用房间数量、实时被转运隔离人员分配的酒店数量，实时更新隔离点数量以及可用房间总数。</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防疫基础信息梳理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要求对常态化疫情防控中涉及的防疫转运车辆、运输企业、相关司机、交通防疫检疫人员、隔离酒店等相关信息进行统一管理，实现疫情防控相关信息的全面掌握。</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防疫人员信息梳理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要求对交通防疫相关工作人员信息进行线上管理、梳理，包含姓名、联系方式、所属单位、科室等信息。</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隔离酒店信息梳理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要求对各个隔离酒店基础信息进行线上管理、梳理，包括隔离酒店名称、可用房间数量、隔离人员类型、负责人及联络方式等信息。</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转运企业信息梳理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要求对疫情防控涉及的交通运输防疫转运企业进行基础信息管理，包含企业名下的车辆基本信息、车辆数、负责人及联系电话、司机等静态信息进行统一管理维护。</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转运车辆信息梳理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要求对萧山区用于疫情转运的公交、长运、小汽车等防疫转运车辆进行基础信息管理，包含车辆的车牌、所属单位、核定载客人数、管理人联系电话等静态信息进行统一管理维护。</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转运司机信息梳理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要求对萧山区用于疫情转运的司机进行基础信息管理，包含姓名、性别、年龄、所属企业、联系电话、使用车辆等静态信息，进行统一管理维护。</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lang w:val="zh-CN" w:eastAsia="zh-CN" w:bidi="ar-SA"/>
          <w14:textFill>
            <w14:solidFill>
              <w14:schemeClr w14:val="tx1"/>
            </w14:solidFill>
          </w14:textFill>
        </w:rPr>
        <w:t>疫情防控精准转运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对转运人员、转运司机、转运车辆等要素进行动态管理，全透明掌握疫情转运可用的转运车辆情况，线上建立、派发疫情转运任务，追踪监测转运任务执行情况，实现疫情防控转运任务的线上流转、执行状态实览。</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车辆派发调度建议模型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要求能根据任务单的人员数量及类型，对可用车辆进行智能倒序排列，输出精准调度安全转运任务分配车辆建议。</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司机派发建议调度模型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要求能够输出精准调度安全转运任务分配司机的建议，帮助管理人员快速抉择当次转运任务所需调度的转运司机。</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转运要素管理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能够实现对转运任务中各环节的相关要素的动态监测，接入转运人员、转运车辆、转运企业等相关信息以及动态数据，运用各类数学模型，通过分析研判，计算得出各类指标数据，实现转运流程各环节留痕，做到转运任务全流程可追溯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（1）被转运人员动态监测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（2）转运车辆动态监测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（3）转运司机动态监测</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转运任务单管理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（1）待办转运单管理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要求能够集中展示待处理的转运任务单的相关信息，按照处理时间的优先级进行排序，可根据不同转运类型进行筛选，当一批待办转运单可以进行批量处理时，可一键批量处理。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（2）已办转运单管理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集中展示已完成的转运任务单的相关信息，按照任务完结时间的优先级进行排列展示。</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隔离转运单全程流转</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（1）隔离转运单镇街填报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针对隔离转运单处置任务，为各镇街防疫相关管理人员提供转运信息上报功能。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（2）隔离转运单卫健填报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基于卫健在隔离转运单处置的任务职责，开发隔离转运单卫健填报模块，为卫健管理人员提供隔离转运单处置功能。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（3）隔离转运单交通局处置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基于交通局在隔离转运单处置的任务职责，开发隔离转运单交通局处置模块，为管理人员提供隔离转运单处置功能。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（4）隔离转运单转运企业处置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为转运任务承运企业提供隔离转运单的转派处置功能。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（5）隔离转运单司机转运处置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为司机提供隔离转运单处置功能，提供对转运任务进行接收、到达上车点打卡、转运人员上车打卡、到达隔离点打卡的功能。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（6）隔离转运单隔离点接收处置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为隔离点工作人员提供隔离转运单任务完结接收功能。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※投标人需结合对本项目的理解，提供对本模块的</w:t>
      </w:r>
      <w:r>
        <w:rPr>
          <w:rFonts w:hint="eastAsia" w:ascii="Times New Roman" w:hAnsi="Times New Roman" w:eastAsia="宋体" w:cs="Times New Roman"/>
          <w:color w:val="000000" w:themeColor="text1"/>
          <w:kern w:val="2"/>
          <w:szCs w:val="20"/>
          <w14:textFill>
            <w14:solidFill>
              <w14:schemeClr w14:val="tx1"/>
            </w14:solidFill>
          </w14:textFill>
        </w:rPr>
        <w:t>上述六点分项功能模块的</w:t>
      </w:r>
      <w:r>
        <w:rPr>
          <w:rFonts w:hint="eastAsia" w:ascii="Times New Roman" w:hAnsi="Times New Roman" w:eastAsia="宋体" w:cs="Times New Roman"/>
          <w:color w:val="000000" w:themeColor="text1"/>
          <w:kern w:val="2"/>
          <w:szCs w:val="20"/>
          <w:lang w:val="zh-CN"/>
          <w14:textFill>
            <w14:solidFill>
              <w14:schemeClr w14:val="tx1"/>
            </w14:solidFill>
          </w14:textFill>
        </w:rPr>
        <w:t>具体设计。</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其它转运单全程流转</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（1）其它转运单镇街/隔离点填报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针对其它转运单处置任务，为各镇街防疫相关管理人员提供转运信息上报功能。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（2）其他转运单交通转派处置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基于交通局在其他转运单处置的任务职责，开发其他转运单交通局处置模块，为管理人员提供其他转运单处置功能。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（3）其他转运单企业分派司机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为转运任务承运企业提供其他转运单的转派处置功能。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（4）其他转运单司机转运确认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为司机提供其他转运单的处置功能，对转运任务进行接收、到达上车点打卡、转运人员上车打卡、到达隔离点打卡的功能。</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规模转运单全程流转</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（1）规模转运单镇街填报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为镇街防疫管理人员提供重大疫情大批量人员信息填报功能。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（2）规模转运单卫健填报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为卫健防疫管理人员提供规模转运单填报处置功能。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（3）规模转运单交通转派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为交通防疫管理人员提供规模转运单转派处置功能。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（4）规模转运单企业分派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为规模转运单任务承担企业提供规模转运单分配处置功能。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（5）规模转运单社区确认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实现社区工作人员通过移动端对转运车辆进行选择及转运人员确认上车的操作。</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（6）规模转运单任务完结</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运输企业完成大规模转运任务时，提供管理者对对规模转运单进行任务完结的操作。</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转运任务线上追踪</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实现对转运任务单流程的跟踪提醒，以及转运任务各项要素的实时追踪，可通过对转运任务流程各部门的在岗人员进行任务处理提醒，通过中心端，可对转运流程各项内容进行查看，并能够追踪各任务当前动态以及历史状态。</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（1）转运任务流程提醒</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（2）转运任务线上透视</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转运任务单完结</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转运任务完结后，为管理人员提供在中心端完善本次转运任务相关信息的功能，通过平台能够进行后台信息的维护，并最终完结本次点对点转运任务。任务完结后，相关转运车辆的状态即进行重新更新。</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防疫转运监测告警</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企业接单异常监测模型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能够实时追踪转运任务的当前状态节点，在企业待接单状态的持续时间触发异常告警时间限制时，在中心端进行对应提示。</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司机接单异常监测模型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能够实时追踪转运任务的当前状态节点，在企业待接单状态的持续时间触发异常告警时间限制时，在中心端进行对应提示。</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任务执行时长监测模型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能够分析转运任务每个办理人、办理环节处置时间节点及处置时长，可根据实际需求，灵活设定任务超期的计时节点，实现对转运任务全程处置的追踪。</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转运任务执行时长告警</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能够对即将超期、已经超期等任务进行告警提示，对对应环节所在部门的在岗负责人提供对应提醒。</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企业接单超期告警</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要求中心端对转运任务派发状态进行实时监测，如企业超出规定时间仍未接单，平台需在中心端弹出告警信息，提醒管理人员进行关注。</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司机接单超期告警</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要求中心端对转运任务派发状态进行实时监测，如司机超出规定时间仍未接单，平台需在中心端弹出告警信息，提醒管理人员进行关注。</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防疫转运浙政钉端</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要求开发防疫转运浙政钉端，实现防疫转运相关动态信息及转运任务的线上实揽、便捷处置。实现转运任务的线上填报、派发、透视、完结，提升防疫转运任务处置效率。</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转运任务单新增</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要求为镇街提供移动端新增转运任务单的功能，包括闭环流程任务单以及转运流程任务单，填写上报被转运人员信息。可以通过移动端查看被转运隔离人员的任务单流转状态，确认转运所处环节。</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转运信息填报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要求为卫健提供相关转运任务的隔离酒店的分配、修改、退回以及已办任务单的查看。</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转运任务派发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要求为管理人员提供通过浙政钉端将转运任务派发给企业的功能。</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转运任务追踪</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能够与防疫转运中心端进行实时联动，对各个已建立的转运任务的动态节点进行追踪，能够进一步下钻转运任务的当前具体节点及处置人员信息。</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转运任务办结</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要求与防疫转运中心端进行实时联动，管理人员可在浙政钉端同步进行转运任务完结，并上传此次转运任务相关信息，将转运任务进行归档。</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转运任务单接收</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为司机提供确认接收/拒绝接收转运任务的功能，相关操作将同步回传至中心端。</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转运任务执行回传</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为司机提供确认接收任务、司机到达被转运人员的出发地、确认被转运人员的转运状态、确认被转运人员到达隔离酒店、以及对车辆完成消杀等流程的转运任务节点信息回传功能。</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转运任务完结</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为司机提供车辆确认消杀、转运任务信息完结功能。</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司机接单提醒</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要求移动端对司机接单状态进行监测，如司机在规定时间内仍未接单，司机端将则弹出接单提醒。</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防疫信息研判分析</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防疫信息融合研判模型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围绕转运任务的安排关键要素点，进行防疫安全、任务安全等方面的研判及评估数据的输出，支撑防疫转运任务的科学预警和调度。</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转运任务分析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对所有转运任务相关信息进行分析，归纳任务状态、执行任务总时间、任务执行各时间节点、执行人员、车辆、企业等。</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（1）转运任务时长统计</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（2）转运任务过程分析</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转运车辆分析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要求按照消杀中/空闲/转运中等不同状态，分类研判各状态下的车辆数量，同时关联各个车辆的转运任务执行情况，可查看车辆的历史转运任务单、当前转运任务单等。</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转运司机分析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要求按照隔离中/空闲/转运中等不同状态，分类研判各状态下的司机数量，同时关联各个司机的转运任务执行情况，可查看司机的历史转运任务单、当前转运任务单等。</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转运运输企业分析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要求梳理各个转运企业的名下司机情况、转运车辆情况，关联转运任务信息，可查看派发给当前企业的历史转运任务单、当前转运任务单等。</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被转运人员隔离情况分析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要求分析各转运任务填报的被转运人员数量，为疫情防控趋势分析、疫情防控转运决策提供支撑。</w:t>
      </w:r>
    </w:p>
    <w:p>
      <w:pPr>
        <w:keepNext/>
        <w:keepLines/>
        <w:numPr>
          <w:ilvl w:val="2"/>
          <w:numId w:val="3"/>
        </w:numPr>
        <w:tabs>
          <w:tab w:val="left" w:pos="567"/>
        </w:tabs>
        <w:spacing w:before="312" w:beforeLines="100" w:after="156" w:afterLines="50"/>
        <w:outlineLvl w:val="2"/>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非法营运靶向数治</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两客在线云诊</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非法上客行为识别</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要求能够对接在萧山区内大客车站外组客点安装的智能分析抓拍摄像头，接入智能抓拍的大客车违规上客视频，并进行视频数据进行图像分析识别，联动后端软件应用模块，为非法上客行为识别提供证据。</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违法两客车辆研判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要求开发重点车辆研判分析模型，将疑似车辆各类告警信息进行研判分析，将违规车辆汇集于黑名单车辆库中进行重点监管，对黑名单车辆信息进行全面梳理，为后期车辆布控提供基础。</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（1）疑似非法营运车辆研判模型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要求能够筛选出高频车辆、GPS未上传车辆、</w:t>
      </w:r>
      <w:r>
        <w:rPr>
          <w:rFonts w:ascii="Times New Roman" w:hAnsi="Times New Roman" w:eastAsia="宋体" w:cs="Times New Roman"/>
          <w:color w:val="000000" w:themeColor="text1"/>
          <w:kern w:val="2"/>
          <w:szCs w:val="20"/>
          <w14:textFill>
            <w14:solidFill>
              <w14:schemeClr w14:val="tx1"/>
            </w14:solidFill>
          </w14:textFill>
        </w:rPr>
        <w:t>2</w:t>
      </w:r>
      <w:r>
        <w:rPr>
          <w:rFonts w:hint="eastAsia" w:ascii="Times New Roman" w:hAnsi="Times New Roman" w:eastAsia="宋体" w:cs="Times New Roman"/>
          <w:color w:val="000000" w:themeColor="text1"/>
          <w:kern w:val="2"/>
          <w:szCs w:val="20"/>
          <w14:textFill>
            <w14:solidFill>
              <w14:schemeClr w14:val="tx1"/>
            </w14:solidFill>
          </w14:textFill>
        </w:rPr>
        <w:t>-5点违规未停驶等存在异常行为的营运车辆，同时支持利用现有人工识别出的疑似非法营运客车和公众投诉举报的非法营运客车统一纳入到重点监管车辆库进行统一管理。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（2）疑似非法营运车辆告警分析模型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根据高频车辆、GPS未上传、</w:t>
      </w:r>
      <w:r>
        <w:rPr>
          <w:rFonts w:ascii="Times New Roman" w:hAnsi="Times New Roman" w:eastAsia="宋体" w:cs="Times New Roman"/>
          <w:color w:val="000000" w:themeColor="text1"/>
          <w:kern w:val="2"/>
          <w:szCs w:val="20"/>
          <w14:textFill>
            <w14:solidFill>
              <w14:schemeClr w14:val="tx1"/>
            </w14:solidFill>
          </w14:textFill>
        </w:rPr>
        <w:t>2</w:t>
      </w:r>
      <w:r>
        <w:rPr>
          <w:rFonts w:hint="eastAsia" w:ascii="Times New Roman" w:hAnsi="Times New Roman" w:eastAsia="宋体" w:cs="Times New Roman"/>
          <w:color w:val="000000" w:themeColor="text1"/>
          <w:kern w:val="2"/>
          <w:szCs w:val="20"/>
          <w14:textFill>
            <w14:solidFill>
              <w14:schemeClr w14:val="tx1"/>
            </w14:solidFill>
          </w14:textFill>
        </w:rPr>
        <w:t>-5点违规未停驶等车辆异常行为，通过车辆告警规则的分类制定，实现对不同类型的疑似行为的分类监测。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（3）不按站点停靠研判分析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要求能结合本项目在高速公路出入口、客运枢纽周边的道路路边布设球机/枪球一体机，捕获经停车辆的信息，包括车辆类型、号牌、颜色等基础信息及车辆行驶、停靠等车辆时间信息；</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对于识别出来的大客车路边违章停车的事件，系统实时生成违法行为预警，预警信息中包括违法时间、违法地点、违法车辆信息、违法行为、违法行为取证图片和视频等关键信息。</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（4）违规上客研判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要求基于智能视频算法，识别大客车违规站外上客行为，24小时智能抓拍，实现自动预警，并生成视频片段。</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对于识别出来的在非上下客地点处，存在乘客违规上客的事件，系统根据前端设备回传内容，实时生成违法行为预警，预警信息中包括违法时间、违法地点、违法车辆信息、违法行为、违法行为取证图片和视频等关键信息。</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（5）违规上客黑点研判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通过GPS数据和大客车的线路数据，能够智能研判和归集大客车非法站外组客点，辅助执法人员开展稽查。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（6）车辆告警研判分析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对疑似非法营运客车告警情况进行研判分析，梳理各疑似车辆预警情况、异常行为类型、预警等级、历史过车具体记录等，管理人员可查看告警的具体信息，并针对预警类型、告警规则进行筛选，认为该疑似车辆存在较高违法可能后，可一键将车辆转入黑名单库进行重点监管，对于因公需要而频繁进出管控区域的车辆可纳入白名单，实现对车辆的过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（7）重点车辆黑名单库管理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接入、梳理各来源的需重点监管的黑名单车辆信息，将相关车辆信息统一纳入重点车辆黑名单库进行管理，支持对黑名单车辆库的导入、手动添加等编辑功能。记录相关信息，支持追溯黑名单车辆基础信息，可查询追溯黑名单车辆一定时间范围内具体卡口过车记录、在地图查看行驶轨迹等，为车辆追踪布控研判提供有力支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（8）非现场审核</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非现场审查嫌疑违法的抓图、关联录像片段、违法地点、历史违法记录、历史报警记录等，通过非现场方式确认违法事实，执法处理违规事件，支持非现场执法审核线索的查询展示。</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lang w:eastAsia="zh-CN"/>
          <w14:textFill>
            <w14:solidFill>
              <w14:schemeClr w14:val="tx1"/>
            </w14:solidFill>
          </w14:textFill>
        </w:rPr>
        <w:t>※</w:t>
      </w:r>
      <w:r>
        <w:rPr>
          <w:rFonts w:hint="eastAsia" w:ascii="Times New Roman" w:hAnsi="Times New Roman" w:eastAsia="宋体" w:cs="Times New Roman"/>
          <w:color w:val="000000" w:themeColor="text1"/>
          <w:kern w:val="2"/>
          <w:szCs w:val="20"/>
          <w14:textFill>
            <w14:solidFill>
              <w14:schemeClr w14:val="tx1"/>
            </w14:solidFill>
          </w14:textFill>
        </w:rPr>
        <w:t>投标人需结合对本项目的理解，1）针对上述“（2）疑似非法营运车辆告警分析模型”的要求，提供疑似非法营运车辆告警分析模型的详细设计；2）投标人需针对上述“（6）车辆告警研判分析”,提供车辆告警研判分析模块的详细设计。</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违法车辆信息推送</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要求将识别的违法大客车相关数据进行梳理归集，联动推送至萧山区“一网统管”平台，并接入“一网统管”相关办件结果，</w:t>
      </w:r>
      <w:r>
        <w:rPr>
          <w:rFonts w:hint="eastAsia" w:ascii="Times New Roman" w:hAnsi="Times New Roman" w:eastAsia="宋体" w:cs="Times New Roman"/>
          <w:color w:val="000000" w:themeColor="text1"/>
          <w:kern w:val="2"/>
          <w:szCs w:val="20"/>
          <w14:textFill>
            <w14:solidFill>
              <w14:schemeClr w14:val="tx1"/>
            </w14:solidFill>
          </w14:textFill>
        </w:rPr>
        <w:t>或通过指挥中心平台以工单形式推送给执法队，经审核录入后期核实处置结果，形成闭环。</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车辆精准布控</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布控策略制定</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针对车辆布控、区域布控两种不同的布控策略，能够设置所需布控的管控区域范围、卡口范围、具体布控站点、高速出入口等布控参数，并设置布控信息推送人联系信息，为后期车辆布控、管控区域布控制定策略基础。</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黑名单车辆轨迹分析研判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能够针对掌握的疑似非法营运客车数据，利用历史采集的卡口数据，在GIS地图绘制疑似车辆的行驶轨迹，并显示车辆具体经过的卡口时间、卡口地点、经过顺序，并能根据历史轨迹信息预测黑名单车辆的未来可能经过的卡口位置、顺序、经过概率等，为车辆定点精准布控提供支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（1）车辆轨迹分析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（2）车辆轨迹绘制</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（3）车辆未来行驶点位预测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（4）车辆未来行驶轨迹预测</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待布控车辆监测推送</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当布控模式开启时，要求实时监测布控区域内卡口过车情况，当卡口系统抓拍到待布控客车，将及时在平台弹出告警信息，待布控黑名单车辆的车辆信息、卡口信息、行驶轨迹、经过站点等数据推送给对应辖区中队执法人员，便于联合公安到系统推荐的疑似非法营运客车的下一个必经路段进行拦截。</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（1）待布控车辆轨迹分析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（2）待布控车辆轨迹绘制</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（3）待布控车辆未来行驶点位预测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（4）待布控车辆未来行驶轨迹预测</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车辆布控核查处置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（1）违法车辆证据管理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能够针对抓拍车辆、卡口研判车辆，将违法车辆相关图片、车辆信息进行汇总管理功能。</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（2）违法车辆证据审核</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要求开发证据审核模块，由管理人员确认证据是否符合执法指引的要求。</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（3）布控车辆信息推送</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将审核后的违法车辆图像证据、高度疑似非法营运车辆名单等违法车辆信息进行汇总，开发相关接口，推送至萧山区一网统管智治中心或通过指挥中心平台以工单形式推送给执法队，经审核录入后期核实处置结果，形成闭环。以及联动推送至“打非移动执法”移动端。</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出行全局研判</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黑名单过车区域排行</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根据设置的萧山区内各街道、各重点场站等区域，分析各区域中黑名单车辆经过总次数、黑名单车辆数，实时展示输出区域黑名单过车次数排行。</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车辆过车次数排行</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对全区车辆卡口过车数据次数进行分析，根据车辆过车次数输出车辆排名，同时展示该车辆是否为白名单、黑名单车，提供一键转入白名单、黑名单功能。</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车辆出行热力图分布</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对全区营运车辆的GPS数据进行分析，通过车辆运行的热力图分布情况，实时查看车辆运行的热点区域，发现不同时间段不同区域的车辆分布特征。</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黑名单过车卡口排行</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全面研判萧山区域内各个卡口抓拍黑名单车辆的抓拍情况，分析输出每个卡口抓拍黑名单车辆总次数、对应的车辆数，对卡口进行过车次数排行。</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（1）黑名单卡口过车排行分析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（2）黑名单卡口过车排行详情下钻</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黑名单过车时间分析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对萧山区域内各个卡口抓拍黑名单车辆的时间进行分析，按照小时、天、月三个时间维度，分析输出对应时间段内黑名单车辆被卡口抓拍的过车数。</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（1）各时段过车情况分析</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（2）各时段过车曲线绘制</w:t>
      </w:r>
    </w:p>
    <w:p>
      <w:pPr>
        <w:keepNext/>
        <w:keepLines/>
        <w:numPr>
          <w:ilvl w:val="3"/>
          <w:numId w:val="3"/>
        </w:numPr>
        <w:tabs>
          <w:tab w:val="left" w:pos="735"/>
        </w:tabs>
        <w:spacing w:before="312" w:beforeLines="100" w:after="156" w:afterLines="50"/>
        <w:outlineLvl w:val="3"/>
        <w:rPr>
          <w:rFonts w:ascii="宋体" w:hAnsi="宋体" w:eastAsia="宋体" w:cs="宋体"/>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打非移动执法</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非法营运车辆预警</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提供浙政钉端查询预警车辆过车记录轨迹的功能，在地图上进行展示；将产生的车辆预警信息，基于浙政钉平台推送给执法人员，支持在推送预警通知信息的过程中，将相关的证据（车牌号、车牌颜色、行驶方向、抓拍图片信息等）发送到相应执法人员的终端上面，为执法人员落实排查提供支撑。</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非法营运车辆追踪</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支持对生成的预警信息进行跟踪，对生成的预警信息点击追踪，展示车辆生成预警卡口等信息。同时提供在移动端对车辆历史行驶轨迹的查询功能，在地图上对历史行驶轨迹进行展示。</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执法音视频管理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将采集站上传的视音频数据文件进行打备注标签，且备注的标签可以快速查找功能；用户记录日常审核平台采集的视音频数据后情况信息支持手动导入视音频文件录入平台做归档及调阅功能，导入数据存入平台挂载的中心存储。</w:t>
      </w:r>
    </w:p>
    <w:p>
      <w:pPr>
        <w:keepNext/>
        <w:keepLines/>
        <w:numPr>
          <w:ilvl w:val="4"/>
          <w:numId w:val="3"/>
        </w:numPr>
        <w:tabs>
          <w:tab w:val="left" w:pos="840"/>
        </w:tabs>
        <w:spacing w:before="312" w:beforeLines="100" w:after="156" w:afterLines="50"/>
        <w:outlineLvl w:val="4"/>
        <w:rPr>
          <w:rFonts w:ascii="Times New Roman" w:hAnsi="Times New Roman" w:eastAsia="宋体" w:cs="Times New Roman"/>
          <w:b/>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
          <w:color w:val="000000" w:themeColor="text1"/>
          <w:kern w:val="2"/>
          <w:sz w:val="24"/>
          <w:szCs w:val="24"/>
          <w:lang w:val="zh-CN" w:eastAsia="zh-CN" w:bidi="ar-SA"/>
          <w14:textFill>
            <w14:solidFill>
              <w14:schemeClr w14:val="tx1"/>
            </w14:solidFill>
          </w14:textFill>
        </w:rPr>
        <w:t>执法稽查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根据预警信息，执法人员落实排查，根据客运车辆电子化检查事项清单，实行逐项检查，逐项录入反馈检查情况，根据线上线下数据比对判断有无异常，并选择后续处理方式。</w:t>
      </w:r>
    </w:p>
    <w:p>
      <w:pPr>
        <w:keepNext/>
        <w:keepLines/>
        <w:numPr>
          <w:ilvl w:val="1"/>
          <w:numId w:val="3"/>
        </w:numPr>
        <w:spacing w:before="312" w:beforeLines="100" w:after="156" w:afterLines="50"/>
        <w:ind w:left="0"/>
        <w:outlineLvl w:val="1"/>
        <w:rPr>
          <w:rFonts w:ascii="宋体" w:hAnsi="宋体" w:eastAsia="宋体" w:cs="宋体"/>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数字交通基础支撑平台</w:t>
      </w:r>
    </w:p>
    <w:p>
      <w:pPr>
        <w:keepNext/>
        <w:keepLines/>
        <w:numPr>
          <w:ilvl w:val="2"/>
          <w:numId w:val="3"/>
        </w:numPr>
        <w:tabs>
          <w:tab w:val="left" w:pos="567"/>
        </w:tabs>
        <w:spacing w:before="312" w:beforeLines="100" w:after="156" w:afterLines="50"/>
        <w:outlineLvl w:val="2"/>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完善交通数据资源中心</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二期项目需进一步完善数据接入种类、数量，为二期平台升级、全面智治赋能。</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数据接入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预留各类数据接口,与相关部门实现数据对接。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（1）数据接入服务</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需接入本项目所需的各部门数据，实现数字赋能萧山区交通运输行业管理全面提升，为交通数字化改革应用场景的建设提供数据和平台支撑。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（2）互联网客流数据接入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需接入场馆周边区域(大小莲花、国博区域不大于30平方公里，下同)每间隔15分钟的实时客流数据。包括分网格的人数，整个区域人员的画像包括性别、年龄、收入等数据标签。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（3）互联网路况数据接入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需接入萧山区内link路段级别的路况服务数据，包含各路段车速、拥堵程度等数据。</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数据更新工程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（1）数据调研</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根据业务模块开发需求，调研数据接入所需部门的数据源、数据种类、更新频率等，结合业务需求，进行后期数据更新录入设计。</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（2）数据梳理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与所需接入的数据源所在主管部门及单位等进行沟通，获取数据资源材料，按设计要求完成数据梳理。</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（3）数据录入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针对需要人工数据录入的模块，按照设计要求，完成各类数据的录入、核对。</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（4）数据定期更新</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按照设计的数据更新时间频率要求，完成数据更新。</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（5）数据集成同步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把系统采集更新、人工手动录入的不同来源、格式、特点性质的数据进行统一集中，从而提供全面的数据服务。</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（6）数据整理归档</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将录入数据按照业务分类进行整理归档并分类，进行长期保存。</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（7）数据链路维护</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检查数据链路畅通情况，发现数据断路时能够检查数据断路原因，进行链路修复。</w:t>
      </w:r>
    </w:p>
    <w:p>
      <w:pPr>
        <w:keepNext/>
        <w:keepLines/>
        <w:numPr>
          <w:ilvl w:val="2"/>
          <w:numId w:val="3"/>
        </w:numPr>
        <w:tabs>
          <w:tab w:val="left" w:pos="567"/>
        </w:tabs>
        <w:spacing w:before="312" w:beforeLines="100" w:after="156" w:afterLines="50"/>
        <w:outlineLvl w:val="2"/>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30"/>
          <w:szCs w:val="30"/>
          <w:lang w:val="zh-CN" w:eastAsia="zh-CN" w:bidi="ar-SA"/>
          <w14:textFill>
            <w14:solidFill>
              <w14:schemeClr w14:val="tx1"/>
            </w14:solidFill>
          </w14:textFill>
        </w:rPr>
        <w:t>完善交通运行监测平台</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在萧山一期项目建设基础上，对运行监测平台UI展示进行升级，并绘制多张“交通一张图”，丰富完善交通运行监测平台，为行业综合治理增能提效。</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全面升级交通运行监测平台UI展示界面，支持以灵活的方式将一张图上展示的数据项目进行位置排列、布局更换，使管理者能够更加快速、便捷地统览关注的交通运行情况、相关数据指标。</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（1）“活动保障一张图</w:t>
      </w:r>
      <w:r>
        <w:rPr>
          <w:rFonts w:ascii="Times New Roman" w:hAnsi="Times New Roman" w:eastAsia="宋体" w:cs="Times New Roman"/>
          <w:color w:val="000000" w:themeColor="text1"/>
          <w:kern w:val="2"/>
          <w:szCs w:val="20"/>
          <w14:textFill>
            <w14:solidFill>
              <w14:schemeClr w14:val="tx1"/>
            </w14:solidFill>
          </w14:textFill>
        </w:rPr>
        <w:t>”</w:t>
      </w:r>
      <w:r>
        <w:rPr>
          <w:rFonts w:hint="eastAsia" w:ascii="Times New Roman" w:hAnsi="Times New Roman" w:eastAsia="宋体" w:cs="Times New Roman"/>
          <w:color w:val="000000" w:themeColor="text1"/>
          <w:kern w:val="2"/>
          <w:szCs w:val="20"/>
          <w14:textFill>
            <w14:solidFill>
              <w14:schemeClr w14:val="tx1"/>
            </w14:solidFill>
          </w14:textFill>
        </w:rPr>
        <w:t>；</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w:t>
      </w:r>
      <w:r>
        <w:rPr>
          <w:rFonts w:ascii="Times New Roman" w:hAnsi="Times New Roman" w:eastAsia="宋体" w:cs="Times New Roman"/>
          <w:color w:val="000000" w:themeColor="text1"/>
          <w:kern w:val="2"/>
          <w:szCs w:val="20"/>
          <w14:textFill>
            <w14:solidFill>
              <w14:schemeClr w14:val="tx1"/>
            </w14:solidFill>
          </w14:textFill>
        </w:rPr>
        <w:t>2</w:t>
      </w:r>
      <w:r>
        <w:rPr>
          <w:rFonts w:hint="eastAsia" w:ascii="Times New Roman" w:hAnsi="Times New Roman" w:eastAsia="宋体" w:cs="Times New Roman"/>
          <w:color w:val="000000" w:themeColor="text1"/>
          <w:kern w:val="2"/>
          <w:szCs w:val="20"/>
          <w14:textFill>
            <w14:solidFill>
              <w14:schemeClr w14:val="tx1"/>
            </w14:solidFill>
          </w14:textFill>
        </w:rPr>
        <w:t>）“防疫转运一张图</w:t>
      </w:r>
      <w:r>
        <w:rPr>
          <w:rFonts w:ascii="Times New Roman" w:hAnsi="Times New Roman" w:eastAsia="宋体" w:cs="Times New Roman"/>
          <w:color w:val="000000" w:themeColor="text1"/>
          <w:kern w:val="2"/>
          <w:szCs w:val="20"/>
          <w14:textFill>
            <w14:solidFill>
              <w14:schemeClr w14:val="tx1"/>
            </w14:solidFill>
          </w14:textFill>
        </w:rPr>
        <w:t>”</w:t>
      </w:r>
      <w:r>
        <w:rPr>
          <w:rFonts w:hint="eastAsia" w:ascii="Times New Roman" w:hAnsi="Times New Roman" w:eastAsia="宋体" w:cs="Times New Roman"/>
          <w:color w:val="000000" w:themeColor="text1"/>
          <w:kern w:val="2"/>
          <w:szCs w:val="20"/>
          <w14:textFill>
            <w14:solidFill>
              <w14:schemeClr w14:val="tx1"/>
            </w14:solidFill>
          </w14:textFill>
        </w:rPr>
        <w:t>；</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w:t>
      </w:r>
      <w:r>
        <w:rPr>
          <w:rFonts w:ascii="Times New Roman" w:hAnsi="Times New Roman" w:eastAsia="宋体" w:cs="Times New Roman"/>
          <w:color w:val="000000" w:themeColor="text1"/>
          <w:kern w:val="2"/>
          <w:szCs w:val="20"/>
          <w14:textFill>
            <w14:solidFill>
              <w14:schemeClr w14:val="tx1"/>
            </w14:solidFill>
          </w14:textFill>
        </w:rPr>
        <w:t>3</w:t>
      </w:r>
      <w:r>
        <w:rPr>
          <w:rFonts w:hint="eastAsia" w:ascii="Times New Roman" w:hAnsi="Times New Roman" w:eastAsia="宋体" w:cs="Times New Roman"/>
          <w:color w:val="000000" w:themeColor="text1"/>
          <w:kern w:val="2"/>
          <w:szCs w:val="20"/>
          <w14:textFill>
            <w14:solidFill>
              <w14:schemeClr w14:val="tx1"/>
            </w14:solidFill>
          </w14:textFill>
        </w:rPr>
        <w:t>）“数字打非一张图</w:t>
      </w:r>
      <w:r>
        <w:rPr>
          <w:rFonts w:ascii="Times New Roman" w:hAnsi="Times New Roman" w:eastAsia="宋体" w:cs="Times New Roman"/>
          <w:color w:val="000000" w:themeColor="text1"/>
          <w:kern w:val="2"/>
          <w:szCs w:val="20"/>
          <w14:textFill>
            <w14:solidFill>
              <w14:schemeClr w14:val="tx1"/>
            </w14:solidFill>
          </w14:textFill>
        </w:rPr>
        <w:t>”</w:t>
      </w:r>
      <w:r>
        <w:rPr>
          <w:rFonts w:hint="eastAsia" w:ascii="Times New Roman" w:hAnsi="Times New Roman" w:eastAsia="宋体" w:cs="Times New Roman"/>
          <w:color w:val="000000" w:themeColor="text1"/>
          <w:kern w:val="2"/>
          <w:szCs w:val="20"/>
          <w14:textFill>
            <w14:solidFill>
              <w14:schemeClr w14:val="tx1"/>
            </w14:solidFill>
          </w14:textFill>
        </w:rPr>
        <w:t>；</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w:t>
      </w:r>
      <w:r>
        <w:rPr>
          <w:rFonts w:ascii="Times New Roman" w:hAnsi="Times New Roman" w:eastAsia="宋体" w:cs="Times New Roman"/>
          <w:color w:val="000000" w:themeColor="text1"/>
          <w:kern w:val="2"/>
          <w:szCs w:val="20"/>
          <w14:textFill>
            <w14:solidFill>
              <w14:schemeClr w14:val="tx1"/>
            </w14:solidFill>
          </w14:textFill>
        </w:rPr>
        <w:t>4</w:t>
      </w:r>
      <w:r>
        <w:rPr>
          <w:rFonts w:hint="eastAsia" w:ascii="Times New Roman" w:hAnsi="Times New Roman" w:eastAsia="宋体" w:cs="Times New Roman"/>
          <w:color w:val="000000" w:themeColor="text1"/>
          <w:kern w:val="2"/>
          <w:szCs w:val="20"/>
          <w14:textFill>
            <w14:solidFill>
              <w14:schemeClr w14:val="tx1"/>
            </w14:solidFill>
          </w14:textFill>
        </w:rPr>
        <w:t>）“非现治超一张图</w:t>
      </w:r>
      <w:r>
        <w:rPr>
          <w:rFonts w:ascii="Times New Roman" w:hAnsi="Times New Roman" w:eastAsia="宋体" w:cs="Times New Roman"/>
          <w:color w:val="000000" w:themeColor="text1"/>
          <w:kern w:val="2"/>
          <w:szCs w:val="20"/>
          <w14:textFill>
            <w14:solidFill>
              <w14:schemeClr w14:val="tx1"/>
            </w14:solidFill>
          </w14:textFill>
        </w:rPr>
        <w:t>”</w:t>
      </w:r>
      <w:r>
        <w:rPr>
          <w:rFonts w:hint="eastAsia" w:ascii="Times New Roman" w:hAnsi="Times New Roman" w:eastAsia="宋体" w:cs="Times New Roman"/>
          <w:color w:val="000000" w:themeColor="text1"/>
          <w:kern w:val="2"/>
          <w:szCs w:val="20"/>
          <w14:textFill>
            <w14:solidFill>
              <w14:schemeClr w14:val="tx1"/>
            </w14:solidFill>
          </w14:textFill>
        </w:rPr>
        <w:t>。</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※投标人需根据对本项目的理解，</w:t>
      </w:r>
      <w:r>
        <w:rPr>
          <w:rFonts w:hint="eastAsia" w:ascii="Times New Roman" w:hAnsi="Times New Roman" w:eastAsia="宋体" w:cs="Times New Roman"/>
          <w:color w:val="000000" w:themeColor="text1"/>
          <w:kern w:val="2"/>
          <w:szCs w:val="20"/>
          <w14:textFill>
            <w14:solidFill>
              <w14:schemeClr w14:val="tx1"/>
            </w14:solidFill>
          </w14:textFill>
        </w:rPr>
        <w:t>1）提供</w:t>
      </w:r>
      <w:r>
        <w:rPr>
          <w:rFonts w:hint="eastAsia" w:ascii="Times New Roman" w:hAnsi="Times New Roman" w:eastAsia="宋体" w:cs="Times New Roman"/>
          <w:color w:val="000000" w:themeColor="text1"/>
          <w:kern w:val="2"/>
          <w:szCs w:val="20"/>
          <w:lang w:val="zh-CN"/>
          <w14:textFill>
            <w14:solidFill>
              <w14:schemeClr w14:val="tx1"/>
            </w14:solidFill>
          </w14:textFill>
        </w:rPr>
        <w:t>本项目的数据库表详细设计，包括防疫转运主题表设计、数字打非主题表设计、大型活动主题表设计、应急指挥主题表设计等；</w:t>
      </w:r>
      <w:r>
        <w:rPr>
          <w:rFonts w:hint="eastAsia" w:ascii="Times New Roman" w:hAnsi="Times New Roman" w:eastAsia="宋体" w:cs="Times New Roman"/>
          <w:color w:val="000000" w:themeColor="text1"/>
          <w:kern w:val="2"/>
          <w:szCs w:val="20"/>
          <w14:textFill>
            <w14:solidFill>
              <w14:schemeClr w14:val="tx1"/>
            </w14:solidFill>
          </w14:textFill>
        </w:rPr>
        <w:t>2）提供上述一张图的展示内容及展示指标项的设计。</w:t>
      </w:r>
    </w:p>
    <w:p>
      <w:pPr>
        <w:keepNext/>
        <w:keepLines/>
        <w:numPr>
          <w:ilvl w:val="2"/>
          <w:numId w:val="3"/>
        </w:numPr>
        <w:tabs>
          <w:tab w:val="left" w:pos="567"/>
        </w:tabs>
        <w:spacing w:before="312" w:beforeLines="100" w:after="156" w:afterLines="50"/>
        <w:outlineLvl w:val="2"/>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数字化改革门户对接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需按照数字化改革要求，将一期已建平台进行升级改造，并将本期项目相关应用场景、界面同步对接至浙政钉、浙里办两门户；数据资源目录对接至城市大脑萧山平台。</w:t>
      </w:r>
    </w:p>
    <w:p>
      <w:pPr>
        <w:keepNext/>
        <w:keepLines/>
        <w:numPr>
          <w:ilvl w:val="2"/>
          <w:numId w:val="3"/>
        </w:numPr>
        <w:tabs>
          <w:tab w:val="left" w:pos="567"/>
        </w:tabs>
        <w:spacing w:before="312" w:beforeLines="100" w:after="156" w:afterLines="50"/>
        <w:outlineLvl w:val="2"/>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应急指挥系统升级改造</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应急指挥装备数据接入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需接入交通运输系统的执法和应急抢险等相关装备的视频、定位等数据信息，将相关设备的实时动态情况及相关指标进行实时展示。</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应急指挥可视化大屏升级</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14:textFill>
            <w14:solidFill>
              <w14:schemeClr w14:val="tx1"/>
            </w14:solidFill>
          </w14:textFill>
        </w:rPr>
        <w:t>要求</w:t>
      </w:r>
      <w:r>
        <w:rPr>
          <w:rFonts w:hint="eastAsia" w:ascii="Times New Roman" w:hAnsi="Times New Roman" w:eastAsia="宋体" w:cs="Times New Roman"/>
          <w:color w:val="000000" w:themeColor="text1"/>
          <w:kern w:val="2"/>
          <w:szCs w:val="20"/>
          <w:lang w:val="zh-CN"/>
          <w14:textFill>
            <w14:solidFill>
              <w14:schemeClr w14:val="tx1"/>
            </w14:solidFill>
          </w14:textFill>
        </w:rPr>
        <w:t>对现有应急指挥可视化大屏进行升级改造，接入易积水点位、非法站外组客等本次新建的外场感知设备数据，并能在应急指挥可视化大屏，基于GIS地图对相关视频图像进行实时预览。可选取日常重点关注的视频点位，在大屏进行固定展示；在拖动电子地图时，实现对当前界面可预览的视频点位的同步刷新、点选查看。支持对所需展示的固定视频点位及所有视频点位进行选取、编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接入萧山区AI视频解析平台对本项目易积水外场点位的视频图像分析告警信息，如AI视频解析平台回传提示有道路积水告警时，将预警信息在应急指挥大屏进行展示，并推送告警信息至相应的公路养护部门人员。</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接入台风、雷电、暴雨等异常天气告警信息，在大屏进行实时滚动展示；接入应急指挥移动执法设备，在大屏端实现对相关设备资源的调度、对移动端应急任务派发、处置、反馈情况的实时查看，赋能移动应急指挥。</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移动端应急事件上报、派发</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应急事件发生时，现场人员可通过移动端进行事件上报、权限内的任务转单派发，相关事件操作能够与中心端应急指挥平台进行实时互通，实现第一时间便捷启动应急事件。</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移动端现场签到、事件处置</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应急处置人员提供到应急事件点500米范围内签到处理的功能。能够通过应急指挥移动端，进入相应的应急事件处置任务，通过上传文字、照片、视频等方式进行相关材料回传、现场情况汇报，应急指挥中心平台将同步展示现场汇报情况。</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移动端应急力量实时查看</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为应急人员提供移动端查看应急任务的相关人员位置、应急资源位置等信息的功能，点击应急资源位置，显示该位置上的所有应急资源信息，包括可用情况、数量等，能够联动中心端，进行相应应急力量的调度。</w:t>
      </w:r>
    </w:p>
    <w:p>
      <w:pPr>
        <w:keepNext/>
        <w:keepLines/>
        <w:numPr>
          <w:ilvl w:val="3"/>
          <w:numId w:val="3"/>
        </w:numPr>
        <w:tabs>
          <w:tab w:val="left" w:pos="735"/>
        </w:tabs>
        <w:spacing w:before="312" w:beforeLines="100" w:after="156" w:afterLines="50"/>
        <w:outlineLvl w:val="3"/>
        <w:rPr>
          <w:rFonts w:ascii="Times New Roman" w:hAnsi="Times New Roman" w:eastAsia="Times New Roman" w:cs="Times New Roman"/>
          <w:b/>
          <w:bCs/>
          <w:color w:val="000000" w:themeColor="text1"/>
          <w:kern w:val="2"/>
          <w:sz w:val="28"/>
          <w:szCs w:val="28"/>
          <w:lang w:val="zh-CN" w:eastAsia="zh-CN" w:bidi="ar-SA"/>
          <w14:textFill>
            <w14:solidFill>
              <w14:schemeClr w14:val="tx1"/>
            </w14:solidFill>
          </w14:textFill>
        </w:rPr>
      </w:pPr>
      <w:r>
        <w:rPr>
          <w:rFonts w:hint="eastAsia" w:ascii="宋体" w:hAnsi="宋体" w:eastAsia="宋体" w:cs="宋体"/>
          <w:b/>
          <w:bCs/>
          <w:color w:val="000000" w:themeColor="text1"/>
          <w:kern w:val="2"/>
          <w:sz w:val="28"/>
          <w:szCs w:val="28"/>
          <w:lang w:val="zh-CN" w:eastAsia="zh-CN" w:bidi="ar-SA"/>
          <w14:textFill>
            <w14:solidFill>
              <w14:schemeClr w14:val="tx1"/>
            </w14:solidFill>
          </w14:textFill>
        </w:rPr>
        <w:t>移动端应急事件完结反馈</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为应急人员在应急任务处置完成后，提供移动端上传应急事件损失情况、救援人员、队伍调度情况、设备及物资的消耗情况的功能，实现对应急事件的处置总结。</w:t>
      </w:r>
    </w:p>
    <w:p>
      <w:pPr>
        <w:keepNext/>
        <w:keepLines/>
        <w:numPr>
          <w:ilvl w:val="1"/>
          <w:numId w:val="3"/>
        </w:numPr>
        <w:spacing w:before="312" w:beforeLines="100" w:after="156" w:afterLines="50"/>
        <w:ind w:left="0"/>
        <w:outlineLvl w:val="1"/>
        <w:rPr>
          <w:rFonts w:ascii="Times New Roman" w:hAnsi="Times New Roman" w:eastAsia="宋体" w:cs="Times New Roman"/>
          <w:b/>
          <w:bCs/>
          <w:color w:val="000000" w:themeColor="text1"/>
          <w:kern w:val="2"/>
          <w:sz w:val="32"/>
          <w:szCs w:val="32"/>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32"/>
          <w:szCs w:val="32"/>
          <w:lang w:val="zh-CN" w:eastAsia="zh-CN" w:bidi="ar-SA"/>
          <w14:textFill>
            <w14:solidFill>
              <w14:schemeClr w14:val="tx1"/>
            </w14:solidFill>
          </w14:textFill>
        </w:rPr>
        <w:t>与其他系统间的接口及数据交互</w:t>
      </w:r>
    </w:p>
    <w:p>
      <w:pPr>
        <w:keepNext/>
        <w:keepLines/>
        <w:numPr>
          <w:ilvl w:val="2"/>
          <w:numId w:val="3"/>
        </w:numPr>
        <w:tabs>
          <w:tab w:val="left" w:pos="567"/>
        </w:tabs>
        <w:spacing w:before="312" w:beforeLines="100" w:after="156" w:afterLines="50"/>
        <w:outlineLvl w:val="2"/>
        <w:rPr>
          <w:rFonts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与萧山城市大脑平台对接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萧山区综合交通信息指挥中心二期项目需与区政府城市大脑·萧山平台完成对接，实现萧山区交通数据资源在城市大脑·萧山平台数据中心资源库的接入、处理、建库、交换与共享，同时，利用萧山区一体化智能化公共数据平台提供计算资源、存储资源、网络资源和信息化安全资源，节省智慧交通数据中心相关设备建设和维护成本，并加快建设进度。</w:t>
      </w:r>
    </w:p>
    <w:p>
      <w:pPr>
        <w:keepNext/>
        <w:keepLines/>
        <w:numPr>
          <w:ilvl w:val="2"/>
          <w:numId w:val="3"/>
        </w:numPr>
        <w:tabs>
          <w:tab w:val="left" w:pos="567"/>
        </w:tabs>
        <w:spacing w:before="312" w:beforeLines="100" w:after="156" w:afterLines="50"/>
        <w:outlineLvl w:val="2"/>
        <w:rPr>
          <w:rFonts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复用萧山一体化智能化公共平台组件</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※投标人须根据对本次项目的理解，1）详细阐述本项目与城市大脑·萧山平台的对接设计；2）详细阐述本项目对萧山区一体化智能化公共平台组件的复用设计，包括对接内容、对接方式、对接系统等。</w:t>
      </w:r>
    </w:p>
    <w:p>
      <w:pPr>
        <w:keepNext/>
        <w:keepLines/>
        <w:numPr>
          <w:ilvl w:val="2"/>
          <w:numId w:val="3"/>
        </w:numPr>
        <w:tabs>
          <w:tab w:val="left" w:pos="567"/>
        </w:tabs>
        <w:spacing w:before="312" w:beforeLines="100" w:after="156" w:afterLines="50"/>
        <w:outlineLvl w:val="2"/>
        <w:rPr>
          <w:rFonts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复用</w:t>
      </w:r>
      <w:r>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t>“</w:t>
      </w: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时空一张图</w:t>
      </w:r>
      <w:r>
        <w:rPr>
          <w:rFonts w:ascii="Times New Roman" w:hAnsi="Times New Roman" w:eastAsia="Times New Roman" w:cs="Times New Roman"/>
          <w:b/>
          <w:bCs/>
          <w:color w:val="000000" w:themeColor="text1"/>
          <w:kern w:val="2"/>
          <w:sz w:val="30"/>
          <w:szCs w:val="30"/>
          <w:lang w:val="zh-CN" w:eastAsia="zh-CN" w:bidi="ar-SA"/>
          <w14:textFill>
            <w14:solidFill>
              <w14:schemeClr w14:val="tx1"/>
            </w14:solidFill>
          </w14:textFill>
        </w:rPr>
        <w:t>”</w:t>
      </w: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工具</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需遵循萧山时空一张图框架要求，复用“萧山时空一张图”工具，将本次新建视频点位上图；将非现场治超执法点位上图；将防疫转运隔离酒店、车辆等要素上图，形成视频资源点位图层。</w:t>
      </w:r>
    </w:p>
    <w:p>
      <w:pPr>
        <w:keepNext/>
        <w:keepLines/>
        <w:numPr>
          <w:ilvl w:val="2"/>
          <w:numId w:val="3"/>
        </w:numPr>
        <w:tabs>
          <w:tab w:val="left" w:pos="567"/>
        </w:tabs>
        <w:spacing w:before="312" w:beforeLines="100" w:after="156" w:afterLines="50"/>
        <w:outlineLvl w:val="2"/>
        <w:rPr>
          <w:rFonts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与市交通局对接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本期项目产生的数据资源，需通过与市交通局进行对接。</w:t>
      </w:r>
    </w:p>
    <w:p>
      <w:pPr>
        <w:keepNext/>
        <w:keepLines/>
        <w:numPr>
          <w:ilvl w:val="2"/>
          <w:numId w:val="3"/>
        </w:numPr>
        <w:tabs>
          <w:tab w:val="left" w:pos="567"/>
        </w:tabs>
        <w:spacing w:before="312" w:beforeLines="100" w:after="156" w:afterLines="50"/>
        <w:outlineLvl w:val="2"/>
        <w:rPr>
          <w:rFonts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与本次项目外场设备对接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需对接本项目建设的现有视频监控信息，能够查询、播放、回放现有视频监控。</w:t>
      </w:r>
    </w:p>
    <w:p>
      <w:pPr>
        <w:keepNext/>
        <w:keepLines/>
        <w:numPr>
          <w:ilvl w:val="2"/>
          <w:numId w:val="3"/>
        </w:numPr>
        <w:tabs>
          <w:tab w:val="left" w:pos="567"/>
        </w:tabs>
        <w:spacing w:before="312" w:beforeLines="100" w:after="156" w:afterLines="50"/>
        <w:outlineLvl w:val="2"/>
        <w:rPr>
          <w:rFonts w:ascii="宋体" w:hAnsi="宋体" w:eastAsia="宋体" w:cs="宋体"/>
          <w:b/>
          <w:bCs/>
          <w:color w:val="000000" w:themeColor="text1"/>
          <w:kern w:val="2"/>
          <w:sz w:val="30"/>
          <w:szCs w:val="30"/>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本次项目外场设备数据与区视频共享平台对接</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要求将本项目建设的视频监控相关数据对接至萧山区视频共享平台。</w:t>
      </w:r>
    </w:p>
    <w:p>
      <w:pPr>
        <w:keepNext/>
        <w:keepLines/>
        <w:numPr>
          <w:ilvl w:val="1"/>
          <w:numId w:val="3"/>
        </w:numPr>
        <w:spacing w:before="312" w:beforeLines="100" w:after="156" w:afterLines="50"/>
        <w:ind w:left="0"/>
        <w:outlineLvl w:val="1"/>
        <w:rPr>
          <w:rFonts w:ascii="Times New Roman" w:hAnsi="Times New Roman" w:eastAsia="宋体" w:cs="Times New Roman"/>
          <w:b/>
          <w:bCs/>
          <w:color w:val="000000" w:themeColor="text1"/>
          <w:kern w:val="2"/>
          <w:sz w:val="32"/>
          <w:szCs w:val="32"/>
          <w:lang w:val="zh-CN"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32"/>
          <w:szCs w:val="32"/>
          <w:lang w:val="zh-CN" w:eastAsia="zh-CN" w:bidi="ar-SA"/>
          <w14:textFill>
            <w14:solidFill>
              <w14:schemeClr w14:val="tx1"/>
            </w14:solidFill>
          </w14:textFill>
        </w:rPr>
        <w:t>信息化基础设施升级改造建设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对信息化基础设施进一步升级改造。主要包括新增防火墙、视频接入交换机、设备接入交换机、NVR及数字化智能工位等设备设施，支撑萧山区交通运输信息化建设，为指挥中心的运行提供硬件设施基础。具体设备详见采购清单-信息化基础设施升级改造建设清单。</w:t>
      </w:r>
    </w:p>
    <w:p>
      <w:pPr>
        <w:keepNext/>
        <w:keepLines/>
        <w:numPr>
          <w:ilvl w:val="1"/>
          <w:numId w:val="3"/>
        </w:numPr>
        <w:spacing w:before="312" w:beforeLines="100" w:after="156" w:afterLines="50"/>
        <w:ind w:left="0"/>
        <w:outlineLvl w:val="1"/>
        <w:rPr>
          <w:rFonts w:ascii="Times New Roman" w:hAnsi="Times New Roman"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物联感知外场建设</w:t>
      </w:r>
    </w:p>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r>
        <w:rPr>
          <w:rFonts w:hint="eastAsia" w:ascii="Times New Roman" w:hAnsi="Times New Roman" w:eastAsia="宋体" w:cs="Times New Roman"/>
          <w:color w:val="000000" w:themeColor="text1"/>
          <w:kern w:val="2"/>
          <w:szCs w:val="20"/>
          <w:lang w:val="zh-CN"/>
          <w14:textFill>
            <w14:solidFill>
              <w14:schemeClr w14:val="tx1"/>
            </w14:solidFill>
          </w14:textFill>
        </w:rPr>
        <w:t>本项目建设中涉及到物联感知设备，后期均需将按规范接入区物联感知系统。通过高清球机、非法组客治理球机、人员分析相机等外场感知设备的建设，实现外场视频监控等非现场技术手段，进一步加强对重点营运车辆、两客车辆等的动态监管，以及提升对大型活动客流疏散调度保障能力。具体设备详见采购清单-物联感知外场建设清单。</w:t>
      </w:r>
    </w:p>
    <w:p>
      <w:pPr>
        <w:widowControl/>
        <w:spacing w:after="0" w:line="240" w:lineRule="auto"/>
        <w:ind w:firstLine="0" w:firstLineChars="0"/>
        <w:jc w:val="left"/>
        <w:rPr>
          <w:rFonts w:ascii="Times New Roman" w:hAnsi="Times New Roman" w:eastAsia="宋体" w:cs="Times New Roman"/>
          <w:color w:val="000000" w:themeColor="text1"/>
          <w:kern w:val="2"/>
          <w:szCs w:val="20"/>
          <w:lang w:val="zh-CN"/>
          <w14:textFill>
            <w14:solidFill>
              <w14:schemeClr w14:val="tx1"/>
            </w14:solidFill>
          </w14:textFill>
        </w:rPr>
      </w:pPr>
      <w:r>
        <w:rPr>
          <w:rFonts w:ascii="Times New Roman" w:hAnsi="Times New Roman" w:eastAsia="宋体" w:cs="Times New Roman"/>
          <w:color w:val="000000" w:themeColor="text1"/>
          <w:kern w:val="2"/>
          <w:szCs w:val="20"/>
          <w:lang w:val="zh-CN"/>
          <w14:textFill>
            <w14:solidFill>
              <w14:schemeClr w14:val="tx1"/>
            </w14:solidFill>
          </w14:textFill>
        </w:rPr>
        <w:br w:type="page"/>
      </w:r>
    </w:p>
    <w:p>
      <w:pPr>
        <w:keepNext/>
        <w:keepLines/>
        <w:widowControl w:val="0"/>
        <w:numPr>
          <w:ilvl w:val="0"/>
          <w:numId w:val="3"/>
        </w:numPr>
        <w:tabs>
          <w:tab w:val="left" w:pos="0"/>
        </w:tabs>
        <w:spacing w:before="312" w:beforeLines="100" w:after="156" w:afterLines="50" w:line="360" w:lineRule="auto"/>
        <w:ind w:firstLine="200" w:firstLineChars="0"/>
        <w:jc w:val="left"/>
        <w:outlineLvl w:val="0"/>
        <w:rPr>
          <w:rFonts w:ascii="宋体" w:hAnsi="宋体" w:eastAsia="宋体" w:cs="Times New Roman"/>
          <w:b/>
          <w:bCs w:val="0"/>
          <w:color w:val="000000" w:themeColor="text1"/>
          <w:kern w:val="44"/>
          <w:sz w:val="32"/>
          <w:szCs w:val="44"/>
          <w:lang w:val="zh-CN" w:eastAsia="zh-CN" w:bidi="ar-SA"/>
          <w14:textFill>
            <w14:solidFill>
              <w14:schemeClr w14:val="tx1"/>
            </w14:solidFill>
          </w14:textFill>
        </w:rPr>
      </w:pPr>
      <w:r>
        <w:rPr>
          <w:rFonts w:hint="eastAsia" w:ascii="宋体" w:hAnsi="宋体" w:eastAsia="宋体" w:cs="Times New Roman"/>
          <w:b/>
          <w:bCs w:val="0"/>
          <w:color w:val="000000" w:themeColor="text1"/>
          <w:kern w:val="44"/>
          <w:sz w:val="32"/>
          <w:szCs w:val="44"/>
          <w:lang w:val="zh-CN" w:eastAsia="zh-CN" w:bidi="ar-SA"/>
          <w14:textFill>
            <w14:solidFill>
              <w14:schemeClr w14:val="tx1"/>
            </w14:solidFill>
          </w14:textFill>
        </w:rPr>
        <w:t>采购清单</w:t>
      </w:r>
    </w:p>
    <w:p>
      <w:pPr>
        <w:keepNext/>
        <w:keepLines/>
        <w:numPr>
          <w:ilvl w:val="1"/>
          <w:numId w:val="3"/>
        </w:numPr>
        <w:spacing w:before="312" w:beforeLines="100" w:after="156" w:afterLines="50"/>
        <w:ind w:left="0"/>
        <w:outlineLvl w:val="1"/>
        <w:rPr>
          <w:rFonts w:ascii="宋体" w:hAnsi="宋体" w:eastAsia="宋体" w:cs="宋体"/>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软件清单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020"/>
        <w:gridCol w:w="1559"/>
        <w:gridCol w:w="4159"/>
        <w:gridCol w:w="489"/>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noWrap/>
            <w:vAlign w:val="center"/>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2579" w:type="dxa"/>
            <w:gridSpan w:val="2"/>
            <w:noWrap/>
            <w:vAlign w:val="center"/>
          </w:tcPr>
          <w:p>
            <w:pPr>
              <w:widowControl/>
              <w:spacing w:after="0" w:line="276" w:lineRule="auto"/>
              <w:ind w:firstLine="0" w:firstLineChars="0"/>
              <w:jc w:val="both"/>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项目名称</w:t>
            </w:r>
          </w:p>
        </w:tc>
        <w:tc>
          <w:tcPr>
            <w:tcW w:w="4159" w:type="dxa"/>
            <w:noWrap/>
          </w:tcPr>
          <w:p>
            <w:pPr>
              <w:widowControl/>
              <w:spacing w:after="0" w:line="276" w:lineRule="auto"/>
              <w:ind w:firstLine="0" w:firstLineChars="0"/>
              <w:jc w:val="left"/>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功能描述</w:t>
            </w:r>
          </w:p>
        </w:tc>
        <w:tc>
          <w:tcPr>
            <w:tcW w:w="489" w:type="dxa"/>
            <w:noWrap/>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w:t>
            </w:r>
          </w:p>
        </w:tc>
        <w:tc>
          <w:tcPr>
            <w:tcW w:w="534" w:type="dxa"/>
            <w:noWrap/>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6" w:type="dxa"/>
            <w:gridSpan w:val="6"/>
            <w:noWrap/>
            <w:vAlign w:val="center"/>
          </w:tcPr>
          <w:p>
            <w:pPr>
              <w:widowControl/>
              <w:spacing w:after="0" w:line="276" w:lineRule="auto"/>
              <w:ind w:firstLine="0" w:firstLineChars="0"/>
              <w:jc w:val="both"/>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1、数字化改革场景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restart"/>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1020" w:type="dxa"/>
            <w:vMerge w:val="restart"/>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大型活动期间交通数字化组织保障</w:t>
            </w: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大型活动出行"早保障"</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交通运输行业底数梳理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大型活动场景要素管理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交通运输隐患排查整治</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运力调度基础信息梳理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交通出行评估模型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大型活动态势“全掌握”</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场馆周边交通动态分析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客流动态分析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交通态势专题监测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交通态势异常告警</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公共出行运力调度</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区域交通管控</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大型活动复盘“再升级”</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大型活动归档信息梳理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大型活动管控效果评价</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事后专题分析报表</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大型活动畅行萧山</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微信端服务同步迁移</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活动期间信息梳理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交通管制信息发布</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信访投诉接入梳理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咨询问题热力分析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热点问题问答固化</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多维出行信息整合</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出行信息多端推送</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restart"/>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1020"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交通转运“疫安行”</w:t>
            </w: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防疫转运一屏统览</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转运车辆动态指标分析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转运车辆动态轨迹绘制</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转运车辆实时视频接入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被转运隔离人员动态指标分析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大规模转运车队关联</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转运司机动态指标分析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转运企业动态指标分析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隔离酒店动态指标分析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防疫基础信息梳理</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防疫人员信息梳理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隔离酒店信息梳理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转运企业信息梳理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转运车辆信息梳理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转运司机信息梳理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疫情防控精准转运</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车辆派发调度建议模型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司机派发建议调度模型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转运要素管理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转运任务单管理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隔离转运单全程流转</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其它转运单全程流转</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规模转运单全程流转</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转运任务线上追踪</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转运任务完结</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疫情转运监测告警</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xml:space="preserve">企业接单异常监测模型 </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司机接单异常监测模型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任务执行时长监测模型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转运任务执行时长告警</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企业接单超期告警</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司机接单超期告警</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防疫转运浙政钉端</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转运任务单新增</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转运信息填报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转运任务派发</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转运任务追踪</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转运任务办结</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转运任务单接收</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转运任务执行回传</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转运任务完结</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司机接单提醒</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防疫信息研判分析</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防疫信息融合研判模型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转运任务分析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转运车辆分析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转运司机分析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转运运输企业分析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被转运人员隔离情况分析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restart"/>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1020"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非法营运靶向数治</w:t>
            </w: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两客在线云诊</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非法上客行为识别</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违法两客车辆研判</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违法车辆信息推送</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车辆精准布控</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布控策略制定</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黑名单车辆轨迹研判分析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待布控车辆监测推送</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车辆布控核查处置</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出行全局研判</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黑名单过车区域排行</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车辆过车次数排行</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车辆出行热力图分布</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黑名单过车卡口排行</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黑名单过车时间分析</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打非移动执法</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非法营运车辆预警</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非法营运车辆追踪</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执法音视频管理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执法稽查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6" w:type="dxa"/>
            <w:gridSpan w:val="6"/>
            <w:noWrap/>
            <w:vAlign w:val="center"/>
          </w:tcPr>
          <w:p>
            <w:pPr>
              <w:widowControl/>
              <w:spacing w:after="0" w:line="276" w:lineRule="auto"/>
              <w:ind w:firstLine="0" w:firstLineChars="0"/>
              <w:jc w:val="both"/>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2、完善基础平台建设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restart"/>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1020"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完善数据枢纽</w:t>
            </w: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数据接入</w:t>
            </w:r>
          </w:p>
        </w:tc>
        <w:tc>
          <w:tcPr>
            <w:tcW w:w="4159"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数据接入服务</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互联网客流数据接入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互联网路况数据接入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数据更新工程</w:t>
            </w: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数据调研</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数据梳理</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数据录入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数据定期更新</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数据集成同步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数据整理归档</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1559"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4159" w:type="dxa"/>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数据链路维护</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restart"/>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1020"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完善交通运行监测平台</w:t>
            </w: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防疫转运一张图</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数字打非一张图</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活动保障一张图</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非现治超一张图</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UI升级</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6738" w:type="dxa"/>
            <w:gridSpan w:val="3"/>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数字化改革门户对接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restart"/>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1020" w:type="dxa"/>
            <w:vMerge w:val="restart"/>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应急指挥系统升级改造</w:t>
            </w: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应急指挥装备数据接入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应急指挥可视化大屏升级</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移动端应急事件上报、派发</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移动端现场签到、事件处置</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移动端应急力量实时查看</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Merge w:val="continue"/>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p>
        </w:tc>
        <w:tc>
          <w:tcPr>
            <w:tcW w:w="1020" w:type="dxa"/>
            <w:vMerge w:val="continue"/>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p>
        </w:tc>
        <w:tc>
          <w:tcPr>
            <w:tcW w:w="5718" w:type="dxa"/>
            <w:gridSpan w:val="2"/>
            <w:noWrap/>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移动端应急事件完结反馈</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6" w:type="dxa"/>
            <w:gridSpan w:val="6"/>
            <w:vAlign w:val="center"/>
          </w:tcPr>
          <w:p>
            <w:pPr>
              <w:widowControl/>
              <w:spacing w:after="0" w:line="276" w:lineRule="auto"/>
              <w:ind w:firstLine="0" w:firstLineChars="0"/>
              <w:jc w:val="both"/>
              <w:rPr>
                <w:rFonts w:ascii="宋体" w:hAnsi="宋体" w:eastAsia="宋体" w:cs="宋体"/>
                <w:b/>
                <w:bCs/>
                <w:color w:val="000000" w:themeColor="text1"/>
                <w:kern w:val="0"/>
                <w:sz w:val="22"/>
                <w:szCs w:val="22"/>
                <w14:textFill>
                  <w14:solidFill>
                    <w14:schemeClr w14:val="tx1"/>
                  </w14:solidFill>
                </w14:textFill>
              </w:rPr>
            </w:pPr>
            <w:r>
              <w:rPr>
                <w:rFonts w:ascii="宋体" w:hAnsi="宋体" w:eastAsia="宋体" w:cs="宋体"/>
                <w:b/>
                <w:bCs/>
                <w:color w:val="000000" w:themeColor="text1"/>
                <w:kern w:val="0"/>
                <w:sz w:val="22"/>
                <w:szCs w:val="22"/>
                <w14:textFill>
                  <w14:solidFill>
                    <w14:schemeClr w14:val="tx1"/>
                  </w14:solidFill>
                </w14:textFill>
              </w:rPr>
              <w:t>3</w:t>
            </w:r>
            <w:r>
              <w:rPr>
                <w:rFonts w:hint="eastAsia" w:ascii="宋体" w:hAnsi="宋体" w:eastAsia="宋体" w:cs="宋体"/>
                <w:b/>
                <w:bCs/>
                <w:color w:val="000000" w:themeColor="text1"/>
                <w:kern w:val="0"/>
                <w:sz w:val="22"/>
                <w:szCs w:val="22"/>
                <w14:textFill>
                  <w14:solidFill>
                    <w14:schemeClr w14:val="tx1"/>
                  </w14:solidFill>
                </w14:textFill>
              </w:rPr>
              <w:t>、与其他系统间的接口及数据交互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6738" w:type="dxa"/>
            <w:gridSpan w:val="3"/>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与萧山区城市大脑平台对接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6738" w:type="dxa"/>
            <w:gridSpan w:val="3"/>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复用萧山区一体化智能化公共平台组件</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6738" w:type="dxa"/>
            <w:gridSpan w:val="3"/>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复用“时空一张图”工具</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6738" w:type="dxa"/>
            <w:gridSpan w:val="3"/>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与市交通运输局对接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5</w:t>
            </w:r>
          </w:p>
        </w:tc>
        <w:tc>
          <w:tcPr>
            <w:tcW w:w="6738" w:type="dxa"/>
            <w:gridSpan w:val="3"/>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与本次项目外场设备对接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5" w:type="dxa"/>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6738" w:type="dxa"/>
            <w:gridSpan w:val="3"/>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本次项目外场设备数据与区视频共享平台对接</w:t>
            </w:r>
          </w:p>
        </w:tc>
        <w:tc>
          <w:tcPr>
            <w:tcW w:w="489"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534" w:type="dxa"/>
            <w:noWrap/>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w:t>
            </w:r>
          </w:p>
        </w:tc>
      </w:tr>
    </w:tbl>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p>
    <w:p>
      <w:pPr>
        <w:keepNext/>
        <w:keepLines/>
        <w:numPr>
          <w:ilvl w:val="1"/>
          <w:numId w:val="3"/>
        </w:numPr>
        <w:spacing w:before="312" w:beforeLines="100" w:after="156" w:afterLines="50"/>
        <w:ind w:left="0"/>
        <w:outlineLvl w:val="1"/>
        <w:rPr>
          <w:rFonts w:ascii="Times New Roman" w:hAnsi="Times New Roman"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信息化基础设施升级改造建设清单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5244"/>
        <w:gridCol w:w="70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b/>
                <w:bCs/>
                <w:color w:val="000000" w:themeColor="text1"/>
                <w:kern w:val="2"/>
                <w:sz w:val="22"/>
                <w:szCs w:val="22"/>
                <w14:textFill>
                  <w14:solidFill>
                    <w14:schemeClr w14:val="tx1"/>
                  </w14:solidFill>
                </w14:textFill>
              </w:rPr>
            </w:pPr>
            <w:r>
              <w:rPr>
                <w:rFonts w:hint="eastAsia" w:ascii="Times New Roman" w:hAnsi="Times New Roman" w:eastAsia="宋体" w:cs="Times New Roman"/>
                <w:b/>
                <w:bCs/>
                <w:color w:val="000000" w:themeColor="text1"/>
                <w:kern w:val="2"/>
                <w:sz w:val="22"/>
                <w:szCs w:val="22"/>
                <w14:textFill>
                  <w14:solidFill>
                    <w14:schemeClr w14:val="tx1"/>
                  </w14:solidFill>
                </w14:textFill>
              </w:rPr>
              <w:t>序号</w:t>
            </w:r>
          </w:p>
        </w:tc>
        <w:tc>
          <w:tcPr>
            <w:tcW w:w="851" w:type="dxa"/>
            <w:noWrap/>
            <w:vAlign w:val="center"/>
          </w:tcPr>
          <w:p>
            <w:pPr>
              <w:widowControl w:val="0"/>
              <w:spacing w:after="0" w:line="276" w:lineRule="auto"/>
              <w:ind w:firstLine="0" w:firstLineChars="0"/>
              <w:jc w:val="center"/>
              <w:rPr>
                <w:rFonts w:ascii="Times New Roman" w:hAnsi="Times New Roman" w:eastAsia="宋体" w:cs="Times New Roman"/>
                <w:b/>
                <w:bCs/>
                <w:color w:val="000000" w:themeColor="text1"/>
                <w:kern w:val="2"/>
                <w:sz w:val="22"/>
                <w:szCs w:val="22"/>
                <w14:textFill>
                  <w14:solidFill>
                    <w14:schemeClr w14:val="tx1"/>
                  </w14:solidFill>
                </w14:textFill>
              </w:rPr>
            </w:pPr>
            <w:r>
              <w:rPr>
                <w:rFonts w:hint="eastAsia" w:ascii="Times New Roman" w:hAnsi="Times New Roman" w:eastAsia="宋体" w:cs="Times New Roman"/>
                <w:b/>
                <w:bCs/>
                <w:color w:val="000000" w:themeColor="text1"/>
                <w:kern w:val="2"/>
                <w:sz w:val="22"/>
                <w:szCs w:val="22"/>
                <w14:textFill>
                  <w14:solidFill>
                    <w14:schemeClr w14:val="tx1"/>
                  </w14:solidFill>
                </w14:textFill>
              </w:rPr>
              <w:t>名称</w:t>
            </w:r>
          </w:p>
        </w:tc>
        <w:tc>
          <w:tcPr>
            <w:tcW w:w="5244" w:type="dxa"/>
            <w:vAlign w:val="center"/>
          </w:tcPr>
          <w:p>
            <w:pPr>
              <w:widowControl w:val="0"/>
              <w:spacing w:after="0" w:line="276" w:lineRule="auto"/>
              <w:ind w:firstLine="0" w:firstLineChars="0"/>
              <w:jc w:val="both"/>
              <w:rPr>
                <w:rFonts w:ascii="Times New Roman" w:hAnsi="Times New Roman" w:eastAsia="宋体" w:cs="Times New Roman"/>
                <w:b/>
                <w:bCs/>
                <w:color w:val="000000" w:themeColor="text1"/>
                <w:kern w:val="2"/>
                <w:sz w:val="22"/>
                <w:szCs w:val="22"/>
                <w14:textFill>
                  <w14:solidFill>
                    <w14:schemeClr w14:val="tx1"/>
                  </w14:solidFill>
                </w14:textFill>
              </w:rPr>
            </w:pPr>
            <w:r>
              <w:rPr>
                <w:rFonts w:hint="eastAsia" w:ascii="Times New Roman" w:hAnsi="Times New Roman" w:eastAsia="宋体" w:cs="Times New Roman"/>
                <w:b/>
                <w:bCs/>
                <w:color w:val="000000" w:themeColor="text1"/>
                <w:kern w:val="2"/>
                <w:sz w:val="22"/>
                <w:szCs w:val="22"/>
                <w14:textFill>
                  <w14:solidFill>
                    <w14:schemeClr w14:val="tx1"/>
                  </w14:solidFill>
                </w14:textFill>
              </w:rPr>
              <w:t>参数</w:t>
            </w:r>
          </w:p>
        </w:tc>
        <w:tc>
          <w:tcPr>
            <w:tcW w:w="709" w:type="dxa"/>
            <w:noWrap/>
            <w:vAlign w:val="center"/>
          </w:tcPr>
          <w:p>
            <w:pPr>
              <w:widowControl w:val="0"/>
              <w:spacing w:after="0" w:line="276" w:lineRule="auto"/>
              <w:ind w:firstLine="0" w:firstLineChars="0"/>
              <w:jc w:val="center"/>
              <w:rPr>
                <w:rFonts w:ascii="Times New Roman" w:hAnsi="Times New Roman" w:eastAsia="宋体" w:cs="Times New Roman"/>
                <w:b/>
                <w:bCs/>
                <w:color w:val="000000" w:themeColor="text1"/>
                <w:kern w:val="2"/>
                <w:sz w:val="22"/>
                <w:szCs w:val="22"/>
                <w14:textFill>
                  <w14:solidFill>
                    <w14:schemeClr w14:val="tx1"/>
                  </w14:solidFill>
                </w14:textFill>
              </w:rPr>
            </w:pPr>
            <w:r>
              <w:rPr>
                <w:rFonts w:hint="eastAsia" w:ascii="Times New Roman" w:hAnsi="Times New Roman" w:eastAsia="宋体" w:cs="Times New Roman"/>
                <w:b/>
                <w:bCs/>
                <w:color w:val="000000" w:themeColor="text1"/>
                <w:kern w:val="2"/>
                <w:sz w:val="22"/>
                <w:szCs w:val="22"/>
                <w14:textFill>
                  <w14:solidFill>
                    <w14:schemeClr w14:val="tx1"/>
                  </w14:solidFill>
                </w14:textFill>
              </w:rPr>
              <w:t>数量</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b/>
                <w:bCs/>
                <w:color w:val="000000" w:themeColor="text1"/>
                <w:kern w:val="2"/>
                <w:sz w:val="22"/>
                <w:szCs w:val="22"/>
                <w14:textFill>
                  <w14:solidFill>
                    <w14:schemeClr w14:val="tx1"/>
                  </w14:solidFill>
                </w14:textFill>
              </w:rPr>
            </w:pPr>
            <w:r>
              <w:rPr>
                <w:rFonts w:hint="eastAsia" w:ascii="Times New Roman" w:hAnsi="Times New Roman" w:eastAsia="宋体" w:cs="Times New Roman"/>
                <w:b/>
                <w:bCs/>
                <w:color w:val="000000" w:themeColor="text1"/>
                <w:kern w:val="2"/>
                <w:sz w:val="22"/>
                <w:szCs w:val="22"/>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1</w:t>
            </w:r>
          </w:p>
        </w:tc>
        <w:tc>
          <w:tcPr>
            <w:tcW w:w="851"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数字化智能工位1</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集成工位操作台、座椅及数字化智能办公设施</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尺寸：W7200*D800*H1015</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台面、侧面采用25mm厚的三聚氰胺板，表面平整</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主框架采用2.0mm厚度的SPCC冷扎钢板，</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控制台内设有短捷顺畅的线缆管理系统，且电源、讯号线分开管理，</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抽拉式静音滑轮键盘托盆，导轨采用不锈钢材质，</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头枕、椅背、椅座均为优质网布；黑色进口新料</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尼龙加纤维塑胶头背座框架及椅脚；PP腰枕，PU扶手垫；进口85mm气压棒,65mmPU滑轮。头枕可高度及角度可调；一杆式多段锁定底盘，人性化后仰弹力调整；椅背可高低调整,自动弹性腰枕；座垫可高低调整，2D扶手可高低升降，扶手面旋转角度，静音滑轮。</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CPU:主频不低于2.5GHz，核心数不低于8；</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内存：不少于16G</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硬盘：固态256G+机械1T 7200rpm SATA 3.5英寸</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显卡：独立4G或以上</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显示器：49英寸 带鱼屏32:9高宽比 1800R曲率</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主板：ATX主板</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电源：500W以上</w:t>
            </w:r>
          </w:p>
        </w:tc>
        <w:tc>
          <w:tcPr>
            <w:tcW w:w="709"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5</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2</w:t>
            </w:r>
          </w:p>
        </w:tc>
        <w:tc>
          <w:tcPr>
            <w:tcW w:w="851"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数字化智能工位2</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集成工位操作台、座椅及数字化智能办公设施</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尺寸：W7200*D800*H1015</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台面、侧面采用25mm厚的三聚氰胺板，表面平整</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主框架采用2.0mm厚度的SPCC冷扎钢板，控制台内设有短捷顺畅的线缆管理系统，且电源、讯号线分开管理，抽拉式静音滑轮键盘托盆，导轨采用不锈钢材质，头枕、椅背、椅座均为优质网布；黑色进口新料</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尼龙加纤维塑胶头背座框架及椅脚； PP腰枕，PU扶手垫；进口85mm气压棒,65mmPU滑轮。头枕可高度及角度可调；一杆式多段锁定底盘，人性化后仰弹力调整；椅背可高低调整,自动弹性腰枕；座垫可高低调整，2D扶手可高低升降，扶手面旋转角度，静音滑轮。</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CPU:主频不低于2.5GHz，核心数不低于8；</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内存：不少于16G</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硬盘：固态256G+机械1T 7200rpm SATA 3.5英寸</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显卡：独立12G或以上</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 xml:space="preserve">显示器：49英寸 带鱼屏32:9高宽比 1800R曲率          </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主板：ATX主板</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电源：500W以上</w:t>
            </w:r>
          </w:p>
        </w:tc>
        <w:tc>
          <w:tcPr>
            <w:tcW w:w="709"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1</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3</w:t>
            </w:r>
          </w:p>
        </w:tc>
        <w:tc>
          <w:tcPr>
            <w:tcW w:w="851"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设备接入交换机</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包转发率：108Mpps；交换容量：336Gbps；端口：24个10/100/1000Base-T以太网端口，4个万兆SFP+；</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MAC特性：支持MAC地址自动学习和老化、支持静态、动态、黑洞MAC表项、支持源MAC地址过滤；</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VLAN特性：支持4K个VLAN、支持Guest VLAN、Voice VLAN</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支持GVRP协议、支持MUX VLAN功能、支持基于MAC/协议/IP子网/策、端口的VLAN、支持1:1和N:1 VLAN Mapping功能；IP路由 静态路由、RIP、RIPng协议；</w:t>
            </w:r>
          </w:p>
        </w:tc>
        <w:tc>
          <w:tcPr>
            <w:tcW w:w="709"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2</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4</w:t>
            </w:r>
          </w:p>
        </w:tc>
        <w:tc>
          <w:tcPr>
            <w:tcW w:w="851"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视频接入交换机</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包转发率：264Mpps；交换容量：758Gbps；</w:t>
            </w:r>
          </w:p>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端口：48个10/100/1000BASE-T以太网端口，4个万兆SFP+；VxLAN特性：支持VxLAN二层网关、三层网关、支持集中式网关，分布式网关、支持BGP-EVPN、支持通过Netconf进行配置；</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无线业务：支持管理1K AP、支持AP接入控制、AP域管理和AP配置模板管理、支持射频管理、统一静态配置和集中动态管理、支持WLAN基本业务、QoS、安全和用户管理、支持CAPWAP、Tag/终端定位、频谱分析；SVF极简运维：支持作为Parent管理接入交换机和AP、支持2层AS架构、支持与第三方厂商混合组网管理；</w:t>
            </w:r>
          </w:p>
        </w:tc>
        <w:tc>
          <w:tcPr>
            <w:tcW w:w="709"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1</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5</w:t>
            </w:r>
          </w:p>
        </w:tc>
        <w:tc>
          <w:tcPr>
            <w:tcW w:w="851"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千兆光纤模块</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千兆光模块</w:t>
            </w:r>
          </w:p>
        </w:tc>
        <w:tc>
          <w:tcPr>
            <w:tcW w:w="709"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6</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6</w:t>
            </w:r>
          </w:p>
        </w:tc>
        <w:tc>
          <w:tcPr>
            <w:tcW w:w="851"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防火墙</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2U上架设备，双冗余电源；64G SSD；</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配备10个千兆电口，6个SFP插槽，4个万兆SFP+插槽，1个接口扩展插槽；</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吞吐量20Gbps，应用层吞吐量5.5Gbps，800万并发连接，15万条新建链接/秒；</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具有网络适配、网络管理、网络访问控制、链路负载均衡、视频安全防护、会话管理、IPSEC VPN、抗拒绝服务管理、主动防御、流量控制、认证安全、统计报表。</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提供三年免费软件维护升级服务，三年硬件维修服务。</w:t>
            </w:r>
          </w:p>
        </w:tc>
        <w:tc>
          <w:tcPr>
            <w:tcW w:w="709"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1</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7</w:t>
            </w:r>
          </w:p>
        </w:tc>
        <w:tc>
          <w:tcPr>
            <w:tcW w:w="851"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NVR</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3U标准机架式</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2个HDMI，2个VGA,HDMI+VGA组内同源</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16盘位，配置不少于8个8T硬盘</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2个千兆网口</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2个USB2.0接口、1个USB3.0接口</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1个eSATA接口</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报警IO：16进8出</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支持RAID0、1、5、10，支持全局热备盘</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软件性能：</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输入带宽：320M</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64路H.264、H.265混合接入</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最大支持16×1080P解码</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支持H.265、H.264解码</w:t>
            </w:r>
            <w:r>
              <w:rPr>
                <w:rFonts w:hint="eastAsia" w:ascii="Times New Roman" w:hAnsi="Times New Roman" w:eastAsia="宋体" w:cs="Times New Roman"/>
                <w:color w:val="000000" w:themeColor="text1"/>
                <w:kern w:val="2"/>
                <w:sz w:val="22"/>
                <w:szCs w:val="22"/>
                <w14:textFill>
                  <w14:solidFill>
                    <w14:schemeClr w14:val="tx1"/>
                  </w14:solidFill>
                </w14:textFill>
              </w:rPr>
              <w:br w:type="textWrapping"/>
            </w:r>
            <w:r>
              <w:rPr>
                <w:rFonts w:hint="eastAsia" w:ascii="Times New Roman" w:hAnsi="Times New Roman" w:eastAsia="宋体" w:cs="Times New Roman"/>
                <w:color w:val="000000" w:themeColor="text1"/>
                <w:kern w:val="2"/>
                <w:sz w:val="22"/>
                <w:szCs w:val="22"/>
                <w14:textFill>
                  <w14:solidFill>
                    <w14:schemeClr w14:val="tx1"/>
                  </w14:solidFill>
                </w14:textFill>
              </w:rPr>
              <w:t>Smart 2.0/整机热备/ANR/智能检索/智能回放/车牌检索/人脸检索/热度图/客流量统计/分时段回放/超高倍速回放/双系统备份</w:t>
            </w:r>
          </w:p>
        </w:tc>
        <w:tc>
          <w:tcPr>
            <w:tcW w:w="709"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1</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8</w:t>
            </w:r>
          </w:p>
        </w:tc>
        <w:tc>
          <w:tcPr>
            <w:tcW w:w="851"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应急指挥智能终端1</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支持部署应急指挥移动端系统，与应急指挥平台中心端进行无缝对接，实现任务派发上报、消息互联互通、现场情况资料回传等功能。5G全网通；</w:t>
            </w:r>
          </w:p>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运行内存不少于8G；</w:t>
            </w:r>
          </w:p>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机身内存不少于256GB；CPU8核；双卡双待；</w:t>
            </w:r>
          </w:p>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GPS：支持 GPS (L1 + L5 双频) / AGPS / GLONASS/ 北斗 (B1I + B1C + B2a 三频) / GALILEO (E1 + E5a 双频) / QZSS (L1 + L5 双频) / NavIC</w:t>
            </w:r>
          </w:p>
        </w:tc>
        <w:tc>
          <w:tcPr>
            <w:tcW w:w="709"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6</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9</w:t>
            </w:r>
          </w:p>
        </w:tc>
        <w:tc>
          <w:tcPr>
            <w:tcW w:w="851"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应急指挥智能终端2</w:t>
            </w:r>
          </w:p>
        </w:tc>
        <w:tc>
          <w:tcPr>
            <w:tcW w:w="5244" w:type="dxa"/>
            <w:vAlign w:val="center"/>
          </w:tcPr>
          <w:p>
            <w:pPr>
              <w:widowControl w:val="0"/>
              <w:spacing w:after="0" w:line="276" w:lineRule="auto"/>
              <w:ind w:firstLine="0" w:firstLineChars="0"/>
              <w:jc w:val="both"/>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支持部署应急指挥移动端系统，与应急指挥平台中心端进行无缝对接，实现任务派发上报、消息互联互通、现场情况资料查看等功能。运行内存不少于8G；机身内存不少于256GB；CPU:不少于8核，超大核主频不低于2.84GHz，AI性能不低于26TOPS；屏幕不小于11英寸;电池容量不少于8000mAh;Wi-Fi工作频段:2.4GHz&amp;5GHz。含手写笔一支、磁吸键盘一副。</w:t>
            </w:r>
          </w:p>
        </w:tc>
        <w:tc>
          <w:tcPr>
            <w:tcW w:w="709" w:type="dxa"/>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4</w:t>
            </w:r>
          </w:p>
        </w:tc>
        <w:tc>
          <w:tcPr>
            <w:tcW w:w="788" w:type="dxa"/>
            <w:noWrap/>
            <w:vAlign w:val="center"/>
          </w:tcPr>
          <w:p>
            <w:pPr>
              <w:widowControl w:val="0"/>
              <w:spacing w:after="0" w:line="276" w:lineRule="auto"/>
              <w:ind w:firstLine="0" w:firstLineChars="0"/>
              <w:jc w:val="center"/>
              <w:rPr>
                <w:rFonts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color w:val="000000" w:themeColor="text1"/>
                <w:kern w:val="2"/>
                <w:sz w:val="22"/>
                <w:szCs w:val="22"/>
                <w14:textFill>
                  <w14:solidFill>
                    <w14:schemeClr w14:val="tx1"/>
                  </w14:solidFill>
                </w14:textFill>
              </w:rPr>
              <w:t>套</w:t>
            </w:r>
          </w:p>
        </w:tc>
      </w:tr>
    </w:tbl>
    <w:p>
      <w:pPr>
        <w:widowControl w:val="0"/>
        <w:spacing w:after="0" w:line="360" w:lineRule="auto"/>
        <w:ind w:firstLine="480" w:firstLineChars="200"/>
        <w:jc w:val="both"/>
        <w:rPr>
          <w:rFonts w:ascii="Times New Roman" w:hAnsi="Times New Roman" w:eastAsia="宋体" w:cs="Times New Roman"/>
          <w:color w:val="000000" w:themeColor="text1"/>
          <w:kern w:val="2"/>
          <w:szCs w:val="20"/>
          <w14:textFill>
            <w14:solidFill>
              <w14:schemeClr w14:val="tx1"/>
            </w14:solidFill>
          </w14:textFill>
        </w:rPr>
      </w:pPr>
    </w:p>
    <w:p>
      <w:pPr>
        <w:keepNext/>
        <w:keepLines/>
        <w:numPr>
          <w:ilvl w:val="1"/>
          <w:numId w:val="3"/>
        </w:numPr>
        <w:spacing w:before="312" w:beforeLines="100" w:after="156" w:afterLines="50"/>
        <w:ind w:left="0"/>
        <w:outlineLvl w:val="1"/>
        <w:rPr>
          <w:rFonts w:ascii="Times New Roman" w:hAnsi="Times New Roman"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物联感知外场建设清单</w:t>
      </w:r>
    </w:p>
    <w:tbl>
      <w:tblPr>
        <w:tblStyle w:val="25"/>
        <w:tblW w:w="0" w:type="auto"/>
        <w:tblInd w:w="0" w:type="dxa"/>
        <w:tblLayout w:type="autofit"/>
        <w:tblCellMar>
          <w:top w:w="0" w:type="dxa"/>
          <w:left w:w="108" w:type="dxa"/>
          <w:bottom w:w="0" w:type="dxa"/>
          <w:right w:w="108" w:type="dxa"/>
        </w:tblCellMar>
      </w:tblPr>
      <w:tblGrid>
        <w:gridCol w:w="437"/>
        <w:gridCol w:w="834"/>
        <w:gridCol w:w="4820"/>
        <w:gridCol w:w="850"/>
        <w:gridCol w:w="711"/>
        <w:gridCol w:w="644"/>
      </w:tblGrid>
      <w:tr>
        <w:tblPrEx>
          <w:tblCellMar>
            <w:top w:w="0" w:type="dxa"/>
            <w:left w:w="108" w:type="dxa"/>
            <w:bottom w:w="0" w:type="dxa"/>
            <w:right w:w="108" w:type="dxa"/>
          </w:tblCellMar>
        </w:tblPrEx>
        <w:trPr>
          <w:trHeight w:val="20"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83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名称</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spacing w:after="0" w:line="276" w:lineRule="auto"/>
              <w:ind w:firstLine="0" w:firstLineChars="0"/>
              <w:jc w:val="both"/>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参数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单位</w:t>
            </w:r>
          </w:p>
        </w:tc>
        <w:tc>
          <w:tcPr>
            <w:tcW w:w="644" w:type="dxa"/>
            <w:tcBorders>
              <w:top w:val="single" w:color="auto" w:sz="4" w:space="0"/>
              <w:left w:val="nil"/>
              <w:bottom w:val="single" w:color="auto" w:sz="4" w:space="0"/>
              <w:right w:val="single" w:color="auto" w:sz="4" w:space="0"/>
            </w:tcBorders>
            <w:vAlign w:val="center"/>
          </w:tcPr>
          <w:p>
            <w:pPr>
              <w:widowControl/>
              <w:spacing w:after="0" w:line="276" w:lineRule="auto"/>
              <w:ind w:firstLine="0" w:firstLineChars="0"/>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2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83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高清球机</w:t>
            </w:r>
          </w:p>
        </w:tc>
        <w:tc>
          <w:tcPr>
            <w:tcW w:w="4820" w:type="dxa"/>
            <w:tcBorders>
              <w:top w:val="nil"/>
              <w:left w:val="nil"/>
              <w:bottom w:val="single" w:color="auto" w:sz="4" w:space="0"/>
              <w:right w:val="single" w:color="auto" w:sz="4" w:space="0"/>
            </w:tcBorders>
            <w:shd w:val="clear" w:color="auto" w:fill="auto"/>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支持区域入侵侦测，越界侦测，进入区域侦测和离开区域侦等智能侦测并联动跟踪</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传感器类型: 1/2.8＂progressive scan CMOS</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最低照度: 彩色：0.005 Lux @（F1.6，AGC ON）；黑白：0.001 Lux @（F1.6，AGC ON）；0 Lux with IR</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宽动态: 120 dB超宽动态</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焦距: 4.8 mm~110 mm，23倍光学变倍 ，视场角: 57.6°~2.7°（广角~望远）</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主码流帧率分辨率: 50 Hz：25 fps（1920 × 1080）; 60 Hz：30 fps（1920 × 1080）</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视频压缩标准: H.265，H.264，MJPEG</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网络存储: NAS（NFS，SMB/CIFS）</w:t>
            </w:r>
          </w:p>
        </w:tc>
        <w:tc>
          <w:tcPr>
            <w:tcW w:w="850" w:type="dxa"/>
            <w:tcBorders>
              <w:top w:val="nil"/>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38</w:t>
            </w:r>
          </w:p>
        </w:tc>
        <w:tc>
          <w:tcPr>
            <w:tcW w:w="711" w:type="dxa"/>
            <w:tcBorders>
              <w:top w:val="nil"/>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套</w:t>
            </w:r>
          </w:p>
        </w:tc>
        <w:tc>
          <w:tcPr>
            <w:tcW w:w="644" w:type="dxa"/>
            <w:tcBorders>
              <w:top w:val="nil"/>
              <w:left w:val="nil"/>
              <w:bottom w:val="single" w:color="auto" w:sz="4" w:space="0"/>
              <w:right w:val="single" w:color="auto" w:sz="4" w:space="0"/>
            </w:tcBorders>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租赁三年</w:t>
            </w:r>
          </w:p>
        </w:tc>
      </w:tr>
      <w:tr>
        <w:tblPrEx>
          <w:tblCellMar>
            <w:top w:w="0" w:type="dxa"/>
            <w:left w:w="108" w:type="dxa"/>
            <w:bottom w:w="0" w:type="dxa"/>
            <w:right w:w="108" w:type="dxa"/>
          </w:tblCellMar>
        </w:tblPrEx>
        <w:trPr>
          <w:trHeight w:val="2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834"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非法组客治理球机</w:t>
            </w:r>
          </w:p>
        </w:tc>
        <w:tc>
          <w:tcPr>
            <w:tcW w:w="4820" w:type="dxa"/>
            <w:tcBorders>
              <w:top w:val="nil"/>
              <w:left w:val="nil"/>
              <w:bottom w:val="single" w:color="auto" w:sz="4" w:space="0"/>
              <w:right w:val="single" w:color="auto" w:sz="4" w:space="0"/>
            </w:tcBorders>
            <w:shd w:val="clear" w:color="auto" w:fill="auto"/>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标准版 400万+400万交通枪球一体机，采用一体化设计，由2镜头相机与2颗高性能GPU模块组成，聚合多种专为复杂场景设计的深度学习算法，实现违章取证抓拍、交通事件检测、交通数据采集、车辆检测多种智能功能，并支持车辆全结构化枪机和球机通道同时支持违章取证、交通事件检测、交通数据采集、车辆检测功能，且两个通道可同时开启</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a）违章取证：球机通道支持违停、逆行、压线、变道、机占非、掉头六种违章事件检测；枪机通道支持逆行、压线、变道、机占非、掉头五种违章事件检测</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b）交通事件检测：球机通道支持抛洒物检测、行人检测、拥堵检测、路障检测、施工检测、交通事故检测、浓雾检测；枪机通道支持抛洒物检测、行人检测、停车检测、拥堵检测、路障检测、施工检测、交通事故检测、浓雾检测</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c）交通数据采集：支持车流量、车道平均速度、车头时距、车头间距、车道时间占有率、车道空间占有率信息采集</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车辆检测：支持过车抓拍，进行牌识，并对车辆进行全结构化分析球机通道</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 xml:space="preserve">主码流帧率分辨率: 50Hz: 25fps（2560×1440）；60Hz: 30fps（2560×1440）   </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视频压缩标准: H.265,H.264,MJPEG</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网络存储: NAS (NFS, SMB/ CIFS), ANR</w:t>
            </w:r>
          </w:p>
        </w:tc>
        <w:tc>
          <w:tcPr>
            <w:tcW w:w="850" w:type="dxa"/>
            <w:tcBorders>
              <w:top w:val="nil"/>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9</w:t>
            </w:r>
          </w:p>
        </w:tc>
        <w:tc>
          <w:tcPr>
            <w:tcW w:w="711" w:type="dxa"/>
            <w:tcBorders>
              <w:top w:val="nil"/>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套</w:t>
            </w:r>
          </w:p>
        </w:tc>
        <w:tc>
          <w:tcPr>
            <w:tcW w:w="644" w:type="dxa"/>
            <w:tcBorders>
              <w:top w:val="nil"/>
              <w:left w:val="nil"/>
              <w:bottom w:val="single" w:color="auto" w:sz="4" w:space="0"/>
              <w:right w:val="single" w:color="auto" w:sz="4" w:space="0"/>
            </w:tcBorders>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租赁三年</w:t>
            </w:r>
          </w:p>
        </w:tc>
      </w:tr>
      <w:tr>
        <w:tblPrEx>
          <w:tblCellMar>
            <w:top w:w="0" w:type="dxa"/>
            <w:left w:w="108" w:type="dxa"/>
            <w:bottom w:w="0" w:type="dxa"/>
            <w:right w:w="108" w:type="dxa"/>
          </w:tblCellMar>
        </w:tblPrEx>
        <w:trPr>
          <w:trHeight w:val="2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834" w:type="dxa"/>
            <w:tcBorders>
              <w:top w:val="single" w:color="auto" w:sz="4" w:space="0"/>
              <w:left w:val="nil"/>
              <w:bottom w:val="single" w:color="auto" w:sz="4" w:space="0"/>
              <w:right w:val="single" w:color="000000" w:sz="4" w:space="0"/>
            </w:tcBorders>
            <w:shd w:val="clear" w:color="auto" w:fill="auto"/>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智能人员统计网络摄像机</w:t>
            </w:r>
          </w:p>
        </w:tc>
        <w:tc>
          <w:tcPr>
            <w:tcW w:w="4820" w:type="dxa"/>
            <w:tcBorders>
              <w:top w:val="nil"/>
              <w:left w:val="nil"/>
              <w:bottom w:val="single" w:color="auto" w:sz="4" w:space="0"/>
              <w:right w:val="single" w:color="auto" w:sz="4" w:space="0"/>
            </w:tcBorders>
            <w:shd w:val="clear" w:color="auto" w:fill="auto"/>
            <w:vAlign w:val="center"/>
          </w:tcPr>
          <w:p>
            <w:pPr>
              <w:widowControl/>
              <w:spacing w:after="0" w:line="276" w:lineRule="auto"/>
              <w:ind w:firstLine="0" w:firstLineChars="0"/>
              <w:jc w:val="both"/>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以海量图片及视频资源为路基，实现对客流统计、区域关注度、人员密度等功能的准确统计。</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传感器类型 1/1.8" Progressive Scan CMOS</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最低照度 彩色：0.0005 Lux @（F1.2，AGC ON），0 Lux with Light；黑白：0.0001 Lux @（F1.2，AGC ON），0 Lux with IR</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宽动态 120 dB</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焦距＆视场角 2.8~12 mm：99.6°~39.8°，垂直视场角：52.3°~22.4°，对角视场角：119.9°~45.7°</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聚焦方式 自动、半自动、手动</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光圈类型 DC驱动</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最大光圈数 F1.2</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图像相关：支持2560 × 1440 @30 fps实时帧率，图像更流畅；支持透雾，并具有多种白平衡模式，适合各种场景需求</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系统功能：支持开放型网络视频接口、ISAPI、GB/T28181、E-HOME和ISUP协议接入；支持同时20路取流；内置MicroSD/MicroSDHC/MicroSDXC插槽，最大支持256 GB；支持10 M/100 M自适应网口；</w:t>
            </w:r>
          </w:p>
        </w:tc>
        <w:tc>
          <w:tcPr>
            <w:tcW w:w="850" w:type="dxa"/>
            <w:tcBorders>
              <w:top w:val="nil"/>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711" w:type="dxa"/>
            <w:tcBorders>
              <w:top w:val="nil"/>
              <w:left w:val="nil"/>
              <w:bottom w:val="single" w:color="auto" w:sz="4" w:space="0"/>
              <w:right w:val="single" w:color="auto" w:sz="4" w:space="0"/>
            </w:tcBorders>
            <w:shd w:val="clear" w:color="auto" w:fill="auto"/>
            <w:noWrap/>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套</w:t>
            </w:r>
          </w:p>
        </w:tc>
        <w:tc>
          <w:tcPr>
            <w:tcW w:w="644" w:type="dxa"/>
            <w:tcBorders>
              <w:top w:val="nil"/>
              <w:left w:val="nil"/>
              <w:bottom w:val="single" w:color="auto" w:sz="4" w:space="0"/>
              <w:right w:val="single" w:color="auto" w:sz="4" w:space="0"/>
            </w:tcBorders>
            <w:vAlign w:val="center"/>
          </w:tcPr>
          <w:p>
            <w:pPr>
              <w:widowControl/>
              <w:spacing w:after="0" w:line="276" w:lineRule="auto"/>
              <w:ind w:firstLine="0" w:firstLineChars="0"/>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租赁三年</w:t>
            </w:r>
          </w:p>
        </w:tc>
      </w:tr>
    </w:tbl>
    <w:p>
      <w:pPr>
        <w:keepNext/>
        <w:keepLines/>
        <w:numPr>
          <w:ilvl w:val="1"/>
          <w:numId w:val="3"/>
        </w:numPr>
        <w:spacing w:before="312" w:beforeLines="100" w:after="156" w:afterLines="50"/>
        <w:ind w:left="0"/>
        <w:outlineLvl w:val="1"/>
        <w:rPr>
          <w:rFonts w:ascii="宋体" w:hAnsi="宋体" w:eastAsia="宋体" w:cs="宋体"/>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第三方软件测评需求清单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5"/>
        <w:gridCol w:w="4791"/>
        <w:gridCol w:w="72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序号</w:t>
            </w:r>
          </w:p>
        </w:tc>
        <w:tc>
          <w:tcPr>
            <w:tcW w:w="768"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项目名称</w:t>
            </w:r>
          </w:p>
        </w:tc>
        <w:tc>
          <w:tcPr>
            <w:tcW w:w="2820"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参数</w:t>
            </w:r>
          </w:p>
        </w:tc>
        <w:tc>
          <w:tcPr>
            <w:tcW w:w="427"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单位</w:t>
            </w:r>
          </w:p>
        </w:tc>
        <w:tc>
          <w:tcPr>
            <w:tcW w:w="560"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1</w:t>
            </w:r>
          </w:p>
        </w:tc>
        <w:tc>
          <w:tcPr>
            <w:tcW w:w="768"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第三方软件评测</w:t>
            </w:r>
          </w:p>
        </w:tc>
        <w:tc>
          <w:tcPr>
            <w:tcW w:w="2820"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检测项目：软件质量要求（功能性、可靠性、易用性、性能效率、信息安全性）、接地安全</w:t>
            </w:r>
          </w:p>
        </w:tc>
        <w:tc>
          <w:tcPr>
            <w:tcW w:w="42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项</w:t>
            </w:r>
          </w:p>
        </w:tc>
        <w:tc>
          <w:tcPr>
            <w:tcW w:w="560"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1</w:t>
            </w:r>
          </w:p>
        </w:tc>
      </w:tr>
    </w:tbl>
    <w:p>
      <w:pPr>
        <w:keepNext/>
        <w:keepLines/>
        <w:numPr>
          <w:ilvl w:val="1"/>
          <w:numId w:val="3"/>
        </w:numPr>
        <w:spacing w:before="312" w:beforeLines="100" w:after="156" w:afterLines="50"/>
        <w:ind w:left="0"/>
        <w:outlineLvl w:val="1"/>
        <w:rPr>
          <w:rFonts w:ascii="宋体" w:hAnsi="宋体" w:eastAsia="宋体" w:cs="宋体"/>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二级等保测评需求清单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731"/>
        <w:gridCol w:w="4208"/>
        <w:gridCol w:w="726"/>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7"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序号</w:t>
            </w:r>
          </w:p>
        </w:tc>
        <w:tc>
          <w:tcPr>
            <w:tcW w:w="1019"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项目名称</w:t>
            </w:r>
          </w:p>
        </w:tc>
        <w:tc>
          <w:tcPr>
            <w:tcW w:w="2477"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参数</w:t>
            </w:r>
          </w:p>
        </w:tc>
        <w:tc>
          <w:tcPr>
            <w:tcW w:w="427"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单位</w:t>
            </w:r>
          </w:p>
        </w:tc>
        <w:tc>
          <w:tcPr>
            <w:tcW w:w="560"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1</w:t>
            </w:r>
          </w:p>
        </w:tc>
        <w:tc>
          <w:tcPr>
            <w:tcW w:w="1019"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二级等保测评</w:t>
            </w:r>
          </w:p>
        </w:tc>
        <w:tc>
          <w:tcPr>
            <w:tcW w:w="247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需提供一次二级等保测评</w:t>
            </w:r>
          </w:p>
        </w:tc>
        <w:tc>
          <w:tcPr>
            <w:tcW w:w="42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项</w:t>
            </w:r>
          </w:p>
        </w:tc>
        <w:tc>
          <w:tcPr>
            <w:tcW w:w="560"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1</w:t>
            </w:r>
          </w:p>
        </w:tc>
      </w:tr>
    </w:tbl>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p>
    <w:p>
      <w:pPr>
        <w:keepNext/>
        <w:keepLines/>
        <w:numPr>
          <w:ilvl w:val="1"/>
          <w:numId w:val="3"/>
        </w:numPr>
        <w:spacing w:before="312" w:beforeLines="100" w:after="156" w:afterLines="50"/>
        <w:ind w:left="0"/>
        <w:outlineLvl w:val="1"/>
        <w:rPr>
          <w:rFonts w:ascii="宋体" w:hAnsi="宋体" w:eastAsia="宋体" w:cs="宋体"/>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项目建设其他需求清单</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25"/>
        <w:gridCol w:w="4514"/>
        <w:gridCol w:w="726"/>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序号</w:t>
            </w:r>
          </w:p>
        </w:tc>
        <w:tc>
          <w:tcPr>
            <w:tcW w:w="839"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项目名称</w:t>
            </w:r>
          </w:p>
        </w:tc>
        <w:tc>
          <w:tcPr>
            <w:tcW w:w="2657"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参数</w:t>
            </w:r>
          </w:p>
        </w:tc>
        <w:tc>
          <w:tcPr>
            <w:tcW w:w="427"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单位</w:t>
            </w:r>
          </w:p>
        </w:tc>
        <w:tc>
          <w:tcPr>
            <w:tcW w:w="560" w:type="pct"/>
            <w:vAlign w:val="center"/>
          </w:tcPr>
          <w:p>
            <w:pPr>
              <w:widowControl/>
              <w:spacing w:after="0" w:line="276" w:lineRule="auto"/>
              <w:ind w:firstLine="0" w:firstLineChars="0"/>
              <w:jc w:val="center"/>
              <w:rPr>
                <w:rFonts w:ascii="宋体" w:hAnsi="宋体" w:eastAsia="宋体" w:cs="宋体"/>
                <w:b/>
                <w:bCs/>
                <w:color w:val="000000" w:themeColor="text1"/>
                <w:kern w:val="0"/>
                <w:szCs w:val="24"/>
                <w14:textFill>
                  <w14:solidFill>
                    <w14:schemeClr w14:val="tx1"/>
                  </w14:solidFill>
                </w14:textFill>
              </w:rPr>
            </w:pPr>
            <w:r>
              <w:rPr>
                <w:rFonts w:hint="eastAsia" w:ascii="宋体" w:hAnsi="宋体" w:eastAsia="宋体" w:cs="宋体"/>
                <w:b/>
                <w:bCs/>
                <w:color w:val="000000" w:themeColor="text1"/>
                <w:kern w:val="0"/>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1</w:t>
            </w:r>
          </w:p>
        </w:tc>
        <w:tc>
          <w:tcPr>
            <w:tcW w:w="839"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流量卡</w:t>
            </w:r>
          </w:p>
        </w:tc>
        <w:tc>
          <w:tcPr>
            <w:tcW w:w="265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30G流量+500分钟通话，6张流量卡，提供三年服务</w:t>
            </w:r>
          </w:p>
        </w:tc>
        <w:tc>
          <w:tcPr>
            <w:tcW w:w="42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项</w:t>
            </w:r>
          </w:p>
        </w:tc>
        <w:tc>
          <w:tcPr>
            <w:tcW w:w="560"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2</w:t>
            </w:r>
          </w:p>
        </w:tc>
        <w:tc>
          <w:tcPr>
            <w:tcW w:w="839"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数据对接</w:t>
            </w:r>
          </w:p>
        </w:tc>
        <w:tc>
          <w:tcPr>
            <w:tcW w:w="265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包括对接治超数据、高速ETC过车数据及铁路、民航、地铁售票统计数据。</w:t>
            </w:r>
          </w:p>
        </w:tc>
        <w:tc>
          <w:tcPr>
            <w:tcW w:w="427"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项</w:t>
            </w:r>
          </w:p>
        </w:tc>
        <w:tc>
          <w:tcPr>
            <w:tcW w:w="560" w:type="pct"/>
            <w:vAlign w:val="center"/>
          </w:tcPr>
          <w:p>
            <w:pPr>
              <w:widowControl w:val="0"/>
              <w:spacing w:after="0" w:line="276" w:lineRule="auto"/>
              <w:ind w:firstLine="0" w:firstLineChars="0"/>
              <w:jc w:val="center"/>
              <w:rPr>
                <w:rFonts w:ascii="宋体" w:hAnsi="宋体" w:eastAsia="宋体" w:cs="Times New Roman"/>
                <w:color w:val="000000" w:themeColor="text1"/>
                <w:kern w:val="2"/>
                <w:szCs w:val="24"/>
                <w14:textFill>
                  <w14:solidFill>
                    <w14:schemeClr w14:val="tx1"/>
                  </w14:solidFill>
                </w14:textFill>
              </w:rPr>
            </w:pPr>
            <w:r>
              <w:rPr>
                <w:rFonts w:hint="eastAsia" w:ascii="宋体" w:hAnsi="宋体" w:eastAsia="宋体" w:cs="Times New Roman"/>
                <w:color w:val="000000" w:themeColor="text1"/>
                <w:kern w:val="2"/>
                <w:szCs w:val="24"/>
                <w14:textFill>
                  <w14:solidFill>
                    <w14:schemeClr w14:val="tx1"/>
                  </w14:solidFill>
                </w14:textFill>
              </w:rPr>
              <w:t>1</w:t>
            </w:r>
          </w:p>
        </w:tc>
      </w:tr>
    </w:tbl>
    <w:p>
      <w:pPr>
        <w:widowControl w:val="0"/>
        <w:spacing w:after="0" w:line="360" w:lineRule="auto"/>
        <w:ind w:firstLine="480" w:firstLineChars="200"/>
        <w:jc w:val="both"/>
        <w:rPr>
          <w:rFonts w:ascii="Times New Roman" w:hAnsi="Times New Roman" w:eastAsia="宋体" w:cs="Times New Roman"/>
          <w:color w:val="000000" w:themeColor="text1"/>
          <w:kern w:val="2"/>
          <w:szCs w:val="20"/>
          <w:lang w:val="zh-CN"/>
          <w14:textFill>
            <w14:solidFill>
              <w14:schemeClr w14:val="tx1"/>
            </w14:solidFill>
          </w14:textFill>
        </w:rPr>
      </w:pPr>
    </w:p>
    <w:p>
      <w:pPr>
        <w:keepNext/>
        <w:keepLines/>
        <w:widowControl w:val="0"/>
        <w:numPr>
          <w:ilvl w:val="0"/>
          <w:numId w:val="3"/>
        </w:numPr>
        <w:tabs>
          <w:tab w:val="left" w:pos="0"/>
        </w:tabs>
        <w:spacing w:before="312" w:beforeLines="100" w:after="156" w:afterLines="50" w:line="360" w:lineRule="auto"/>
        <w:ind w:firstLine="200" w:firstLineChars="0"/>
        <w:jc w:val="left"/>
        <w:outlineLvl w:val="0"/>
        <w:rPr>
          <w:rFonts w:ascii="宋体" w:hAnsi="宋体" w:eastAsia="宋体" w:cs="Times New Roman"/>
          <w:b/>
          <w:bCs w:val="0"/>
          <w:color w:val="000000" w:themeColor="text1"/>
          <w:kern w:val="44"/>
          <w:sz w:val="32"/>
          <w:szCs w:val="44"/>
          <w:lang w:val="zh-CN" w:eastAsia="zh-CN" w:bidi="ar-SA"/>
          <w14:textFill>
            <w14:solidFill>
              <w14:schemeClr w14:val="tx1"/>
            </w14:solidFill>
          </w14:textFill>
        </w:rPr>
      </w:pPr>
      <w:r>
        <w:rPr>
          <w:rFonts w:hint="eastAsia" w:ascii="宋体" w:hAnsi="宋体" w:eastAsia="宋体" w:cs="Times New Roman"/>
          <w:b/>
          <w:bCs w:val="0"/>
          <w:color w:val="000000" w:themeColor="text1"/>
          <w:kern w:val="44"/>
          <w:sz w:val="32"/>
          <w:szCs w:val="44"/>
          <w:lang w:val="zh-CN" w:eastAsia="zh-CN" w:bidi="ar-SA"/>
          <w14:textFill>
            <w14:solidFill>
              <w14:schemeClr w14:val="tx1"/>
            </w14:solidFill>
          </w14:textFill>
        </w:rPr>
        <w:t>其他要求</w:t>
      </w:r>
    </w:p>
    <w:p>
      <w:pPr>
        <w:keepNext/>
        <w:keepLines/>
        <w:numPr>
          <w:ilvl w:val="1"/>
          <w:numId w:val="3"/>
        </w:numPr>
        <w:spacing w:before="312" w:beforeLines="100" w:after="156" w:afterLines="50"/>
        <w:ind w:left="0"/>
        <w:outlineLvl w:val="1"/>
        <w:rPr>
          <w:rFonts w:ascii="宋体" w:hAnsi="宋体"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项目工期要求</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本期项目实施工期为</w:t>
      </w:r>
      <w:r>
        <w:rPr>
          <w:rFonts w:ascii="宋体" w:hAnsi="宋体" w:eastAsia="宋体" w:cs="Times New Roman"/>
          <w:color w:val="000000" w:themeColor="text1"/>
          <w:kern w:val="2"/>
          <w:szCs w:val="20"/>
          <w:lang w:val="zh-CN"/>
          <w14:textFill>
            <w14:solidFill>
              <w14:schemeClr w14:val="tx1"/>
            </w14:solidFill>
          </w14:textFill>
        </w:rPr>
        <w:t>9</w:t>
      </w:r>
      <w:r>
        <w:rPr>
          <w:rFonts w:hint="eastAsia" w:ascii="宋体" w:hAnsi="宋体" w:eastAsia="宋体" w:cs="Times New Roman"/>
          <w:color w:val="000000" w:themeColor="text1"/>
          <w:kern w:val="2"/>
          <w:szCs w:val="20"/>
          <w:lang w:val="zh-CN"/>
          <w14:textFill>
            <w14:solidFill>
              <w14:schemeClr w14:val="tx1"/>
            </w14:solidFill>
          </w14:textFill>
        </w:rPr>
        <w:t>个月。</w:t>
      </w:r>
    </w:p>
    <w:p>
      <w:pPr>
        <w:keepNext/>
        <w:keepLines/>
        <w:numPr>
          <w:ilvl w:val="1"/>
          <w:numId w:val="3"/>
        </w:numPr>
        <w:spacing w:before="312" w:beforeLines="100" w:after="156" w:afterLines="50"/>
        <w:ind w:left="0"/>
        <w:outlineLvl w:val="1"/>
        <w:rPr>
          <w:rFonts w:ascii="宋体" w:hAnsi="宋体"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宋体"/>
          <w:b/>
          <w:bCs/>
          <w:color w:val="000000" w:themeColor="text1"/>
          <w:kern w:val="2"/>
          <w:sz w:val="32"/>
          <w:szCs w:val="32"/>
          <w:lang w:val="zh-CN" w:eastAsia="zh-CN" w:bidi="ar-SA"/>
          <w14:textFill>
            <w14:solidFill>
              <w14:schemeClr w14:val="tx1"/>
            </w14:solidFill>
          </w14:textFill>
        </w:rPr>
        <w:t>运维保障期限要求</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运维保障期限：软件3年、硬件3年。以终验合格之日起计算。</w:t>
      </w:r>
    </w:p>
    <w:p>
      <w:pPr>
        <w:keepNext/>
        <w:keepLines/>
        <w:numPr>
          <w:ilvl w:val="1"/>
          <w:numId w:val="3"/>
        </w:numPr>
        <w:spacing w:before="312" w:beforeLines="100" w:after="156" w:afterLines="50"/>
        <w:ind w:left="0"/>
        <w:outlineLvl w:val="1"/>
        <w:rPr>
          <w:rFonts w:ascii="宋体" w:hAnsi="宋体"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验收方式</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按照国家相关质量标准、技术规范要求、合同规定的验收标准及招、投标文件的要求，招标方组织相关部门、人员进行验收。</w:t>
      </w:r>
    </w:p>
    <w:p>
      <w:pPr>
        <w:keepNext/>
        <w:keepLines/>
        <w:numPr>
          <w:ilvl w:val="1"/>
          <w:numId w:val="3"/>
        </w:numPr>
        <w:spacing w:before="312" w:beforeLines="100" w:after="156" w:afterLines="50"/>
        <w:ind w:left="0"/>
        <w:outlineLvl w:val="1"/>
        <w:rPr>
          <w:rFonts w:ascii="宋体" w:hAnsi="宋体"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保密义务</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（1）双方应严格保守在合作过程中所了解的对方的商业及技术机密，否则应对由此造成的损失承担赔偿。</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（2）中标人应严格遵循招标人各项安全保密制度，所有信息数据迁移、处理等过程中严禁私自复制、传输，完成建设任务后，中标人使用的用户信息等敏感数据必须物理清除。</w:t>
      </w:r>
    </w:p>
    <w:p>
      <w:pPr>
        <w:keepNext/>
        <w:keepLines/>
        <w:numPr>
          <w:ilvl w:val="1"/>
          <w:numId w:val="3"/>
        </w:numPr>
        <w:spacing w:before="312" w:beforeLines="100" w:after="156" w:afterLines="50"/>
        <w:ind w:left="0"/>
        <w:outlineLvl w:val="1"/>
        <w:rPr>
          <w:rFonts w:ascii="宋体" w:hAnsi="宋体" w:eastAsia="宋体" w:cs="Times New Roman"/>
          <w:b/>
          <w:bCs/>
          <w:color w:val="000000" w:themeColor="text1"/>
          <w:kern w:val="2"/>
          <w:sz w:val="32"/>
          <w:szCs w:val="32"/>
          <w:lang w:val="zh-CN" w:eastAsia="zh-CN" w:bidi="ar-SA"/>
          <w14:textFill>
            <w14:solidFill>
              <w14:schemeClr w14:val="tx1"/>
            </w14:solidFill>
          </w14:textFill>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人员培训</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w:t>
      </w:r>
      <w:r>
        <w:rPr>
          <w:rFonts w:hint="eastAsia" w:ascii="宋体" w:hAnsi="宋体" w:eastAsia="宋体" w:cs="Times New Roman"/>
          <w:color w:val="000000" w:themeColor="text1"/>
          <w:kern w:val="2"/>
          <w:szCs w:val="20"/>
          <w14:textFill>
            <w14:solidFill>
              <w14:schemeClr w14:val="tx1"/>
            </w14:solidFill>
          </w14:textFill>
        </w:rPr>
        <w:t>1）</w:t>
      </w:r>
      <w:r>
        <w:rPr>
          <w:rFonts w:hint="eastAsia" w:ascii="宋体" w:hAnsi="宋体" w:eastAsia="宋体" w:cs="Times New Roman"/>
          <w:color w:val="000000" w:themeColor="text1"/>
          <w:kern w:val="2"/>
          <w:szCs w:val="20"/>
          <w:lang w:val="zh-CN"/>
          <w14:textFill>
            <w14:solidFill>
              <w14:schemeClr w14:val="tx1"/>
            </w14:solidFill>
          </w14:textFill>
        </w:rPr>
        <w:t>培训工作是整个系统得以正常运行的关键，除了对普通业务人员的专项培训以外，应对系统维护人员进行系统维护的培训。</w:t>
      </w:r>
    </w:p>
    <w:p>
      <w:pPr>
        <w:widowControl w:val="0"/>
        <w:spacing w:after="0" w:line="360" w:lineRule="auto"/>
        <w:ind w:firstLine="480" w:firstLineChars="200"/>
        <w:jc w:val="both"/>
        <w:rPr>
          <w:rFonts w:ascii="宋体" w:hAnsi="宋体" w:eastAsia="宋体" w:cs="Times New Roman"/>
          <w:color w:val="000000" w:themeColor="text1"/>
          <w:kern w:val="2"/>
          <w:szCs w:val="20"/>
          <w:lang w:val="zh-CN"/>
          <w14:textFill>
            <w14:solidFill>
              <w14:schemeClr w14:val="tx1"/>
            </w14:solidFill>
          </w14:textFill>
        </w:rPr>
      </w:pPr>
      <w:r>
        <w:rPr>
          <w:rFonts w:hint="eastAsia" w:ascii="宋体" w:hAnsi="宋体" w:eastAsia="宋体" w:cs="Times New Roman"/>
          <w:color w:val="000000" w:themeColor="text1"/>
          <w:kern w:val="2"/>
          <w:szCs w:val="20"/>
          <w:lang w:val="zh-CN"/>
          <w14:textFill>
            <w14:solidFill>
              <w14:schemeClr w14:val="tx1"/>
            </w14:solidFill>
          </w14:textFill>
        </w:rPr>
        <w:t>（</w:t>
      </w:r>
      <w:r>
        <w:rPr>
          <w:rFonts w:hint="eastAsia" w:ascii="宋体" w:hAnsi="宋体" w:eastAsia="宋体" w:cs="Times New Roman"/>
          <w:color w:val="000000" w:themeColor="text1"/>
          <w:kern w:val="2"/>
          <w:szCs w:val="20"/>
          <w14:textFill>
            <w14:solidFill>
              <w14:schemeClr w14:val="tx1"/>
            </w14:solidFill>
          </w14:textFill>
        </w:rPr>
        <w:t>2）</w:t>
      </w:r>
      <w:r>
        <w:rPr>
          <w:rFonts w:hint="eastAsia" w:ascii="宋体" w:hAnsi="宋体" w:eastAsia="宋体" w:cs="Times New Roman"/>
          <w:color w:val="000000" w:themeColor="text1"/>
          <w:kern w:val="2"/>
          <w:szCs w:val="20"/>
          <w:lang w:val="zh-CN"/>
          <w14:textFill>
            <w14:solidFill>
              <w14:schemeClr w14:val="tx1"/>
            </w14:solidFill>
          </w14:textFill>
        </w:rPr>
        <w:t>投标人应在</w:t>
      </w:r>
      <w:r>
        <w:rPr>
          <w:rFonts w:hint="eastAsia" w:ascii="宋体" w:hAnsi="宋体" w:eastAsia="宋体" w:cs="Times New Roman"/>
          <w:color w:val="000000" w:themeColor="text1"/>
          <w:kern w:val="2"/>
          <w:szCs w:val="20"/>
          <w14:textFill>
            <w14:solidFill>
              <w14:schemeClr w14:val="tx1"/>
            </w14:solidFill>
          </w14:textFill>
        </w:rPr>
        <w:t>相关平台部署、试运行完成后，提供操作手册，并提供现场操作培训，</w:t>
      </w:r>
      <w:r>
        <w:rPr>
          <w:rFonts w:hint="eastAsia" w:ascii="宋体" w:hAnsi="宋体" w:eastAsia="宋体" w:cs="Times New Roman"/>
          <w:color w:val="000000" w:themeColor="text1"/>
          <w:kern w:val="2"/>
          <w:szCs w:val="20"/>
          <w:lang w:val="zh-CN"/>
          <w14:textFill>
            <w14:solidFill>
              <w14:schemeClr w14:val="tx1"/>
            </w14:solidFill>
          </w14:textFill>
        </w:rPr>
        <w:t>技术培训的内容须包含软件的日常操作和管理维护。</w:t>
      </w:r>
    </w:p>
    <w:p>
      <w:pPr>
        <w:pStyle w:val="2"/>
        <w:rPr>
          <w:rFonts w:hint="eastAsia" w:ascii="宋体" w:hAnsi="宋体" w:eastAsia="宋体" w:cs="宋体"/>
          <w:b/>
          <w:bCs w:val="0"/>
          <w:color w:val="000000" w:themeColor="text1"/>
          <w:kern w:val="44"/>
          <w:sz w:val="32"/>
          <w:szCs w:val="44"/>
          <w:lang w:val="en-US" w:eastAsia="zh-CN" w:bidi="ar-SA"/>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widowControl w:val="0"/>
        <w:adjustRightInd/>
        <w:spacing w:after="0" w:line="440" w:lineRule="exact"/>
        <w:jc w:val="both"/>
        <w:rPr>
          <w:rFonts w:hint="eastAsia" w:ascii="宋体" w:hAnsi="宋体" w:eastAsia="宋体" w:cs="宋体"/>
          <w:color w:val="000000" w:themeColor="text1"/>
          <w:kern w:val="2"/>
          <w:sz w:val="24"/>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 xml:space="preserve"> 6.付款方式：</w:t>
      </w:r>
      <w:r>
        <w:rPr>
          <w:rFonts w:hint="eastAsia" w:ascii="宋体" w:hAnsi="宋体" w:eastAsia="宋体" w:cs="Times New Roman"/>
          <w:color w:val="000000" w:themeColor="text1"/>
          <w:kern w:val="2"/>
          <w:szCs w:val="20"/>
          <w:lang w:val="zh-CN"/>
          <w14:textFill>
            <w14:solidFill>
              <w14:schemeClr w14:val="tx1"/>
            </w14:solidFill>
          </w14:textFill>
        </w:rPr>
        <w:t>合同签订后15日内，采购方先行支付合同款的40%，项目顺利试运行支付合同款的50%，经采购方验收合格后，采购方一次性付清余款。</w:t>
      </w:r>
    </w:p>
    <w:p>
      <w:pPr>
        <w:pStyle w:val="13"/>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1、除标注的参考品牌外，欢迎其它能满足本项目技术需求且性能与所注品牌相当的产品参与。</w:t>
      </w:r>
    </w:p>
    <w:p>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2、如有附图，仅作参考。</w:t>
      </w:r>
    </w:p>
    <w:p>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3、打▲内容为实质性要求，不允许有负偏离，否则将以涉及无效投标条款作无效投标。</w:t>
      </w:r>
    </w:p>
    <w:p>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4、中标人所提供的货物、服务须与投标承诺一致，不得以次充好、偷工减料，若在项目验收中发现有上述情况，将向有关部门举报，根据相关规定进行处理。</w:t>
      </w:r>
    </w:p>
    <w:p>
      <w:pPr>
        <w:rPr>
          <w:rFonts w:hint="eastAsia" w:ascii="宋体" w:hAnsi="宋体" w:eastAsia="宋体" w:cs="宋体"/>
          <w:color w:val="000000" w:themeColor="text1"/>
          <w14:textFill>
            <w14:solidFill>
              <w14:schemeClr w14:val="tx1"/>
            </w14:solidFill>
          </w14:textFill>
        </w:rPr>
      </w:pP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第四部分   </w:t>
      </w:r>
      <w:bookmarkStart w:id="5" w:name="_Toc184310288"/>
      <w:bookmarkEnd w:id="5"/>
      <w:bookmarkStart w:id="6" w:name="_Toc184308104"/>
      <w:bookmarkEnd w:id="6"/>
      <w:bookmarkStart w:id="7" w:name="_Toc184312132"/>
      <w:bookmarkEnd w:id="7"/>
      <w:bookmarkStart w:id="8" w:name="_Toc184310280"/>
      <w:bookmarkEnd w:id="8"/>
      <w:bookmarkStart w:id="9" w:name="_Toc184310317"/>
      <w:bookmarkEnd w:id="9"/>
      <w:bookmarkStart w:id="10" w:name="_Toc184314434"/>
      <w:bookmarkEnd w:id="10"/>
      <w:bookmarkStart w:id="11" w:name="_Toc184314461"/>
      <w:bookmarkEnd w:id="11"/>
      <w:bookmarkStart w:id="12" w:name="_Toc184310304"/>
      <w:bookmarkEnd w:id="12"/>
      <w:bookmarkStart w:id="13" w:name="_Toc184314454"/>
      <w:bookmarkEnd w:id="13"/>
      <w:bookmarkStart w:id="14" w:name="_Toc184313302"/>
      <w:bookmarkEnd w:id="14"/>
      <w:bookmarkStart w:id="15" w:name="_Toc184312129"/>
      <w:bookmarkEnd w:id="15"/>
      <w:bookmarkStart w:id="16" w:name="_Toc184314457"/>
      <w:bookmarkEnd w:id="16"/>
      <w:bookmarkStart w:id="17" w:name="_Toc184314419"/>
      <w:bookmarkEnd w:id="17"/>
      <w:bookmarkStart w:id="18" w:name="_Toc184313250"/>
      <w:bookmarkEnd w:id="18"/>
      <w:bookmarkStart w:id="19" w:name="_Toc184314425"/>
      <w:bookmarkEnd w:id="19"/>
      <w:bookmarkStart w:id="20" w:name="_Toc184314441"/>
      <w:bookmarkEnd w:id="20"/>
      <w:bookmarkStart w:id="21" w:name="_Toc184313242"/>
      <w:bookmarkEnd w:id="21"/>
      <w:bookmarkStart w:id="22" w:name="_Toc184308108"/>
      <w:bookmarkEnd w:id="22"/>
      <w:bookmarkStart w:id="23" w:name="_Toc184310313"/>
      <w:bookmarkEnd w:id="23"/>
      <w:bookmarkStart w:id="24" w:name="_Toc184314474"/>
      <w:bookmarkEnd w:id="24"/>
      <w:bookmarkStart w:id="25" w:name="_Toc184313278"/>
      <w:bookmarkEnd w:id="25"/>
      <w:bookmarkStart w:id="26" w:name="_Toc184313276"/>
      <w:bookmarkEnd w:id="26"/>
      <w:bookmarkStart w:id="27" w:name="_Toc184310319"/>
      <w:bookmarkEnd w:id="27"/>
      <w:bookmarkStart w:id="28" w:name="_Toc184308100"/>
      <w:bookmarkEnd w:id="28"/>
      <w:bookmarkStart w:id="29" w:name="_Toc184312108"/>
      <w:bookmarkEnd w:id="29"/>
      <w:bookmarkStart w:id="30" w:name="_Toc184314466"/>
      <w:bookmarkEnd w:id="30"/>
      <w:bookmarkStart w:id="31" w:name="_Toc184313291"/>
      <w:bookmarkEnd w:id="31"/>
      <w:bookmarkStart w:id="32" w:name="_Toc184310307"/>
      <w:bookmarkEnd w:id="32"/>
      <w:bookmarkStart w:id="33" w:name="_Toc184314431"/>
      <w:bookmarkEnd w:id="33"/>
      <w:bookmarkStart w:id="34" w:name="_Toc184308037"/>
      <w:bookmarkEnd w:id="34"/>
      <w:bookmarkStart w:id="35" w:name="_Toc184310294"/>
      <w:bookmarkEnd w:id="35"/>
      <w:bookmarkStart w:id="36" w:name="_Toc184312120"/>
      <w:bookmarkEnd w:id="36"/>
      <w:bookmarkStart w:id="37" w:name="_Toc184310337"/>
      <w:bookmarkEnd w:id="37"/>
      <w:bookmarkStart w:id="38" w:name="_Toc184308046"/>
      <w:bookmarkEnd w:id="38"/>
      <w:bookmarkStart w:id="39" w:name="_Toc184312097"/>
      <w:bookmarkEnd w:id="39"/>
      <w:bookmarkStart w:id="40" w:name="_Toc184312123"/>
      <w:bookmarkEnd w:id="40"/>
      <w:bookmarkStart w:id="41" w:name="_Toc184313307"/>
      <w:bookmarkEnd w:id="41"/>
      <w:bookmarkStart w:id="42" w:name="_Toc184308066"/>
      <w:bookmarkEnd w:id="42"/>
      <w:bookmarkStart w:id="43" w:name="_Toc184308103"/>
      <w:bookmarkEnd w:id="43"/>
      <w:bookmarkStart w:id="44" w:name="_Toc184308107"/>
      <w:bookmarkEnd w:id="44"/>
      <w:bookmarkStart w:id="45" w:name="_Toc184310335"/>
      <w:bookmarkEnd w:id="45"/>
      <w:bookmarkStart w:id="46" w:name="_Toc184314429"/>
      <w:bookmarkEnd w:id="46"/>
      <w:bookmarkStart w:id="47" w:name="_Toc184312105"/>
      <w:bookmarkEnd w:id="47"/>
      <w:bookmarkStart w:id="48" w:name="_Toc184308087"/>
      <w:bookmarkEnd w:id="48"/>
      <w:bookmarkStart w:id="49" w:name="_Toc184310316"/>
      <w:bookmarkEnd w:id="49"/>
      <w:bookmarkStart w:id="50" w:name="_Toc184308041"/>
      <w:bookmarkEnd w:id="50"/>
      <w:bookmarkStart w:id="51" w:name="_Toc184314413"/>
      <w:bookmarkEnd w:id="51"/>
      <w:bookmarkStart w:id="52" w:name="_Toc184310277"/>
      <w:bookmarkEnd w:id="52"/>
      <w:bookmarkStart w:id="53" w:name="_Toc184313238"/>
      <w:bookmarkEnd w:id="53"/>
      <w:bookmarkStart w:id="54" w:name="_Toc184310318"/>
      <w:bookmarkEnd w:id="54"/>
      <w:bookmarkStart w:id="55" w:name="_Toc184314450"/>
      <w:bookmarkEnd w:id="55"/>
      <w:bookmarkStart w:id="56" w:name="_Toc184314477"/>
      <w:bookmarkEnd w:id="56"/>
      <w:bookmarkStart w:id="57" w:name="_Toc184313284"/>
      <w:bookmarkEnd w:id="57"/>
      <w:bookmarkStart w:id="58" w:name="_Toc184313277"/>
      <w:bookmarkEnd w:id="58"/>
      <w:bookmarkStart w:id="59" w:name="_Toc184308082"/>
      <w:bookmarkEnd w:id="59"/>
      <w:bookmarkStart w:id="60" w:name="_Toc184312095"/>
      <w:bookmarkEnd w:id="60"/>
      <w:bookmarkStart w:id="61" w:name="_Toc184308074"/>
      <w:bookmarkEnd w:id="61"/>
      <w:bookmarkStart w:id="62" w:name="_Toc184313275"/>
      <w:bookmarkEnd w:id="62"/>
      <w:bookmarkStart w:id="63" w:name="_Toc184312104"/>
      <w:bookmarkEnd w:id="63"/>
      <w:bookmarkStart w:id="64" w:name="_Toc184312081"/>
      <w:bookmarkEnd w:id="64"/>
      <w:bookmarkStart w:id="65" w:name="_Toc184310287"/>
      <w:bookmarkEnd w:id="65"/>
      <w:bookmarkStart w:id="66" w:name="_Toc184312083"/>
      <w:bookmarkEnd w:id="66"/>
      <w:bookmarkStart w:id="67" w:name="_Toc184308053"/>
      <w:bookmarkEnd w:id="67"/>
      <w:bookmarkStart w:id="68" w:name="_Toc184310291"/>
      <w:bookmarkEnd w:id="68"/>
      <w:bookmarkStart w:id="69" w:name="_Toc184314444"/>
      <w:bookmarkEnd w:id="69"/>
      <w:bookmarkStart w:id="70" w:name="_Toc184310289"/>
      <w:bookmarkEnd w:id="70"/>
      <w:bookmarkStart w:id="71" w:name="_Toc184310303"/>
      <w:bookmarkEnd w:id="71"/>
      <w:bookmarkStart w:id="72" w:name="_Toc184312126"/>
      <w:bookmarkEnd w:id="72"/>
      <w:bookmarkStart w:id="73" w:name="_Toc184308057"/>
      <w:bookmarkEnd w:id="73"/>
      <w:bookmarkStart w:id="74" w:name="_Toc184308071"/>
      <w:bookmarkEnd w:id="74"/>
      <w:bookmarkStart w:id="75" w:name="_Toc184313259"/>
      <w:bookmarkEnd w:id="75"/>
      <w:bookmarkStart w:id="76" w:name="_Toc184314481"/>
      <w:bookmarkEnd w:id="76"/>
      <w:bookmarkStart w:id="77" w:name="_Toc184310343"/>
      <w:bookmarkEnd w:id="77"/>
      <w:bookmarkStart w:id="78" w:name="_Toc184312138"/>
      <w:bookmarkEnd w:id="78"/>
      <w:bookmarkStart w:id="79" w:name="_Toc184314449"/>
      <w:bookmarkEnd w:id="79"/>
      <w:bookmarkStart w:id="80" w:name="_Toc184308075"/>
      <w:bookmarkEnd w:id="80"/>
      <w:bookmarkStart w:id="81" w:name="_Toc184310311"/>
      <w:bookmarkEnd w:id="81"/>
      <w:bookmarkStart w:id="82" w:name="_Toc184310273"/>
      <w:bookmarkEnd w:id="82"/>
      <w:bookmarkStart w:id="83" w:name="_Toc184313263"/>
      <w:bookmarkEnd w:id="83"/>
      <w:bookmarkStart w:id="84" w:name="_Toc184313308"/>
      <w:bookmarkEnd w:id="84"/>
      <w:bookmarkStart w:id="85" w:name="_Toc184310309"/>
      <w:bookmarkEnd w:id="85"/>
      <w:bookmarkStart w:id="86" w:name="_Toc184310332"/>
      <w:bookmarkEnd w:id="86"/>
      <w:bookmarkStart w:id="87" w:name="_Toc184312101"/>
      <w:bookmarkEnd w:id="87"/>
      <w:bookmarkStart w:id="88" w:name="_Toc184310295"/>
      <w:bookmarkEnd w:id="88"/>
      <w:bookmarkStart w:id="89" w:name="_Toc184313282"/>
      <w:bookmarkEnd w:id="89"/>
      <w:bookmarkStart w:id="90" w:name="_Toc184308039"/>
      <w:bookmarkEnd w:id="90"/>
      <w:bookmarkStart w:id="91" w:name="_Toc184314446"/>
      <w:bookmarkEnd w:id="91"/>
      <w:bookmarkStart w:id="92" w:name="_Toc184310293"/>
      <w:bookmarkEnd w:id="92"/>
      <w:bookmarkStart w:id="93" w:name="_Toc184313298"/>
      <w:bookmarkEnd w:id="93"/>
      <w:bookmarkStart w:id="94" w:name="_Toc184308061"/>
      <w:bookmarkEnd w:id="94"/>
      <w:bookmarkStart w:id="95" w:name="_Toc184312106"/>
      <w:bookmarkEnd w:id="95"/>
      <w:bookmarkStart w:id="96" w:name="_Toc184312077"/>
      <w:bookmarkEnd w:id="96"/>
      <w:bookmarkStart w:id="97" w:name="_Toc184314451"/>
      <w:bookmarkEnd w:id="97"/>
      <w:bookmarkStart w:id="98" w:name="_Toc184312116"/>
      <w:bookmarkEnd w:id="98"/>
      <w:bookmarkStart w:id="99" w:name="_Toc184314426"/>
      <w:bookmarkEnd w:id="99"/>
      <w:bookmarkStart w:id="100" w:name="_Toc184312103"/>
      <w:bookmarkEnd w:id="100"/>
      <w:bookmarkStart w:id="101" w:name="_Toc184314445"/>
      <w:bookmarkEnd w:id="101"/>
      <w:bookmarkStart w:id="102" w:name="_Toc184308096"/>
      <w:bookmarkEnd w:id="102"/>
      <w:bookmarkStart w:id="103" w:name="_Toc184308062"/>
      <w:bookmarkEnd w:id="103"/>
      <w:bookmarkStart w:id="104" w:name="_Toc184312075"/>
      <w:bookmarkEnd w:id="104"/>
      <w:bookmarkStart w:id="105" w:name="_Toc184314420"/>
      <w:bookmarkEnd w:id="105"/>
      <w:bookmarkStart w:id="106" w:name="_Toc184310320"/>
      <w:bookmarkEnd w:id="106"/>
      <w:bookmarkStart w:id="107" w:name="_Toc184314439"/>
      <w:bookmarkEnd w:id="107"/>
      <w:bookmarkStart w:id="108" w:name="_Toc184314478"/>
      <w:bookmarkEnd w:id="108"/>
      <w:bookmarkStart w:id="109" w:name="_Toc184308095"/>
      <w:bookmarkEnd w:id="109"/>
      <w:bookmarkStart w:id="110" w:name="_Toc184310299"/>
      <w:bookmarkEnd w:id="110"/>
      <w:bookmarkStart w:id="111" w:name="_Toc184314447"/>
      <w:bookmarkEnd w:id="111"/>
      <w:bookmarkStart w:id="112" w:name="_Toc184313290"/>
      <w:bookmarkEnd w:id="112"/>
      <w:bookmarkStart w:id="113" w:name="_Toc184308092"/>
      <w:bookmarkEnd w:id="113"/>
      <w:bookmarkStart w:id="114" w:name="_Toc184312067"/>
      <w:bookmarkEnd w:id="114"/>
      <w:bookmarkStart w:id="115" w:name="_Toc184313286"/>
      <w:bookmarkEnd w:id="115"/>
      <w:bookmarkStart w:id="116" w:name="_Toc184314428"/>
      <w:bookmarkEnd w:id="116"/>
      <w:bookmarkStart w:id="117" w:name="_Toc184314482"/>
      <w:bookmarkEnd w:id="117"/>
      <w:bookmarkStart w:id="118" w:name="_Toc184312127"/>
      <w:bookmarkEnd w:id="118"/>
      <w:bookmarkStart w:id="119" w:name="_Toc184308044"/>
      <w:bookmarkEnd w:id="119"/>
      <w:bookmarkStart w:id="120" w:name="_Toc184310312"/>
      <w:bookmarkEnd w:id="120"/>
      <w:bookmarkStart w:id="121" w:name="_Toc184314412"/>
      <w:bookmarkEnd w:id="121"/>
      <w:bookmarkStart w:id="122" w:name="_Toc184312135"/>
      <w:bookmarkEnd w:id="122"/>
      <w:bookmarkStart w:id="123" w:name="_Toc184313287"/>
      <w:bookmarkEnd w:id="123"/>
      <w:bookmarkStart w:id="124" w:name="_Toc184308093"/>
      <w:bookmarkEnd w:id="124"/>
      <w:bookmarkStart w:id="125" w:name="_Toc184312113"/>
      <w:bookmarkEnd w:id="125"/>
      <w:bookmarkStart w:id="126" w:name="_Toc184308094"/>
      <w:bookmarkEnd w:id="126"/>
      <w:bookmarkStart w:id="127" w:name="_Toc184313301"/>
      <w:bookmarkEnd w:id="127"/>
      <w:bookmarkStart w:id="128" w:name="_Toc184314459"/>
      <w:bookmarkEnd w:id="128"/>
      <w:bookmarkStart w:id="129" w:name="_Toc184313246"/>
      <w:bookmarkEnd w:id="129"/>
      <w:bookmarkStart w:id="130" w:name="_Toc184312070"/>
      <w:bookmarkEnd w:id="130"/>
      <w:bookmarkStart w:id="131" w:name="_Toc184312139"/>
      <w:bookmarkEnd w:id="131"/>
      <w:bookmarkStart w:id="132" w:name="_Toc184313269"/>
      <w:bookmarkEnd w:id="132"/>
      <w:bookmarkStart w:id="133" w:name="_Toc184310322"/>
      <w:bookmarkEnd w:id="133"/>
      <w:bookmarkStart w:id="134" w:name="_Toc184312074"/>
      <w:bookmarkEnd w:id="134"/>
      <w:bookmarkStart w:id="135" w:name="_Toc184308069"/>
      <w:bookmarkEnd w:id="135"/>
      <w:bookmarkStart w:id="136" w:name="_Toc184308038"/>
      <w:bookmarkEnd w:id="136"/>
      <w:bookmarkStart w:id="137" w:name="_Toc184310279"/>
      <w:bookmarkEnd w:id="137"/>
      <w:bookmarkStart w:id="138" w:name="_Toc184314476"/>
      <w:bookmarkEnd w:id="138"/>
      <w:bookmarkStart w:id="139" w:name="_Toc184313304"/>
      <w:bookmarkEnd w:id="139"/>
      <w:bookmarkStart w:id="140" w:name="_Toc184313253"/>
      <w:bookmarkEnd w:id="140"/>
      <w:bookmarkStart w:id="141" w:name="_Toc184312068"/>
      <w:bookmarkEnd w:id="141"/>
      <w:bookmarkStart w:id="142" w:name="_Toc184312087"/>
      <w:bookmarkEnd w:id="142"/>
      <w:bookmarkStart w:id="143" w:name="_Toc184314442"/>
      <w:bookmarkEnd w:id="143"/>
      <w:bookmarkStart w:id="144" w:name="_Toc184312071"/>
      <w:bookmarkEnd w:id="144"/>
      <w:bookmarkStart w:id="145" w:name="_Toc184314416"/>
      <w:bookmarkEnd w:id="145"/>
      <w:bookmarkStart w:id="146" w:name="_Toc184312107"/>
      <w:bookmarkEnd w:id="146"/>
      <w:bookmarkStart w:id="147" w:name="_Toc184313300"/>
      <w:bookmarkEnd w:id="147"/>
      <w:bookmarkStart w:id="148" w:name="_Toc184312134"/>
      <w:bookmarkEnd w:id="148"/>
      <w:bookmarkStart w:id="149" w:name="_Toc184314468"/>
      <w:bookmarkEnd w:id="149"/>
      <w:bookmarkStart w:id="150" w:name="_Toc184312117"/>
      <w:bookmarkEnd w:id="150"/>
      <w:bookmarkStart w:id="151" w:name="_Toc184313262"/>
      <w:bookmarkEnd w:id="151"/>
      <w:bookmarkStart w:id="152" w:name="_Toc184308101"/>
      <w:bookmarkEnd w:id="152"/>
      <w:bookmarkStart w:id="153" w:name="_Toc184313299"/>
      <w:bookmarkEnd w:id="153"/>
      <w:bookmarkStart w:id="154" w:name="_Toc184312110"/>
      <w:bookmarkEnd w:id="154"/>
      <w:bookmarkStart w:id="155" w:name="_Toc184308054"/>
      <w:bookmarkEnd w:id="155"/>
      <w:bookmarkStart w:id="156" w:name="_Toc184312085"/>
      <w:bookmarkEnd w:id="156"/>
      <w:bookmarkStart w:id="157" w:name="_Toc184313261"/>
      <w:bookmarkEnd w:id="157"/>
      <w:bookmarkStart w:id="158" w:name="_Toc184314415"/>
      <w:bookmarkEnd w:id="158"/>
      <w:bookmarkStart w:id="159" w:name="_Toc184310306"/>
      <w:bookmarkEnd w:id="159"/>
      <w:bookmarkStart w:id="160" w:name="_Toc184308106"/>
      <w:bookmarkEnd w:id="160"/>
      <w:bookmarkStart w:id="161" w:name="_Toc184314421"/>
      <w:bookmarkEnd w:id="161"/>
      <w:bookmarkStart w:id="162" w:name="_Toc184312078"/>
      <w:bookmarkEnd w:id="162"/>
      <w:bookmarkStart w:id="163" w:name="_Toc184314424"/>
      <w:bookmarkEnd w:id="163"/>
      <w:bookmarkStart w:id="164" w:name="_Toc184310290"/>
      <w:bookmarkEnd w:id="164"/>
      <w:bookmarkStart w:id="165" w:name="_Toc184310301"/>
      <w:bookmarkEnd w:id="165"/>
      <w:bookmarkStart w:id="166" w:name="_Toc184310305"/>
      <w:bookmarkEnd w:id="166"/>
      <w:bookmarkStart w:id="167" w:name="_Toc184308056"/>
      <w:bookmarkEnd w:id="167"/>
      <w:bookmarkStart w:id="168" w:name="_Toc184308084"/>
      <w:bookmarkEnd w:id="168"/>
      <w:bookmarkStart w:id="169" w:name="_Toc184308098"/>
      <w:bookmarkEnd w:id="169"/>
      <w:bookmarkStart w:id="170" w:name="_Toc184312094"/>
      <w:bookmarkEnd w:id="170"/>
      <w:bookmarkStart w:id="171" w:name="_Toc184308063"/>
      <w:bookmarkEnd w:id="171"/>
      <w:bookmarkStart w:id="172" w:name="_Toc184308089"/>
      <w:bookmarkEnd w:id="172"/>
      <w:bookmarkStart w:id="173" w:name="_Toc184310275"/>
      <w:bookmarkEnd w:id="173"/>
      <w:bookmarkStart w:id="174" w:name="_Toc184313306"/>
      <w:bookmarkEnd w:id="174"/>
      <w:bookmarkStart w:id="175" w:name="_Toc184313297"/>
      <w:bookmarkEnd w:id="175"/>
      <w:bookmarkStart w:id="176" w:name="_Toc184314480"/>
      <w:bookmarkEnd w:id="176"/>
      <w:bookmarkStart w:id="177" w:name="_Toc184310315"/>
      <w:bookmarkEnd w:id="177"/>
      <w:bookmarkStart w:id="178" w:name="_Toc184308051"/>
      <w:bookmarkEnd w:id="178"/>
      <w:bookmarkStart w:id="179" w:name="_Toc184313281"/>
      <w:bookmarkEnd w:id="179"/>
      <w:bookmarkStart w:id="180" w:name="_Toc184308050"/>
      <w:bookmarkEnd w:id="180"/>
      <w:bookmarkStart w:id="181" w:name="_Toc184308042"/>
      <w:bookmarkEnd w:id="181"/>
      <w:bookmarkStart w:id="182" w:name="_Toc184310330"/>
      <w:bookmarkEnd w:id="182"/>
      <w:bookmarkStart w:id="183" w:name="_Toc184312130"/>
      <w:bookmarkEnd w:id="183"/>
      <w:bookmarkStart w:id="184" w:name="_Toc184310282"/>
      <w:bookmarkEnd w:id="184"/>
      <w:bookmarkStart w:id="185" w:name="_Toc184314464"/>
      <w:bookmarkEnd w:id="185"/>
      <w:bookmarkStart w:id="186" w:name="_Toc184313274"/>
      <w:bookmarkEnd w:id="186"/>
      <w:bookmarkStart w:id="187" w:name="_Toc184308086"/>
      <w:bookmarkEnd w:id="187"/>
      <w:bookmarkStart w:id="188" w:name="_Toc184313268"/>
      <w:bookmarkEnd w:id="188"/>
      <w:bookmarkStart w:id="189" w:name="_Toc184313257"/>
      <w:bookmarkEnd w:id="189"/>
      <w:bookmarkStart w:id="190" w:name="_Toc184310298"/>
      <w:bookmarkEnd w:id="190"/>
      <w:bookmarkStart w:id="191" w:name="_Toc184312124"/>
      <w:bookmarkEnd w:id="191"/>
      <w:bookmarkStart w:id="192" w:name="_Toc184314435"/>
      <w:bookmarkEnd w:id="192"/>
      <w:bookmarkStart w:id="193" w:name="_Toc184314452"/>
      <w:bookmarkEnd w:id="193"/>
      <w:bookmarkStart w:id="194" w:name="_Toc184314470"/>
      <w:bookmarkEnd w:id="194"/>
      <w:bookmarkStart w:id="195" w:name="_Toc184310327"/>
      <w:bookmarkEnd w:id="195"/>
      <w:bookmarkStart w:id="196" w:name="_Toc184308055"/>
      <w:bookmarkEnd w:id="196"/>
      <w:bookmarkStart w:id="197" w:name="_Toc184313310"/>
      <w:bookmarkEnd w:id="197"/>
      <w:bookmarkStart w:id="198" w:name="_Toc184312125"/>
      <w:bookmarkEnd w:id="198"/>
      <w:bookmarkStart w:id="199" w:name="_Toc184312084"/>
      <w:bookmarkEnd w:id="199"/>
      <w:bookmarkStart w:id="200" w:name="_Toc184312114"/>
      <w:bookmarkEnd w:id="200"/>
      <w:bookmarkStart w:id="201" w:name="_Toc184313243"/>
      <w:bookmarkEnd w:id="201"/>
      <w:bookmarkStart w:id="202" w:name="_Toc184312096"/>
      <w:bookmarkEnd w:id="202"/>
      <w:bookmarkStart w:id="203" w:name="_Toc184314455"/>
      <w:bookmarkEnd w:id="203"/>
      <w:bookmarkStart w:id="204" w:name="_Toc184312112"/>
      <w:bookmarkEnd w:id="204"/>
      <w:bookmarkStart w:id="205" w:name="_Toc184310321"/>
      <w:bookmarkEnd w:id="205"/>
      <w:bookmarkStart w:id="206" w:name="_Toc184314460"/>
      <w:bookmarkEnd w:id="206"/>
      <w:bookmarkStart w:id="207" w:name="_Toc184308065"/>
      <w:bookmarkEnd w:id="207"/>
      <w:bookmarkStart w:id="208" w:name="_Toc184313260"/>
      <w:bookmarkEnd w:id="208"/>
      <w:bookmarkStart w:id="209" w:name="_Toc184310274"/>
      <w:bookmarkEnd w:id="209"/>
      <w:bookmarkStart w:id="210" w:name="_Toc184314433"/>
      <w:bookmarkEnd w:id="210"/>
      <w:bookmarkStart w:id="211" w:name="_Toc184312072"/>
      <w:bookmarkEnd w:id="211"/>
      <w:bookmarkStart w:id="212" w:name="_Toc184308072"/>
      <w:bookmarkEnd w:id="212"/>
      <w:bookmarkStart w:id="213" w:name="_Toc184314475"/>
      <w:bookmarkEnd w:id="213"/>
      <w:bookmarkStart w:id="214" w:name="_Toc184314430"/>
      <w:bookmarkEnd w:id="214"/>
      <w:bookmarkStart w:id="215" w:name="_Toc184308067"/>
      <w:bookmarkEnd w:id="215"/>
      <w:bookmarkStart w:id="216" w:name="_Toc184312100"/>
      <w:bookmarkEnd w:id="216"/>
      <w:bookmarkStart w:id="217" w:name="_Toc184310333"/>
      <w:bookmarkEnd w:id="217"/>
      <w:bookmarkStart w:id="218" w:name="_Toc184313265"/>
      <w:bookmarkEnd w:id="218"/>
      <w:bookmarkStart w:id="219" w:name="_Toc184308068"/>
      <w:bookmarkEnd w:id="219"/>
      <w:bookmarkStart w:id="220" w:name="_Toc184312086"/>
      <w:bookmarkEnd w:id="220"/>
      <w:bookmarkStart w:id="221" w:name="_Toc184312089"/>
      <w:bookmarkEnd w:id="221"/>
      <w:bookmarkStart w:id="222" w:name="_Toc184312136"/>
      <w:bookmarkEnd w:id="222"/>
      <w:bookmarkStart w:id="223" w:name="_Toc184314417"/>
      <w:bookmarkEnd w:id="223"/>
      <w:bookmarkStart w:id="224" w:name="_Toc184310329"/>
      <w:bookmarkEnd w:id="224"/>
      <w:bookmarkStart w:id="225" w:name="_Toc184308076"/>
      <w:bookmarkEnd w:id="225"/>
      <w:bookmarkStart w:id="226" w:name="_Toc184313288"/>
      <w:bookmarkEnd w:id="226"/>
      <w:bookmarkStart w:id="227" w:name="_Toc184312115"/>
      <w:bookmarkEnd w:id="227"/>
      <w:bookmarkStart w:id="228" w:name="_Toc184314440"/>
      <w:bookmarkEnd w:id="228"/>
      <w:bookmarkStart w:id="229" w:name="_Toc184312122"/>
      <w:bookmarkEnd w:id="229"/>
      <w:bookmarkStart w:id="230" w:name="_Toc184312092"/>
      <w:bookmarkEnd w:id="230"/>
      <w:bookmarkStart w:id="231" w:name="_Toc184310323"/>
      <w:bookmarkEnd w:id="231"/>
      <w:bookmarkStart w:id="232" w:name="_Toc184314465"/>
      <w:bookmarkEnd w:id="232"/>
      <w:bookmarkStart w:id="233" w:name="_Toc184314479"/>
      <w:bookmarkEnd w:id="233"/>
      <w:bookmarkStart w:id="234" w:name="_Toc184310344"/>
      <w:bookmarkEnd w:id="234"/>
      <w:bookmarkStart w:id="235" w:name="_Toc184313309"/>
      <w:bookmarkEnd w:id="235"/>
      <w:bookmarkStart w:id="236" w:name="_Toc184308040"/>
      <w:bookmarkEnd w:id="236"/>
      <w:bookmarkStart w:id="237" w:name="_Toc184313272"/>
      <w:bookmarkEnd w:id="237"/>
      <w:bookmarkStart w:id="238" w:name="_Toc184312109"/>
      <w:bookmarkEnd w:id="238"/>
      <w:bookmarkStart w:id="239" w:name="_Toc184313245"/>
      <w:bookmarkEnd w:id="239"/>
      <w:bookmarkStart w:id="240" w:name="_Toc184314437"/>
      <w:bookmarkEnd w:id="240"/>
      <w:bookmarkStart w:id="241" w:name="_Toc184310334"/>
      <w:bookmarkEnd w:id="241"/>
      <w:bookmarkStart w:id="242" w:name="_Toc184308085"/>
      <w:bookmarkEnd w:id="242"/>
      <w:bookmarkStart w:id="243" w:name="_Toc184308083"/>
      <w:bookmarkEnd w:id="243"/>
      <w:bookmarkStart w:id="244" w:name="_Toc184312090"/>
      <w:bookmarkEnd w:id="244"/>
      <w:bookmarkStart w:id="245" w:name="_Toc184310331"/>
      <w:bookmarkEnd w:id="245"/>
      <w:bookmarkStart w:id="246" w:name="_Toc184308097"/>
      <w:bookmarkEnd w:id="246"/>
      <w:bookmarkStart w:id="247" w:name="_Toc184310296"/>
      <w:bookmarkEnd w:id="247"/>
      <w:bookmarkStart w:id="248" w:name="_Toc184310272"/>
      <w:bookmarkEnd w:id="248"/>
      <w:bookmarkStart w:id="249" w:name="_Toc184310284"/>
      <w:bookmarkEnd w:id="249"/>
      <w:bookmarkStart w:id="250" w:name="_Toc184313296"/>
      <w:bookmarkEnd w:id="250"/>
      <w:bookmarkStart w:id="251" w:name="_Toc184310328"/>
      <w:bookmarkEnd w:id="251"/>
      <w:bookmarkStart w:id="252" w:name="_Toc184313303"/>
      <w:bookmarkEnd w:id="252"/>
      <w:bookmarkStart w:id="253" w:name="_Toc184308047"/>
      <w:bookmarkEnd w:id="253"/>
      <w:bookmarkStart w:id="254" w:name="_Toc184314463"/>
      <w:bookmarkEnd w:id="254"/>
      <w:bookmarkStart w:id="255" w:name="_Toc184312137"/>
      <w:bookmarkEnd w:id="255"/>
      <w:bookmarkStart w:id="256" w:name="_Toc184310314"/>
      <w:bookmarkEnd w:id="256"/>
      <w:bookmarkStart w:id="257" w:name="_Toc184313244"/>
      <w:bookmarkEnd w:id="257"/>
      <w:bookmarkStart w:id="258" w:name="_Toc184308080"/>
      <w:bookmarkEnd w:id="258"/>
      <w:bookmarkStart w:id="259" w:name="_Toc184314418"/>
      <w:bookmarkEnd w:id="259"/>
      <w:bookmarkStart w:id="260" w:name="_Toc184310297"/>
      <w:bookmarkEnd w:id="260"/>
      <w:bookmarkStart w:id="261" w:name="_Toc184314414"/>
      <w:bookmarkEnd w:id="261"/>
      <w:bookmarkStart w:id="262" w:name="_Toc184310338"/>
      <w:bookmarkEnd w:id="262"/>
      <w:bookmarkStart w:id="263" w:name="_Toc184312093"/>
      <w:bookmarkEnd w:id="263"/>
      <w:bookmarkStart w:id="264" w:name="_Toc184308088"/>
      <w:bookmarkEnd w:id="264"/>
      <w:bookmarkStart w:id="265" w:name="_Toc184312076"/>
      <w:bookmarkEnd w:id="265"/>
      <w:bookmarkStart w:id="266" w:name="_Toc184313293"/>
      <w:bookmarkEnd w:id="266"/>
      <w:bookmarkStart w:id="267" w:name="_Toc184312082"/>
      <w:bookmarkEnd w:id="267"/>
      <w:bookmarkStart w:id="268" w:name="_Toc184312102"/>
      <w:bookmarkEnd w:id="268"/>
      <w:bookmarkStart w:id="269" w:name="_Toc184312080"/>
      <w:bookmarkEnd w:id="269"/>
      <w:bookmarkStart w:id="270" w:name="_Toc184310342"/>
      <w:bookmarkEnd w:id="270"/>
      <w:bookmarkStart w:id="271" w:name="_Toc184313279"/>
      <w:bookmarkEnd w:id="271"/>
      <w:bookmarkStart w:id="272" w:name="_Toc184308060"/>
      <w:bookmarkEnd w:id="272"/>
      <w:bookmarkStart w:id="273" w:name="_Toc184312111"/>
      <w:bookmarkEnd w:id="273"/>
      <w:bookmarkStart w:id="274" w:name="_Toc184310283"/>
      <w:bookmarkEnd w:id="274"/>
      <w:bookmarkStart w:id="275" w:name="_Toc184312073"/>
      <w:bookmarkEnd w:id="275"/>
      <w:bookmarkStart w:id="276" w:name="_Toc184313254"/>
      <w:bookmarkEnd w:id="276"/>
      <w:bookmarkStart w:id="277" w:name="_Toc184313285"/>
      <w:bookmarkEnd w:id="277"/>
      <w:bookmarkStart w:id="278" w:name="_Toc184310300"/>
      <w:bookmarkEnd w:id="278"/>
      <w:bookmarkStart w:id="279" w:name="_Toc184314472"/>
      <w:bookmarkEnd w:id="279"/>
      <w:bookmarkStart w:id="280" w:name="_Toc184313266"/>
      <w:bookmarkEnd w:id="280"/>
      <w:bookmarkStart w:id="281" w:name="_Toc184308059"/>
      <w:bookmarkEnd w:id="281"/>
      <w:bookmarkStart w:id="282" w:name="_Toc184310278"/>
      <w:bookmarkEnd w:id="282"/>
      <w:bookmarkStart w:id="283" w:name="_Toc184310310"/>
      <w:bookmarkEnd w:id="283"/>
      <w:bookmarkStart w:id="284" w:name="_Toc184314411"/>
      <w:bookmarkEnd w:id="284"/>
      <w:bookmarkStart w:id="285" w:name="_Toc184308079"/>
      <w:bookmarkEnd w:id="285"/>
      <w:bookmarkStart w:id="286" w:name="_Toc184308048"/>
      <w:bookmarkEnd w:id="286"/>
      <w:bookmarkStart w:id="287" w:name="_Toc184310339"/>
      <w:bookmarkEnd w:id="287"/>
      <w:bookmarkStart w:id="288" w:name="_Toc184313270"/>
      <w:bookmarkEnd w:id="288"/>
      <w:bookmarkStart w:id="289" w:name="_Toc184312091"/>
      <w:bookmarkEnd w:id="289"/>
      <w:bookmarkStart w:id="290" w:name="_Toc184313241"/>
      <w:bookmarkEnd w:id="290"/>
      <w:bookmarkStart w:id="291" w:name="_Toc184314410"/>
      <w:bookmarkEnd w:id="291"/>
      <w:bookmarkStart w:id="292" w:name="_Toc184313249"/>
      <w:bookmarkEnd w:id="292"/>
      <w:bookmarkStart w:id="293" w:name="_Toc184310286"/>
      <w:bookmarkEnd w:id="293"/>
      <w:bookmarkStart w:id="294" w:name="_Toc184308102"/>
      <w:bookmarkEnd w:id="294"/>
      <w:bookmarkStart w:id="295" w:name="_Toc184308043"/>
      <w:bookmarkEnd w:id="295"/>
      <w:bookmarkStart w:id="296" w:name="_Toc184314427"/>
      <w:bookmarkEnd w:id="296"/>
      <w:bookmarkStart w:id="297" w:name="_Toc184310340"/>
      <w:bookmarkEnd w:id="297"/>
      <w:bookmarkStart w:id="298" w:name="_Toc184308077"/>
      <w:bookmarkEnd w:id="298"/>
      <w:bookmarkStart w:id="299" w:name="_Toc184314473"/>
      <w:bookmarkEnd w:id="299"/>
      <w:bookmarkStart w:id="300" w:name="_Toc184313264"/>
      <w:bookmarkEnd w:id="300"/>
      <w:bookmarkStart w:id="301" w:name="_Toc184308105"/>
      <w:bookmarkEnd w:id="301"/>
      <w:bookmarkStart w:id="302" w:name="_Toc184308045"/>
      <w:bookmarkEnd w:id="302"/>
      <w:bookmarkStart w:id="303" w:name="_Toc184308081"/>
      <w:bookmarkEnd w:id="303"/>
      <w:bookmarkStart w:id="304" w:name="_Toc184308049"/>
      <w:bookmarkEnd w:id="304"/>
      <w:bookmarkStart w:id="305" w:name="_Toc184313239"/>
      <w:bookmarkEnd w:id="305"/>
      <w:bookmarkStart w:id="306" w:name="_Toc184312121"/>
      <w:bookmarkEnd w:id="306"/>
      <w:bookmarkStart w:id="307" w:name="_Toc184310308"/>
      <w:bookmarkEnd w:id="307"/>
      <w:bookmarkStart w:id="308" w:name="_Toc184313267"/>
      <w:bookmarkEnd w:id="308"/>
      <w:bookmarkStart w:id="309" w:name="_Toc184314462"/>
      <w:bookmarkEnd w:id="309"/>
      <w:bookmarkStart w:id="310" w:name="_Toc184312088"/>
      <w:bookmarkEnd w:id="310"/>
      <w:bookmarkStart w:id="311" w:name="_Toc184313248"/>
      <w:bookmarkEnd w:id="311"/>
      <w:bookmarkStart w:id="312" w:name="_Toc184308052"/>
      <w:bookmarkEnd w:id="312"/>
      <w:bookmarkStart w:id="313" w:name="_Toc184312133"/>
      <w:bookmarkEnd w:id="313"/>
      <w:bookmarkStart w:id="314" w:name="_Toc184314471"/>
      <w:bookmarkEnd w:id="314"/>
      <w:bookmarkStart w:id="315" w:name="_Toc184312131"/>
      <w:bookmarkEnd w:id="315"/>
      <w:bookmarkStart w:id="316" w:name="_Toc184314456"/>
      <w:bookmarkEnd w:id="316"/>
      <w:bookmarkStart w:id="317" w:name="_Toc184313280"/>
      <w:bookmarkEnd w:id="317"/>
      <w:bookmarkStart w:id="318" w:name="_Toc184308036"/>
      <w:bookmarkEnd w:id="318"/>
      <w:bookmarkStart w:id="319" w:name="_Toc184313252"/>
      <w:bookmarkEnd w:id="319"/>
      <w:bookmarkStart w:id="320" w:name="_Toc184314469"/>
      <w:bookmarkEnd w:id="320"/>
      <w:bookmarkStart w:id="321" w:name="_Toc184313251"/>
      <w:bookmarkEnd w:id="321"/>
      <w:bookmarkStart w:id="322" w:name="_Toc184310341"/>
      <w:bookmarkEnd w:id="322"/>
      <w:bookmarkStart w:id="323" w:name="_Toc184310336"/>
      <w:bookmarkEnd w:id="323"/>
      <w:bookmarkStart w:id="324" w:name="_Toc184310302"/>
      <w:bookmarkEnd w:id="324"/>
      <w:bookmarkStart w:id="325" w:name="_Toc184308090"/>
      <w:bookmarkEnd w:id="325"/>
      <w:bookmarkStart w:id="326" w:name="_Toc184310285"/>
      <w:bookmarkEnd w:id="326"/>
      <w:bookmarkStart w:id="327" w:name="_Toc184312099"/>
      <w:bookmarkEnd w:id="327"/>
      <w:bookmarkStart w:id="328" w:name="_Toc184313247"/>
      <w:bookmarkEnd w:id="328"/>
      <w:bookmarkStart w:id="329" w:name="_Toc184310324"/>
      <w:bookmarkEnd w:id="329"/>
      <w:bookmarkStart w:id="330" w:name="_Toc184313295"/>
      <w:bookmarkEnd w:id="330"/>
      <w:bookmarkStart w:id="331" w:name="_Toc184308064"/>
      <w:bookmarkEnd w:id="331"/>
      <w:bookmarkStart w:id="332" w:name="_Toc184314458"/>
      <w:bookmarkEnd w:id="332"/>
      <w:bookmarkStart w:id="333" w:name="_Toc184308091"/>
      <w:bookmarkEnd w:id="333"/>
      <w:bookmarkStart w:id="334" w:name="_Toc184314436"/>
      <w:bookmarkEnd w:id="334"/>
      <w:bookmarkStart w:id="335" w:name="_Toc184314453"/>
      <w:bookmarkEnd w:id="335"/>
      <w:bookmarkStart w:id="336" w:name="_Toc184314448"/>
      <w:bookmarkEnd w:id="336"/>
      <w:bookmarkStart w:id="337" w:name="_Toc184312118"/>
      <w:bookmarkEnd w:id="337"/>
      <w:bookmarkStart w:id="338" w:name="_Toc184313283"/>
      <w:bookmarkEnd w:id="338"/>
      <w:bookmarkStart w:id="339" w:name="_Toc184312069"/>
      <w:bookmarkEnd w:id="339"/>
      <w:bookmarkStart w:id="340" w:name="_Toc184313305"/>
      <w:bookmarkEnd w:id="340"/>
      <w:bookmarkStart w:id="341" w:name="_Toc184313271"/>
      <w:bookmarkEnd w:id="341"/>
      <w:bookmarkStart w:id="342" w:name="_Toc184314422"/>
      <w:bookmarkEnd w:id="342"/>
      <w:bookmarkStart w:id="343" w:name="_Toc184308073"/>
      <w:bookmarkEnd w:id="343"/>
      <w:bookmarkStart w:id="344" w:name="_Toc184313294"/>
      <w:bookmarkEnd w:id="344"/>
      <w:bookmarkStart w:id="345" w:name="_Toc184312119"/>
      <w:bookmarkEnd w:id="345"/>
      <w:bookmarkStart w:id="346" w:name="_Toc184313240"/>
      <w:bookmarkEnd w:id="346"/>
      <w:bookmarkStart w:id="347" w:name="_Toc184314423"/>
      <w:bookmarkEnd w:id="347"/>
      <w:bookmarkStart w:id="348" w:name="_Toc184310292"/>
      <w:bookmarkEnd w:id="348"/>
      <w:bookmarkStart w:id="349" w:name="_Toc184314443"/>
      <w:bookmarkEnd w:id="349"/>
      <w:bookmarkStart w:id="350" w:name="_Toc184312079"/>
      <w:bookmarkEnd w:id="350"/>
      <w:bookmarkStart w:id="351" w:name="_Toc184313256"/>
      <w:bookmarkEnd w:id="351"/>
      <w:bookmarkStart w:id="352" w:name="_Toc184313273"/>
      <w:bookmarkEnd w:id="352"/>
      <w:bookmarkStart w:id="353" w:name="_Toc184314438"/>
      <w:bookmarkEnd w:id="353"/>
      <w:bookmarkStart w:id="354" w:name="_Toc184308078"/>
      <w:bookmarkEnd w:id="354"/>
      <w:bookmarkStart w:id="355" w:name="_Toc184313255"/>
      <w:bookmarkEnd w:id="355"/>
      <w:bookmarkStart w:id="356" w:name="_Toc184308058"/>
      <w:bookmarkEnd w:id="356"/>
      <w:bookmarkStart w:id="357" w:name="_Toc184308070"/>
      <w:bookmarkEnd w:id="357"/>
      <w:bookmarkStart w:id="358" w:name="_Toc184313258"/>
      <w:bookmarkEnd w:id="358"/>
      <w:bookmarkStart w:id="359" w:name="_Toc184310325"/>
      <w:bookmarkEnd w:id="359"/>
      <w:bookmarkStart w:id="360" w:name="_Toc184314432"/>
      <w:bookmarkEnd w:id="360"/>
      <w:bookmarkStart w:id="361" w:name="_Toc184313289"/>
      <w:bookmarkEnd w:id="361"/>
      <w:bookmarkStart w:id="362" w:name="_Toc184310281"/>
      <w:bookmarkEnd w:id="362"/>
      <w:bookmarkStart w:id="363" w:name="_Toc184312128"/>
      <w:bookmarkEnd w:id="363"/>
      <w:bookmarkStart w:id="364" w:name="_Toc184310276"/>
      <w:bookmarkEnd w:id="364"/>
      <w:bookmarkStart w:id="365" w:name="_Toc184313292"/>
      <w:bookmarkEnd w:id="365"/>
      <w:bookmarkStart w:id="366" w:name="_Toc184312098"/>
      <w:bookmarkEnd w:id="366"/>
      <w:bookmarkStart w:id="367" w:name="_Toc184314467"/>
      <w:bookmarkEnd w:id="367"/>
      <w:bookmarkStart w:id="368" w:name="_Toc184308099"/>
      <w:bookmarkEnd w:id="368"/>
      <w:bookmarkStart w:id="369" w:name="_Toc184310326"/>
      <w:bookmarkEnd w:id="369"/>
      <w:r>
        <w:rPr>
          <w:rFonts w:hint="eastAsia" w:ascii="宋体" w:hAnsi="宋体" w:eastAsia="宋体" w:cs="宋体"/>
          <w:color w:val="000000" w:themeColor="text1"/>
          <w14:textFill>
            <w14:solidFill>
              <w14:schemeClr w14:val="tx1"/>
            </w14:solidFill>
          </w14:textFill>
        </w:rPr>
        <w:t>评标办法</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评标办法前附表</w:t>
      </w:r>
    </w:p>
    <w:p>
      <w:pPr>
        <w:numPr>
          <w:ilvl w:val="0"/>
          <w:numId w:val="4"/>
        </w:num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商务资信</w:t>
      </w:r>
      <w:r>
        <w:rPr>
          <w:rFonts w:hint="eastAsia" w:ascii="宋体" w:hAnsi="宋体" w:eastAsia="宋体" w:cs="宋体"/>
          <w:color w:val="000000" w:themeColor="text1"/>
          <w:lang w:val="en-US" w:eastAsia="zh-CN"/>
          <w14:textFill>
            <w14:solidFill>
              <w14:schemeClr w14:val="tx1"/>
            </w14:solidFill>
          </w14:textFill>
        </w:rPr>
        <w:t>及技术</w:t>
      </w:r>
    </w:p>
    <w:tbl>
      <w:tblPr>
        <w:tblStyle w:val="25"/>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76"/>
        <w:gridCol w:w="5441"/>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39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评分内容和标准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分值区间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5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资质证书</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具备有效期内的ISO20000（信息技术服务管理体系认证证书）、ISO27001（信息安全管理体系认证证书）、ISO9001（质量管理体系认证证书）、ISO45001（职业健康安全管理体系认证证书）、ISO14001（环境管理体系认证证书）、GB/T 29490-2013（知识产权管理体系认证证书），且以上六项证书认证范围均包括“智慧交通”相关内容。以上证书，满足要求的每个得0.5分，本项最多3分。须提供资质证书复印件或扫描件并加盖投标人公章。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5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投标人具备CMMI软件成熟度模型能力认证证书，四级得1分，五级得2分，本项最多得2分。须提供证书复印件或扫描件并加盖投标人公章。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75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投标人具备ITSS信息技术服务运行维护标准符合性成熟度二级证书得1分，一级证书得2分，本项最多得2分。须提供证书复印件或扫描件并加盖投标人公章。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5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投标人具备“智慧交通”类的软件著作权登记证书，且具有软件产品登记测试报告的，每满足一项得1分，本项最多得2分.须提供证书和测试报告复印件或扫描件并加盖投标人公章。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5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投标人具备信息系统服务交付能力等级一级四星证书的得1分，一级五星证书的得2分，本项最多得2分。须提供证书复印件或扫描件并加盖投标人公章。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75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投标人具备信息系统建设和服务能力评估CS 3级证书的得1分，CS 4级及以上等级证书的得2分，本项最多得2分。须提供证书复印件或扫描件并加盖投标人公章。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75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投标人具备CCRC信息安全服务（软件安全开发）二级及以上资质的得2分，本项最多得2分。须提供证书复印件或扫描件并加盖投标人公章。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业绩</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2019年1月1日至今（以合同签订时间为准），企业具有类似项目（类似项目指智能交通或智慧交通信息化项目，其中软件平台开发部分占比超过项目合同金额的50%），每个得0.2分，最多得1分。本项最多得1分。须提供合同复印件或扫描件并加盖投标人公章。</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rPr>
        <w:tc>
          <w:tcPr>
            <w:tcW w:w="35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75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根据对投标项目现状的理解程度进行综合评定</w:t>
            </w:r>
          </w:p>
        </w:tc>
        <w:tc>
          <w:tcPr>
            <w:tcW w:w="320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1.对指挥中心设备、布局、网络等现状情况的理解。理解分析合理到位的得5分，理解分析基本合理的得3分，理解分析</w:t>
            </w:r>
            <w:r>
              <w:rPr>
                <w:rFonts w:hint="eastAsia" w:ascii="宋体" w:hAnsi="宋体" w:eastAsia="宋体" w:cs="宋体"/>
                <w:color w:val="000000" w:themeColor="text1"/>
                <w:kern w:val="0"/>
                <w:szCs w:val="21"/>
                <w14:textFill>
                  <w14:solidFill>
                    <w14:schemeClr w14:val="tx1"/>
                  </w14:solidFill>
                </w14:textFill>
              </w:rPr>
              <w:t>存在不足的得1分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有明显缺陷或与采购需求完全不匹配的不得分</w:t>
            </w:r>
            <w:r>
              <w:rPr>
                <w:rFonts w:hint="eastAsia" w:ascii="宋体" w:hAnsi="宋体" w:eastAsia="宋体" w:cs="宋体"/>
                <w:color w:val="000000" w:themeColor="text1"/>
                <w:kern w:val="0"/>
                <w:szCs w:val="21"/>
                <w:lang w:val="en-US" w:eastAsia="zh-CN"/>
                <w14:textFill>
                  <w14:solidFill>
                    <w14:schemeClr w14:val="tx1"/>
                  </w14:solidFill>
                </w14:textFill>
              </w:rPr>
              <w:t>。</w:t>
            </w:r>
          </w:p>
        </w:tc>
        <w:tc>
          <w:tcPr>
            <w:tcW w:w="68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35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75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2.对应用平台现状情况的理解。理解分析合理到位的得5分，理解分析基本合理的得3分，理解分析</w:t>
            </w:r>
            <w:r>
              <w:rPr>
                <w:rFonts w:hint="eastAsia" w:ascii="宋体" w:hAnsi="宋体" w:eastAsia="宋体" w:cs="宋体"/>
                <w:color w:val="000000" w:themeColor="text1"/>
                <w:kern w:val="0"/>
                <w:szCs w:val="21"/>
                <w14:textFill>
                  <w14:solidFill>
                    <w14:schemeClr w14:val="tx1"/>
                  </w14:solidFill>
                </w14:textFill>
              </w:rPr>
              <w:t>存在不足的得1分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有明显缺陷或与采购需求完全不匹配的不得分</w:t>
            </w:r>
            <w:r>
              <w:rPr>
                <w:rFonts w:hint="eastAsia" w:ascii="宋体" w:hAnsi="宋体" w:eastAsia="宋体" w:cs="宋体"/>
                <w:color w:val="000000" w:themeColor="text1"/>
                <w:kern w:val="0"/>
                <w:szCs w:val="21"/>
                <w:lang w:val="en-US" w:eastAsia="zh-CN"/>
                <w14:textFill>
                  <w14:solidFill>
                    <w14:schemeClr w14:val="tx1"/>
                  </w14:solidFill>
                </w14:textFill>
              </w:rPr>
              <w:t>。</w:t>
            </w:r>
          </w:p>
        </w:tc>
        <w:tc>
          <w:tcPr>
            <w:tcW w:w="68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根据对本项目建设数据情况的理解程度进行综合评定</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根据萧山区交通运输局当前实际情况，结合项目招标文件，提供本项目建设的数据需求及建成后可共享的数据情况分析。数据需求科学全面、可共享的数据情况分析到位得5分，数据需求基本全面、可共享的数据情况分析深度一般得3分，分析</w:t>
            </w:r>
            <w:r>
              <w:rPr>
                <w:rFonts w:hint="eastAsia" w:ascii="宋体" w:hAnsi="宋体" w:eastAsia="宋体" w:cs="宋体"/>
                <w:color w:val="000000" w:themeColor="text1"/>
                <w:kern w:val="0"/>
                <w:szCs w:val="21"/>
                <w14:textFill>
                  <w14:solidFill>
                    <w14:schemeClr w14:val="tx1"/>
                  </w14:solidFill>
                </w14:textFill>
              </w:rPr>
              <w:t>存在不足的得1分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未提供或分析不到位的</w:t>
            </w:r>
            <w:r>
              <w:rPr>
                <w:rFonts w:hint="eastAsia" w:ascii="宋体" w:hAnsi="宋体" w:eastAsia="宋体" w:cs="宋体"/>
                <w:color w:val="000000" w:themeColor="text1"/>
                <w:kern w:val="0"/>
                <w:szCs w:val="21"/>
                <w14:textFill>
                  <w14:solidFill>
                    <w14:schemeClr w14:val="tx1"/>
                  </w14:solidFill>
                </w14:textFill>
              </w:rPr>
              <w:t>不得分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根据对本项目系统架构的优劣程度进行综合评定</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结合项目招标文件，提供针对本项目的总体架构图、逻辑架构图、技术架构图、数据归集图和数据处理流程图。方案科学全面、满足采购需求得3分，方案基本全面、基本满足采购需求得1.5分，方案不全面、不满足采购需求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根据对本项目应用系统设计的优劣程度进行综合评定</w:t>
            </w:r>
          </w:p>
        </w:tc>
        <w:tc>
          <w:tcPr>
            <w:tcW w:w="320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1.投标人根据实际情况，结合项目招标文件内容及建设需求，提供针对本项目“大型活动期间交通数字化组织保障” 的应用系统设计方案，必须包含针对该模块的业务流程、功能需求、数据需求和功能设计。技术实施路线清晰、功能模块建设方案科学全面、满足采购需求得2分，实施路线基本可行、方案基本全面、基本满足采购需求得1分，实施路线不明确、方案不全面、不满足采购需求得0分。</w:t>
            </w:r>
          </w:p>
        </w:tc>
        <w:tc>
          <w:tcPr>
            <w:tcW w:w="68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2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投标人根据实际情况，结合项目招标文件内容及建设需求，提供针对本项目“交通转运‘疫安行’”的应用系统设计方案，必须包含针对该模块的业务流程、功能需求、数据需求和功能设计。技术实施路线清晰、功能模块建设方案科学全面、预期视觉效果良好、满足采购需求得2分，实施路线基本可行、方案基本全面、预期视觉效果一般、基本满足采购需求得1分，实施路线不明确、方案不全面、不满足采购需求得0分。</w:t>
            </w:r>
          </w:p>
        </w:tc>
        <w:tc>
          <w:tcPr>
            <w:tcW w:w="682"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投标人根据实际情况，结合项目招标文件内容及建设需求，提供针对本项目“非法营运靶向数治”的应用系统设计方案，必须包含针对该模块的业务流程、功能需求、数据需求和功能设计。技术实施路线清晰、功能模块建设方案科学全面、满足采购需求得2分，实施路线基本可行、方案基本全面、基本满足采购需求得1分，实施路线不明确、方案不全面、不满足采购需求得0分。</w:t>
            </w:r>
          </w:p>
        </w:tc>
        <w:tc>
          <w:tcPr>
            <w:tcW w:w="682" w:type="pc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根据对本项目招标文件中※内容的响应情况进行综合评定</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根据投标人针对招标文件中※内容的响应情况进行评分；方案清晰可行、满足采购需求得5分，方案基本可行、基本满足采购需求得3分，方案有明显缺陷、不满足采购需求得0分。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35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75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根据对本项目的对接方案进行综合评定</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投标人详细提供本项目如何与萧山区综合交通信息指挥中心一期项目平台进行对接方案；方案清晰可行、满足采购需求得2分，方案基本可行、基本满足采购需求得1分，方案有明显缺陷、不满足采购需求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75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2、投标人详细提供本项目如何与杭州市交通运输局现有平台进行对接方案；方案清晰可行、满足采购需求得2分，方案基本可行、基本满足采购需求得1分，方案有明显缺陷、不满足采购需求得0分。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9" w:hRule="atLeast"/>
        </w:trPr>
        <w:tc>
          <w:tcPr>
            <w:tcW w:w="35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75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投标人详细提供本项目建设的应急指挥移动端如何与萧山区综合交通信息指挥中心一期项目建设的应急指挥系统进行对接方案；方案清晰可行、满足采购需求得2分，方案基本可行、基本满足采购需求得1分，方案有明显缺陷、不满足采购需求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35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75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投标人详细提供本项目建设的“活动保障一张图”、“防疫转运一张图”、“数字打非一张图”、“非现治超一张图”等交通一张图如何与萧山区综合交通信息指挥中心一期项目建设的运行监测平台进行对接方案；方案清晰可行、满足采购需求得2分，方案基本可行、基本满足采购需求得1分，方案有明显缺陷、不满足采购需求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组织实施方案</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针对本项目实际情况提供详细的实施方案：包括项目组织、项目管理方案、项目进度方案、项目运行维护等。方案清晰可行、满足采购需求得2分，方案基本可行、基本满足采购需求得1分，方案有明显缺陷、不满足采购需求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项目负责人及技术力量安排等</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1、项目负责人：同时具备机电工程一级建造师、信息系统项目管理师及信息技术相关专业高级工程师的得2分，否则不得分；（如投标人为联合体，项目负责人须牵头单位派遣）</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2、项目技术负责人：同时具备智慧交通专业高级工程师职称和CCRC信息安全保障人员认证证书的得2分，否则不得分；（如投标人为联合体，技术负责人须牵头单位派遣）</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3、软件负责人：同时具备系统分析师和系统架构设计师的得2分，否则不得分；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实施团队其他人员配备要求：不少于10人的实施团队（其中至少包含2名软件设计师、1名数据库系统工程师、1名网络工程师、1名软件评测师；其中至少5人获得智慧交通或智能交通中级及以上工程师证书）的得4分，否则不得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color w:val="000000" w:themeColor="text1"/>
                <w:highlight w:val="none"/>
                <w:shd w:val="clear" w:color="auto" w:fill="auto"/>
                <w14:textFill>
                  <w14:solidFill>
                    <w14:schemeClr w14:val="tx1"/>
                  </w14:solidFill>
                </w14:textFill>
              </w:rPr>
              <w:t>上述</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14:textFill>
                  <w14:solidFill>
                    <w14:schemeClr w14:val="tx1"/>
                  </w14:solidFill>
                </w14:textFill>
              </w:rPr>
              <w:t>项人员不重复计分，重复的按高分计取。</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注：所有拟派人员均应为本单位注册、在编人员，须提供相关证书和2022年7月至2022年10月连续以投标单位名义缴纳的个人社保证明的原件扫描件。</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培训方案</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针对本项目实际情况提供详细的培训方案：包括培训目标、培训内容、培训计划、培训管理、培训质量控制。内容完整，满足采购需求的得2分，方案齐全、内容基本完整、基本满足采购需求的得1分，方案未提供或不合理的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售后服务方案</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人针对本项目实际情况提供详细的售后服务方案：包括故障修复服务、定期巡检服务、系统评估及优化服务和保修期外服务。内容完整，满足采购需求的得2分，方案齐全、内容基本完整、基本满足采购需求的得1分，方案未提供或不合理的得0分。</w:t>
            </w:r>
          </w:p>
        </w:tc>
        <w:tc>
          <w:tcPr>
            <w:tcW w:w="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7"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系统演示</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注： 要求投标人用项目真实系统演示（演示不接受PPT、DEMO等演示）</w:t>
            </w: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1、疫情转运模块演示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疫情转运基本信息管理：结合萧山疫情转运实际需求和流程，演示转运车辆管理、隔离点管理、转运人员管理、转运企业管理、转运司机管理、人员种类维护、疫情轮次管理。演示内容完整清晰、功能无漏项得2分；内容不完整，功能有漏项的，每缺一项扣0.5分，扣完为止；（0-2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隔离转运单：结合萧山疫情转运实际需求和流程，演示隔离转运单的新增、卫健隔离酒店选择、交通转派企业、企业转派司机的流转功能；支持详情信息、流转信息、打卡记录查看功能；支持根据人员类别，姓名、镇街、隔离点等条件查询功能；支持批量上报、批量处理、直接完结、作废、回退、导出、紧急修改的操作功能。演示内容完整清晰、功能无漏项得2分；内容不完整，功能有漏项的，每缺一项扣0.5分，扣完为止；（0-2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其它转运单：结合萧山疫情转运实际需求和流程，演示其它转运单的新增、交通转派企业、转派司机的流转功能；支持详情信息、流转信息、打卡记录查看功能；支持根据人员类别、姓名、镇街、上车点等条件进行查询功能；支持批量导入、导出、批量处理、回退、作废、紧急修改的功能。演示内容完整清晰、功能无漏项得2分；内容不完整，功能有漏项的，每缺一项扣0.5分，扣完为止；（0-2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规模转运单：结合萧山疫情转运实际需求和流程，演示规模转运的上报、卫健酒店选择、分派企业、企业派车、确认到达酒店的流转功能；支持转运基本信息、流转日志、人员信息查看功能；支持人员全部导出，人员按车辆导出功能。演示内容完整清晰、功能无漏项得2分；内容不完整，功能有漏项的，每缺一项扣1分，扣完为止；（0-2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精密智控分析：结合萧山疫情转运实际需求和流程，演示跟省精密智控数据比对功能，显示纳管总人数、纳管未上报人数、纳管已上报人数、已集中隔离未确认人数；显示转运单人数、未派房人数、未派企业人数、未派车人数、未上车人数、已上车人数、已送达人数；显示各镇街上报情况统计、各镇街平均处理时长。演示内容完整清晰、功能无漏项得2分；内容不完整，功能有漏项的，每缺一项扣1分，扣完为止；（0-2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转运监测大屏：结合萧山疫情转运实际需求和流程，演示转运监测大屏功能，以萧山范围为中心，实时显示转运信息包括转运车辆统计、隔离酒店统计、司机转运任务单列表；实时显示萧山范围内被转运人员信息包括：转运人数、隔离转运、其它转运、密接已完成、次密已完成、卫健未派房、交通未派企业、企业未派车、未上车、已送达人数，转运单列表；并可根据日期对选择查司机转运任务单、转运单进行查询功能；并结合地图进行转运人员、酒店、车辆的图层控制，可在地图对车辆、人员、酒店进行搜索的功能。演示内容完整清晰、功能无漏项得2分；内容不完整，功能有漏项的，每缺一项扣0.5分，扣完为止；（0-2分）</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0-21分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2、非法营运模块演示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非法营运专题：演示实时展示萧山的黑名单过列表、展示区域黑名单过车次数排行卡口黑名单过车次数排行、黑名单过车统计、过车次数最多的车牌名单、黑名单处罚信息统计。演示内容完整清晰、功能无漏项得3分；内容不完整，功能有漏项的，每缺一项扣0.5分，扣完为止；（0-3分）</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3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80" w:afterAutospacing="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3、移动端模块演示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司机移动端任务单管理：演示任务单的待办任务、完成任务列表功能；支持任务单的接收、到达上车点打卡、乘客上车打卡/回退、到达下车点打卡、消杀流转功能；支持任务单详情查看、拨打电话、导航的功能；支持多个上车点和下车点的任务流转；演示内容完整清晰、功能无漏项得2分；内容不完整，功能有漏项的，每缺一项扣0.5分，扣完为止；（0-2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规模转运单：演示规模转运单支持多辆车辆和司机的填报的功能；在填报时支持根据车辆和司机的查询功能；支持确认上车、手动录入、扫码录入、人员删除、完成上车的功能；支持扫健康码快速录入人员信息的功能。演示内容完整清晰、功能无漏项得2分；内容不完整，功能有漏项的，每缺一项扣0.5分，扣完为止；（0-2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隔离转运单：演示隔离转运单的待办和已办列表功能；支持转运单的填报和批量转运功能；支持隔运单的退回、直接完结功能；支持根据人类类别、镇街、隔离酒店进行筛选的功能。演示内容完整清晰、功能无漏项得2分；内容不完整，功能有漏项的，每缺一项扣0.5分，扣完为止；（0-2分）</w:t>
            </w: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bl>
    <w:p>
      <w:pPr>
        <w:pStyle w:val="2"/>
        <w:numPr>
          <w:ilvl w:val="0"/>
          <w:numId w:val="0"/>
        </w:numP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价格分（</w:t>
      </w:r>
      <w:r>
        <w:rPr>
          <w:rFonts w:hint="eastAsia" w:ascii="宋体" w:hAnsi="宋体" w:eastAsia="宋体" w:cs="宋体"/>
          <w:b/>
          <w:color w:val="000000" w:themeColor="text1"/>
          <w:lang w:val="en-US" w:eastAsia="zh-CN"/>
          <w14:textFill>
            <w14:solidFill>
              <w14:schemeClr w14:val="tx1"/>
            </w14:solidFill>
          </w14:textFill>
        </w:rPr>
        <w:t>10</w:t>
      </w:r>
      <w:r>
        <w:rPr>
          <w:rFonts w:hint="eastAsia" w:ascii="宋体" w:hAnsi="宋体" w:eastAsia="宋体" w:cs="宋体"/>
          <w:b/>
          <w:color w:val="000000" w:themeColor="text1"/>
          <w14:textFill>
            <w14:solidFill>
              <w14:schemeClr w14:val="tx1"/>
            </w14:solidFill>
          </w14:textFill>
        </w:rPr>
        <w:t>分）</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3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spacing w:after="0"/>
              <w:rPr>
                <w:rFonts w:hint="eastAsia" w:ascii="宋体" w:hAnsi="宋体" w:eastAsia="宋体" w:cs="宋体"/>
                <w:color w:val="000000" w:themeColor="text1"/>
                <w14:textFill>
                  <w14:solidFill>
                    <w14:schemeClr w14:val="tx1"/>
                  </w14:solidFill>
                </w14:textFill>
              </w:rPr>
            </w:pPr>
          </w:p>
          <w:p>
            <w:pPr>
              <w:spacing w:after="0"/>
              <w:rPr>
                <w:rFonts w:hint="eastAsia" w:ascii="宋体" w:hAnsi="宋体" w:eastAsia="宋体" w:cs="宋体"/>
                <w:color w:val="000000" w:themeColor="text1"/>
                <w14:textFill>
                  <w14:solidFill>
                    <w14:schemeClr w14:val="tx1"/>
                  </w14:solidFill>
                </w14:textFill>
              </w:rPr>
            </w:pP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价格分</w:t>
            </w:r>
          </w:p>
        </w:tc>
        <w:tc>
          <w:tcPr>
            <w:tcW w:w="553" w:type="dxa"/>
            <w:vAlign w:val="center"/>
          </w:tcPr>
          <w:p>
            <w:pPr>
              <w:pStyle w:val="46"/>
              <w:numPr>
                <w:ilvl w:val="0"/>
                <w:numId w:val="5"/>
              </w:numPr>
              <w:spacing w:after="0"/>
              <w:jc w:val="center"/>
              <w:rPr>
                <w:rFonts w:hint="eastAsia" w:ascii="宋体" w:hAnsi="宋体" w:eastAsia="宋体" w:cs="宋体"/>
                <w:color w:val="000000" w:themeColor="text1"/>
                <w14:textFill>
                  <w14:solidFill>
                    <w14:schemeClr w14:val="tx1"/>
                  </w14:solidFill>
                </w14:textFill>
              </w:rPr>
            </w:pPr>
          </w:p>
        </w:tc>
        <w:tc>
          <w:tcPr>
            <w:tcW w:w="1937" w:type="dxa"/>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价格权值=0.10</w:t>
            </w:r>
          </w:p>
        </w:tc>
        <w:tc>
          <w:tcPr>
            <w:tcW w:w="6142" w:type="dxa"/>
          </w:tcPr>
          <w:p>
            <w:pPr>
              <w:spacing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最低有效投标价格为评标基准价</w:t>
            </w:r>
          </w:p>
          <w:p>
            <w:pPr>
              <w:spacing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投标报价得分=(评标基准价／投标报价)×价格权值×100 </w:t>
            </w:r>
          </w:p>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（计算得分保留小数点后2位）</w:t>
            </w:r>
          </w:p>
        </w:tc>
      </w:tr>
    </w:tbl>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r>
        <w:rPr>
          <w:rFonts w:hint="eastAsia" w:ascii="宋体" w:hAnsi="宋体" w:eastAsia="宋体" w:cs="宋体"/>
          <w:color w:val="000000" w:themeColor="text1"/>
          <w14:textFill>
            <w14:solidFill>
              <w14:schemeClr w14:val="tx1"/>
            </w14:solidFill>
          </w14:textFill>
        </w:rPr>
        <w:t>1、评分条款中涉及的业绩、荣誉、人员、社保等分公司均有效。</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3、投标人编制投标文件（商务技术文件部分）时，建议按此目录（序号和内容）提供评标标准相应的商务技术资料。 </w:t>
      </w: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一、评标方法</w:t>
      </w:r>
    </w:p>
    <w:p>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1.本项目采用综合评分法。</w:t>
      </w:r>
      <w:r>
        <w:rPr>
          <w:rFonts w:hint="eastAsia" w:ascii="宋体" w:hAnsi="宋体" w:eastAsia="宋体" w:cs="宋体"/>
          <w:color w:val="000000" w:themeColor="text1"/>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二、评标标准</w:t>
      </w:r>
    </w:p>
    <w:p>
      <w:pPr>
        <w:spacing w:line="360" w:lineRule="auto"/>
        <w:ind w:firstLine="472" w:firstLineChars="196"/>
        <w:rPr>
          <w:rFonts w:hint="eastAsia" w:ascii="宋体" w:hAnsi="宋体" w:eastAsia="宋体" w:cs="宋体"/>
          <w:b/>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2. 评标标准：</w:t>
      </w:r>
      <w:r>
        <w:rPr>
          <w:rFonts w:hint="eastAsia" w:ascii="宋体" w:hAnsi="宋体" w:eastAsia="宋体" w:cs="宋体"/>
          <w:color w:val="000000" w:themeColor="text1"/>
          <w14:textFill>
            <w14:solidFill>
              <w14:schemeClr w14:val="tx1"/>
            </w14:solidFill>
          </w14:textFill>
        </w:rPr>
        <w:t>见评标办法前附表。</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三、评标程序</w:t>
      </w:r>
    </w:p>
    <w:p>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3.1符合性审查。</w:t>
      </w:r>
      <w:r>
        <w:rPr>
          <w:rFonts w:hint="eastAsia" w:ascii="宋体" w:hAnsi="宋体" w:eastAsia="宋体" w:cs="宋体"/>
          <w:color w:val="000000" w:themeColor="text1"/>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3.2 比较与评价。</w:t>
      </w:r>
      <w:r>
        <w:rPr>
          <w:rFonts w:hint="eastAsia" w:ascii="宋体" w:hAnsi="宋体" w:eastAsia="宋体" w:cs="宋体"/>
          <w:color w:val="000000" w:themeColor="text1"/>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3.3汇总商务技术得分。</w:t>
      </w:r>
      <w:r>
        <w:rPr>
          <w:rFonts w:hint="eastAsia" w:ascii="宋体" w:hAnsi="宋体" w:eastAsia="宋体" w:cs="宋体"/>
          <w:color w:val="000000" w:themeColor="text1"/>
          <w14:textFill>
            <w14:solidFill>
              <w14:schemeClr w14:val="tx1"/>
            </w14:solidFill>
          </w14:textFill>
        </w:rPr>
        <w:t>评标委员会各成员应当独立对每个投标人的商务和技术文件进行评价，并汇总商务技术得分情况。</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3.4报价评审。</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3.4.1投标文件报价出现前后不一致的，按照下列规定修正：</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3.4.1.1投标文件中开标一览表(报价表)内容与投标文件中相应内容不一致的，以开标一览表(报价表)为准;</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3.4.1.2大写金额和小写金额不一致的，以大写金额为准;</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3.4.1.3单价金额小数点或者百分比有明显错位的，以开标一览表的总价为准，并修改单价;</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3.4.1.4总价金额与按单价汇总金额不一致的，以单价金额计算结果为准。</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3.4.2投标文件出现不是唯一的、有选择性投标报价的，投标无效。</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3.4.3投标报价超过招标文件中规定的预算金额或者最高限价的，投标无效。</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3.5排序与推荐。</w:t>
      </w:r>
      <w:r>
        <w:rPr>
          <w:rFonts w:hint="eastAsia" w:ascii="宋体" w:hAnsi="宋体" w:eastAsia="宋体" w:cs="宋体"/>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3.6编写评标报告。</w:t>
      </w:r>
      <w:r>
        <w:rPr>
          <w:rFonts w:hint="eastAsia" w:ascii="宋体" w:hAnsi="宋体" w:eastAsia="宋体" w:cs="宋体"/>
          <w:color w:val="000000" w:themeColor="text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四、评标中的其他事项</w:t>
      </w:r>
    </w:p>
    <w:p>
      <w:pPr>
        <w:pStyle w:val="60"/>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4.1投标人澄清、说明或者补正。</w:t>
      </w:r>
      <w:r>
        <w:rPr>
          <w:rFonts w:hint="eastAsia" w:ascii="宋体" w:hAnsi="宋体" w:eastAsia="宋体" w:cs="宋体"/>
          <w:color w:val="000000" w:themeColor="text1"/>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hint="eastAsia" w:ascii="宋体" w:hAnsi="宋体" w:eastAsia="宋体" w:cs="宋体"/>
          <w:color w:val="000000" w:themeColor="text1"/>
          <w:szCs w:val="2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4.2投标无效。</w:t>
      </w:r>
      <w:r>
        <w:rPr>
          <w:rFonts w:hint="eastAsia" w:ascii="宋体" w:hAnsi="宋体" w:eastAsia="宋体" w:cs="宋体"/>
          <w:color w:val="000000" w:themeColor="text1"/>
          <w:szCs w:val="21"/>
          <w14:textFill>
            <w14:solidFill>
              <w14:schemeClr w14:val="tx1"/>
            </w14:solidFill>
          </w14:textFill>
        </w:rPr>
        <w:t>有下列情形之一的，投标无效：</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4.2.2投标文件未按照招标文件要求签署、盖章的；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4.2.4投标文件含有采购人不能接受的附加条件的；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4.2.5投标文件中承诺的投标有效期少于招标文件中载明的投标有效期的；</w:t>
      </w:r>
    </w:p>
    <w:p>
      <w:pPr>
        <w:snapToGrid w:val="0"/>
        <w:spacing w:line="360" w:lineRule="auto"/>
        <w:ind w:firstLine="120"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4.2.7投标报价超过招标文件中规定的预算金额或者最高限价的;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4.2.9投标人对根据修正原则修正后的报价不确认的；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4.2.10投标人提供虚假材料投标的；</w:t>
      </w:r>
    </w:p>
    <w:p>
      <w:pPr>
        <w:spacing w:line="360"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4.2.12投标人仅提交备份投标文件，未在电子交易平台传输递交投标文件的，投标无效；</w:t>
      </w:r>
    </w:p>
    <w:p>
      <w:pPr>
        <w:ind w:firstLine="48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4.2.13 投标文件不满足招标文件的其它实质性要求的；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4.2.14法律、法规、规章（适用本市的）及省级以上规范性文件（适用本市的）规定的其他无效情形。</w:t>
      </w:r>
    </w:p>
    <w:p>
      <w:pPr>
        <w:pStyle w:val="15"/>
        <w:snapToGrid w:val="0"/>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5.1符合专业条件的供应商或者对招标文件作实质响应的供应商不足3家的；</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5.3投标人的报价均超过了采购预算，采购人不能支付的；</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废标后，采购机构应当将废标理由通知所有投标人。</w:t>
      </w:r>
    </w:p>
    <w:p>
      <w:pPr>
        <w:pStyle w:val="15"/>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6.修改招标文件，重新组织采购活动。</w:t>
      </w:r>
      <w:r>
        <w:rPr>
          <w:rFonts w:hint="eastAsia" w:ascii="宋体" w:hAnsi="宋体" w:eastAsia="宋体"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36"/>
          <w:rFonts w:hint="eastAsia" w:ascii="宋体" w:hAnsi="宋体" w:eastAsia="宋体" w:cs="宋体"/>
          <w:color w:val="000000" w:themeColor="text1"/>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7.1未确定中标或者中标人的，终止本次政府采购活动，重新开展政府采购活动。</w:t>
      </w:r>
    </w:p>
    <w:p>
      <w:pPr>
        <w:pStyle w:val="15"/>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7.4政府采购合同已经履行，给采购人、供应商造成损失的，由责任人承担赔偿责任。</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7.5政府采购当事人有其他违反政府采购法</w:t>
      </w:r>
      <w:r>
        <w:rPr>
          <w:rFonts w:hint="eastAsia" w:ascii="宋体" w:hAnsi="宋体" w:eastAsia="宋体" w:cs="宋体"/>
          <w:color w:val="000000" w:themeColor="text1"/>
          <w:kern w:val="0"/>
          <w14:textFill>
            <w14:solidFill>
              <w14:schemeClr w14:val="tx1"/>
            </w14:solidFill>
          </w14:textFill>
        </w:rPr>
        <w:t>或者政府采购法实施条例等法律法规规定</w:t>
      </w:r>
      <w:r>
        <w:rPr>
          <w:rFonts w:hint="eastAsia" w:ascii="宋体" w:hAnsi="宋体" w:eastAsia="宋体" w:cs="宋体"/>
          <w:color w:val="000000" w:themeColor="text1"/>
          <w14:textFill>
            <w14:solidFill>
              <w14:schemeClr w14:val="tx1"/>
            </w14:solidFill>
          </w14:textFill>
        </w:rPr>
        <w:t>的行为，经改正后仍然影响或者可能影响中标、成交结果或者依法被认定为中标、成交无效的，依照7.1-7.4规定处理。</w:t>
      </w:r>
    </w:p>
    <w:p>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拟签订的合同文本</w:t>
      </w:r>
    </w:p>
    <w:p>
      <w:pPr>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服务类合同建议可按照参考格式按照实际情况调整修改。</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货物类参考范本</w:t>
      </w:r>
    </w:p>
    <w:p>
      <w:pPr>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合同编号：</w:t>
      </w:r>
      <w:r>
        <w:rPr>
          <w:rFonts w:hint="eastAsia" w:ascii="宋体" w:hAnsi="宋体" w:eastAsia="宋体" w:cs="宋体"/>
          <w:color w:val="000000" w:themeColor="text1"/>
          <w:u w:val="single"/>
          <w14:textFill>
            <w14:solidFill>
              <w14:schemeClr w14:val="tx1"/>
            </w14:solidFill>
          </w14:textFill>
        </w:rPr>
        <w:t xml:space="preserve">           </w:t>
      </w:r>
    </w:p>
    <w:p>
      <w:pPr>
        <w:pStyle w:val="15"/>
        <w:snapToGrid w:val="0"/>
        <w:spacing w:line="360" w:lineRule="auto"/>
        <w:rPr>
          <w:rFonts w:hint="eastAsia" w:ascii="宋体" w:hAnsi="宋体" w:eastAsia="宋体" w:cs="宋体"/>
          <w:color w:val="000000" w:themeColor="text1"/>
          <w14:textFill>
            <w14:solidFill>
              <w14:schemeClr w14:val="tx1"/>
            </w14:solidFill>
          </w14:textFill>
        </w:rPr>
      </w:pPr>
    </w:p>
    <w:p>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政府采购合同参考范本</w:t>
      </w:r>
    </w:p>
    <w:p>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（货物类）</w:t>
      </w:r>
    </w:p>
    <w:p>
      <w:pPr>
        <w:pStyle w:val="71"/>
        <w:ind w:left="480"/>
        <w:jc w:val="center"/>
        <w:rPr>
          <w:rFonts w:hint="eastAsia" w:ascii="宋体" w:hAnsi="宋体" w:eastAsia="宋体" w:cs="宋体"/>
          <w:color w:val="000000" w:themeColor="text1"/>
          <w:szCs w:val="24"/>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合同书</w:t>
      </w:r>
    </w:p>
    <w:p>
      <w:pPr>
        <w:pStyle w:val="71"/>
        <w:ind w:left="480"/>
        <w:rPr>
          <w:rFonts w:hint="eastAsia" w:ascii="宋体" w:hAnsi="宋体" w:eastAsia="宋体" w:cs="宋体"/>
          <w:color w:val="000000" w:themeColor="text1"/>
          <w:szCs w:val="24"/>
          <w14:textFill>
            <w14:solidFill>
              <w14:schemeClr w14:val="tx1"/>
            </w14:solidFill>
          </w14:textFill>
        </w:rPr>
      </w:pPr>
    </w:p>
    <w:p>
      <w:pPr>
        <w:spacing w:before="120" w:line="22" w:lineRule="atLeast"/>
        <w:rPr>
          <w:rFonts w:hint="eastAsia" w:ascii="宋体" w:hAnsi="宋体" w:eastAsia="宋体" w:cs="宋体"/>
          <w:color w:val="000000" w:themeColor="text1"/>
          <w14:textFill>
            <w14:solidFill>
              <w14:schemeClr w14:val="tx1"/>
            </w14:solidFill>
          </w14:textFill>
        </w:rPr>
      </w:pPr>
    </w:p>
    <w:p>
      <w:pPr>
        <w:spacing w:before="120" w:line="22" w:lineRule="atLeast"/>
        <w:ind w:left="9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 xml:space="preserve">                                   </w:t>
      </w:r>
    </w:p>
    <w:p>
      <w:pPr>
        <w:pStyle w:val="70"/>
        <w:spacing w:before="120" w:line="22" w:lineRule="atLeast"/>
        <w:rPr>
          <w:rFonts w:hint="eastAsia" w:ascii="宋体" w:hAnsi="宋体" w:eastAsia="宋体" w:cs="宋体"/>
          <w:color w:val="000000" w:themeColor="text1"/>
          <w:szCs w:val="24"/>
          <w14:textFill>
            <w14:solidFill>
              <w14:schemeClr w14:val="tx1"/>
            </w14:solidFill>
          </w14:textFill>
        </w:rPr>
      </w:pPr>
    </w:p>
    <w:p>
      <w:pPr>
        <w:pStyle w:val="70"/>
        <w:spacing w:before="120" w:line="22" w:lineRule="atLeast"/>
        <w:rPr>
          <w:rFonts w:hint="eastAsia" w:ascii="宋体" w:hAnsi="宋体" w:eastAsia="宋体" w:cs="宋体"/>
          <w:color w:val="000000" w:themeColor="text1"/>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pacing w:before="120" w:line="22" w:lineRule="atLeast"/>
        <w:ind w:left="96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14:textFill>
            <w14:solidFill>
              <w14:schemeClr w14:val="tx1"/>
            </w14:solidFill>
          </w14:textFill>
        </w:rPr>
      </w:pPr>
    </w:p>
    <w:p>
      <w:pPr>
        <w:spacing w:before="120" w:line="22" w:lineRule="atLeast"/>
        <w:ind w:left="96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14:textFill>
            <w14:solidFill>
              <w14:schemeClr w14:val="tx1"/>
            </w14:solidFill>
          </w14:textFill>
        </w:rPr>
      </w:pPr>
    </w:p>
    <w:p>
      <w:pPr>
        <w:spacing w:before="120" w:line="22" w:lineRule="atLeast"/>
        <w:ind w:firstLine="960" w:firstLineChars="4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签订地：</w:t>
      </w:r>
      <w:r>
        <w:rPr>
          <w:rFonts w:hint="eastAsia" w:ascii="宋体" w:hAnsi="宋体" w:eastAsia="宋体" w:cs="宋体"/>
          <w:color w:val="000000" w:themeColor="text1"/>
          <w:u w:val="single"/>
          <w14:textFill>
            <w14:solidFill>
              <w14:schemeClr w14:val="tx1"/>
            </w14:solidFill>
          </w14:textFill>
        </w:rPr>
        <w:t xml:space="preserve">                                     </w:t>
      </w:r>
    </w:p>
    <w:p>
      <w:pPr>
        <w:spacing w:before="120" w:line="22" w:lineRule="atLeast"/>
        <w:rPr>
          <w:rFonts w:hint="eastAsia" w:ascii="宋体" w:hAnsi="宋体" w:eastAsia="宋体" w:cs="宋体"/>
          <w:color w:val="000000" w:themeColor="text1"/>
          <w14:textFill>
            <w14:solidFill>
              <w14:schemeClr w14:val="tx1"/>
            </w14:solidFill>
          </w14:textFill>
        </w:rPr>
      </w:pPr>
    </w:p>
    <w:p>
      <w:pPr>
        <w:spacing w:before="120" w:line="22" w:lineRule="atLeast"/>
        <w:ind w:firstLine="960" w:firstLineChars="4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pPr>
        <w:rPr>
          <w:rFonts w:hint="eastAsia" w:ascii="宋体" w:hAnsi="宋体" w:eastAsia="宋体" w:cs="宋体"/>
          <w:color w:val="000000" w:themeColor="text1"/>
          <w14:textFill>
            <w14:solidFill>
              <w14:schemeClr w14:val="tx1"/>
            </w14:solidFill>
          </w14:textFill>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（采购人）   </w:t>
      </w:r>
      <w:r>
        <w:rPr>
          <w:rFonts w:hint="eastAsia" w:ascii="宋体" w:hAnsi="宋体" w:eastAsia="宋体" w:cs="宋体"/>
          <w:color w:val="000000" w:themeColor="text1"/>
          <w14:textFill>
            <w14:solidFill>
              <w14:schemeClr w14:val="tx1"/>
            </w14:solidFill>
          </w14:textFill>
        </w:rPr>
        <w:t>以</w:t>
      </w:r>
      <w:r>
        <w:rPr>
          <w:rFonts w:hint="eastAsia" w:ascii="宋体" w:hAnsi="宋体" w:eastAsia="宋体" w:cs="宋体"/>
          <w:color w:val="000000" w:themeColor="text1"/>
          <w:u w:val="single"/>
          <w14:textFill>
            <w14:solidFill>
              <w14:schemeClr w14:val="tx1"/>
            </w14:solidFill>
          </w14:textFill>
        </w:rPr>
        <w:t xml:space="preserve">   （政府采购方式）  </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u w:val="single"/>
          <w14:textFill>
            <w14:solidFill>
              <w14:schemeClr w14:val="tx1"/>
            </w14:solidFill>
          </w14:textFill>
        </w:rPr>
        <w:t xml:space="preserve">   （同前页项目名称）   </w:t>
      </w:r>
      <w:r>
        <w:rPr>
          <w:rFonts w:hint="eastAsia" w:ascii="宋体" w:hAnsi="宋体" w:eastAsia="宋体" w:cs="宋体"/>
          <w:color w:val="000000" w:themeColor="text1"/>
          <w14:textFill>
            <w14:solidFill>
              <w14:schemeClr w14:val="tx1"/>
            </w14:solidFill>
          </w14:textFill>
        </w:rPr>
        <w:t>项目进行了采购。经</w:t>
      </w:r>
      <w:r>
        <w:rPr>
          <w:rFonts w:hint="eastAsia" w:ascii="宋体" w:hAnsi="宋体" w:eastAsia="宋体" w:cs="宋体"/>
          <w:color w:val="000000" w:themeColor="text1"/>
          <w:u w:val="single"/>
          <w14:textFill>
            <w14:solidFill>
              <w14:schemeClr w14:val="tx1"/>
            </w14:solidFill>
          </w14:textFill>
        </w:rPr>
        <w:t xml:space="preserve">   （相关评定主体名称）   </w:t>
      </w:r>
      <w:r>
        <w:rPr>
          <w:rFonts w:hint="eastAsia" w:ascii="宋体" w:hAnsi="宋体" w:eastAsia="宋体" w:cs="宋体"/>
          <w:color w:val="000000" w:themeColor="text1"/>
          <w14:textFill>
            <w14:solidFill>
              <w14:schemeClr w14:val="tx1"/>
            </w14:solidFill>
          </w14:textFill>
        </w:rPr>
        <w:t>评定，</w:t>
      </w:r>
      <w:r>
        <w:rPr>
          <w:rFonts w:hint="eastAsia" w:ascii="宋体" w:hAnsi="宋体" w:eastAsia="宋体" w:cs="宋体"/>
          <w:color w:val="000000" w:themeColor="text1"/>
          <w:u w:val="single"/>
          <w14:textFill>
            <w14:solidFill>
              <w14:schemeClr w14:val="tx1"/>
            </w14:solidFill>
          </w14:textFill>
        </w:rPr>
        <w:t xml:space="preserve">   （中标供应商名称）</w:t>
      </w:r>
      <w:r>
        <w:rPr>
          <w:rFonts w:hint="eastAsia" w:ascii="宋体" w:hAnsi="宋体" w:eastAsia="宋体" w:cs="宋体"/>
          <w:color w:val="000000" w:themeColor="text1"/>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u w:val="single"/>
          <w14:textFill>
            <w14:solidFill>
              <w14:schemeClr w14:val="tx1"/>
            </w14:solidFill>
          </w14:textFill>
        </w:rPr>
        <w:t xml:space="preserve">   （采购人）   </w:t>
      </w:r>
      <w:r>
        <w:rPr>
          <w:rFonts w:hint="eastAsia" w:ascii="宋体" w:hAnsi="宋体" w:eastAsia="宋体" w:cs="宋体"/>
          <w:color w:val="000000" w:themeColor="text1"/>
          <w:lang w:val="zh-CN"/>
          <w14:textFill>
            <w14:solidFill>
              <w14:schemeClr w14:val="tx1"/>
            </w14:solidFill>
          </w14:textFill>
        </w:rPr>
        <w:t>(以下简称：甲方)和</w:t>
      </w:r>
      <w:r>
        <w:rPr>
          <w:rFonts w:hint="eastAsia" w:ascii="宋体" w:hAnsi="宋体" w:eastAsia="宋体" w:cs="宋体"/>
          <w:color w:val="000000" w:themeColor="text1"/>
          <w:u w:val="single"/>
          <w14:textFill>
            <w14:solidFill>
              <w14:schemeClr w14:val="tx1"/>
            </w14:solidFill>
          </w14:textFill>
        </w:rPr>
        <w:t xml:space="preserve">   （中标供应商名称）   </w:t>
      </w:r>
      <w:r>
        <w:rPr>
          <w:rFonts w:hint="eastAsia" w:ascii="宋体" w:hAnsi="宋体" w:eastAsia="宋体" w:cs="宋体"/>
          <w:color w:val="000000" w:themeColor="text1"/>
          <w:lang w:val="zh-CN"/>
          <w14:textFill>
            <w14:solidFill>
              <w14:schemeClr w14:val="tx1"/>
            </w14:solidFill>
          </w14:textFill>
        </w:rPr>
        <w:t>(以下简称：乙方)协商一致，约定以下合同</w:t>
      </w:r>
      <w:r>
        <w:rPr>
          <w:rFonts w:hint="eastAsia" w:ascii="宋体" w:hAnsi="宋体" w:eastAsia="宋体" w:cs="宋体"/>
          <w:color w:val="000000" w:themeColor="text1"/>
          <w14:textFill>
            <w14:solidFill>
              <w14:schemeClr w14:val="tx1"/>
            </w14:solidFill>
          </w14:textFill>
        </w:rPr>
        <w:t>条款，以兹共同遵守、全面履行。</w:t>
      </w:r>
    </w:p>
    <w:p>
      <w:pPr>
        <w:pStyle w:val="5"/>
        <w:rPr>
          <w:rFonts w:hint="eastAsia" w:ascii="宋体" w:hAnsi="宋体" w:eastAsia="宋体" w:cs="宋体"/>
          <w:color w:val="000000" w:themeColor="text1"/>
          <w14:textFill>
            <w14:solidFill>
              <w14:schemeClr w14:val="tx1"/>
            </w14:solidFill>
          </w14:textFill>
        </w:rPr>
      </w:pPr>
      <w:bookmarkStart w:id="370" w:name="_Toc24059"/>
      <w:bookmarkStart w:id="371" w:name="_Toc2232"/>
      <w:bookmarkStart w:id="372" w:name="_Toc3029"/>
      <w:r>
        <w:rPr>
          <w:rFonts w:hint="eastAsia" w:ascii="宋体" w:hAnsi="宋体" w:eastAsia="宋体" w:cs="宋体"/>
          <w:color w:val="000000" w:themeColor="text1"/>
          <w14:textFill>
            <w14:solidFill>
              <w14:schemeClr w14:val="tx1"/>
            </w14:solidFill>
          </w14:textFill>
        </w:rPr>
        <w:t>1.1 合同组成部分</w:t>
      </w:r>
      <w:bookmarkEnd w:id="370"/>
      <w:bookmarkEnd w:id="371"/>
      <w:bookmarkEnd w:id="372"/>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 本合同及其补充合同、变更协议；</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中标通知书；</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 投标文件（含澄清或者说明文件）；</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1.1.4 招标文件（含澄清或者修改文件）；</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1.1.5 其他相关采购文件。</w:t>
      </w:r>
    </w:p>
    <w:p>
      <w:pPr>
        <w:pStyle w:val="5"/>
        <w:rPr>
          <w:rFonts w:hint="eastAsia" w:ascii="宋体" w:hAnsi="宋体" w:eastAsia="宋体" w:cs="宋体"/>
          <w:color w:val="000000" w:themeColor="text1"/>
          <w14:textFill>
            <w14:solidFill>
              <w14:schemeClr w14:val="tx1"/>
            </w14:solidFill>
          </w14:textFill>
        </w:rPr>
      </w:pPr>
      <w:bookmarkStart w:id="373" w:name="_Toc27126"/>
      <w:bookmarkStart w:id="374" w:name="_Toc21295"/>
      <w:bookmarkStart w:id="375" w:name="_Toc24300"/>
      <w:r>
        <w:rPr>
          <w:rFonts w:hint="eastAsia" w:ascii="宋体" w:hAnsi="宋体" w:eastAsia="宋体" w:cs="宋体"/>
          <w:color w:val="000000" w:themeColor="text1"/>
          <w14:textFill>
            <w14:solidFill>
              <w14:schemeClr w14:val="tx1"/>
            </w14:solidFill>
          </w14:textFill>
        </w:rPr>
        <w:t>1.2 货物</w:t>
      </w:r>
      <w:bookmarkEnd w:id="373"/>
      <w:bookmarkEnd w:id="374"/>
      <w:bookmarkEnd w:id="375"/>
    </w:p>
    <w:p>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 货物名称：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 货物数量：</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 货物质量：</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pPr>
        <w:pStyle w:val="5"/>
        <w:rPr>
          <w:rFonts w:hint="eastAsia" w:ascii="宋体" w:hAnsi="宋体" w:eastAsia="宋体" w:cs="宋体"/>
          <w:color w:val="000000" w:themeColor="text1"/>
          <w14:textFill>
            <w14:solidFill>
              <w14:schemeClr w14:val="tx1"/>
            </w14:solidFill>
          </w14:textFill>
        </w:rPr>
      </w:pPr>
      <w:bookmarkStart w:id="376" w:name="_Toc21551"/>
      <w:bookmarkStart w:id="377" w:name="_Toc21631"/>
      <w:bookmarkStart w:id="378" w:name="_Toc23292"/>
      <w:r>
        <w:rPr>
          <w:rFonts w:hint="eastAsia" w:ascii="宋体" w:hAnsi="宋体" w:eastAsia="宋体" w:cs="宋体"/>
          <w:color w:val="000000" w:themeColor="text1"/>
          <w14:textFill>
            <w14:solidFill>
              <w14:schemeClr w14:val="tx1"/>
            </w14:solidFill>
          </w14:textFill>
        </w:rPr>
        <w:t>1.3 价款</w:t>
      </w:r>
      <w:bookmarkEnd w:id="376"/>
      <w:bookmarkEnd w:id="377"/>
      <w:bookmarkEnd w:id="378"/>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本合同总价为：￥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元人民币）。</w:t>
      </w:r>
    </w:p>
    <w:p>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bl>
    <w:p>
      <w:pPr>
        <w:pStyle w:val="5"/>
        <w:rPr>
          <w:rFonts w:hint="eastAsia" w:ascii="宋体" w:hAnsi="宋体" w:eastAsia="宋体" w:cs="宋体"/>
          <w:color w:val="000000" w:themeColor="text1"/>
          <w14:textFill>
            <w14:solidFill>
              <w14:schemeClr w14:val="tx1"/>
            </w14:solidFill>
          </w14:textFill>
        </w:rPr>
      </w:pPr>
      <w:bookmarkStart w:id="379" w:name="_Toc1814"/>
      <w:bookmarkStart w:id="380" w:name="_Toc22618"/>
      <w:bookmarkStart w:id="381" w:name="_Toc10340"/>
      <w:r>
        <w:rPr>
          <w:rFonts w:hint="eastAsia" w:ascii="宋体" w:hAnsi="宋体" w:eastAsia="宋体" w:cs="宋体"/>
          <w:color w:val="000000" w:themeColor="text1"/>
          <w14:textFill>
            <w14:solidFill>
              <w14:schemeClr w14:val="tx1"/>
            </w14:solidFill>
          </w14:textFill>
        </w:rPr>
        <w:t>1.4 付款</w:t>
      </w:r>
      <w:bookmarkEnd w:id="379"/>
      <w:bookmarkEnd w:id="380"/>
      <w:bookmarkEnd w:id="381"/>
      <w:r>
        <w:rPr>
          <w:rFonts w:hint="eastAsia" w:ascii="宋体" w:hAnsi="宋体" w:eastAsia="宋体" w:cs="宋体"/>
          <w:color w:val="000000" w:themeColor="text1"/>
          <w14:textFill>
            <w14:solidFill>
              <w14:schemeClr w14:val="tx1"/>
            </w14:solidFill>
          </w14:textFill>
        </w:rPr>
        <w:t>方式、时间和条件</w:t>
      </w:r>
    </w:p>
    <w:p>
      <w:pPr>
        <w:pStyle w:val="72"/>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1.4.4资金支付的方式、时间和条件详见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5"/>
        <w:rPr>
          <w:rFonts w:hint="eastAsia" w:ascii="宋体" w:hAnsi="宋体" w:eastAsia="宋体" w:cs="宋体"/>
          <w:color w:val="000000" w:themeColor="text1"/>
          <w14:textFill>
            <w14:solidFill>
              <w14:schemeClr w14:val="tx1"/>
            </w14:solidFill>
          </w14:textFill>
        </w:rPr>
      </w:pPr>
      <w:bookmarkStart w:id="382" w:name="_Toc32071"/>
      <w:bookmarkStart w:id="383" w:name="_Toc2846"/>
      <w:bookmarkStart w:id="384" w:name="_Toc19304"/>
      <w:r>
        <w:rPr>
          <w:rFonts w:hint="eastAsia" w:ascii="宋体" w:hAnsi="宋体" w:eastAsia="宋体" w:cs="宋体"/>
          <w:color w:val="000000" w:themeColor="text1"/>
          <w14:textFill>
            <w14:solidFill>
              <w14:schemeClr w14:val="tx1"/>
            </w14:solidFill>
          </w14:textFill>
        </w:rPr>
        <w:t>1.5 货物交付期限、地点和方式</w:t>
      </w:r>
      <w:bookmarkEnd w:id="382"/>
      <w:bookmarkEnd w:id="383"/>
      <w:bookmarkEnd w:id="384"/>
    </w:p>
    <w:p>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 交付期限：详见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 交付地点：</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 交付方式：</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pPr>
        <w:pStyle w:val="5"/>
        <w:rPr>
          <w:rFonts w:hint="eastAsia" w:ascii="宋体" w:hAnsi="宋体" w:eastAsia="宋体" w:cs="宋体"/>
          <w:color w:val="000000" w:themeColor="text1"/>
          <w14:textFill>
            <w14:solidFill>
              <w14:schemeClr w14:val="tx1"/>
            </w14:solidFill>
          </w14:textFill>
        </w:rPr>
      </w:pPr>
      <w:bookmarkStart w:id="385" w:name="_Toc21423"/>
      <w:bookmarkStart w:id="386" w:name="_Toc19554"/>
      <w:bookmarkStart w:id="387" w:name="_Toc27250"/>
      <w:r>
        <w:rPr>
          <w:rFonts w:hint="eastAsia" w:ascii="宋体" w:hAnsi="宋体" w:eastAsia="宋体" w:cs="宋体"/>
          <w:color w:val="000000" w:themeColor="text1"/>
          <w14:textFill>
            <w14:solidFill>
              <w14:schemeClr w14:val="tx1"/>
            </w14:solidFill>
          </w14:textFill>
        </w:rPr>
        <w:t>1.6 违约责任</w:t>
      </w:r>
      <w:bookmarkEnd w:id="385"/>
      <w:bookmarkEnd w:id="386"/>
      <w:bookmarkEnd w:id="387"/>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u w:val="single"/>
          <w14:textFill>
            <w14:solidFill>
              <w14:schemeClr w14:val="tx1"/>
            </w14:solidFill>
          </w14:textFill>
        </w:rPr>
        <w:t xml:space="preserve">  0.05  </w:t>
      </w:r>
      <w:r>
        <w:rPr>
          <w:rFonts w:hint="eastAsia" w:ascii="宋体" w:hAnsi="宋体" w:eastAsia="宋体" w:cs="宋体"/>
          <w:color w:val="000000" w:themeColor="text1"/>
          <w14:textFill>
            <w14:solidFill>
              <w14:schemeClr w14:val="tx1"/>
            </w14:solidFill>
          </w14:textFill>
        </w:rPr>
        <w:t>%计算，最高限额为本合同总价的</w:t>
      </w:r>
      <w:r>
        <w:rPr>
          <w:rFonts w:hint="eastAsia" w:ascii="宋体" w:hAnsi="宋体" w:eastAsia="宋体" w:cs="宋体"/>
          <w:color w:val="000000" w:themeColor="text1"/>
          <w:u w:val="single"/>
          <w14:textFill>
            <w14:solidFill>
              <w14:schemeClr w14:val="tx1"/>
            </w14:solidFill>
          </w14:textFill>
        </w:rPr>
        <w:t xml:space="preserve"> 20  </w:t>
      </w:r>
      <w:r>
        <w:rPr>
          <w:rFonts w:hint="eastAsia" w:ascii="宋体" w:hAnsi="宋体" w:eastAsia="宋体" w:cs="宋体"/>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u w:val="single"/>
          <w14:textFill>
            <w14:solidFill>
              <w14:schemeClr w14:val="tx1"/>
            </w14:solidFill>
          </w14:textFill>
        </w:rPr>
        <w:t xml:space="preserve">  0.05  </w:t>
      </w:r>
      <w:r>
        <w:rPr>
          <w:rFonts w:hint="eastAsia" w:ascii="宋体" w:hAnsi="宋体" w:eastAsia="宋体" w:cs="宋体"/>
          <w:color w:val="000000" w:themeColor="text1"/>
          <w14:textFill>
            <w14:solidFill>
              <w14:schemeClr w14:val="tx1"/>
            </w14:solidFill>
          </w14:textFill>
        </w:rPr>
        <w:t>%计算，最高限额为本合同总价的</w:t>
      </w:r>
      <w:r>
        <w:rPr>
          <w:rFonts w:hint="eastAsia" w:ascii="宋体" w:hAnsi="宋体" w:eastAsia="宋体" w:cs="宋体"/>
          <w:color w:val="000000" w:themeColor="text1"/>
          <w:u w:val="single"/>
          <w14:textFill>
            <w14:solidFill>
              <w14:schemeClr w14:val="tx1"/>
            </w14:solidFill>
          </w14:textFill>
        </w:rPr>
        <w:t xml:space="preserve">  20   </w:t>
      </w:r>
      <w:r>
        <w:rPr>
          <w:rFonts w:hint="eastAsia" w:ascii="宋体" w:hAnsi="宋体" w:eastAsia="宋体" w:cs="宋体"/>
          <w:color w:val="000000" w:themeColor="text1"/>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1.6.7违约责任</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另有约定的，从其约定。</w:t>
      </w:r>
    </w:p>
    <w:p>
      <w:pPr>
        <w:pStyle w:val="5"/>
        <w:rPr>
          <w:rFonts w:hint="eastAsia" w:ascii="宋体" w:hAnsi="宋体" w:eastAsia="宋体" w:cs="宋体"/>
          <w:color w:val="000000" w:themeColor="text1"/>
          <w14:textFill>
            <w14:solidFill>
              <w14:schemeClr w14:val="tx1"/>
            </w14:solidFill>
          </w14:textFill>
        </w:rPr>
      </w:pPr>
      <w:bookmarkStart w:id="388" w:name="_Toc28375"/>
      <w:bookmarkStart w:id="389" w:name="_Toc16021"/>
      <w:bookmarkStart w:id="390" w:name="_Toc15583"/>
      <w:r>
        <w:rPr>
          <w:rFonts w:hint="eastAsia" w:ascii="宋体" w:hAnsi="宋体" w:eastAsia="宋体" w:cs="宋体"/>
          <w:color w:val="000000" w:themeColor="text1"/>
          <w14:textFill>
            <w14:solidFill>
              <w14:schemeClr w14:val="tx1"/>
            </w14:solidFill>
          </w14:textFill>
        </w:rPr>
        <w:t>1.7 合同争议的解决</w:t>
      </w:r>
      <w:bookmarkEnd w:id="388"/>
      <w:bookmarkEnd w:id="389"/>
      <w:bookmarkEnd w:id="390"/>
    </w:p>
    <w:p>
      <w:pPr>
        <w:spacing w:line="560" w:lineRule="exact"/>
        <w:ind w:left="-70" w:leftChars="-29" w:right="-480" w:rightChars="-200"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u w:val="single"/>
          <w14:textFill>
            <w14:solidFill>
              <w14:schemeClr w14:val="tx1"/>
            </w14:solidFill>
          </w14:textFill>
        </w:rPr>
        <w:t xml:space="preserve"> 合同专用条款  </w:t>
      </w:r>
      <w:r>
        <w:rPr>
          <w:rFonts w:hint="eastAsia" w:ascii="宋体" w:hAnsi="宋体" w:eastAsia="宋体" w:cs="宋体"/>
          <w:color w:val="000000" w:themeColor="text1"/>
          <w14:textFill>
            <w14:solidFill>
              <w14:schemeClr w14:val="tx1"/>
            </w14:solidFill>
          </w14:textFill>
        </w:rPr>
        <w:t>条款规定的方式解决：</w:t>
      </w:r>
    </w:p>
    <w:p>
      <w:pPr>
        <w:spacing w:line="560" w:lineRule="exact"/>
        <w:ind w:left="-480" w:leftChars="-200" w:right="-480" w:rightChars="-200"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 将争议提交</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仲裁委员会依申请仲裁时其现行有效的仲裁规则裁决；</w:t>
      </w:r>
    </w:p>
    <w:p>
      <w:pPr>
        <w:spacing w:line="560" w:lineRule="exact"/>
        <w:ind w:left="-480" w:leftChars="-200" w:right="-480" w:rightChars="-200"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 向</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人民法院起诉。</w:t>
      </w:r>
    </w:p>
    <w:p>
      <w:pPr>
        <w:pStyle w:val="5"/>
        <w:rPr>
          <w:rFonts w:hint="eastAsia" w:ascii="宋体" w:hAnsi="宋体" w:eastAsia="宋体" w:cs="宋体"/>
          <w:color w:val="000000" w:themeColor="text1"/>
          <w14:textFill>
            <w14:solidFill>
              <w14:schemeClr w14:val="tx1"/>
            </w14:solidFill>
          </w14:textFill>
        </w:rPr>
      </w:pPr>
      <w:bookmarkStart w:id="391" w:name="_Toc7245"/>
      <w:bookmarkStart w:id="392" w:name="_Toc15322"/>
      <w:bookmarkStart w:id="393" w:name="_Toc11173"/>
      <w:r>
        <w:rPr>
          <w:rFonts w:hint="eastAsia" w:ascii="宋体" w:hAnsi="宋体" w:eastAsia="宋体" w:cs="宋体"/>
          <w:color w:val="000000" w:themeColor="text1"/>
          <w14:textFill>
            <w14:solidFill>
              <w14:schemeClr w14:val="tx1"/>
            </w14:solidFill>
          </w14:textFill>
        </w:rPr>
        <w:t>1.8 合同生效</w:t>
      </w:r>
      <w:bookmarkEnd w:id="391"/>
      <w:bookmarkEnd w:id="392"/>
      <w:bookmarkEnd w:id="393"/>
    </w:p>
    <w:p>
      <w:pPr>
        <w:spacing w:line="560" w:lineRule="exact"/>
        <w:ind w:firstLine="48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本合同自双方当事人盖章或者签字时生效。</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甲方</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b/>
          <w:color w:val="000000" w:themeColor="text1"/>
          <w:lang w:val="zh-CN"/>
          <w14:textFill>
            <w14:solidFill>
              <w14:schemeClr w14:val="tx1"/>
            </w14:solidFill>
          </w14:textFill>
        </w:rPr>
        <w:t xml:space="preserve">      乙方</w:t>
      </w:r>
      <w:r>
        <w:rPr>
          <w:rFonts w:hint="eastAsia" w:ascii="宋体" w:hAnsi="宋体" w:eastAsia="宋体" w:cs="宋体"/>
          <w:color w:val="000000" w:themeColor="text1"/>
          <w:lang w:val="zh-CN"/>
          <w14:textFill>
            <w14:solidFill>
              <w14:schemeClr w14:val="tx1"/>
            </w14:solidFill>
          </w14:textFill>
        </w:rPr>
        <w:t>：</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住所：                                   住所：</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法定代表人或                             法定代表人</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授权代表（签字）：                        或授权代表（签字）: </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联系人：                                 联系人：</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约定送达地址：                           约定送达地址：</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邮政编码：                               邮政编码：</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电话:                                    电话: </w:t>
      </w:r>
    </w:p>
    <w:p>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传真:                                    传真:</w:t>
      </w:r>
    </w:p>
    <w:p>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电子邮箱：                               电子邮箱：</w:t>
      </w:r>
    </w:p>
    <w:p>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开户银行：                               开户银行： </w:t>
      </w:r>
    </w:p>
    <w:p>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开户名称：                               开户名称： </w:t>
      </w:r>
    </w:p>
    <w:p>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开户账号：</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开户账号：</w:t>
      </w:r>
    </w:p>
    <w:p>
      <w:pPr>
        <w:spacing w:line="560" w:lineRule="exact"/>
        <w:rPr>
          <w:rFonts w:hint="eastAsia" w:ascii="宋体" w:hAnsi="宋体" w:eastAsia="宋体" w:cs="宋体"/>
          <w:b/>
          <w:color w:val="000000" w:themeColor="text1"/>
          <w14:textFill>
            <w14:solidFill>
              <w14:schemeClr w14:val="tx1"/>
            </w14:solidFill>
          </w14:textFill>
        </w:rPr>
      </w:pPr>
      <w:bookmarkStart w:id="394" w:name="_Toc331685783"/>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合同一般条款</w:t>
      </w:r>
      <w:bookmarkEnd w:id="394"/>
    </w:p>
    <w:p>
      <w:pPr>
        <w:pStyle w:val="5"/>
        <w:rPr>
          <w:rFonts w:hint="eastAsia" w:ascii="宋体" w:hAnsi="宋体" w:eastAsia="宋体" w:cs="宋体"/>
          <w:color w:val="000000" w:themeColor="text1"/>
          <w14:textFill>
            <w14:solidFill>
              <w14:schemeClr w14:val="tx1"/>
            </w14:solidFill>
          </w14:textFill>
        </w:rPr>
      </w:pPr>
      <w:bookmarkStart w:id="395" w:name="_Toc16917"/>
      <w:bookmarkStart w:id="396" w:name="_Ref467378404"/>
      <w:bookmarkStart w:id="397" w:name="_Toc259093669"/>
      <w:bookmarkStart w:id="398" w:name="_Ref467379205"/>
      <w:bookmarkStart w:id="399" w:name="_Toc19614"/>
      <w:bookmarkStart w:id="400" w:name="_Toc487900349"/>
      <w:bookmarkStart w:id="401" w:name="_Ref467379109"/>
      <w:bookmarkStart w:id="402" w:name="_Toc28763"/>
      <w:bookmarkStart w:id="403" w:name="_Ref467378463"/>
      <w:bookmarkStart w:id="404" w:name="_Ref467378499"/>
      <w:bookmarkStart w:id="405" w:name="_Ref467379225"/>
      <w:bookmarkStart w:id="406" w:name="_Ref467379214"/>
      <w:bookmarkStart w:id="407" w:name="_Ref467379195"/>
      <w:bookmarkStart w:id="408" w:name="_Toc279701240"/>
      <w:bookmarkStart w:id="409" w:name="_Ref467379101"/>
      <w:bookmarkStart w:id="410" w:name="_Ref467379094"/>
      <w:r>
        <w:rPr>
          <w:rFonts w:hint="eastAsia" w:ascii="宋体" w:hAnsi="宋体" w:eastAsia="宋体" w:cs="宋体"/>
          <w:color w:val="000000" w:themeColor="text1"/>
          <w14:textFill>
            <w14:solidFill>
              <w14:schemeClr w14:val="tx1"/>
            </w14:solidFill>
          </w14:textFill>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本合同中的下列词语应按以下内容进行解释：</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11" w:name="_Ref467378840"/>
      <w:r>
        <w:rPr>
          <w:rFonts w:hint="eastAsia" w:ascii="宋体" w:hAnsi="宋体" w:eastAsia="宋体" w:cs="宋体"/>
          <w:color w:val="000000" w:themeColor="text1"/>
          <w14:textFill>
            <w14:solidFill>
              <w14:schemeClr w14:val="tx1"/>
            </w14:solidFill>
          </w14:textFill>
        </w:rPr>
        <w:t>2.1.4 “甲方”系指与中标供应商签署合同的采购人</w:t>
      </w:r>
      <w:bookmarkEnd w:id="411"/>
      <w:r>
        <w:rPr>
          <w:rFonts w:hint="eastAsia" w:ascii="宋体" w:hAnsi="宋体" w:eastAsia="宋体" w:cs="宋体"/>
          <w:color w:val="000000" w:themeColor="text1"/>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12" w:name="_Ref467379400"/>
      <w:r>
        <w:rPr>
          <w:rFonts w:hint="eastAsia" w:ascii="宋体" w:hAnsi="宋体" w:eastAsia="宋体" w:cs="宋体"/>
          <w:color w:val="000000" w:themeColor="text1"/>
          <w14:textFill>
            <w14:solidFill>
              <w14:schemeClr w14:val="tx1"/>
            </w14:solidFill>
          </w14:textFill>
        </w:rPr>
        <w:t>2.1.5 “乙方”系指根据合同约定交付货物的中标供应商</w:t>
      </w:r>
      <w:bookmarkEnd w:id="412"/>
      <w:r>
        <w:rPr>
          <w:rFonts w:hint="eastAsia" w:ascii="宋体" w:hAnsi="宋体" w:eastAsia="宋体" w:cs="宋体"/>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13" w:name="_Ref467379436"/>
      <w:r>
        <w:rPr>
          <w:rFonts w:hint="eastAsia" w:ascii="宋体" w:hAnsi="宋体" w:eastAsia="宋体" w:cs="宋体"/>
          <w:color w:val="000000" w:themeColor="text1"/>
          <w14:textFill>
            <w14:solidFill>
              <w14:schemeClr w14:val="tx1"/>
            </w14:solidFill>
          </w14:textFill>
        </w:rPr>
        <w:t>2.1.6 “现场”系指合同约定货物将要运至或者安装的地点。</w:t>
      </w:r>
      <w:bookmarkEnd w:id="413"/>
    </w:p>
    <w:p>
      <w:pPr>
        <w:pStyle w:val="5"/>
        <w:rPr>
          <w:rFonts w:hint="eastAsia" w:ascii="宋体" w:hAnsi="宋体" w:eastAsia="宋体" w:cs="宋体"/>
          <w:color w:val="000000" w:themeColor="text1"/>
          <w14:textFill>
            <w14:solidFill>
              <w14:schemeClr w14:val="tx1"/>
            </w14:solidFill>
          </w14:textFill>
        </w:rPr>
      </w:pPr>
      <w:bookmarkStart w:id="414" w:name="_Toc279701241"/>
      <w:bookmarkStart w:id="415" w:name="_Toc259093670"/>
      <w:bookmarkStart w:id="416" w:name="_Toc32504"/>
      <w:bookmarkStart w:id="417" w:name="_Toc487900350"/>
      <w:bookmarkStart w:id="418" w:name="_Toc13336"/>
      <w:bookmarkStart w:id="419" w:name="_Toc27635"/>
      <w:r>
        <w:rPr>
          <w:rFonts w:hint="eastAsia" w:ascii="宋体" w:hAnsi="宋体" w:eastAsia="宋体" w:cs="宋体"/>
          <w:color w:val="000000" w:themeColor="text1"/>
          <w14:textFill>
            <w14:solidFill>
              <w14:schemeClr w14:val="tx1"/>
            </w14:solidFill>
          </w14:textFill>
        </w:rPr>
        <w:t>2.2 技术规范</w:t>
      </w:r>
      <w:bookmarkEnd w:id="414"/>
      <w:bookmarkEnd w:id="415"/>
      <w:bookmarkEnd w:id="416"/>
      <w:bookmarkEnd w:id="417"/>
      <w:bookmarkEnd w:id="418"/>
      <w:bookmarkEnd w:id="419"/>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5"/>
        <w:rPr>
          <w:rFonts w:hint="eastAsia" w:ascii="宋体" w:hAnsi="宋体" w:eastAsia="宋体" w:cs="宋体"/>
          <w:color w:val="000000" w:themeColor="text1"/>
          <w14:textFill>
            <w14:solidFill>
              <w14:schemeClr w14:val="tx1"/>
            </w14:solidFill>
          </w14:textFill>
        </w:rPr>
      </w:pPr>
      <w:bookmarkStart w:id="420" w:name="_Toc279701242"/>
      <w:bookmarkStart w:id="421" w:name="_Toc9829"/>
      <w:bookmarkStart w:id="422" w:name="_Toc31634"/>
      <w:bookmarkStart w:id="423" w:name="_Toc487900351"/>
      <w:bookmarkStart w:id="424" w:name="_Toc27853"/>
      <w:bookmarkStart w:id="425" w:name="_Toc259093671"/>
      <w:r>
        <w:rPr>
          <w:rFonts w:hint="eastAsia" w:ascii="宋体" w:hAnsi="宋体" w:eastAsia="宋体" w:cs="宋体"/>
          <w:color w:val="000000" w:themeColor="text1"/>
          <w14:textFill>
            <w14:solidFill>
              <w14:schemeClr w14:val="tx1"/>
            </w14:solidFill>
          </w14:textFill>
        </w:rPr>
        <w:t>2.3 知识产权</w:t>
      </w:r>
      <w:bookmarkEnd w:id="420"/>
      <w:bookmarkEnd w:id="421"/>
      <w:bookmarkEnd w:id="422"/>
      <w:bookmarkEnd w:id="423"/>
      <w:bookmarkEnd w:id="424"/>
      <w:bookmarkEnd w:id="425"/>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pPr>
        <w:pStyle w:val="5"/>
        <w:rPr>
          <w:rFonts w:hint="eastAsia" w:ascii="宋体" w:hAnsi="宋体" w:eastAsia="宋体" w:cs="宋体"/>
          <w:color w:val="000000" w:themeColor="text1"/>
          <w14:textFill>
            <w14:solidFill>
              <w14:schemeClr w14:val="tx1"/>
            </w14:solidFill>
          </w14:textFill>
        </w:rPr>
      </w:pPr>
      <w:bookmarkStart w:id="426" w:name="_Toc4194"/>
      <w:bookmarkStart w:id="427" w:name="_Toc11932"/>
      <w:bookmarkStart w:id="428" w:name="_Toc29149"/>
      <w:r>
        <w:rPr>
          <w:rFonts w:hint="eastAsia" w:ascii="宋体" w:hAnsi="宋体" w:eastAsia="宋体" w:cs="宋体"/>
          <w:color w:val="000000" w:themeColor="text1"/>
          <w14:textFill>
            <w14:solidFill>
              <w14:schemeClr w14:val="tx1"/>
            </w14:solidFill>
          </w14:textFill>
        </w:rPr>
        <w:t>2.4 包装和装运</w:t>
      </w:r>
      <w:bookmarkEnd w:id="426"/>
      <w:bookmarkEnd w:id="427"/>
      <w:bookmarkEnd w:id="428"/>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2.4.1除</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2.4.2 装运货物的要求和通知，详见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pPr>
        <w:pStyle w:val="5"/>
        <w:rPr>
          <w:rFonts w:hint="eastAsia" w:ascii="宋体" w:hAnsi="宋体" w:eastAsia="宋体" w:cs="宋体"/>
          <w:color w:val="000000" w:themeColor="text1"/>
          <w14:textFill>
            <w14:solidFill>
              <w14:schemeClr w14:val="tx1"/>
            </w14:solidFill>
          </w14:textFill>
        </w:rPr>
      </w:pPr>
      <w:bookmarkStart w:id="429" w:name="_Toc259093674"/>
      <w:bookmarkStart w:id="430" w:name="_Ref467379527"/>
      <w:bookmarkStart w:id="431" w:name="_Ref467378541"/>
      <w:bookmarkStart w:id="432" w:name="_Ref467379542"/>
      <w:bookmarkStart w:id="433" w:name="_Toc279701245"/>
      <w:bookmarkStart w:id="434" w:name="_Toc487900354"/>
      <w:bookmarkStart w:id="435" w:name="_Ref467379536"/>
      <w:bookmarkStart w:id="436" w:name="_Ref467378591"/>
      <w:bookmarkStart w:id="437" w:name="_Toc19074"/>
      <w:bookmarkStart w:id="438" w:name="_Toc30272"/>
      <w:bookmarkStart w:id="439" w:name="_Toc26182"/>
      <w:r>
        <w:rPr>
          <w:rFonts w:hint="eastAsia" w:ascii="宋体" w:hAnsi="宋体" w:eastAsia="宋体" w:cs="宋体"/>
          <w:color w:val="000000" w:themeColor="text1"/>
          <w14:textFill>
            <w14:solidFill>
              <w14:schemeClr w14:val="tx1"/>
            </w14:solidFill>
          </w14:textFill>
        </w:rPr>
        <w:t>2.</w:t>
      </w:r>
      <w:bookmarkEnd w:id="429"/>
      <w:bookmarkEnd w:id="430"/>
      <w:bookmarkEnd w:id="431"/>
      <w:bookmarkEnd w:id="432"/>
      <w:bookmarkEnd w:id="433"/>
      <w:bookmarkEnd w:id="434"/>
      <w:bookmarkEnd w:id="435"/>
      <w:bookmarkEnd w:id="436"/>
      <w:r>
        <w:rPr>
          <w:rFonts w:hint="eastAsia" w:ascii="宋体" w:hAnsi="宋体" w:eastAsia="宋体" w:cs="宋体"/>
          <w:color w:val="000000" w:themeColor="text1"/>
          <w14:textFill>
            <w14:solidFill>
              <w14:schemeClr w14:val="tx1"/>
            </w14:solidFill>
          </w14:textFill>
        </w:rPr>
        <w:t>5 履约检查和问题反馈</w:t>
      </w:r>
      <w:bookmarkEnd w:id="437"/>
      <w:bookmarkEnd w:id="438"/>
      <w:bookmarkEnd w:id="439"/>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40" w:name="_Ref467379657"/>
      <w:r>
        <w:rPr>
          <w:rFonts w:hint="eastAsia" w:ascii="宋体" w:hAnsi="宋体" w:eastAsia="宋体" w:cs="宋体"/>
          <w:color w:val="000000" w:themeColor="text1"/>
          <w14:textFill>
            <w14:solidFill>
              <w14:schemeClr w14:val="tx1"/>
            </w14:solidFill>
          </w14:textFill>
        </w:rPr>
        <w:t>2.5.1</w:t>
      </w:r>
      <w:bookmarkEnd w:id="440"/>
      <w:bookmarkStart w:id="441" w:name="_Toc186431854"/>
      <w:bookmarkStart w:id="442" w:name="_Ref467379807"/>
      <w:bookmarkStart w:id="443" w:name="_Ref467379793"/>
      <w:bookmarkStart w:id="444" w:name="_Toc487900357"/>
      <w:bookmarkStart w:id="445" w:name="_Toc259093676"/>
      <w:bookmarkStart w:id="446" w:name="_Toc279701247"/>
      <w:r>
        <w:rPr>
          <w:rFonts w:hint="eastAsia" w:ascii="宋体" w:hAnsi="宋体" w:eastAsia="宋体" w:cs="宋体"/>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441"/>
      <w:bookmarkStart w:id="447" w:name="_Toc186431855"/>
      <w:r>
        <w:rPr>
          <w:rFonts w:hint="eastAsia" w:ascii="宋体" w:hAnsi="宋体" w:eastAsia="宋体" w:cs="宋体"/>
          <w:color w:val="000000" w:themeColor="text1"/>
          <w14:textFill>
            <w14:solidFill>
              <w14:schemeClr w14:val="tx1"/>
            </w14:solidFill>
          </w14:textFill>
        </w:rPr>
        <w:t>。</w:t>
      </w:r>
    </w:p>
    <w:bookmarkEnd w:id="442"/>
    <w:bookmarkEnd w:id="443"/>
    <w:bookmarkEnd w:id="444"/>
    <w:bookmarkEnd w:id="445"/>
    <w:bookmarkEnd w:id="446"/>
    <w:bookmarkEnd w:id="447"/>
    <w:p>
      <w:pPr>
        <w:pStyle w:val="5"/>
        <w:rPr>
          <w:rFonts w:hint="eastAsia" w:ascii="宋体" w:hAnsi="宋体" w:eastAsia="宋体" w:cs="宋体"/>
          <w:color w:val="000000" w:themeColor="text1"/>
          <w14:textFill>
            <w14:solidFill>
              <w14:schemeClr w14:val="tx1"/>
            </w14:solidFill>
          </w14:textFill>
        </w:rPr>
      </w:pPr>
      <w:bookmarkStart w:id="448" w:name="_Ref467379863"/>
      <w:bookmarkStart w:id="449" w:name="_Ref467379923"/>
      <w:bookmarkStart w:id="450" w:name="_Toc487900358"/>
      <w:bookmarkStart w:id="451" w:name="_Ref467379852"/>
      <w:bookmarkStart w:id="452" w:name="_Toc279701248"/>
      <w:bookmarkStart w:id="453" w:name="_Toc259093677"/>
      <w:bookmarkStart w:id="454" w:name="_Toc774"/>
      <w:bookmarkStart w:id="455" w:name="_Toc16110"/>
      <w:bookmarkStart w:id="456" w:name="_Toc3225"/>
      <w:r>
        <w:rPr>
          <w:rFonts w:hint="eastAsia" w:ascii="宋体" w:hAnsi="宋体" w:eastAsia="宋体" w:cs="宋体"/>
          <w:color w:val="000000" w:themeColor="text1"/>
          <w14:textFill>
            <w14:solidFill>
              <w14:schemeClr w14:val="tx1"/>
            </w14:solidFill>
          </w14:textFill>
        </w:rPr>
        <w:t>2.6 技术资料</w:t>
      </w:r>
      <w:bookmarkEnd w:id="448"/>
      <w:bookmarkEnd w:id="449"/>
      <w:bookmarkEnd w:id="450"/>
      <w:bookmarkEnd w:id="451"/>
      <w:bookmarkEnd w:id="452"/>
      <w:bookmarkEnd w:id="453"/>
      <w:r>
        <w:rPr>
          <w:rFonts w:hint="eastAsia" w:ascii="宋体" w:hAnsi="宋体" w:eastAsia="宋体" w:cs="宋体"/>
          <w:color w:val="000000" w:themeColor="text1"/>
          <w14:textFill>
            <w14:solidFill>
              <w14:schemeClr w14:val="tx1"/>
            </w14:solidFill>
          </w14:textFill>
        </w:rPr>
        <w:t>和保密义务</w:t>
      </w:r>
      <w:bookmarkEnd w:id="454"/>
      <w:bookmarkEnd w:id="455"/>
      <w:bookmarkEnd w:id="456"/>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rPr>
          <w:rFonts w:hint="eastAsia" w:ascii="宋体" w:hAnsi="宋体" w:eastAsia="宋体" w:cs="宋体"/>
          <w:color w:val="000000" w:themeColor="text1"/>
          <w14:textFill>
            <w14:solidFill>
              <w14:schemeClr w14:val="tx1"/>
            </w14:solidFill>
          </w14:textFill>
        </w:rPr>
      </w:pPr>
      <w:bookmarkStart w:id="457" w:name="_Toc7860"/>
      <w:r>
        <w:rPr>
          <w:rFonts w:hint="eastAsia" w:ascii="宋体" w:hAnsi="宋体" w:eastAsia="宋体" w:cs="宋体"/>
          <w:color w:val="000000" w:themeColor="text1"/>
          <w14:textFill>
            <w14:solidFill>
              <w14:schemeClr w14:val="tx1"/>
            </w14:solidFill>
          </w14:textFill>
        </w:rPr>
        <w:t>2.7 质量保证</w:t>
      </w:r>
      <w:bookmarkEnd w:id="457"/>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2.7.2 乙方应保证履行合同的人员数量和素质、软件和硬件设备的配置、场地、环境和设施等满足全面履行合同的要求，并应接受甲方的监督检查。</w:t>
      </w:r>
    </w:p>
    <w:p>
      <w:pPr>
        <w:pStyle w:val="5"/>
        <w:rPr>
          <w:rFonts w:hint="eastAsia" w:ascii="宋体" w:hAnsi="宋体" w:eastAsia="宋体" w:cs="宋体"/>
          <w:color w:val="000000" w:themeColor="text1"/>
          <w14:textFill>
            <w14:solidFill>
              <w14:schemeClr w14:val="tx1"/>
            </w14:solidFill>
          </w14:textFill>
        </w:rPr>
      </w:pPr>
      <w:bookmarkStart w:id="458" w:name="_Toc17244"/>
      <w:bookmarkStart w:id="459" w:name="_Toc259093681"/>
      <w:bookmarkStart w:id="460" w:name="_Toc279701252"/>
      <w:bookmarkStart w:id="461" w:name="_Toc487900362"/>
      <w:r>
        <w:rPr>
          <w:rFonts w:hint="eastAsia" w:ascii="宋体" w:hAnsi="宋体" w:eastAsia="宋体" w:cs="宋体"/>
          <w:color w:val="000000" w:themeColor="text1"/>
          <w14:textFill>
            <w14:solidFill>
              <w14:schemeClr w14:val="tx1"/>
            </w14:solidFill>
          </w14:textFill>
        </w:rPr>
        <w:t>2.8 货物的风险负担</w:t>
      </w:r>
      <w:bookmarkEnd w:id="458"/>
    </w:p>
    <w:p>
      <w:pPr>
        <w:spacing w:line="560" w:lineRule="exact"/>
        <w:ind w:firstLine="48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pPr>
        <w:pStyle w:val="5"/>
        <w:rPr>
          <w:rFonts w:hint="eastAsia" w:ascii="宋体" w:hAnsi="宋体" w:eastAsia="宋体" w:cs="宋体"/>
          <w:color w:val="000000" w:themeColor="text1"/>
          <w14:textFill>
            <w14:solidFill>
              <w14:schemeClr w14:val="tx1"/>
            </w14:solidFill>
          </w14:textFill>
        </w:rPr>
      </w:pPr>
      <w:bookmarkStart w:id="462" w:name="_Toc14055"/>
      <w:r>
        <w:rPr>
          <w:rFonts w:hint="eastAsia" w:ascii="宋体" w:hAnsi="宋体" w:eastAsia="宋体" w:cs="宋体"/>
          <w:color w:val="000000" w:themeColor="text1"/>
          <w14:textFill>
            <w14:solidFill>
              <w14:schemeClr w14:val="tx1"/>
            </w14:solidFill>
          </w14:textFill>
        </w:rPr>
        <w:t>2.9 延迟交货</w:t>
      </w:r>
      <w:bookmarkEnd w:id="459"/>
      <w:bookmarkEnd w:id="460"/>
      <w:bookmarkEnd w:id="461"/>
      <w:bookmarkEnd w:id="462"/>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rPr>
          <w:rFonts w:hint="eastAsia" w:ascii="宋体" w:hAnsi="宋体" w:eastAsia="宋体" w:cs="宋体"/>
          <w:color w:val="000000" w:themeColor="text1"/>
          <w14:textFill>
            <w14:solidFill>
              <w14:schemeClr w14:val="tx1"/>
            </w14:solidFill>
          </w14:textFill>
        </w:rPr>
      </w:pPr>
      <w:bookmarkStart w:id="463" w:name="_Toc7502"/>
      <w:bookmarkStart w:id="464" w:name="_Toc487900364"/>
      <w:bookmarkStart w:id="465" w:name="_Ref467378121"/>
      <w:bookmarkStart w:id="466" w:name="_Toc259093683"/>
      <w:bookmarkStart w:id="467" w:name="_Toc279701254"/>
      <w:r>
        <w:rPr>
          <w:rFonts w:hint="eastAsia" w:ascii="宋体" w:hAnsi="宋体" w:eastAsia="宋体" w:cs="宋体"/>
          <w:color w:val="000000" w:themeColor="text1"/>
          <w14:textFill>
            <w14:solidFill>
              <w14:schemeClr w14:val="tx1"/>
            </w14:solidFill>
          </w14:textFill>
        </w:rPr>
        <w:t>2.10 合同变更</w:t>
      </w:r>
      <w:bookmarkEnd w:id="463"/>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68" w:name="_Toc259093688"/>
      <w:bookmarkStart w:id="469" w:name="_Toc279701259"/>
      <w:bookmarkStart w:id="470" w:name="_Toc487900369"/>
    </w:p>
    <w:p>
      <w:pPr>
        <w:pStyle w:val="5"/>
        <w:rPr>
          <w:rFonts w:hint="eastAsia" w:ascii="宋体" w:hAnsi="宋体" w:eastAsia="宋体" w:cs="宋体"/>
          <w:color w:val="000000" w:themeColor="text1"/>
          <w14:textFill>
            <w14:solidFill>
              <w14:schemeClr w14:val="tx1"/>
            </w14:solidFill>
          </w14:textFill>
        </w:rPr>
      </w:pPr>
      <w:bookmarkStart w:id="471" w:name="_Toc22955"/>
      <w:bookmarkStart w:id="472" w:name="_Toc10366"/>
      <w:bookmarkStart w:id="473" w:name="_Toc15237"/>
      <w:r>
        <w:rPr>
          <w:rFonts w:hint="eastAsia" w:ascii="宋体" w:hAnsi="宋体" w:eastAsia="宋体" w:cs="宋体"/>
          <w:color w:val="000000" w:themeColor="text1"/>
          <w14:textFill>
            <w14:solidFill>
              <w14:schemeClr w14:val="tx1"/>
            </w14:solidFill>
          </w14:textFill>
        </w:rPr>
        <w:t>2.11 合同转让</w:t>
      </w:r>
      <w:bookmarkEnd w:id="468"/>
      <w:bookmarkEnd w:id="469"/>
      <w:bookmarkEnd w:id="470"/>
      <w:r>
        <w:rPr>
          <w:rFonts w:hint="eastAsia" w:ascii="宋体" w:hAnsi="宋体" w:eastAsia="宋体" w:cs="宋体"/>
          <w:color w:val="000000" w:themeColor="text1"/>
          <w14:textFill>
            <w14:solidFill>
              <w14:schemeClr w14:val="tx1"/>
            </w14:solidFill>
          </w14:textFill>
        </w:rPr>
        <w:t>和分包</w:t>
      </w:r>
      <w:bookmarkEnd w:id="471"/>
      <w:bookmarkEnd w:id="472"/>
      <w:bookmarkEnd w:id="473"/>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2.11.2乙方采取分包方式履行合同的，甲方可直接向分包供应商支付款项。</w:t>
      </w:r>
    </w:p>
    <w:p>
      <w:pPr>
        <w:pStyle w:val="5"/>
        <w:rPr>
          <w:rFonts w:hint="eastAsia" w:ascii="宋体" w:hAnsi="宋体" w:eastAsia="宋体" w:cs="宋体"/>
          <w:color w:val="000000" w:themeColor="text1"/>
          <w14:textFill>
            <w14:solidFill>
              <w14:schemeClr w14:val="tx1"/>
            </w14:solidFill>
          </w14:textFill>
        </w:rPr>
      </w:pPr>
      <w:bookmarkStart w:id="474" w:name="_Toc13566"/>
      <w:bookmarkStart w:id="475" w:name="_Toc14066"/>
      <w:bookmarkStart w:id="476" w:name="_Toc16508"/>
      <w:r>
        <w:rPr>
          <w:rFonts w:hint="eastAsia" w:ascii="宋体" w:hAnsi="宋体" w:eastAsia="宋体" w:cs="宋体"/>
          <w:color w:val="000000" w:themeColor="text1"/>
          <w14:textFill>
            <w14:solidFill>
              <w14:schemeClr w14:val="tx1"/>
            </w14:solidFill>
          </w14:textFill>
        </w:rPr>
        <w:t>2.12 不可抗力</w:t>
      </w:r>
      <w:bookmarkEnd w:id="474"/>
      <w:bookmarkEnd w:id="475"/>
      <w:bookmarkEnd w:id="476"/>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2.12.2 因不可抗力致使不能实现合同目的的，当事人可以解除合同；</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约定时间内以书面形式变更合同；</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2.12.4受不可抗力影响的一方在不可抗力发生后，应在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约定时间内以书面形式通知对方当事人，并在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约定时间内，将有关部门出具的证明文件送达对方当事人。</w:t>
      </w:r>
    </w:p>
    <w:p>
      <w:pPr>
        <w:pStyle w:val="5"/>
        <w:rPr>
          <w:rFonts w:hint="eastAsia" w:ascii="宋体" w:hAnsi="宋体" w:eastAsia="宋体" w:cs="宋体"/>
          <w:color w:val="000000" w:themeColor="text1"/>
          <w14:textFill>
            <w14:solidFill>
              <w14:schemeClr w14:val="tx1"/>
            </w14:solidFill>
          </w14:textFill>
        </w:rPr>
      </w:pPr>
      <w:bookmarkStart w:id="477" w:name="_Toc30676"/>
      <w:bookmarkStart w:id="478" w:name="_Toc487900365"/>
      <w:bookmarkStart w:id="479" w:name="_Toc6969"/>
      <w:bookmarkStart w:id="480" w:name="_Toc279701255"/>
      <w:bookmarkStart w:id="481" w:name="_Toc689"/>
      <w:bookmarkStart w:id="482" w:name="_Toc259093684"/>
      <w:r>
        <w:rPr>
          <w:rFonts w:hint="eastAsia" w:ascii="宋体" w:hAnsi="宋体" w:eastAsia="宋体" w:cs="宋体"/>
          <w:color w:val="000000" w:themeColor="text1"/>
          <w14:textFill>
            <w14:solidFill>
              <w14:schemeClr w14:val="tx1"/>
            </w14:solidFill>
          </w14:textFill>
        </w:rPr>
        <w:t>2.13 税费</w:t>
      </w:r>
      <w:bookmarkEnd w:id="477"/>
      <w:bookmarkEnd w:id="478"/>
      <w:bookmarkEnd w:id="479"/>
      <w:bookmarkEnd w:id="480"/>
      <w:bookmarkEnd w:id="481"/>
      <w:bookmarkEnd w:id="482"/>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与合同有关的一切税费，均按照中华人民共和国法律的相关规定。</w:t>
      </w:r>
    </w:p>
    <w:p>
      <w:pPr>
        <w:pStyle w:val="5"/>
        <w:rPr>
          <w:rFonts w:hint="eastAsia" w:ascii="宋体" w:hAnsi="宋体" w:eastAsia="宋体" w:cs="宋体"/>
          <w:color w:val="000000" w:themeColor="text1"/>
          <w14:textFill>
            <w14:solidFill>
              <w14:schemeClr w14:val="tx1"/>
            </w14:solidFill>
          </w14:textFill>
        </w:rPr>
      </w:pPr>
      <w:bookmarkStart w:id="483" w:name="_Toc259093687"/>
      <w:bookmarkStart w:id="484" w:name="_Toc7102"/>
      <w:bookmarkStart w:id="485" w:name="_Toc487900368"/>
      <w:bookmarkStart w:id="486" w:name="_Toc16959"/>
      <w:bookmarkStart w:id="487" w:name="_Toc8298"/>
      <w:bookmarkStart w:id="488" w:name="_Toc279701258"/>
      <w:r>
        <w:rPr>
          <w:rFonts w:hint="eastAsia" w:ascii="宋体" w:hAnsi="宋体" w:eastAsia="宋体" w:cs="宋体"/>
          <w:color w:val="000000" w:themeColor="text1"/>
          <w14:textFill>
            <w14:solidFill>
              <w14:schemeClr w14:val="tx1"/>
            </w14:solidFill>
          </w14:textFill>
        </w:rPr>
        <w:t>2.14乙方破产</w:t>
      </w:r>
      <w:bookmarkEnd w:id="483"/>
      <w:bookmarkEnd w:id="484"/>
      <w:bookmarkEnd w:id="485"/>
      <w:bookmarkEnd w:id="486"/>
      <w:bookmarkEnd w:id="487"/>
      <w:bookmarkEnd w:id="488"/>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rPr>
          <w:rFonts w:hint="eastAsia" w:ascii="宋体" w:hAnsi="宋体" w:eastAsia="宋体" w:cs="宋体"/>
          <w:color w:val="000000" w:themeColor="text1"/>
          <w14:textFill>
            <w14:solidFill>
              <w14:schemeClr w14:val="tx1"/>
            </w14:solidFill>
          </w14:textFill>
        </w:rPr>
      </w:pPr>
      <w:bookmarkStart w:id="489" w:name="_Toc29333"/>
      <w:bookmarkStart w:id="490" w:name="_Toc6134"/>
      <w:bookmarkStart w:id="491" w:name="_Toc15387"/>
      <w:r>
        <w:rPr>
          <w:rFonts w:hint="eastAsia" w:ascii="宋体" w:hAnsi="宋体" w:eastAsia="宋体" w:cs="宋体"/>
          <w:color w:val="000000" w:themeColor="text1"/>
          <w14:textFill>
            <w14:solidFill>
              <w14:schemeClr w14:val="tx1"/>
            </w14:solidFill>
          </w14:textFill>
        </w:rPr>
        <w:t>2.15 合同中止、终止</w:t>
      </w:r>
      <w:bookmarkEnd w:id="489"/>
      <w:bookmarkEnd w:id="490"/>
      <w:bookmarkEnd w:id="491"/>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2.15.1 双方当事人不得擅自中止或者终止合同；</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pStyle w:val="5"/>
        <w:rPr>
          <w:rFonts w:hint="eastAsia" w:ascii="宋体" w:hAnsi="宋体" w:eastAsia="宋体" w:cs="宋体"/>
          <w:color w:val="000000" w:themeColor="text1"/>
          <w14:textFill>
            <w14:solidFill>
              <w14:schemeClr w14:val="tx1"/>
            </w14:solidFill>
          </w14:textFill>
        </w:rPr>
      </w:pPr>
      <w:bookmarkStart w:id="492" w:name="_Toc14563"/>
      <w:bookmarkStart w:id="493" w:name="_Toc6596"/>
      <w:bookmarkStart w:id="494" w:name="_Toc1125"/>
      <w:r>
        <w:rPr>
          <w:rFonts w:hint="eastAsia" w:ascii="宋体" w:hAnsi="宋体" w:eastAsia="宋体" w:cs="宋体"/>
          <w:color w:val="000000" w:themeColor="text1"/>
          <w14:textFill>
            <w14:solidFill>
              <w14:schemeClr w14:val="tx1"/>
            </w14:solidFill>
          </w14:textFill>
        </w:rPr>
        <w:t>2.16检验和验收</w:t>
      </w:r>
      <w:bookmarkEnd w:id="492"/>
      <w:bookmarkEnd w:id="493"/>
      <w:bookmarkEnd w:id="494"/>
    </w:p>
    <w:p>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i/>
          <w:color w:val="000000" w:themeColor="text1"/>
          <w14:textFill>
            <w14:solidFill>
              <w14:schemeClr w14:val="tx1"/>
            </w14:solidFill>
          </w14:textFill>
        </w:rPr>
        <w:t>。</w:t>
      </w:r>
    </w:p>
    <w:bookmarkEnd w:id="464"/>
    <w:bookmarkEnd w:id="465"/>
    <w:bookmarkEnd w:id="466"/>
    <w:bookmarkEnd w:id="467"/>
    <w:p>
      <w:pPr>
        <w:pStyle w:val="5"/>
        <w:rPr>
          <w:rFonts w:hint="eastAsia" w:ascii="宋体" w:hAnsi="宋体" w:eastAsia="宋体" w:cs="宋体"/>
          <w:color w:val="000000" w:themeColor="text1"/>
          <w14:textFill>
            <w14:solidFill>
              <w14:schemeClr w14:val="tx1"/>
            </w14:solidFill>
          </w14:textFill>
        </w:rPr>
      </w:pPr>
      <w:bookmarkStart w:id="495" w:name="_Toc487900371"/>
      <w:bookmarkStart w:id="496" w:name="_Toc259093690"/>
      <w:bookmarkStart w:id="497" w:name="_Toc279701261"/>
      <w:bookmarkStart w:id="498" w:name="_Toc19604"/>
      <w:bookmarkStart w:id="499" w:name="_Toc25182"/>
      <w:bookmarkStart w:id="500" w:name="_Toc11284"/>
      <w:r>
        <w:rPr>
          <w:rFonts w:hint="eastAsia" w:ascii="宋体" w:hAnsi="宋体" w:eastAsia="宋体" w:cs="宋体"/>
          <w:color w:val="000000" w:themeColor="text1"/>
          <w14:textFill>
            <w14:solidFill>
              <w14:schemeClr w14:val="tx1"/>
            </w14:solidFill>
          </w14:textFill>
        </w:rPr>
        <w:t>2.17 通知</w:t>
      </w:r>
      <w:bookmarkEnd w:id="495"/>
      <w:bookmarkEnd w:id="496"/>
      <w:bookmarkEnd w:id="497"/>
      <w:r>
        <w:rPr>
          <w:rFonts w:hint="eastAsia" w:ascii="宋体" w:hAnsi="宋体" w:eastAsia="宋体" w:cs="宋体"/>
          <w:color w:val="000000" w:themeColor="text1"/>
          <w14:textFill>
            <w14:solidFill>
              <w14:schemeClr w14:val="tx1"/>
            </w14:solidFill>
          </w14:textFill>
        </w:rPr>
        <w:t>和送达</w:t>
      </w:r>
      <w:bookmarkEnd w:id="498"/>
      <w:bookmarkEnd w:id="499"/>
      <w:bookmarkEnd w:id="500"/>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501" w:name="_Toc3135"/>
      <w:bookmarkStart w:id="502" w:name="_Toc6698"/>
      <w:bookmarkStart w:id="503" w:name="_Toc487900372"/>
      <w:bookmarkStart w:id="504" w:name="_Toc259093691"/>
      <w:bookmarkStart w:id="505" w:name="_Toc279701262"/>
      <w:r>
        <w:rPr>
          <w:rFonts w:hint="eastAsia" w:ascii="宋体" w:hAnsi="宋体" w:eastAsia="宋体" w:cs="宋体"/>
          <w:color w:val="000000" w:themeColor="text1"/>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501"/>
      <w:bookmarkEnd w:id="502"/>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506" w:name="_Toc23294"/>
      <w:bookmarkStart w:id="507" w:name="_Toc23128"/>
      <w:r>
        <w:rPr>
          <w:rFonts w:hint="eastAsia" w:ascii="宋体" w:hAnsi="宋体" w:eastAsia="宋体" w:cs="宋体"/>
          <w:color w:val="000000" w:themeColor="text1"/>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pPr>
        <w:pStyle w:val="5"/>
        <w:rPr>
          <w:rFonts w:hint="eastAsia" w:ascii="宋体" w:hAnsi="宋体" w:eastAsia="宋体" w:cs="宋体"/>
          <w:color w:val="000000" w:themeColor="text1"/>
          <w14:textFill>
            <w14:solidFill>
              <w14:schemeClr w14:val="tx1"/>
            </w14:solidFill>
          </w14:textFill>
        </w:rPr>
      </w:pPr>
      <w:bookmarkStart w:id="508" w:name="_Toc30599"/>
      <w:bookmarkStart w:id="509" w:name="_Toc18540"/>
      <w:bookmarkStart w:id="510" w:name="_Toc4355"/>
      <w:r>
        <w:rPr>
          <w:rFonts w:hint="eastAsia" w:ascii="宋体" w:hAnsi="宋体" w:eastAsia="宋体" w:cs="宋体"/>
          <w:color w:val="000000" w:themeColor="text1"/>
          <w14:textFill>
            <w14:solidFill>
              <w14:schemeClr w14:val="tx1"/>
            </w14:solidFill>
          </w14:textFill>
        </w:rPr>
        <w:t>2.18 计量单位</w:t>
      </w:r>
      <w:bookmarkEnd w:id="503"/>
      <w:bookmarkEnd w:id="504"/>
      <w:bookmarkEnd w:id="505"/>
      <w:bookmarkEnd w:id="508"/>
      <w:bookmarkEnd w:id="509"/>
      <w:bookmarkEnd w:id="510"/>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除技术规范中另有规定外,合同的计量单位均使用国家法定计量单位。</w:t>
      </w:r>
    </w:p>
    <w:p>
      <w:pPr>
        <w:pStyle w:val="5"/>
        <w:rPr>
          <w:rFonts w:hint="eastAsia" w:ascii="宋体" w:hAnsi="宋体" w:eastAsia="宋体" w:cs="宋体"/>
          <w:color w:val="000000" w:themeColor="text1"/>
          <w14:textFill>
            <w14:solidFill>
              <w14:schemeClr w14:val="tx1"/>
            </w14:solidFill>
          </w14:textFill>
        </w:rPr>
      </w:pPr>
      <w:bookmarkStart w:id="511" w:name="_Toc259093692"/>
      <w:bookmarkStart w:id="512" w:name="_Toc12773"/>
      <w:bookmarkStart w:id="513" w:name="_Toc18567"/>
      <w:bookmarkStart w:id="514" w:name="_Toc487900373"/>
      <w:bookmarkStart w:id="515" w:name="_Toc10330"/>
      <w:bookmarkStart w:id="516" w:name="_Toc279701263"/>
      <w:r>
        <w:rPr>
          <w:rFonts w:hint="eastAsia" w:ascii="宋体" w:hAnsi="宋体" w:eastAsia="宋体" w:cs="宋体"/>
          <w:color w:val="000000" w:themeColor="text1"/>
          <w14:textFill>
            <w14:solidFill>
              <w14:schemeClr w14:val="tx1"/>
            </w14:solidFill>
          </w14:textFill>
        </w:rPr>
        <w:t>2.19 合同使用的文字和适用的法律</w:t>
      </w:r>
      <w:bookmarkEnd w:id="511"/>
      <w:bookmarkEnd w:id="512"/>
      <w:bookmarkEnd w:id="513"/>
      <w:bookmarkEnd w:id="514"/>
      <w:bookmarkEnd w:id="515"/>
      <w:bookmarkEnd w:id="516"/>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2.19.1 合同使用汉语书就、变更和解释；</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2.19.2 合同适用中华人民共和国法律。</w:t>
      </w:r>
    </w:p>
    <w:p>
      <w:pPr>
        <w:pStyle w:val="5"/>
        <w:rPr>
          <w:rFonts w:hint="eastAsia" w:ascii="宋体" w:hAnsi="宋体" w:eastAsia="宋体" w:cs="宋体"/>
          <w:color w:val="000000" w:themeColor="text1"/>
          <w14:textFill>
            <w14:solidFill>
              <w14:schemeClr w14:val="tx1"/>
            </w14:solidFill>
          </w14:textFill>
        </w:rPr>
      </w:pPr>
      <w:bookmarkStart w:id="517" w:name="_Toc3148"/>
      <w:bookmarkStart w:id="518" w:name="_Toc259093693"/>
      <w:bookmarkStart w:id="519" w:name="_Toc279701264"/>
      <w:bookmarkStart w:id="520" w:name="_Toc12004"/>
      <w:bookmarkStart w:id="521" w:name="_Toc16673"/>
      <w:bookmarkStart w:id="522" w:name="_Toc487900374"/>
      <w:r>
        <w:rPr>
          <w:rFonts w:hint="eastAsia" w:ascii="宋体" w:hAnsi="宋体" w:eastAsia="宋体" w:cs="宋体"/>
          <w:color w:val="000000" w:themeColor="text1"/>
          <w14:textFill>
            <w14:solidFill>
              <w14:schemeClr w14:val="tx1"/>
            </w14:solidFill>
          </w14:textFill>
        </w:rPr>
        <w:t>2.20 履约保证金</w:t>
      </w:r>
      <w:bookmarkEnd w:id="517"/>
      <w:bookmarkEnd w:id="518"/>
      <w:bookmarkEnd w:id="519"/>
      <w:bookmarkEnd w:id="520"/>
      <w:bookmarkEnd w:id="521"/>
    </w:p>
    <w:p>
      <w:pPr>
        <w:pStyle w:val="72"/>
        <w:spacing w:before="0" w:beforeAutospacing="0" w:after="0" w:afterAutospacing="0" w:line="36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2.20.1 采购文件要求乙方提交履约保证金的，乙方应按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约定的方式，以支票、汇票、本票或者金融机构、担保机构出具的保函等非现金形式，提交不超过合同金额</w:t>
      </w:r>
      <w:r>
        <w:rPr>
          <w:rFonts w:hint="eastAsia" w:ascii="宋体" w:hAnsi="宋体" w:eastAsia="宋体" w:cs="宋体"/>
          <w:color w:val="000000" w:themeColor="text1"/>
          <w:highlight w:val="yellow"/>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的履约保证金；鼓励和支持乙方以银行、保险公司出具的保函形式提供履约保证，</w:t>
      </w:r>
      <w:r>
        <w:rPr>
          <w:rFonts w:hint="eastAsia" w:ascii="宋体" w:hAnsi="宋体" w:eastAsia="宋体" w:cs="宋体"/>
          <w:color w:val="000000" w:themeColor="text1"/>
          <w:highlight w:val="yellow"/>
          <w14:textFill>
            <w14:solidFill>
              <w14:schemeClr w14:val="tx1"/>
            </w14:solidFill>
          </w14:textFill>
        </w:rPr>
        <w:t>乙方以银行、保险公司出具保函形式提交履约保证金的，甲方不得拒收。</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2.20.2  </w:t>
      </w:r>
      <w:r>
        <w:rPr>
          <w:rFonts w:hint="eastAsia" w:ascii="宋体" w:hAnsi="宋体" w:eastAsia="宋体" w:cs="宋体"/>
          <w:color w:val="000000" w:themeColor="text1"/>
          <w:highlight w:val="yellow"/>
          <w14:textFill>
            <w14:solidFill>
              <w14:schemeClr w14:val="tx1"/>
            </w14:solidFill>
          </w14:textFill>
        </w:rPr>
        <w:t>甲方在项目验收结束后及时退还履约保证金</w:t>
      </w:r>
      <w:r>
        <w:rPr>
          <w:rFonts w:hint="eastAsia" w:ascii="宋体" w:hAnsi="宋体" w:eastAsia="宋体" w:cs="宋体"/>
          <w:color w:val="000000" w:themeColor="text1"/>
          <w14:textFill>
            <w14:solidFill>
              <w14:schemeClr w14:val="tx1"/>
            </w14:solidFill>
          </w14:textFill>
        </w:rPr>
        <w:t>。甲方在</w:t>
      </w:r>
      <w:r>
        <w:rPr>
          <w:rFonts w:hint="eastAsia" w:ascii="宋体" w:hAnsi="宋体" w:eastAsia="宋体" w:cs="宋体"/>
          <w:color w:val="000000" w:themeColor="text1"/>
          <w:highlight w:val="yellow"/>
          <w14:textFill>
            <w14:solidFill>
              <w14:schemeClr w14:val="tx1"/>
            </w14:solidFill>
          </w14:textFill>
        </w:rPr>
        <w:t>项目通过验收</w:t>
      </w:r>
      <w:r>
        <w:rPr>
          <w:rFonts w:hint="eastAsia" w:ascii="宋体" w:hAnsi="宋体" w:eastAsia="宋体" w:cs="宋体"/>
          <w:color w:val="000000" w:themeColor="text1"/>
          <w14:textFill>
            <w14:solidFill>
              <w14:schemeClr w14:val="tx1"/>
            </w14:solidFill>
          </w14:textFill>
        </w:rPr>
        <w:t>之日起</w:t>
      </w:r>
      <w:r>
        <w:rPr>
          <w:rFonts w:hint="eastAsia" w:ascii="宋体" w:hAnsi="宋体" w:eastAsia="宋体" w:cs="宋体"/>
          <w:color w:val="000000" w:themeColor="text1"/>
          <w:u w:val="single"/>
          <w14:textFill>
            <w14:solidFill>
              <w14:schemeClr w14:val="tx1"/>
            </w14:solidFill>
          </w14:textFill>
        </w:rPr>
        <w:t xml:space="preserve"> 5 </w:t>
      </w:r>
      <w:r>
        <w:rPr>
          <w:rFonts w:hint="eastAsia" w:ascii="宋体" w:hAnsi="宋体" w:eastAsia="宋体" w:cs="宋体"/>
          <w:color w:val="000000" w:themeColor="text1"/>
          <w14:textFill>
            <w14:solidFill>
              <w14:schemeClr w14:val="tx1"/>
            </w14:solidFill>
          </w14:textFill>
        </w:rPr>
        <w:t>个工作日内，按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宋体" w:hAnsi="宋体" w:eastAsia="宋体" w:cs="宋体"/>
          <w:color w:val="000000" w:themeColor="text1"/>
          <w:u w:val="single"/>
          <w14:textFill>
            <w14:solidFill>
              <w14:schemeClr w14:val="tx1"/>
            </w14:solidFill>
          </w14:textFill>
        </w:rPr>
        <w:t xml:space="preserve">  0.05  </w:t>
      </w:r>
      <w:r>
        <w:rPr>
          <w:rFonts w:hint="eastAsia" w:ascii="宋体" w:hAnsi="宋体" w:eastAsia="宋体" w:cs="宋体"/>
          <w:color w:val="000000" w:themeColor="text1"/>
          <w14:textFill>
            <w14:solidFill>
              <w14:schemeClr w14:val="tx1"/>
            </w14:solidFill>
          </w14:textFill>
        </w:rPr>
        <w:t>%计算，最高限额为本合同履约保证金的</w:t>
      </w:r>
      <w:r>
        <w:rPr>
          <w:rFonts w:hint="eastAsia" w:ascii="宋体" w:hAnsi="宋体" w:eastAsia="宋体" w:cs="宋体"/>
          <w:color w:val="000000" w:themeColor="text1"/>
          <w:u w:val="single"/>
          <w14:textFill>
            <w14:solidFill>
              <w14:schemeClr w14:val="tx1"/>
            </w14:solidFill>
          </w14:textFill>
        </w:rPr>
        <w:t xml:space="preserve">  20   </w:t>
      </w:r>
      <w:r>
        <w:rPr>
          <w:rFonts w:hint="eastAsia" w:ascii="宋体" w:hAnsi="宋体" w:eastAsia="宋体" w:cs="宋体"/>
          <w:color w:val="000000" w:themeColor="text1"/>
          <w14:textFill>
            <w14:solidFill>
              <w14:schemeClr w14:val="tx1"/>
            </w14:solidFill>
          </w14:textFill>
        </w:rPr>
        <w:t xml:space="preserve">%； </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2.20.5甲方在乙方履行完合同约定义务事项后及时退还，延迟退还的，应当按照合同约定和法律规定承担相应的赔偿责任。</w:t>
      </w:r>
    </w:p>
    <w:p>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2.21对于因甲方原因导致变更、中止或者终止政府采购合同的，甲方应当依照合同约定对供应商受到的损失予以赔偿或者补偿。</w:t>
      </w:r>
    </w:p>
    <w:bookmarkEnd w:id="522"/>
    <w:p>
      <w:pPr>
        <w:pStyle w:val="5"/>
        <w:rPr>
          <w:rFonts w:hint="eastAsia" w:ascii="宋体" w:hAnsi="宋体" w:eastAsia="宋体" w:cs="宋体"/>
          <w:color w:val="000000" w:themeColor="text1"/>
          <w14:textFill>
            <w14:solidFill>
              <w14:schemeClr w14:val="tx1"/>
            </w14:solidFill>
          </w14:textFill>
        </w:rPr>
      </w:pPr>
      <w:bookmarkStart w:id="523" w:name="_Toc6885"/>
      <w:bookmarkStart w:id="524" w:name="_Toc14001"/>
      <w:bookmarkStart w:id="525" w:name="_Toc19890"/>
      <w:r>
        <w:rPr>
          <w:rFonts w:hint="eastAsia" w:ascii="宋体" w:hAnsi="宋体" w:eastAsia="宋体" w:cs="宋体"/>
          <w:color w:val="000000" w:themeColor="text1"/>
          <w14:textFill>
            <w14:solidFill>
              <w14:schemeClr w14:val="tx1"/>
            </w14:solidFill>
          </w14:textFill>
        </w:rPr>
        <w:t>2.22合同份数</w:t>
      </w:r>
      <w:bookmarkEnd w:id="523"/>
      <w:bookmarkEnd w:id="524"/>
      <w:bookmarkEnd w:id="525"/>
    </w:p>
    <w:p>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合同份数按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规定，每份均具有同等法律效力。</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合同专用条款</w:t>
      </w:r>
    </w:p>
    <w:p>
      <w:pPr>
        <w:spacing w:line="560" w:lineRule="exact"/>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6" w:hRule="atLeast"/>
        </w:trPr>
        <w:tc>
          <w:tcPr>
            <w:tcW w:w="466" w:type="pct"/>
            <w:tcBorders>
              <w:left w:val="single" w:color="auto" w:sz="4" w:space="0"/>
            </w:tcBorders>
            <w:vAlign w:val="center"/>
          </w:tcPr>
          <w:p>
            <w:pPr>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条款号</w:t>
            </w:r>
          </w:p>
        </w:tc>
        <w:tc>
          <w:tcPr>
            <w:tcW w:w="4534" w:type="pct"/>
            <w:vAlign w:val="center"/>
          </w:tcPr>
          <w:p>
            <w:pPr>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1.5.1 </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1.5.3 </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1.6.7</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w:t>
            </w:r>
          </w:p>
        </w:tc>
        <w:tc>
          <w:tcPr>
            <w:tcW w:w="4534" w:type="pct"/>
            <w:vAlign w:val="center"/>
          </w:tcPr>
          <w:p>
            <w:pPr>
              <w:spacing w:line="360" w:lineRule="auto"/>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w:t>
            </w:r>
          </w:p>
        </w:tc>
        <w:tc>
          <w:tcPr>
            <w:tcW w:w="4534" w:type="pct"/>
            <w:vAlign w:val="center"/>
          </w:tcPr>
          <w:p>
            <w:pPr>
              <w:spacing w:line="360" w:lineRule="auto"/>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2.4.2</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2.8 </w:t>
            </w:r>
          </w:p>
        </w:tc>
        <w:tc>
          <w:tcPr>
            <w:tcW w:w="4534" w:type="pct"/>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2.12.3</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2.12.4</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2.16.1</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2.16.3</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2.20.1</w:t>
            </w:r>
          </w:p>
        </w:tc>
        <w:tc>
          <w:tcPr>
            <w:tcW w:w="4534" w:type="pct"/>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2.20.2 </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2.22 </w:t>
            </w:r>
          </w:p>
        </w:tc>
        <w:tc>
          <w:tcPr>
            <w:tcW w:w="4534" w:type="pct"/>
            <w:vAlign w:val="center"/>
          </w:tcPr>
          <w:p>
            <w:pPr>
              <w:spacing w:line="360" w:lineRule="auto"/>
              <w:rPr>
                <w:rFonts w:hint="eastAsia" w:ascii="宋体" w:hAnsi="宋体" w:eastAsia="宋体" w:cs="宋体"/>
                <w:color w:val="000000" w:themeColor="text1"/>
                <w14:textFill>
                  <w14:solidFill>
                    <w14:schemeClr w14:val="tx1"/>
                  </w14:solidFill>
                </w14:textFill>
              </w:rPr>
            </w:pPr>
          </w:p>
        </w:tc>
      </w:tr>
    </w:tbl>
    <w:p>
      <w:pPr>
        <w:rPr>
          <w:rFonts w:hint="eastAsia" w:ascii="宋体" w:hAnsi="宋体" w:eastAsia="宋体" w:cs="宋体"/>
          <w:color w:val="000000" w:themeColor="text1"/>
          <w14:textFill>
            <w14:solidFill>
              <w14:schemeClr w14:val="tx1"/>
            </w14:solidFill>
          </w14:textFill>
        </w:rPr>
      </w:pP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第六部分 应提交的有关格式范例</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资格文件部分</w:t>
      </w:r>
    </w:p>
    <w:p>
      <w:pPr>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目录</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（1）符合参加政府采购活动应当具备的一般条件的承诺函……………（页码）</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（2）落实政府采购政策需满足的资格要求………………………………（页码）</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（3）本项目的特定资格要求………………………………………………（页码）</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 符合参加政府采购活动应当具备的一般条件的承诺函</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6、具有法律、行政法规规定的其他条件。</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（三）不存在以下情况：</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 xml:space="preserve">：  年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p>
    <w:p>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二、落实政府采购政策需满足的资格要求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（根据招标公告落实政府采购政策需满足的资格要求选择提供相应的材料；未要求的，无需提供）</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联合协议</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（联合体所有成员名称）</w:t>
      </w:r>
      <w:r>
        <w:rPr>
          <w:rFonts w:hint="eastAsia" w:ascii="宋体" w:hAnsi="宋体" w:eastAsia="宋体" w:cs="宋体"/>
          <w:color w:val="000000" w:themeColor="text1"/>
          <w14:textFill>
            <w14:solidFill>
              <w14:schemeClr w14:val="tx1"/>
            </w14:solidFill>
          </w14:textFill>
        </w:rPr>
        <w:t>自愿</w:t>
      </w:r>
      <w:r>
        <w:rPr>
          <w:rFonts w:hint="eastAsia" w:ascii="宋体" w:hAnsi="宋体" w:eastAsia="宋体" w:cs="宋体"/>
          <w:color w:val="000000" w:themeColor="text1"/>
          <w:lang w:val="zh-CN"/>
          <w14:textFill>
            <w14:solidFill>
              <w14:schemeClr w14:val="tx1"/>
            </w14:solidFill>
          </w14:textFill>
        </w:rPr>
        <w:t>组成一个联合体，以一个投标人的身份</w:t>
      </w:r>
      <w:r>
        <w:rPr>
          <w:rFonts w:hint="eastAsia" w:ascii="宋体" w:hAnsi="宋体" w:eastAsia="宋体" w:cs="宋体"/>
          <w:color w:val="000000" w:themeColor="text1"/>
          <w14:textFill>
            <w14:solidFill>
              <w14:schemeClr w14:val="tx1"/>
            </w14:solidFill>
          </w14:textFill>
        </w:rPr>
        <w:t>参加（项目名称）【招标编号：（采购编号）】</w:t>
      </w:r>
      <w:r>
        <w:rPr>
          <w:rFonts w:hint="eastAsia" w:ascii="宋体" w:hAnsi="宋体" w:eastAsia="宋体" w:cs="宋体"/>
          <w:color w:val="000000" w:themeColor="text1"/>
          <w:lang w:val="zh-CN"/>
          <w14:textFill>
            <w14:solidFill>
              <w14:schemeClr w14:val="tx1"/>
            </w14:solidFill>
          </w14:textFill>
        </w:rPr>
        <w:t xml:space="preserve">投标。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一、各方一致决定，</w:t>
      </w:r>
      <w:r>
        <w:rPr>
          <w:rFonts w:hint="eastAsia" w:ascii="宋体" w:hAnsi="宋体" w:eastAsia="宋体" w:cs="宋体"/>
          <w:color w:val="000000" w:themeColor="text1"/>
          <w:u w:val="single"/>
          <w14:textFill>
            <w14:solidFill>
              <w14:schemeClr w14:val="tx1"/>
            </w14:solidFill>
          </w14:textFill>
        </w:rPr>
        <w:t>（某联合体成员名称）</w:t>
      </w:r>
      <w:r>
        <w:rPr>
          <w:rFonts w:hint="eastAsia" w:ascii="宋体" w:hAnsi="宋体" w:eastAsia="宋体" w:cs="宋体"/>
          <w:color w:val="000000" w:themeColor="text1"/>
          <w14:textFill>
            <w14:solidFill>
              <w14:schemeClr w14:val="tx1"/>
            </w14:solidFill>
          </w14:textFill>
        </w:rPr>
        <w:t>为联合体</w:t>
      </w:r>
      <w:r>
        <w:rPr>
          <w:rFonts w:hint="eastAsia" w:ascii="宋体" w:hAnsi="宋体" w:eastAsia="宋体" w:cs="宋体"/>
          <w:color w:val="000000" w:themeColor="text1"/>
          <w:lang w:val="zh-CN"/>
          <w14:textFill>
            <w14:solidFill>
              <w14:schemeClr w14:val="tx1"/>
            </w14:solidFill>
          </w14:textFill>
        </w:rPr>
        <w:t>牵头人</w:t>
      </w:r>
      <w:r>
        <w:rPr>
          <w:rFonts w:hint="eastAsia" w:ascii="宋体" w:hAnsi="宋体" w:eastAsia="宋体" w:cs="宋体"/>
          <w:color w:val="000000" w:themeColor="text1"/>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所有联合体成员各方签署授权书，授权书载明的</w:t>
      </w:r>
      <w:r>
        <w:rPr>
          <w:rFonts w:hint="eastAsia" w:ascii="宋体" w:hAnsi="宋体" w:eastAsia="宋体" w:cs="宋体"/>
          <w:color w:val="000000" w:themeColor="text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三、本次联合投标中，分工如下：</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五、如果中标，</w:t>
      </w:r>
      <w:r>
        <w:rPr>
          <w:rFonts w:hint="eastAsia" w:ascii="宋体" w:hAnsi="宋体" w:eastAsia="宋体" w:cs="宋体"/>
          <w:color w:val="000000" w:themeColor="text1"/>
          <w14:textFill>
            <w14:solidFill>
              <w14:schemeClr w14:val="tx1"/>
            </w14:solidFill>
          </w14:textFill>
        </w:rPr>
        <w:t>联合体各成员方共同与采购人签订合同，并就采购合同约定的事项对采购人承担连带责任。</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六、有关本次联合投标的其他事宜：</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1、联合体各方不再单独参加或者与其他供应商另外组成联合体参加同一合同项下的政府采购活动。</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2、联合体中有同类资质的各方按照联合体分工承担相同工作的，按照资质等级较低的供应商确定资质等级。</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3、本协议提交采购人、采购机构后，联合体各方不得以任何形式对上述内容进行修改或撤销。</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分包意向协议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lang w:val="zh-CN"/>
          <w14:textFill>
            <w14:solidFill>
              <w14:schemeClr w14:val="tx1"/>
            </w14:solidFill>
          </w14:textFill>
        </w:rPr>
        <w:t>若成为</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的中标供应商，将依法采取分包方式履行合同。</w:t>
      </w: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14:textFill>
            <w14:solidFill>
              <w14:schemeClr w14:val="tx1"/>
            </w14:solidFill>
          </w14:textFill>
        </w:rPr>
        <w:t>与</w:t>
      </w:r>
      <w:r>
        <w:rPr>
          <w:rFonts w:hint="eastAsia" w:ascii="宋体" w:hAnsi="宋体" w:eastAsia="宋体" w:cs="宋体"/>
          <w:color w:val="000000" w:themeColor="text1"/>
          <w:u w:val="single"/>
          <w14:textFill>
            <w14:solidFill>
              <w14:schemeClr w14:val="tx1"/>
            </w14:solidFill>
          </w14:textFill>
        </w:rPr>
        <w:t>（所有分包供应商名称）</w:t>
      </w:r>
      <w:r>
        <w:rPr>
          <w:rFonts w:hint="eastAsia" w:ascii="宋体" w:hAnsi="宋体" w:eastAsia="宋体" w:cs="宋体"/>
          <w:color w:val="000000" w:themeColor="text1"/>
          <w14:textFill>
            <w14:solidFill>
              <w14:schemeClr w14:val="tx1"/>
            </w14:solidFill>
          </w14:textFill>
        </w:rPr>
        <w:t>达成分包意向协议</w:t>
      </w:r>
      <w:r>
        <w:rPr>
          <w:rFonts w:hint="eastAsia" w:ascii="宋体" w:hAnsi="宋体" w:eastAsia="宋体" w:cs="宋体"/>
          <w:color w:val="000000" w:themeColor="text1"/>
          <w:lang w:val="zh-CN"/>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一、分包标的及数量</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14:textFill>
            <w14:solidFill>
              <w14:schemeClr w14:val="tx1"/>
            </w14:solidFill>
          </w14:textFill>
        </w:rPr>
        <w:t>分包给</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具备承</w:t>
      </w:r>
      <w:r>
        <w:rPr>
          <w:rFonts w:hint="eastAsia" w:ascii="宋体" w:hAnsi="宋体" w:eastAsia="宋体" w:cs="宋体"/>
          <w:color w:val="000000" w:themeColor="text1"/>
          <w14:textFill>
            <w14:solidFill>
              <w14:schemeClr w14:val="tx1"/>
            </w14:solidFill>
          </w14:textFill>
        </w:rPr>
        <w:t>担</w:t>
      </w:r>
      <w:r>
        <w:rPr>
          <w:rFonts w:hint="eastAsia" w:ascii="宋体" w:hAnsi="宋体" w:eastAsia="宋体" w:cs="宋体"/>
          <w:color w:val="000000" w:themeColor="text1"/>
          <w:u w:val="single"/>
          <w:lang w:val="zh-CN"/>
          <w14:textFill>
            <w14:solidFill>
              <w14:schemeClr w14:val="tx1"/>
            </w14:solidFill>
          </w14:textFill>
        </w:rPr>
        <w:t>XX工作内容</w:t>
      </w:r>
      <w:r>
        <w:rPr>
          <w:rFonts w:hint="eastAsia" w:ascii="宋体" w:hAnsi="宋体" w:eastAsia="宋体" w:cs="宋体"/>
          <w:color w:val="000000" w:themeColor="text1"/>
          <w:lang w:val="zh-CN"/>
          <w14:textFill>
            <w14:solidFill>
              <w14:schemeClr w14:val="tx1"/>
            </w14:solidFill>
          </w14:textFill>
        </w:rPr>
        <w:t>相应资质条件且不得再次分包；</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二、分包工作履行期限、地点、方式</w:t>
      </w:r>
    </w:p>
    <w:p>
      <w:pP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三、质量</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四、价款或者报酬</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五、违约责任</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六、争议解决的办法</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七、其他</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 xml:space="preserve">  。                                           投标人名称(电子签名)：</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分包供应商名称：</w:t>
      </w:r>
    </w:p>
    <w:p>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日期：  年  月   日</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三、本项目的特定资格要求</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（根据招标公告本项目的特定资格要求提供相应的材料；未要求的，无需提供）</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商务技术文件部分</w:t>
      </w:r>
    </w:p>
    <w:p>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（1）投标函……………………………………………………………………（页码）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（2）授权委托书或法定代表人（单位负责人、自然人本人）身份证明……（页码）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（3）联合协议……………………………………………………………………（页码）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（4）分包意向协议………………………………………………………………（页码）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（5）符合性审查资料…………………………………………………………（页码）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评标标准相应的商务技术资料……………………………………………（页码）（7）投标标的清单………………………………………………………………（页码）（8）商务技术偏离表……………………………………………………………（页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我方参加你方组织的（项目名称）【招标编号：（采购编号）】招标的有关活动，并对此项目进行投标。为此：</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1、我方承诺投标有效期从提交投标文件的截止之日起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天（不少于90天），本投标文件在投标有效期满之前均具有约束力。</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2、我方的投标文件包括以下内容：</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2.1资格文件：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2.1.1承诺函；</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2.1.2落实政府采购政策需满足的资格要求（如果有）；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2.1.3本项目的特定资格要求（如果有）。</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商务技术</w:t>
      </w:r>
      <w:r>
        <w:rPr>
          <w:rFonts w:hint="eastAsia" w:ascii="宋体" w:hAnsi="宋体" w:eastAsia="宋体" w:cs="宋体"/>
          <w:color w:val="000000" w:themeColor="text1"/>
          <w:lang w:val="zh-CN"/>
          <w14:textFill>
            <w14:solidFill>
              <w14:schemeClr w14:val="tx1"/>
            </w14:solidFill>
          </w14:textFill>
        </w:rPr>
        <w:t>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2.2.1投标函；</w:t>
      </w:r>
      <w:r>
        <w:rPr>
          <w:rFonts w:hint="eastAsia" w:ascii="宋体" w:hAnsi="宋体" w:eastAsia="宋体" w:cs="宋体"/>
          <w:color w:val="000000" w:themeColor="text1"/>
          <w:lang w:val="zh-CN"/>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2.2.2授权委托书或法定代表人（单位负责人）身份证明；</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2.2.3联合协议（如果有）；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2.2.4分包意向协议（如果有）；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2.2.5符合性审查资料；</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2.2.6评标标准相应的商务技术资料；</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2.2.7投标标的清单；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2.2.8商务技术偏离表；</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val="zh-CN"/>
          <w14:textFill>
            <w14:solidFill>
              <w14:schemeClr w14:val="tx1"/>
            </w14:solidFill>
          </w14:textFill>
        </w:rPr>
        <w:t>政府采购供应商廉洁自律承诺书；</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3报价文件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2.3.1开标一览表（报价表）；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2.3.2中小企业声明函（如果有）。</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3、我方承诺除商务技术偏离表列出的偏离外，我方响应招标文件的全部要求。</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4、如我方中标，我方承诺：</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4.1在收到中标通知书后，在中标通知书规定的期限内与你方签订合同；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4.2在签订合同时不向你方提出附加条件；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4.3按照招标文件要求提交履约保证金；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4.4在合同约定的期限内完成合同规定的全部义务。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5、其他补充说明: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投标人名称（电子签名）：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pPr>
        <w:rPr>
          <w:rFonts w:hint="eastAsia" w:ascii="宋体" w:hAnsi="宋体" w:eastAsia="宋体" w:cs="宋体"/>
          <w:color w:val="000000" w:themeColor="text1"/>
          <w:u w:val="single"/>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授权委托书（适用于非联合体投标）</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投标人名称(电子签名)：</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签发日期：  年  月   日</w:t>
      </w:r>
    </w:p>
    <w:p>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授权委托书（适用于联合体投标）</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pPr>
        <w:rPr>
          <w:rFonts w:hint="eastAsia" w:ascii="宋体" w:hAnsi="宋体" w:eastAsia="宋体" w:cs="宋体"/>
          <w:color w:val="000000" w:themeColor="text1"/>
          <w14:textFill>
            <w14:solidFill>
              <w14:schemeClr w14:val="tx1"/>
            </w14:solidFill>
          </w14:textFill>
        </w:rPr>
      </w:pPr>
    </w:p>
    <w:p>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pPr>
        <w:spacing w:line="276" w:lineRule="auto"/>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pPr>
        <w:autoSpaceDE w:val="0"/>
        <w:autoSpaceDN w:val="0"/>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74"/>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pPr>
              <w:pStyle w:val="74"/>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投标人名称(电子签名)：                              </w:t>
      </w:r>
    </w:p>
    <w:p>
      <w:pPr>
        <w:spacing w:line="360" w:lineRule="auto"/>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p>
    <w:p>
      <w:pPr>
        <w:pStyle w:val="4"/>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val="zh-CN"/>
          <w14:textFill>
            <w14:solidFill>
              <w14:schemeClr w14:val="tx1"/>
            </w14:solidFill>
          </w14:textFill>
        </w:rPr>
        <w:t>联合协议</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（以联合体形式投标的，提供联合协议；本项目不接受联合体投标或者投标人不以联合体形式投标的，则不需要提供）</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（联合体所有成员名称）</w:t>
      </w:r>
      <w:r>
        <w:rPr>
          <w:rFonts w:hint="eastAsia" w:ascii="宋体" w:hAnsi="宋体" w:eastAsia="宋体" w:cs="宋体"/>
          <w:color w:val="000000" w:themeColor="text1"/>
          <w14:textFill>
            <w14:solidFill>
              <w14:schemeClr w14:val="tx1"/>
            </w14:solidFill>
          </w14:textFill>
        </w:rPr>
        <w:t>自愿</w:t>
      </w:r>
      <w:r>
        <w:rPr>
          <w:rFonts w:hint="eastAsia" w:ascii="宋体" w:hAnsi="宋体" w:eastAsia="宋体" w:cs="宋体"/>
          <w:color w:val="000000" w:themeColor="text1"/>
          <w:lang w:val="zh-CN"/>
          <w14:textFill>
            <w14:solidFill>
              <w14:schemeClr w14:val="tx1"/>
            </w14:solidFill>
          </w14:textFill>
        </w:rPr>
        <w:t>组成一个联合体，以一个投标人的身份</w:t>
      </w:r>
      <w:r>
        <w:rPr>
          <w:rFonts w:hint="eastAsia" w:ascii="宋体" w:hAnsi="宋体" w:eastAsia="宋体" w:cs="宋体"/>
          <w:color w:val="000000" w:themeColor="text1"/>
          <w14:textFill>
            <w14:solidFill>
              <w14:schemeClr w14:val="tx1"/>
            </w14:solidFill>
          </w14:textFill>
        </w:rPr>
        <w:t>参加（项目名称）【招标编号：（采购编号）】</w:t>
      </w:r>
      <w:r>
        <w:rPr>
          <w:rFonts w:hint="eastAsia" w:ascii="宋体" w:hAnsi="宋体" w:eastAsia="宋体" w:cs="宋体"/>
          <w:color w:val="000000" w:themeColor="text1"/>
          <w:lang w:val="zh-CN"/>
          <w14:textFill>
            <w14:solidFill>
              <w14:schemeClr w14:val="tx1"/>
            </w14:solidFill>
          </w14:textFill>
        </w:rPr>
        <w:t xml:space="preserve">投标。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一、各方一致决定，</w:t>
      </w:r>
      <w:r>
        <w:rPr>
          <w:rFonts w:hint="eastAsia" w:ascii="宋体" w:hAnsi="宋体" w:eastAsia="宋体" w:cs="宋体"/>
          <w:color w:val="000000" w:themeColor="text1"/>
          <w:u w:val="single"/>
          <w14:textFill>
            <w14:solidFill>
              <w14:schemeClr w14:val="tx1"/>
            </w14:solidFill>
          </w14:textFill>
        </w:rPr>
        <w:t>（某联合体成员名称）</w:t>
      </w:r>
      <w:r>
        <w:rPr>
          <w:rFonts w:hint="eastAsia" w:ascii="宋体" w:hAnsi="宋体" w:eastAsia="宋体" w:cs="宋体"/>
          <w:color w:val="000000" w:themeColor="text1"/>
          <w14:textFill>
            <w14:solidFill>
              <w14:schemeClr w14:val="tx1"/>
            </w14:solidFill>
          </w14:textFill>
        </w:rPr>
        <w:t>为联合体</w:t>
      </w:r>
      <w:r>
        <w:rPr>
          <w:rFonts w:hint="eastAsia" w:ascii="宋体" w:hAnsi="宋体" w:eastAsia="宋体" w:cs="宋体"/>
          <w:color w:val="000000" w:themeColor="text1"/>
          <w:lang w:val="zh-CN"/>
          <w14:textFill>
            <w14:solidFill>
              <w14:schemeClr w14:val="tx1"/>
            </w14:solidFill>
          </w14:textFill>
        </w:rPr>
        <w:t>牵头人</w:t>
      </w:r>
      <w:r>
        <w:rPr>
          <w:rFonts w:hint="eastAsia" w:ascii="宋体" w:hAnsi="宋体" w:eastAsia="宋体" w:cs="宋体"/>
          <w:color w:val="000000" w:themeColor="text1"/>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所有联合体成员各方签署授权书，授权书载明的</w:t>
      </w:r>
      <w:r>
        <w:rPr>
          <w:rFonts w:hint="eastAsia" w:ascii="宋体" w:hAnsi="宋体" w:eastAsia="宋体" w:cs="宋体"/>
          <w:color w:val="000000" w:themeColor="text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三、本次联合投标中，分工如下：</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%以上；</w:t>
      </w:r>
      <w:r>
        <w:rPr>
          <w:rFonts w:hint="eastAsia" w:ascii="宋体" w:hAnsi="宋体" w:eastAsia="宋体" w:cs="宋体"/>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五、如果中标，</w:t>
      </w:r>
      <w:r>
        <w:rPr>
          <w:rFonts w:hint="eastAsia" w:ascii="宋体" w:hAnsi="宋体" w:eastAsia="宋体" w:cs="宋体"/>
          <w:color w:val="000000" w:themeColor="text1"/>
          <w14:textFill>
            <w14:solidFill>
              <w14:schemeClr w14:val="tx1"/>
            </w14:solidFill>
          </w14:textFill>
        </w:rPr>
        <w:t>联合体各成员方共同与采购人签订合同，并就采购合同约定的事项对采购人承担连带责任。</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六、有关本次联合投标的其他事宜：</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1、联合体各方不再单独参加或者与其他供应商另外组成联合体参加同一合同项下的政府采购活动。</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2、联合体中有同类资质的各方按照联合体分工承担相同工作的，按照资质等级较低的供应商确定资质等级。</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3、本协议提交采购人、采购机构后，联合体各方不得以任何形式对上述内容进行修改或撤销。</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四、分包意向协议</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lang w:val="zh-CN"/>
          <w14:textFill>
            <w14:solidFill>
              <w14:schemeClr w14:val="tx1"/>
            </w14:solidFill>
          </w14:textFill>
        </w:rPr>
        <w:t>若成为</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的中标供应商，将依法采取分包方式履行合同。</w:t>
      </w: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14:textFill>
            <w14:solidFill>
              <w14:schemeClr w14:val="tx1"/>
            </w14:solidFill>
          </w14:textFill>
        </w:rPr>
        <w:t>与</w:t>
      </w:r>
      <w:r>
        <w:rPr>
          <w:rFonts w:hint="eastAsia" w:ascii="宋体" w:hAnsi="宋体" w:eastAsia="宋体" w:cs="宋体"/>
          <w:color w:val="000000" w:themeColor="text1"/>
          <w:u w:val="single"/>
          <w14:textFill>
            <w14:solidFill>
              <w14:schemeClr w14:val="tx1"/>
            </w14:solidFill>
          </w14:textFill>
        </w:rPr>
        <w:t>（所有分包供应商名称）</w:t>
      </w:r>
      <w:r>
        <w:rPr>
          <w:rFonts w:hint="eastAsia" w:ascii="宋体" w:hAnsi="宋体" w:eastAsia="宋体" w:cs="宋体"/>
          <w:color w:val="000000" w:themeColor="text1"/>
          <w14:textFill>
            <w14:solidFill>
              <w14:schemeClr w14:val="tx1"/>
            </w14:solidFill>
          </w14:textFill>
        </w:rPr>
        <w:t>达成分包意向协议</w:t>
      </w:r>
      <w:r>
        <w:rPr>
          <w:rFonts w:hint="eastAsia" w:ascii="宋体" w:hAnsi="宋体" w:eastAsia="宋体" w:cs="宋体"/>
          <w:color w:val="000000" w:themeColor="text1"/>
          <w:lang w:val="zh-CN"/>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一、分包标的及数量</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（投标人名称）</w:t>
      </w:r>
      <w:r>
        <w:rPr>
          <w:rFonts w:hint="eastAsia" w:ascii="宋体" w:hAnsi="宋体" w:eastAsia="宋体" w:cs="宋体"/>
          <w:color w:val="000000" w:themeColor="text1"/>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14:textFill>
            <w14:solidFill>
              <w14:schemeClr w14:val="tx1"/>
            </w14:solidFill>
          </w14:textFill>
        </w:rPr>
        <w:t>分包给</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具备承</w:t>
      </w:r>
      <w:r>
        <w:rPr>
          <w:rFonts w:hint="eastAsia" w:ascii="宋体" w:hAnsi="宋体" w:eastAsia="宋体" w:cs="宋体"/>
          <w:color w:val="000000" w:themeColor="text1"/>
          <w14:textFill>
            <w14:solidFill>
              <w14:schemeClr w14:val="tx1"/>
            </w14:solidFill>
          </w14:textFill>
        </w:rPr>
        <w:t>担</w:t>
      </w:r>
      <w:r>
        <w:rPr>
          <w:rFonts w:hint="eastAsia" w:ascii="宋体" w:hAnsi="宋体" w:eastAsia="宋体" w:cs="宋体"/>
          <w:color w:val="000000" w:themeColor="text1"/>
          <w:u w:val="single"/>
          <w:lang w:val="zh-CN"/>
          <w14:textFill>
            <w14:solidFill>
              <w14:schemeClr w14:val="tx1"/>
            </w14:solidFill>
          </w14:textFill>
        </w:rPr>
        <w:t>XX工作内容</w:t>
      </w:r>
      <w:r>
        <w:rPr>
          <w:rFonts w:hint="eastAsia" w:ascii="宋体" w:hAnsi="宋体" w:eastAsia="宋体" w:cs="宋体"/>
          <w:color w:val="000000" w:themeColor="text1"/>
          <w:lang w:val="zh-CN"/>
          <w14:textFill>
            <w14:solidFill>
              <w14:schemeClr w14:val="tx1"/>
            </w14:solidFill>
          </w14:textFill>
        </w:rPr>
        <w:t>相应资质条件且不得再次分包；</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二、分包工作履行期限、地点、方式</w:t>
      </w:r>
    </w:p>
    <w:p>
      <w:pP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三、质量</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四、价款或者报酬</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五、违约责任</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六、争议解决的办法</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七、其他</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（分包供应商名称）提供的货物全部由小微企业制造，</w:t>
      </w:r>
      <w:r>
        <w:rPr>
          <w:rFonts w:hint="eastAsia" w:ascii="宋体" w:hAnsi="宋体" w:eastAsia="宋体" w:cs="宋体"/>
          <w:color w:val="000000" w:themeColor="text1"/>
          <w14:textFill>
            <w14:solidFill>
              <w14:schemeClr w14:val="tx1"/>
            </w14:solidFill>
          </w14:textFill>
        </w:rPr>
        <w:t>其合同份额占到合同总金额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%以上。</w:t>
      </w:r>
      <w:r>
        <w:rPr>
          <w:rFonts w:hint="eastAsia" w:ascii="宋体" w:hAnsi="宋体" w:eastAsia="宋体" w:cs="宋体"/>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投标人名称(电子签名)：</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分包供应商名称：</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140" w:type="dxa"/>
            <w:vAlign w:val="center"/>
          </w:tcPr>
          <w:p>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实质性要求</w:t>
            </w:r>
          </w:p>
        </w:tc>
        <w:tc>
          <w:tcPr>
            <w:tcW w:w="2410" w:type="dxa"/>
            <w:vAlign w:val="center"/>
          </w:tcPr>
          <w:p>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需要提供的符合性审查资料</w:t>
            </w:r>
          </w:p>
        </w:tc>
        <w:tc>
          <w:tcPr>
            <w:tcW w:w="1701" w:type="dxa"/>
            <w:vAlign w:val="center"/>
          </w:tcPr>
          <w:p>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投标文件中的</w:t>
            </w:r>
          </w:p>
          <w:p>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140"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投标文件按照招标文件要求签署、盖章。</w:t>
            </w:r>
          </w:p>
        </w:tc>
        <w:tc>
          <w:tcPr>
            <w:tcW w:w="2410"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需要使用电子签名或者签字盖章的投标文件的组成部分</w:t>
            </w:r>
          </w:p>
        </w:tc>
        <w:tc>
          <w:tcPr>
            <w:tcW w:w="1701" w:type="dxa"/>
          </w:tcPr>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见投标文件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4140"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节能产品认证证书（本项目拟采购的产品不属于政府强制采购的节能产品品目清单范围的，无需提供）</w:t>
            </w:r>
          </w:p>
        </w:tc>
        <w:tc>
          <w:tcPr>
            <w:tcW w:w="1701" w:type="dxa"/>
          </w:tcPr>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见投标文件</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4140"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投标文件中承诺的投标有效期不少于招标文件中载明的投标有效期。</w:t>
            </w:r>
          </w:p>
        </w:tc>
        <w:tc>
          <w:tcPr>
            <w:tcW w:w="2410"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投标函</w:t>
            </w:r>
          </w:p>
        </w:tc>
        <w:tc>
          <w:tcPr>
            <w:tcW w:w="1701"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见投标文件第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140"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投标文件满足招标文件的其它实质性要求。</w:t>
            </w:r>
          </w:p>
        </w:tc>
        <w:tc>
          <w:tcPr>
            <w:tcW w:w="2410"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招标文件其它实质性要求相应的材料（“▲” 系指实质性要求条款，招标文件无其它实质性要求的，无需提供）</w:t>
            </w:r>
          </w:p>
        </w:tc>
        <w:tc>
          <w:tcPr>
            <w:tcW w:w="1701" w:type="dxa"/>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见投标文件第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bl>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六、评标标准相应的商务技术资料</w:t>
      </w:r>
    </w:p>
    <w:p>
      <w:pPr>
        <w:snapToGrid w:val="0"/>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（按招标文件第四部分评标办法前附表中“投标文件中评标标准相应的商务技术资料目录”提供资料。）</w:t>
      </w:r>
    </w:p>
    <w:p>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14:textFill>
                  <w14:solidFill>
                    <w14:schemeClr w14:val="tx1"/>
                  </w14:solidFill>
                </w14:textFill>
              </w:rPr>
            </w:pPr>
          </w:p>
        </w:tc>
      </w:tr>
    </w:tbl>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3683" w:type="dxa"/>
          </w:tcPr>
          <w:p>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招标文件章节及具体内容</w:t>
            </w:r>
          </w:p>
        </w:tc>
        <w:tc>
          <w:tcPr>
            <w:tcW w:w="3546" w:type="dxa"/>
          </w:tcPr>
          <w:p>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投标文件章节及具体内容</w:t>
            </w:r>
          </w:p>
        </w:tc>
        <w:tc>
          <w:tcPr>
            <w:tcW w:w="1276" w:type="dxa"/>
          </w:tcPr>
          <w:p>
            <w:pPr>
              <w:spacing w:after="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3683"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3683"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3683"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pPr>
              <w:spacing w:after="0"/>
              <w:jc w:val="center"/>
              <w:rPr>
                <w:rFonts w:hint="eastAsia" w:ascii="宋体" w:hAnsi="宋体" w:eastAsia="宋体" w:cs="宋体"/>
                <w:b/>
                <w:color w:val="000000" w:themeColor="text1"/>
                <w:sz w:val="32"/>
                <w:szCs w:val="32"/>
                <w14:textFill>
                  <w14:solidFill>
                    <w14:schemeClr w14:val="tx1"/>
                  </w14:solidFill>
                </w14:textFill>
              </w:rPr>
            </w:pPr>
          </w:p>
        </w:tc>
      </w:tr>
    </w:tbl>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投标人保证：除商务技术偏离表列出的偏离外，投标人响应招标文件的全部要求</w:t>
      </w:r>
    </w:p>
    <w:p>
      <w:pPr>
        <w:spacing w:line="360" w:lineRule="auto"/>
        <w:ind w:righ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政府采购供应商廉洁自律承诺书</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我单位响应你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项目招标要求参加投标。在这次投标过程中和中标后，我们将严格遵守国家法律法规要求，并郑重承诺：</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一、不向项目有关人员及部门赠送礼金礼物、有价证券、回扣以及中介费、介绍费、咨询费等好处费；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二、不为项目有关人员及部门报销应由你方单位或个人支付的费用；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三、不向项目有关人员及部门提供有可能影响公正的宴请和健身娱乐等活动；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四、不为项目有关人员及部门出国（境）、旅游等提供方便；</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五、不为项目有关人员个人装修住房、婚丧嫁娶、配偶子女工作安排等提供</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好处；</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六、严格遵守《中华人民共和国政府采购法》《中华人民共和国招标投标</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法》《中华人民共和国民法典》等法律法规，诚实守信，合法经营，坚决抵制各种违法违纪行为。 </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如违反上述承诺，你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进行项目建设或其他经营活动，并通报市财政局。由此引起的相应损失均由我单位承担。</w:t>
      </w:r>
    </w:p>
    <w:p>
      <w:pPr>
        <w:rPr>
          <w:rFonts w:hint="eastAsia" w:ascii="宋体" w:hAnsi="宋体" w:eastAsia="宋体" w:cs="宋体"/>
          <w:color w:val="000000" w:themeColor="text1"/>
          <w:lang w:val="zh-CN"/>
          <w14:textFill>
            <w14:solidFill>
              <w14:schemeClr w14:val="tx1"/>
            </w14:solidFill>
          </w14:textFill>
        </w:rPr>
      </w:pPr>
    </w:p>
    <w:p>
      <w:pPr>
        <w:rPr>
          <w:rFonts w:hint="eastAsia" w:ascii="宋体" w:hAnsi="宋体" w:eastAsia="宋体" w:cs="宋体"/>
          <w:color w:val="000000" w:themeColor="text1"/>
          <w:lang w:val="zh-CN"/>
          <w14:textFill>
            <w14:solidFill>
              <w14:schemeClr w14:val="tx1"/>
            </w14:solidFill>
          </w14:textFill>
        </w:rPr>
      </w:pPr>
    </w:p>
    <w:p>
      <w:pPr>
        <w:jc w:val="righ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投标人名称（</w:t>
      </w:r>
      <w:r>
        <w:rPr>
          <w:rFonts w:hint="eastAsia" w:ascii="宋体" w:hAnsi="宋体" w:eastAsia="宋体" w:cs="宋体"/>
          <w:color w:val="000000" w:themeColor="text1"/>
          <w14:textFill>
            <w14:solidFill>
              <w14:schemeClr w14:val="tx1"/>
            </w14:solidFill>
          </w14:textFill>
        </w:rPr>
        <w:t>电子签名</w:t>
      </w:r>
      <w:r>
        <w:rPr>
          <w:rFonts w:hint="eastAsia" w:ascii="宋体" w:hAnsi="宋体" w:eastAsia="宋体" w:cs="宋体"/>
          <w:color w:val="000000" w:themeColor="text1"/>
          <w:lang w:val="zh-CN"/>
          <w14:textFill>
            <w14:solidFill>
              <w14:schemeClr w14:val="tx1"/>
            </w14:solidFill>
          </w14:textFill>
        </w:rPr>
        <w:t xml:space="preserve">）： </w:t>
      </w:r>
    </w:p>
    <w:p>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 xml:space="preserve">   年   月   日</w:t>
      </w:r>
    </w:p>
    <w:p>
      <w:pPr>
        <w:rPr>
          <w:rFonts w:hint="eastAsia" w:ascii="宋体" w:hAnsi="宋体" w:eastAsia="宋体" w:cs="宋体"/>
          <w:b/>
          <w:bCs/>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报价文件部分</w:t>
      </w:r>
    </w:p>
    <w:p>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（1）开标一览表（报价表）…………………………………………………（页码）</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（2）中小企业声明函…………………………………………………………（页码）</w:t>
      </w:r>
    </w:p>
    <w:p>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pPr>
        <w:pStyle w:val="7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headerReference r:id="rId6" w:type="default"/>
          <w:pgSz w:w="11906" w:h="16838"/>
          <w:pgMar w:top="1440" w:right="1700" w:bottom="1440" w:left="1800" w:header="851" w:footer="992" w:gutter="0"/>
          <w:cols w:space="425" w:num="1"/>
          <w:docGrid w:type="lines" w:linePitch="312" w:charSpace="0"/>
        </w:sect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一、开标一览表（报价表）</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val="zh-CN"/>
          <w14:textFill>
            <w14:solidFill>
              <w14:schemeClr w14:val="tx1"/>
            </w14:solidFill>
          </w14:textFill>
        </w:rPr>
        <w:t>【招标编号：</w:t>
      </w:r>
      <w:r>
        <w:rPr>
          <w:rFonts w:hint="eastAsia" w:ascii="宋体" w:hAnsi="宋体" w:eastAsia="宋体" w:cs="宋体"/>
          <w:color w:val="000000" w:themeColor="text1"/>
          <w14:textFill>
            <w14:solidFill>
              <w14:schemeClr w14:val="tx1"/>
            </w14:solidFill>
          </w14:textFill>
        </w:rPr>
        <w:t>（采购编号）】的实施</w:t>
      </w:r>
      <w:r>
        <w:rPr>
          <w:rFonts w:hint="eastAsia" w:ascii="宋体" w:hAnsi="宋体" w:eastAsia="宋体" w:cs="宋体"/>
          <w:color w:val="000000" w:themeColor="text1"/>
          <w:lang w:val="zh-CN"/>
          <w14:textFill>
            <w14:solidFill>
              <w14:schemeClr w14:val="tx1"/>
            </w14:solidFill>
          </w14:textFill>
        </w:rPr>
        <w:t>。</w:t>
      </w:r>
    </w:p>
    <w:p>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417" w:type="dxa"/>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名称</w:t>
            </w:r>
          </w:p>
        </w:tc>
        <w:tc>
          <w:tcPr>
            <w:tcW w:w="1843" w:type="dxa"/>
          </w:tcPr>
          <w:p>
            <w:pPr>
              <w:rPr>
                <w:rFonts w:hint="eastAsia" w:ascii="宋体" w:hAnsi="宋体" w:eastAsia="宋体" w:cs="宋体"/>
                <w:b/>
                <w:color w:val="000000" w:themeColor="text1"/>
                <w14:textFill>
                  <w14:solidFill>
                    <w14:schemeClr w14:val="tx1"/>
                  </w14:solidFill>
                </w14:textFill>
              </w:rPr>
            </w:pP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品牌（如果有）</w:t>
            </w:r>
          </w:p>
        </w:tc>
        <w:tc>
          <w:tcPr>
            <w:tcW w:w="3118" w:type="dxa"/>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规格型号（或具体服务）</w:t>
            </w:r>
          </w:p>
        </w:tc>
        <w:tc>
          <w:tcPr>
            <w:tcW w:w="993" w:type="dxa"/>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数量</w:t>
            </w:r>
          </w:p>
        </w:tc>
        <w:tc>
          <w:tcPr>
            <w:tcW w:w="1559" w:type="dxa"/>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单价</w:t>
            </w:r>
          </w:p>
        </w:tc>
        <w:tc>
          <w:tcPr>
            <w:tcW w:w="1984" w:type="dxa"/>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总价</w:t>
            </w:r>
          </w:p>
        </w:tc>
        <w:tc>
          <w:tcPr>
            <w:tcW w:w="3119" w:type="dxa"/>
            <w:vAlign w:val="center"/>
          </w:tcPr>
          <w:p>
            <w:pPr>
              <w:rPr>
                <w:rFonts w:hint="eastAsia" w:ascii="宋体" w:hAnsi="宋体" w:eastAsia="宋体" w:cs="宋体"/>
                <w:b/>
                <w:color w:val="000000" w:themeColor="text1"/>
                <w14:textFill>
                  <w14:solidFill>
                    <w14:schemeClr w14:val="tx1"/>
                  </w14:solidFill>
                </w14:textFill>
              </w:rPr>
            </w:pP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质保或服务年限</w:t>
            </w:r>
          </w:p>
          <w:p>
            <w:pPr>
              <w:rPr>
                <w:rFonts w:hint="eastAsia" w:ascii="宋体" w:hAnsi="宋体" w:eastAsia="宋体" w:cs="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417" w:type="dxa"/>
            <w:vAlign w:val="center"/>
          </w:tcPr>
          <w:p>
            <w:pPr>
              <w:rPr>
                <w:rFonts w:hint="eastAsia" w:ascii="宋体" w:hAnsi="宋体" w:eastAsia="宋体" w:cs="宋体"/>
                <w:color w:val="000000" w:themeColor="text1"/>
                <w14:textFill>
                  <w14:solidFill>
                    <w14:schemeClr w14:val="tx1"/>
                  </w14:solidFill>
                </w14:textFill>
              </w:rPr>
            </w:pPr>
          </w:p>
        </w:tc>
        <w:tc>
          <w:tcPr>
            <w:tcW w:w="1843" w:type="dxa"/>
            <w:vAlign w:val="center"/>
          </w:tcPr>
          <w:p>
            <w:pPr>
              <w:rPr>
                <w:rFonts w:hint="eastAsia" w:ascii="宋体" w:hAnsi="宋体" w:eastAsia="宋体" w:cs="宋体"/>
                <w:color w:val="000000" w:themeColor="text1"/>
                <w14:textFill>
                  <w14:solidFill>
                    <w14:schemeClr w14:val="tx1"/>
                  </w14:solidFill>
                </w14:textFill>
              </w:rPr>
            </w:pPr>
          </w:p>
        </w:tc>
        <w:tc>
          <w:tcPr>
            <w:tcW w:w="3118" w:type="dxa"/>
            <w:vAlign w:val="center"/>
          </w:tcPr>
          <w:p>
            <w:pPr>
              <w:rPr>
                <w:rFonts w:hint="eastAsia" w:ascii="宋体" w:hAnsi="宋体" w:eastAsia="宋体" w:cs="宋体"/>
                <w:color w:val="000000" w:themeColor="text1"/>
                <w14:textFill>
                  <w14:solidFill>
                    <w14:schemeClr w14:val="tx1"/>
                  </w14:solidFill>
                </w14:textFill>
              </w:rPr>
            </w:pPr>
          </w:p>
        </w:tc>
        <w:tc>
          <w:tcPr>
            <w:tcW w:w="993" w:type="dxa"/>
            <w:vAlign w:val="center"/>
          </w:tcPr>
          <w:p>
            <w:pPr>
              <w:rPr>
                <w:rFonts w:hint="eastAsia" w:ascii="宋体" w:hAnsi="宋体" w:eastAsia="宋体" w:cs="宋体"/>
                <w:color w:val="000000" w:themeColor="text1"/>
                <w14:textFill>
                  <w14:solidFill>
                    <w14:schemeClr w14:val="tx1"/>
                  </w14:solidFill>
                </w14:textFill>
              </w:rPr>
            </w:pPr>
          </w:p>
        </w:tc>
        <w:tc>
          <w:tcPr>
            <w:tcW w:w="1559" w:type="dxa"/>
            <w:vAlign w:val="center"/>
          </w:tcPr>
          <w:p>
            <w:pPr>
              <w:rPr>
                <w:rFonts w:hint="eastAsia" w:ascii="宋体" w:hAnsi="宋体" w:eastAsia="宋体" w:cs="宋体"/>
                <w:color w:val="000000" w:themeColor="text1"/>
                <w14:textFill>
                  <w14:solidFill>
                    <w14:schemeClr w14:val="tx1"/>
                  </w14:solidFill>
                </w14:textFill>
              </w:rPr>
            </w:pPr>
          </w:p>
        </w:tc>
        <w:tc>
          <w:tcPr>
            <w:tcW w:w="1984" w:type="dxa"/>
            <w:vAlign w:val="center"/>
          </w:tcPr>
          <w:p>
            <w:pPr>
              <w:rPr>
                <w:rFonts w:hint="eastAsia" w:ascii="宋体" w:hAnsi="宋体" w:eastAsia="宋体" w:cs="宋体"/>
                <w:color w:val="000000" w:themeColor="text1"/>
                <w14:textFill>
                  <w14:solidFill>
                    <w14:schemeClr w14:val="tx1"/>
                  </w14:solidFill>
                </w14:textFill>
              </w:rPr>
            </w:pPr>
          </w:p>
        </w:tc>
        <w:tc>
          <w:tcPr>
            <w:tcW w:w="3119" w:type="dxa"/>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417" w:type="dxa"/>
            <w:vAlign w:val="center"/>
          </w:tcPr>
          <w:p>
            <w:pPr>
              <w:rPr>
                <w:rFonts w:hint="eastAsia" w:ascii="宋体" w:hAnsi="宋体" w:eastAsia="宋体" w:cs="宋体"/>
                <w:color w:val="000000" w:themeColor="text1"/>
                <w14:textFill>
                  <w14:solidFill>
                    <w14:schemeClr w14:val="tx1"/>
                  </w14:solidFill>
                </w14:textFill>
              </w:rPr>
            </w:pPr>
          </w:p>
        </w:tc>
        <w:tc>
          <w:tcPr>
            <w:tcW w:w="1843" w:type="dxa"/>
            <w:vAlign w:val="center"/>
          </w:tcPr>
          <w:p>
            <w:pPr>
              <w:rPr>
                <w:rFonts w:hint="eastAsia" w:ascii="宋体" w:hAnsi="宋体" w:eastAsia="宋体" w:cs="宋体"/>
                <w:color w:val="000000" w:themeColor="text1"/>
                <w14:textFill>
                  <w14:solidFill>
                    <w14:schemeClr w14:val="tx1"/>
                  </w14:solidFill>
                </w14:textFill>
              </w:rPr>
            </w:pPr>
          </w:p>
        </w:tc>
        <w:tc>
          <w:tcPr>
            <w:tcW w:w="3118" w:type="dxa"/>
            <w:vAlign w:val="center"/>
          </w:tcPr>
          <w:p>
            <w:pPr>
              <w:rPr>
                <w:rFonts w:hint="eastAsia" w:ascii="宋体" w:hAnsi="宋体" w:eastAsia="宋体" w:cs="宋体"/>
                <w:color w:val="000000" w:themeColor="text1"/>
                <w14:textFill>
                  <w14:solidFill>
                    <w14:schemeClr w14:val="tx1"/>
                  </w14:solidFill>
                </w14:textFill>
              </w:rPr>
            </w:pPr>
          </w:p>
        </w:tc>
        <w:tc>
          <w:tcPr>
            <w:tcW w:w="993" w:type="dxa"/>
            <w:vAlign w:val="center"/>
          </w:tcPr>
          <w:p>
            <w:pPr>
              <w:rPr>
                <w:rFonts w:hint="eastAsia" w:ascii="宋体" w:hAnsi="宋体" w:eastAsia="宋体" w:cs="宋体"/>
                <w:color w:val="000000" w:themeColor="text1"/>
                <w14:textFill>
                  <w14:solidFill>
                    <w14:schemeClr w14:val="tx1"/>
                  </w14:solidFill>
                </w14:textFill>
              </w:rPr>
            </w:pPr>
          </w:p>
        </w:tc>
        <w:tc>
          <w:tcPr>
            <w:tcW w:w="1559" w:type="dxa"/>
            <w:vAlign w:val="center"/>
          </w:tcPr>
          <w:p>
            <w:pPr>
              <w:rPr>
                <w:rFonts w:hint="eastAsia" w:ascii="宋体" w:hAnsi="宋体" w:eastAsia="宋体" w:cs="宋体"/>
                <w:color w:val="000000" w:themeColor="text1"/>
                <w14:textFill>
                  <w14:solidFill>
                    <w14:schemeClr w14:val="tx1"/>
                  </w14:solidFill>
                </w14:textFill>
              </w:rPr>
            </w:pPr>
          </w:p>
        </w:tc>
        <w:tc>
          <w:tcPr>
            <w:tcW w:w="1984" w:type="dxa"/>
            <w:vAlign w:val="center"/>
          </w:tcPr>
          <w:p>
            <w:pPr>
              <w:rPr>
                <w:rFonts w:hint="eastAsia" w:ascii="宋体" w:hAnsi="宋体" w:eastAsia="宋体" w:cs="宋体"/>
                <w:color w:val="000000" w:themeColor="text1"/>
                <w14:textFill>
                  <w14:solidFill>
                    <w14:schemeClr w14:val="tx1"/>
                  </w14:solidFill>
                </w14:textFill>
              </w:rPr>
            </w:pPr>
          </w:p>
        </w:tc>
        <w:tc>
          <w:tcPr>
            <w:tcW w:w="3119" w:type="dxa"/>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417" w:type="dxa"/>
            <w:vAlign w:val="center"/>
          </w:tcPr>
          <w:p>
            <w:pPr>
              <w:rPr>
                <w:rFonts w:hint="eastAsia" w:ascii="宋体" w:hAnsi="宋体" w:eastAsia="宋体" w:cs="宋体"/>
                <w:color w:val="000000" w:themeColor="text1"/>
                <w14:textFill>
                  <w14:solidFill>
                    <w14:schemeClr w14:val="tx1"/>
                  </w14:solidFill>
                </w14:textFill>
              </w:rPr>
            </w:pPr>
          </w:p>
        </w:tc>
        <w:tc>
          <w:tcPr>
            <w:tcW w:w="1843" w:type="dxa"/>
            <w:vAlign w:val="center"/>
          </w:tcPr>
          <w:p>
            <w:pPr>
              <w:rPr>
                <w:rFonts w:hint="eastAsia" w:ascii="宋体" w:hAnsi="宋体" w:eastAsia="宋体" w:cs="宋体"/>
                <w:color w:val="000000" w:themeColor="text1"/>
                <w14:textFill>
                  <w14:solidFill>
                    <w14:schemeClr w14:val="tx1"/>
                  </w14:solidFill>
                </w14:textFill>
              </w:rPr>
            </w:pPr>
          </w:p>
        </w:tc>
        <w:tc>
          <w:tcPr>
            <w:tcW w:w="3118" w:type="dxa"/>
            <w:vAlign w:val="center"/>
          </w:tcPr>
          <w:p>
            <w:pPr>
              <w:rPr>
                <w:rFonts w:hint="eastAsia" w:ascii="宋体" w:hAnsi="宋体" w:eastAsia="宋体" w:cs="宋体"/>
                <w:color w:val="000000" w:themeColor="text1"/>
                <w14:textFill>
                  <w14:solidFill>
                    <w14:schemeClr w14:val="tx1"/>
                  </w14:solidFill>
                </w14:textFill>
              </w:rPr>
            </w:pPr>
          </w:p>
        </w:tc>
        <w:tc>
          <w:tcPr>
            <w:tcW w:w="993" w:type="dxa"/>
            <w:vAlign w:val="center"/>
          </w:tcPr>
          <w:p>
            <w:pPr>
              <w:rPr>
                <w:rFonts w:hint="eastAsia" w:ascii="宋体" w:hAnsi="宋体" w:eastAsia="宋体" w:cs="宋体"/>
                <w:color w:val="000000" w:themeColor="text1"/>
                <w14:textFill>
                  <w14:solidFill>
                    <w14:schemeClr w14:val="tx1"/>
                  </w14:solidFill>
                </w14:textFill>
              </w:rPr>
            </w:pPr>
          </w:p>
        </w:tc>
        <w:tc>
          <w:tcPr>
            <w:tcW w:w="1559" w:type="dxa"/>
            <w:vAlign w:val="center"/>
          </w:tcPr>
          <w:p>
            <w:pPr>
              <w:rPr>
                <w:rFonts w:hint="eastAsia" w:ascii="宋体" w:hAnsi="宋体" w:eastAsia="宋体" w:cs="宋体"/>
                <w:color w:val="000000" w:themeColor="text1"/>
                <w14:textFill>
                  <w14:solidFill>
                    <w14:schemeClr w14:val="tx1"/>
                  </w14:solidFill>
                </w14:textFill>
              </w:rPr>
            </w:pPr>
          </w:p>
        </w:tc>
        <w:tc>
          <w:tcPr>
            <w:tcW w:w="1984" w:type="dxa"/>
            <w:vAlign w:val="center"/>
          </w:tcPr>
          <w:p>
            <w:pPr>
              <w:rPr>
                <w:rFonts w:hint="eastAsia" w:ascii="宋体" w:hAnsi="宋体" w:eastAsia="宋体" w:cs="宋体"/>
                <w:color w:val="000000" w:themeColor="text1"/>
                <w14:textFill>
                  <w14:solidFill>
                    <w14:schemeClr w14:val="tx1"/>
                  </w14:solidFill>
                </w14:textFill>
              </w:rPr>
            </w:pPr>
          </w:p>
        </w:tc>
        <w:tc>
          <w:tcPr>
            <w:tcW w:w="3119" w:type="dxa"/>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14:textFill>
                  <w14:solidFill>
                    <w14:schemeClr w14:val="tx1"/>
                  </w14:solidFill>
                </w14:textFill>
              </w:rPr>
            </w:pPr>
          </w:p>
        </w:tc>
        <w:tc>
          <w:tcPr>
            <w:tcW w:w="1417" w:type="dxa"/>
            <w:vAlign w:val="center"/>
          </w:tcPr>
          <w:p>
            <w:pPr>
              <w:rPr>
                <w:rFonts w:hint="eastAsia" w:ascii="宋体" w:hAnsi="宋体" w:eastAsia="宋体" w:cs="宋体"/>
                <w:color w:val="000000" w:themeColor="text1"/>
                <w14:textFill>
                  <w14:solidFill>
                    <w14:schemeClr w14:val="tx1"/>
                  </w14:solidFill>
                </w14:textFill>
              </w:rPr>
            </w:pPr>
          </w:p>
        </w:tc>
        <w:tc>
          <w:tcPr>
            <w:tcW w:w="1843" w:type="dxa"/>
            <w:vAlign w:val="center"/>
          </w:tcPr>
          <w:p>
            <w:pPr>
              <w:rPr>
                <w:rFonts w:hint="eastAsia" w:ascii="宋体" w:hAnsi="宋体" w:eastAsia="宋体" w:cs="宋体"/>
                <w:color w:val="000000" w:themeColor="text1"/>
                <w14:textFill>
                  <w14:solidFill>
                    <w14:schemeClr w14:val="tx1"/>
                  </w14:solidFill>
                </w14:textFill>
              </w:rPr>
            </w:pPr>
          </w:p>
        </w:tc>
        <w:tc>
          <w:tcPr>
            <w:tcW w:w="3118" w:type="dxa"/>
            <w:vAlign w:val="center"/>
          </w:tcPr>
          <w:p>
            <w:pPr>
              <w:rPr>
                <w:rFonts w:hint="eastAsia" w:ascii="宋体" w:hAnsi="宋体" w:eastAsia="宋体" w:cs="宋体"/>
                <w:color w:val="000000" w:themeColor="text1"/>
                <w14:textFill>
                  <w14:solidFill>
                    <w14:schemeClr w14:val="tx1"/>
                  </w14:solidFill>
                </w14:textFill>
              </w:rPr>
            </w:pPr>
          </w:p>
        </w:tc>
        <w:tc>
          <w:tcPr>
            <w:tcW w:w="993" w:type="dxa"/>
            <w:vAlign w:val="center"/>
          </w:tcPr>
          <w:p>
            <w:pPr>
              <w:rPr>
                <w:rFonts w:hint="eastAsia" w:ascii="宋体" w:hAnsi="宋体" w:eastAsia="宋体" w:cs="宋体"/>
                <w:color w:val="000000" w:themeColor="text1"/>
                <w14:textFill>
                  <w14:solidFill>
                    <w14:schemeClr w14:val="tx1"/>
                  </w14:solidFill>
                </w14:textFill>
              </w:rPr>
            </w:pPr>
          </w:p>
        </w:tc>
        <w:tc>
          <w:tcPr>
            <w:tcW w:w="1559" w:type="dxa"/>
            <w:vAlign w:val="center"/>
          </w:tcPr>
          <w:p>
            <w:pPr>
              <w:rPr>
                <w:rFonts w:hint="eastAsia" w:ascii="宋体" w:hAnsi="宋体" w:eastAsia="宋体" w:cs="宋体"/>
                <w:color w:val="000000" w:themeColor="text1"/>
                <w14:textFill>
                  <w14:solidFill>
                    <w14:schemeClr w14:val="tx1"/>
                  </w14:solidFill>
                </w14:textFill>
              </w:rPr>
            </w:pPr>
          </w:p>
        </w:tc>
        <w:tc>
          <w:tcPr>
            <w:tcW w:w="1984" w:type="dxa"/>
            <w:vAlign w:val="center"/>
          </w:tcPr>
          <w:p>
            <w:pPr>
              <w:rPr>
                <w:rFonts w:hint="eastAsia" w:ascii="宋体" w:hAnsi="宋体" w:eastAsia="宋体" w:cs="宋体"/>
                <w:color w:val="000000" w:themeColor="text1"/>
                <w14:textFill>
                  <w14:solidFill>
                    <w14:schemeClr w14:val="tx1"/>
                  </w14:solidFill>
                </w14:textFill>
              </w:rPr>
            </w:pPr>
          </w:p>
        </w:tc>
        <w:tc>
          <w:tcPr>
            <w:tcW w:w="3119" w:type="dxa"/>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宋体" w:hAnsi="宋体" w:eastAsia="宋体" w:cs="宋体"/>
                <w:color w:val="000000" w:themeColor="text1"/>
                <w14:textFill>
                  <w14:solidFill>
                    <w14:schemeClr w14:val="tx1"/>
                  </w14:solidFill>
                </w14:textFill>
              </w:rPr>
            </w:pPr>
          </w:p>
        </w:tc>
        <w:tc>
          <w:tcPr>
            <w:tcW w:w="1417" w:type="dxa"/>
            <w:vAlign w:val="center"/>
          </w:tcPr>
          <w:p>
            <w:pPr>
              <w:rPr>
                <w:rFonts w:hint="eastAsia" w:ascii="宋体" w:hAnsi="宋体" w:eastAsia="宋体" w:cs="宋体"/>
                <w:color w:val="000000" w:themeColor="text1"/>
                <w14:textFill>
                  <w14:solidFill>
                    <w14:schemeClr w14:val="tx1"/>
                  </w14:solidFill>
                </w14:textFill>
              </w:rPr>
            </w:pPr>
          </w:p>
        </w:tc>
        <w:tc>
          <w:tcPr>
            <w:tcW w:w="1843" w:type="dxa"/>
            <w:vAlign w:val="center"/>
          </w:tcPr>
          <w:p>
            <w:pPr>
              <w:rPr>
                <w:rFonts w:hint="eastAsia" w:ascii="宋体" w:hAnsi="宋体" w:eastAsia="宋体" w:cs="宋体"/>
                <w:color w:val="000000" w:themeColor="text1"/>
                <w14:textFill>
                  <w14:solidFill>
                    <w14:schemeClr w14:val="tx1"/>
                  </w14:solidFill>
                </w14:textFill>
              </w:rPr>
            </w:pPr>
          </w:p>
        </w:tc>
        <w:tc>
          <w:tcPr>
            <w:tcW w:w="3118" w:type="dxa"/>
            <w:vAlign w:val="center"/>
          </w:tcPr>
          <w:p>
            <w:pPr>
              <w:rPr>
                <w:rFonts w:hint="eastAsia" w:ascii="宋体" w:hAnsi="宋体" w:eastAsia="宋体" w:cs="宋体"/>
                <w:color w:val="000000" w:themeColor="text1"/>
                <w14:textFill>
                  <w14:solidFill>
                    <w14:schemeClr w14:val="tx1"/>
                  </w14:solidFill>
                </w14:textFill>
              </w:rPr>
            </w:pPr>
          </w:p>
        </w:tc>
        <w:tc>
          <w:tcPr>
            <w:tcW w:w="993" w:type="dxa"/>
            <w:vAlign w:val="center"/>
          </w:tcPr>
          <w:p>
            <w:pPr>
              <w:rPr>
                <w:rFonts w:hint="eastAsia" w:ascii="宋体" w:hAnsi="宋体" w:eastAsia="宋体" w:cs="宋体"/>
                <w:color w:val="000000" w:themeColor="text1"/>
                <w14:textFill>
                  <w14:solidFill>
                    <w14:schemeClr w14:val="tx1"/>
                  </w14:solidFill>
                </w14:textFill>
              </w:rPr>
            </w:pPr>
          </w:p>
        </w:tc>
        <w:tc>
          <w:tcPr>
            <w:tcW w:w="1559" w:type="dxa"/>
            <w:vAlign w:val="center"/>
          </w:tcPr>
          <w:p>
            <w:pPr>
              <w:rPr>
                <w:rFonts w:hint="eastAsia" w:ascii="宋体" w:hAnsi="宋体" w:eastAsia="宋体" w:cs="宋体"/>
                <w:color w:val="000000" w:themeColor="text1"/>
                <w14:textFill>
                  <w14:solidFill>
                    <w14:schemeClr w14:val="tx1"/>
                  </w14:solidFill>
                </w14:textFill>
              </w:rPr>
            </w:pPr>
          </w:p>
        </w:tc>
        <w:tc>
          <w:tcPr>
            <w:tcW w:w="1984" w:type="dxa"/>
            <w:vAlign w:val="center"/>
          </w:tcPr>
          <w:p>
            <w:pPr>
              <w:rPr>
                <w:rFonts w:hint="eastAsia" w:ascii="宋体" w:hAnsi="宋体" w:eastAsia="宋体" w:cs="宋体"/>
                <w:color w:val="000000" w:themeColor="text1"/>
                <w14:textFill>
                  <w14:solidFill>
                    <w14:schemeClr w14:val="tx1"/>
                  </w14:solidFill>
                </w14:textFill>
              </w:rPr>
            </w:pPr>
          </w:p>
        </w:tc>
        <w:tc>
          <w:tcPr>
            <w:tcW w:w="3119" w:type="dxa"/>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投标报价（小写）</w:t>
            </w:r>
          </w:p>
        </w:tc>
        <w:tc>
          <w:tcPr>
            <w:tcW w:w="7655" w:type="dxa"/>
            <w:gridSpan w:val="4"/>
            <w:vAlign w:val="center"/>
          </w:tcPr>
          <w:p>
            <w:pP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投标报价（大写）</w:t>
            </w:r>
          </w:p>
        </w:tc>
        <w:tc>
          <w:tcPr>
            <w:tcW w:w="7655" w:type="dxa"/>
            <w:gridSpan w:val="4"/>
            <w:vAlign w:val="center"/>
          </w:tcPr>
          <w:p>
            <w:pPr>
              <w:rPr>
                <w:rFonts w:hint="eastAsia" w:ascii="宋体" w:hAnsi="宋体" w:eastAsia="宋体" w:cs="宋体"/>
                <w:color w:val="000000" w:themeColor="text1"/>
                <w14:textFill>
                  <w14:solidFill>
                    <w14:schemeClr w14:val="tx1"/>
                  </w14:solidFill>
                </w14:textFill>
              </w:rPr>
            </w:pPr>
          </w:p>
        </w:tc>
      </w:tr>
    </w:tbl>
    <w:p>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注：</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1、投标人需按本表格式填写，不得自行更改。</w:t>
      </w:r>
      <w:r>
        <w:rPr>
          <w:rFonts w:hint="eastAsia" w:ascii="宋体" w:hAnsi="宋体" w:eastAsia="宋体" w:cs="宋体"/>
          <w:color w:val="000000" w:themeColor="text1"/>
          <w:lang w:val="zh-CN"/>
          <w14:textFill>
            <w14:solidFill>
              <w14:schemeClr w14:val="tx1"/>
            </w14:solidFill>
          </w14:textFill>
        </w:rPr>
        <w:tab/>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b/>
          <w:color w:val="000000" w:themeColor="text1"/>
          <w:lang w:val="zh-CN"/>
          <w14:textFill>
            <w14:solidFill>
              <w14:schemeClr w14:val="tx1"/>
            </w14:solidFill>
          </w14:textFill>
        </w:rPr>
        <w:t>不得出现“0元”“免费赠送”等形式的无偿报价，</w:t>
      </w:r>
      <w:r>
        <w:rPr>
          <w:rFonts w:hint="eastAsia" w:ascii="宋体" w:hAnsi="宋体" w:eastAsia="宋体" w:cs="宋体"/>
          <w:b/>
          <w:color w:val="000000" w:themeColor="text1"/>
          <w14:textFill>
            <w14:solidFill>
              <w14:schemeClr w14:val="tx1"/>
            </w14:solidFill>
          </w14:textFill>
        </w:rPr>
        <w:t>否则视为投标文件含有采购人不能接受的附加条件的，投标无效</w:t>
      </w:r>
      <w:r>
        <w:rPr>
          <w:rFonts w:hint="eastAsia" w:ascii="宋体" w:hAnsi="宋体" w:eastAsia="宋体" w:cs="宋体"/>
          <w:b/>
          <w:color w:val="000000" w:themeColor="text1"/>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14:textFill>
            <w14:solidFill>
              <w14:schemeClr w14:val="tx1"/>
            </w14:solidFill>
          </w14:textFill>
        </w:rPr>
        <w:t>视为投标文件含有采购人不能接受的附加条件的，投标无效。</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5、</w:t>
      </w:r>
      <w:r>
        <w:rPr>
          <w:rFonts w:hint="eastAsia" w:ascii="宋体" w:hAnsi="宋体" w:eastAsia="宋体" w:cs="宋体"/>
          <w:color w:val="000000" w:themeColor="text1"/>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中小企业声明函</w:t>
      </w:r>
    </w:p>
    <w:p>
      <w:pPr>
        <w:spacing w:line="360" w:lineRule="auto"/>
        <w:ind w:firstLine="120" w:firstLineChars="5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政府采购支持中小企业信用融资相关事项通知</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一、适用对象</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凡已在浙江政府采购网上注册入库，并取得杭州市政府采购合同的中小企业供应商（以下简称“供应商”），均可申请政府采购信用融资。</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二、相关信息获取方式</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　政府采购信用融资操作流程：</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（一）线上融资模式：</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1.供应商根据合作银行提供的方案，自行选择金融产品，并办理开户等手续；</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2.供应商中标后，可通过杭州市政府采购网或“浙里办”测算授信额度；</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3.采购合同签订后，供应商在杭州市政府采购网或“浙里办”向合作银行发出融资申请；</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4.审批通过后，在线办理放贷手续。</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（二）线下融资模式：</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1.供应商根据合作银行提供的方案，自行选择金融产品，向合作银行提出信用资格预审，并办理开户等手续；</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2.采购合同签订后，供应商在杭州市政府采购网或“浙里办”向合作银行发出融资申请；</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3.合作银行在信用融资模块受理申请后，供应商提供审批材料。合作银行应对申请信用融资的供应商及备案的政府采购合同信息进行核对和审查；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4.审批通过后，合作银行应按照合作备忘录中约定的审批放款期限和优惠利率及时予以放款。</w:t>
      </w:r>
    </w:p>
    <w:p>
      <w:pP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（三）杭州e融平台申请融资</w:t>
      </w:r>
    </w:p>
    <w:p>
      <w:pP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供应商通过杭州e融平台政采贷专区，自行选择金融产品，按规定手续办理贷款流程。</w:t>
      </w:r>
    </w:p>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四、注意事项</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1、对拟用于信用融资的政府采购合同，供应商在签订合同时应当在合同中注明融资银行名称及账号，作为在该银行的唯一收款账号。</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000000" w:themeColor="text1"/>
          <w14:textFill>
            <w14:solidFill>
              <w14:schemeClr w14:val="tx1"/>
            </w14:solidFill>
          </w14:textFill>
        </w:rPr>
      </w:pPr>
    </w:p>
    <w:p>
      <w:pPr>
        <w:spacing w:line="360" w:lineRule="auto"/>
        <w:ind w:firstLine="120" w:firstLineChars="50"/>
        <w:rPr>
          <w:rFonts w:hint="eastAsia" w:ascii="宋体" w:hAnsi="宋体" w:eastAsia="宋体" w:cs="宋体"/>
          <w:b/>
          <w:color w:val="000000" w:themeColor="text1"/>
          <w14:textFill>
            <w14:solidFill>
              <w14:schemeClr w14:val="tx1"/>
            </w14:solidFill>
          </w14:textFill>
        </w:rPr>
      </w:pPr>
    </w:p>
    <w:p>
      <w:pPr>
        <w:spacing w:line="360" w:lineRule="auto"/>
        <w:ind w:firstLine="482" w:firstLineChars="200"/>
        <w:rPr>
          <w:rFonts w:hint="eastAsia" w:ascii="宋体" w:hAnsi="宋体" w:eastAsia="宋体" w:cs="宋体"/>
          <w:b/>
          <w:color w:val="000000" w:themeColor="text1"/>
          <w14:textFill>
            <w14:solidFill>
              <w14:schemeClr w14:val="tx1"/>
            </w14:solidFill>
          </w14:textFill>
        </w:rPr>
      </w:pPr>
    </w:p>
    <w:p>
      <w:pPr>
        <w:pStyle w:val="7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bookmarkStart w:id="526" w:name="_Toc465665161"/>
      <w:r>
        <w:rPr>
          <w:rFonts w:hint="eastAsia" w:ascii="宋体" w:hAnsi="宋体" w:eastAsia="宋体" w:cs="宋体"/>
          <w:color w:val="000000" w:themeColor="text1"/>
          <w14:textFill>
            <w14:solidFill>
              <w14:schemeClr w14:val="tx1"/>
            </w14:solidFill>
          </w14:textFill>
        </w:rPr>
        <w:t>附件</w:t>
      </w:r>
      <w:bookmarkEnd w:id="526"/>
    </w:p>
    <w:p>
      <w:pPr>
        <w:pStyle w:val="4"/>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附件1：残疾人福利性单位声明函</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527" w:name="OLE_LINK14"/>
      <w:bookmarkStart w:id="528" w:name="OLE_LINK13"/>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bookmarkEnd w:id="527"/>
    <w:bookmarkEnd w:id="528"/>
    <w:p>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本单位对上述声明的真实性负责。如有虚假，将依法承担相应责任。</w:t>
      </w:r>
    </w:p>
    <w:p>
      <w:pPr>
        <w:pStyle w:val="60"/>
        <w:rPr>
          <w:rFonts w:hint="eastAsia" w:ascii="宋体" w:hAnsi="宋体" w:eastAsia="宋体" w:cs="宋体"/>
          <w:color w:val="000000" w:themeColor="text1"/>
          <w14:textFill>
            <w14:solidFill>
              <w14:schemeClr w14:val="tx1"/>
            </w14:solidFill>
          </w14:textFill>
        </w:rPr>
      </w:pPr>
    </w:p>
    <w:p>
      <w:pPr>
        <w:pStyle w:val="60"/>
        <w:rPr>
          <w:rFonts w:hint="eastAsia" w:ascii="宋体" w:hAnsi="宋体" w:eastAsia="宋体" w:cs="宋体"/>
          <w:color w:val="000000" w:themeColor="text1"/>
          <w14:textFill>
            <w14:solidFill>
              <w14:schemeClr w14:val="tx1"/>
            </w14:solidFill>
          </w14:textFill>
        </w:rPr>
      </w:pPr>
    </w:p>
    <w:p>
      <w:pPr>
        <w:pStyle w:val="6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投标人名称（电子签名）：</w:t>
      </w:r>
    </w:p>
    <w:p>
      <w:pPr>
        <w:pStyle w:val="6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附件2：质疑函范本及制作说明</w:t>
      </w: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一、质疑供应商基本信息</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质疑供应商：</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地址： </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二、质疑项目基本情况</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质疑项目的名称：</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质疑项目的编号：</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采购文件获取日期：</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三、质疑事项具体内容</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质疑事项1：</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质疑事项2</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四、与质疑事项相关的质疑请求</w:t>
      </w:r>
    </w:p>
    <w:p>
      <w:pPr>
        <w:pStyle w:val="6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dotted"/>
          <w14:textFill>
            <w14:solidFill>
              <w14:schemeClr w14:val="tx1"/>
            </w14:solidFill>
          </w14:textFill>
        </w:rPr>
        <w:t xml:space="preserve">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w:t>
      </w:r>
    </w:p>
    <w:p>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质疑函制作说明：</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1.供应商提出质疑时，应提交质疑函和必要的证明材料。</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3.质疑供应商若对项目的某一分包进行质疑，质疑函中应列明具体分包号。</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4.质疑函的质疑事项应具体、明确，并有必要的事实依据和法律依据。</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5.质疑函的质疑请求应与质疑事项相关。</w:t>
      </w:r>
    </w:p>
    <w:p>
      <w:pPr>
        <w:pStyle w:val="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pPr>
        <w:pStyle w:val="4"/>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附件3：投诉书范本及制作说明</w:t>
      </w:r>
    </w:p>
    <w:p>
      <w:pPr>
        <w:spacing w:line="360" w:lineRule="auto"/>
        <w:jc w:val="center"/>
        <w:rPr>
          <w:rFonts w:hint="eastAsia" w:ascii="宋体" w:hAnsi="宋体" w:eastAsia="宋体" w:cs="宋体"/>
          <w:b/>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投诉书范本</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一、投诉相关主体基本情况</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投诉人：</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法定代表人/主要负责人：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tabs>
          <w:tab w:val="left" w:pos="6510"/>
        </w:tabs>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被投诉人1：</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被投诉人2</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相关供应商：</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二、投诉项目基本情况</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采购项目名称：</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采购项目编号：</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代理机构名称：</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采购文件公告:</w:t>
      </w:r>
      <w:r>
        <w:rPr>
          <w:rFonts w:hint="eastAsia" w:ascii="宋体" w:hAnsi="宋体" w:eastAsia="宋体" w:cs="宋体"/>
          <w:color w:val="000000" w:themeColor="text1"/>
          <w:u w:val="dotted"/>
          <w14:textFill>
            <w14:solidFill>
              <w14:schemeClr w14:val="tx1"/>
            </w14:solidFill>
          </w14:textFill>
        </w:rPr>
        <w:t xml:space="preserve">是/否 </w:t>
      </w:r>
      <w:r>
        <w:rPr>
          <w:rFonts w:hint="eastAsia" w:ascii="宋体" w:hAnsi="宋体" w:eastAsia="宋体" w:cs="宋体"/>
          <w:color w:val="000000" w:themeColor="text1"/>
          <w14:textFill>
            <w14:solidFill>
              <w14:schemeClr w14:val="tx1"/>
            </w14:solidFill>
          </w14:textFill>
        </w:rPr>
        <w:t>公告期限：</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采购结果公告:</w:t>
      </w:r>
      <w:r>
        <w:rPr>
          <w:rFonts w:hint="eastAsia" w:ascii="宋体" w:hAnsi="宋体" w:eastAsia="宋体" w:cs="宋体"/>
          <w:color w:val="000000" w:themeColor="text1"/>
          <w:u w:val="dotted"/>
          <w14:textFill>
            <w14:solidFill>
              <w14:schemeClr w14:val="tx1"/>
            </w14:solidFill>
          </w14:textFill>
        </w:rPr>
        <w:t xml:space="preserve">是/否 </w:t>
      </w:r>
      <w:r>
        <w:rPr>
          <w:rFonts w:hint="eastAsia" w:ascii="宋体" w:hAnsi="宋体" w:eastAsia="宋体" w:cs="宋体"/>
          <w:color w:val="000000" w:themeColor="text1"/>
          <w14:textFill>
            <w14:solidFill>
              <w14:schemeClr w14:val="tx1"/>
            </w14:solidFill>
          </w14:textFill>
        </w:rPr>
        <w:t>公告期限：</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三、质疑基本情况</w:t>
      </w:r>
    </w:p>
    <w:p>
      <w:pPr>
        <w:spacing w:line="360" w:lineRule="auto"/>
        <w:ind w:firstLine="480" w:firstLineChars="200"/>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投诉人于</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日,向</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提出质疑，质疑事项为：</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360" w:firstLineChars="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采购人/代理机构</w:t>
      </w:r>
      <w:r>
        <w:rPr>
          <w:rFonts w:hint="eastAsia" w:ascii="宋体" w:hAnsi="宋体" w:eastAsia="宋体" w:cs="宋体"/>
          <w:color w:val="000000" w:themeColor="text1"/>
          <w14:textFill>
            <w14:solidFill>
              <w14:schemeClr w14:val="tx1"/>
            </w14:solidFill>
          </w14:textFill>
        </w:rPr>
        <w:t>于</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日,就质疑事项作出了答复/没有在法定期限内作出答复。</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四、投诉事项具体内容</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投诉事项 1：</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投诉事项2</w:t>
      </w:r>
    </w:p>
    <w:p>
      <w:pPr>
        <w:spacing w:line="360" w:lineRule="auto"/>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五、与投诉事项相关的投诉请求</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pPr>
        <w:spacing w:line="360" w:lineRule="auto"/>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w:t>
      </w:r>
    </w:p>
    <w:p>
      <w:pPr>
        <w:spacing w:line="360" w:lineRule="auto"/>
        <w:rPr>
          <w:rFonts w:hint="eastAsia" w:ascii="宋体" w:hAnsi="宋体" w:eastAsia="宋体" w:cs="宋体"/>
          <w:b/>
          <w:color w:val="000000" w:themeColor="text1"/>
          <w14:textFill>
            <w14:solidFill>
              <w14:schemeClr w14:val="tx1"/>
            </w14:solidFill>
          </w14:textFill>
        </w:rPr>
      </w:pPr>
    </w:p>
    <w:p>
      <w:pPr>
        <w:spacing w:line="360" w:lineRule="auto"/>
        <w:rPr>
          <w:rFonts w:hint="eastAsia" w:ascii="宋体" w:hAnsi="宋体" w:eastAsia="宋体" w:cs="宋体"/>
          <w:b/>
          <w:color w:val="000000" w:themeColor="text1"/>
          <w14:textFill>
            <w14:solidFill>
              <w14:schemeClr w14:val="tx1"/>
            </w14:solidFill>
          </w14:textFill>
        </w:rPr>
      </w:pPr>
    </w:p>
    <w:p>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投诉书制作说明：</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3.投诉人若对项目的某一分包进行投诉，投诉书应列明具体分包号。</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4.投诉书应简要列明质疑事项，质疑函、质疑答复等作为附件材料提供。</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5.投诉书的投诉事项应具体、明确，并有必要的事实依据和法律依据。</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6.投诉书的投诉请求应与投诉事项相关。</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pPr>
        <w:pStyle w:val="4"/>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附件4：</w:t>
      </w:r>
      <w:r>
        <w:rPr>
          <w:rFonts w:hint="eastAsia" w:ascii="宋体" w:hAnsi="宋体" w:eastAsia="宋体" w:cs="宋体"/>
          <w:color w:val="000000" w:themeColor="text1"/>
          <w14:textFill>
            <w14:solidFill>
              <w14:schemeClr w14:val="tx1"/>
            </w14:solidFill>
          </w14:textFill>
        </w:rPr>
        <w:t>业务专用章使用说明函</w:t>
      </w:r>
    </w:p>
    <w:p>
      <w:pPr>
        <w:spacing w:line="276" w:lineRule="auto"/>
        <w:jc w:val="center"/>
        <w:rPr>
          <w:rFonts w:hint="eastAsia" w:ascii="宋体" w:hAnsi="宋体" w:eastAsia="宋体" w:cs="宋体"/>
          <w:b/>
          <w:smallCaps/>
          <w:color w:val="000000" w:themeColor="text1"/>
          <w:spacing w:val="6"/>
          <w:sz w:val="36"/>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业务专用章使用说明函</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（采购人）、（采购代理机构）</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我方</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14:textFill>
            <w14:solidFill>
              <w14:schemeClr w14:val="tx1"/>
            </w14:solidFill>
          </w14:textFill>
        </w:rPr>
        <w:t>在参加</w:t>
      </w:r>
      <w:r>
        <w:rPr>
          <w:rFonts w:hint="eastAsia" w:ascii="宋体" w:hAnsi="宋体" w:eastAsia="宋体" w:cs="宋体"/>
          <w:color w:val="000000" w:themeColor="text1"/>
          <w14:textFill>
            <w14:solidFill>
              <w14:schemeClr w14:val="tx1"/>
            </w14:solidFill>
          </w14:textFill>
        </w:rPr>
        <w:t>你方组织的（项目名称）项目【招标编号：（采购编号）】</w:t>
      </w:r>
      <w:r>
        <w:rPr>
          <w:rFonts w:hint="eastAsia" w:ascii="宋体" w:hAnsi="宋体" w:eastAsia="宋体" w:cs="宋体"/>
          <w:bCs/>
          <w:color w:val="000000" w:themeColor="text1"/>
          <w14:textFill>
            <w14:solidFill>
              <w14:schemeClr w14:val="tx1"/>
            </w14:solidFill>
          </w14:textFill>
        </w:rPr>
        <w:t>投标活动中作如下说明：</w:t>
      </w:r>
      <w:r>
        <w:rPr>
          <w:rFonts w:hint="eastAsia" w:ascii="宋体" w:hAnsi="宋体" w:eastAsia="宋体" w:cs="宋体"/>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特此说明。</w:t>
      </w:r>
    </w:p>
    <w:p>
      <w:pPr>
        <w:spacing w:line="360" w:lineRule="auto"/>
        <w:ind w:firstLine="494"/>
        <w:rPr>
          <w:rFonts w:hint="eastAsia" w:ascii="宋体" w:hAnsi="宋体" w:eastAsia="宋体" w:cs="宋体"/>
          <w:color w:val="000000" w:themeColor="text1"/>
          <w14:textFill>
            <w14:solidFill>
              <w14:schemeClr w14:val="tx1"/>
            </w14:solidFill>
          </w14:textFill>
        </w:rPr>
      </w:pPr>
    </w:p>
    <w:p>
      <w:pPr>
        <w:spacing w:line="360" w:lineRule="auto"/>
        <w:ind w:firstLine="494"/>
        <w:rPr>
          <w:rFonts w:hint="eastAsia" w:ascii="宋体" w:hAnsi="宋体" w:eastAsia="宋体" w:cs="宋体"/>
          <w:color w:val="000000" w:themeColor="text1"/>
          <w14:textFill>
            <w14:solidFill>
              <w14:schemeClr w14:val="tx1"/>
            </w14:solidFill>
          </w14:textFill>
        </w:rPr>
      </w:pPr>
    </w:p>
    <w:p>
      <w:pPr>
        <w:spacing w:line="360" w:lineRule="auto"/>
        <w:ind w:firstLine="494"/>
        <w:rPr>
          <w:rFonts w:hint="eastAsia" w:ascii="宋体" w:hAnsi="宋体" w:eastAsia="宋体" w:cs="宋体"/>
          <w:color w:val="000000" w:themeColor="text1"/>
          <w14:textFill>
            <w14:solidFill>
              <w14:schemeClr w14:val="tx1"/>
            </w14:solidFill>
          </w14:textFill>
        </w:rPr>
      </w:pPr>
    </w:p>
    <w:p>
      <w:pPr>
        <w:spacing w:line="360" w:lineRule="auto"/>
        <w:ind w:firstLine="494"/>
        <w:rPr>
          <w:rFonts w:hint="eastAsia" w:ascii="宋体" w:hAnsi="宋体" w:eastAsia="宋体" w:cs="宋体"/>
          <w:color w:val="000000" w:themeColor="text1"/>
          <w14:textFill>
            <w14:solidFill>
              <w14:schemeClr w14:val="tx1"/>
            </w14:solidFill>
          </w14:textFill>
        </w:rPr>
      </w:pPr>
    </w:p>
    <w:p>
      <w:pPr>
        <w:spacing w:line="360" w:lineRule="auto"/>
        <w:ind w:right="480" w:firstLine="4080" w:firstLineChars="17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投标单位（法定名称章）：</w:t>
      </w:r>
    </w:p>
    <w:p>
      <w:pPr>
        <w:ind w:right="1440" w:firstLine="49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附：</w:t>
      </w:r>
    </w:p>
    <w:p>
      <w:pPr>
        <w:spacing w:line="360" w:lineRule="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000000" w:themeColor="text1"/>
          <w14:textFill>
            <w14:solidFill>
              <w14:schemeClr w14:val="tx1"/>
            </w14:solidFill>
          </w14:textFill>
        </w:rPr>
        <w:t>投标单位法定名称章（印模）                投标单位“XX专用章”（印模）</w:t>
      </w:r>
    </w:p>
    <w:p>
      <w:pPr>
        <w:spacing w:line="276" w:lineRule="auto"/>
        <w:rPr>
          <w:rFonts w:hint="eastAsia" w:ascii="宋体" w:hAnsi="宋体" w:eastAsia="宋体" w:cs="宋体"/>
          <w:b/>
          <w:color w:val="000000" w:themeColor="text1"/>
          <w:spacing w:val="6"/>
          <w:sz w:val="32"/>
          <w:szCs w:val="32"/>
          <w14:textFill>
            <w14:solidFill>
              <w14:schemeClr w14:val="tx1"/>
            </w14:solidFill>
          </w14:textFill>
        </w:rPr>
      </w:pPr>
    </w:p>
    <w:p>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p>
    <w:p>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br w:type="page"/>
      </w:r>
    </w:p>
    <w:p>
      <w:pPr>
        <w:pStyle w:val="4"/>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附件5：</w:t>
      </w:r>
      <w:r>
        <w:rPr>
          <w:rFonts w:hint="eastAsia" w:ascii="宋体" w:hAnsi="宋体" w:eastAsia="宋体" w:cs="宋体"/>
          <w:color w:val="000000" w:themeColor="text1"/>
          <w14:textFill>
            <w14:solidFill>
              <w14:schemeClr w14:val="tx1"/>
            </w14:solidFill>
          </w14:textFill>
        </w:rPr>
        <w:t>中小企业声明函</w:t>
      </w:r>
    </w:p>
    <w:p>
      <w:pPr>
        <w:spacing w:line="360" w:lineRule="auto"/>
        <w:jc w:val="center"/>
        <w:rPr>
          <w:rFonts w:hint="eastAsia" w:ascii="宋体" w:hAnsi="宋体" w:eastAsia="宋体" w:cs="宋体"/>
          <w:color w:val="000000" w:themeColor="text1"/>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中小企业声明函（货物）</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u w:val="single"/>
          <w14:textFill>
            <w14:solidFill>
              <w14:schemeClr w14:val="tx1"/>
            </w14:solidFill>
          </w14:textFill>
        </w:rPr>
        <w:t xml:space="preserve">（单位名称） </w:t>
      </w:r>
      <w:r>
        <w:rPr>
          <w:rFonts w:hint="eastAsia" w:ascii="宋体" w:hAnsi="宋体" w:eastAsia="宋体" w:cs="宋体"/>
          <w:color w:val="000000" w:themeColor="text1"/>
          <w14:textFill>
            <w14:solidFill>
              <w14:schemeClr w14:val="tx1"/>
            </w14:solidFill>
          </w14:textFill>
        </w:rPr>
        <w:t xml:space="preserve">的 </w:t>
      </w:r>
      <w:r>
        <w:rPr>
          <w:rFonts w:hint="eastAsia" w:ascii="宋体" w:hAnsi="宋体" w:eastAsia="宋体" w:cs="宋体"/>
          <w:color w:val="000000" w:themeColor="text1"/>
          <w:u w:val="single"/>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 </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 xml:space="preserve"> ，属于 </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行业 ；制造商为</w:t>
      </w:r>
      <w:r>
        <w:rPr>
          <w:rFonts w:hint="eastAsia" w:ascii="宋体" w:hAnsi="宋体" w:eastAsia="宋体" w:cs="宋体"/>
          <w:color w:val="000000" w:themeColor="text1"/>
          <w:u w:val="single"/>
          <w14:textFill>
            <w14:solidFill>
              <w14:schemeClr w14:val="tx1"/>
            </w14:solidFill>
          </w14:textFill>
        </w:rPr>
        <w:t xml:space="preserve"> （企业名称）</w:t>
      </w:r>
      <w:r>
        <w:rPr>
          <w:rFonts w:hint="eastAsia" w:ascii="宋体" w:hAnsi="宋体" w:eastAsia="宋体" w:cs="宋体"/>
          <w:color w:val="000000" w:themeColor="text1"/>
          <w14:textFill>
            <w14:solidFill>
              <w14:schemeClr w14:val="tx1"/>
            </w14:solidFill>
          </w14:textFill>
        </w:rPr>
        <w:t xml:space="preserve"> ，从业人员</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 xml:space="preserve"> （中型企业、小型企业、微型企业）</w:t>
      </w: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 </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 xml:space="preserve"> ，属于 </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行业 ；制造商为</w:t>
      </w:r>
      <w:r>
        <w:rPr>
          <w:rFonts w:hint="eastAsia" w:ascii="宋体" w:hAnsi="宋体" w:eastAsia="宋体" w:cs="宋体"/>
          <w:color w:val="000000" w:themeColor="text1"/>
          <w:u w:val="single"/>
          <w14:textFill>
            <w14:solidFill>
              <w14:schemeClr w14:val="tx1"/>
            </w14:solidFill>
          </w14:textFill>
        </w:rPr>
        <w:t xml:space="preserve"> （企业名称）</w:t>
      </w:r>
      <w:r>
        <w:rPr>
          <w:rFonts w:hint="eastAsia" w:ascii="宋体" w:hAnsi="宋体" w:eastAsia="宋体" w:cs="宋体"/>
          <w:color w:val="000000" w:themeColor="text1"/>
          <w14:textFill>
            <w14:solidFill>
              <w14:schemeClr w14:val="tx1"/>
            </w14:solidFill>
          </w14:textFill>
        </w:rPr>
        <w:t xml:space="preserve"> ，从业人员</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 xml:space="preserve"> （中型企业、小型企业、微型企业）</w:t>
      </w:r>
      <w:r>
        <w:rPr>
          <w:rFonts w:hint="eastAsia" w:ascii="宋体" w:hAnsi="宋体" w:eastAsia="宋体" w:cs="宋体"/>
          <w:color w:val="000000" w:themeColor="text1"/>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投标人名称(电子签名)：</w:t>
      </w:r>
    </w:p>
    <w:p>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w:t>
      </w:r>
      <w:r>
        <w:rPr>
          <w:rFonts w:hint="eastAsia" w:ascii="宋体" w:hAnsi="宋体" w:eastAsia="宋体" w:cs="宋体"/>
          <w:color w:val="000000" w:themeColor="text1"/>
          <w14:textFill>
            <w14:solidFill>
              <w14:schemeClr w14:val="tx1"/>
            </w14:solidFill>
          </w14:textFill>
        </w:rPr>
        <w:t xml:space="preserve">：  年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p>
    <w:p>
      <w:pPr>
        <w:spacing w:line="36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中小企业声明函（工程、服务）</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firstLine="360" w:firstLineChars="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u w:val="single"/>
          <w14:textFill>
            <w14:solidFill>
              <w14:schemeClr w14:val="tx1"/>
            </w14:solidFill>
          </w14:textFill>
        </w:rPr>
        <w:t xml:space="preserve">（单位名称） </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 xml:space="preserve"> （项目名称） </w:t>
      </w:r>
      <w:r>
        <w:rPr>
          <w:rFonts w:hint="eastAsia" w:ascii="宋体" w:hAnsi="宋体" w:eastAsia="宋体" w:cs="宋体"/>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 </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 xml:space="preserve">，属于 </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 xml:space="preserve"> ；承建（承接）企业为 </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 xml:space="preserve"> ，从业人员</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 xml:space="preserve"> （中型企业、小型企业、微型企业） </w:t>
      </w:r>
      <w:r>
        <w:rPr>
          <w:rFonts w:hint="eastAsia" w:ascii="宋体" w:hAnsi="宋体" w:eastAsia="宋体" w:cs="宋体"/>
          <w:color w:val="000000" w:themeColor="text1"/>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 </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 xml:space="preserve">，属于 </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 xml:space="preserve"> ；承建（承接）企业为 </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 xml:space="preserve"> ，从业人员</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 xml:space="preserve"> （中型企业、小型企业、微型企业） </w:t>
      </w:r>
      <w:r>
        <w:rPr>
          <w:rFonts w:hint="eastAsia" w:ascii="宋体" w:hAnsi="宋体" w:eastAsia="宋体" w:cs="宋体"/>
          <w:color w:val="000000" w:themeColor="text1"/>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投标人名称（电子签名）：</w:t>
      </w:r>
    </w:p>
    <w:p>
      <w:pPr>
        <w:spacing w:line="360" w:lineRule="auto"/>
        <w:ind w:right="1120" w:firstLine="4680" w:firstLineChars="19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p>
    <w:p>
      <w:pPr>
        <w:spacing w:line="360" w:lineRule="auto"/>
        <w:ind w:firstLine="354" w:firstLineChars="147"/>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宋体" w:hAnsi="宋体" w:eastAsia="宋体" w:cs="宋体"/>
          <w:color w:val="000000" w:themeColor="text1"/>
          <w14:textFill>
            <w14:solidFill>
              <w14:schemeClr w14:val="tx1"/>
            </w14:solidFill>
          </w14:textFill>
        </w:rPr>
      </w:pPr>
    </w:p>
    <w:p>
      <w:pPr>
        <w:spacing w:line="360" w:lineRule="auto"/>
        <w:ind w:righ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注：</w:t>
      </w:r>
    </w:p>
    <w:p>
      <w:pPr>
        <w:spacing w:line="360" w:lineRule="auto"/>
        <w:ind w:right="42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t>附件6</w:t>
      </w:r>
      <w:r>
        <w:rPr>
          <w:rFonts w:hint="eastAsia" w:ascii="宋体" w:hAnsi="宋体" w:eastAsia="宋体" w:cs="宋体"/>
          <w:color w:val="000000" w:themeColor="text1"/>
          <w14:textFill>
            <w14:solidFill>
              <w14:schemeClr w14:val="tx1"/>
            </w14:solidFill>
          </w14:textFill>
        </w:rPr>
        <w:t>样品（演示）授权委托书</w:t>
      </w:r>
    </w:p>
    <w:p>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样品（演示）授权委托书</w:t>
      </w:r>
    </w:p>
    <w:p>
      <w:pPr>
        <w:jc w:val="center"/>
        <w:rPr>
          <w:rFonts w:hint="eastAsia" w:ascii="宋体" w:hAnsi="宋体" w:eastAsia="宋体" w:cs="宋体"/>
          <w:color w:val="000000" w:themeColor="text1"/>
          <w:sz w:val="40"/>
          <w14:textFill>
            <w14:solidFill>
              <w14:schemeClr w14:val="tx1"/>
            </w14:solidFill>
          </w14:textFill>
        </w:rPr>
      </w:pP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XXX（单位名称或采购机构名称）</w:t>
      </w:r>
      <w:r>
        <w:rPr>
          <w:rFonts w:hint="eastAsia" w:ascii="宋体" w:hAnsi="宋体" w:eastAsia="宋体" w:cs="宋体"/>
          <w:color w:val="000000" w:themeColor="text1"/>
          <w:lang w:val="zh-CN"/>
          <w14:textFill>
            <w14:solidFill>
              <w14:schemeClr w14:val="tx1"/>
            </w14:solidFill>
          </w14:textFill>
        </w:rPr>
        <w:t>：</w:t>
      </w:r>
    </w:p>
    <w:p>
      <w:pPr>
        <w:snapToGrid w:val="0"/>
        <w:spacing w:line="360" w:lineRule="auto"/>
        <w:ind w:left="290" w:leftChars="121" w:firstLine="480" w:firstLineChars="200"/>
        <w:rPr>
          <w:rFonts w:hint="eastAsia" w:ascii="宋体" w:hAnsi="宋体" w:eastAsia="宋体" w:cs="宋体"/>
          <w:color w:val="000000" w:themeColor="text1"/>
          <w:u w:val="single"/>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兹委派</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先生/女士，身份证号：</w:t>
      </w:r>
      <w:r>
        <w:rPr>
          <w:rFonts w:hint="eastAsia" w:ascii="宋体" w:hAnsi="宋体" w:eastAsia="宋体" w:cs="宋体"/>
          <w:color w:val="000000" w:themeColor="text1"/>
          <w:u w:val="single"/>
          <w:lang w:val="zh-CN"/>
          <w14:textFill>
            <w14:solidFill>
              <w14:schemeClr w14:val="tx1"/>
            </w14:solidFill>
          </w14:textFill>
        </w:rPr>
        <w:t xml:space="preserve">                   </w:t>
      </w:r>
    </w:p>
    <w:p>
      <w:pPr>
        <w:snapToGrid w:val="0"/>
        <w:spacing w:line="360" w:lineRule="auto"/>
        <w:ind w:left="290" w:leftChars="121"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，代表我公司前来递交</w:t>
      </w:r>
      <w:r>
        <w:rPr>
          <w:rFonts w:hint="eastAsia" w:ascii="宋体" w:hAnsi="宋体" w:eastAsia="宋体" w:cs="宋体"/>
          <w:color w:val="000000" w:themeColor="text1"/>
          <w:u w:val="single"/>
          <w:lang w:val="zh-CN"/>
          <w14:textFill>
            <w14:solidFill>
              <w14:schemeClr w14:val="tx1"/>
            </w14:solidFill>
          </w14:textFill>
        </w:rPr>
        <w:t xml:space="preserve">                           采购项目</w:t>
      </w:r>
      <w:r>
        <w:rPr>
          <w:rFonts w:hint="eastAsia" w:ascii="宋体" w:hAnsi="宋体" w:eastAsia="宋体" w:cs="宋体"/>
          <w:color w:val="000000" w:themeColor="text1"/>
          <w:lang w:val="zh-CN"/>
          <w14:textFill>
            <w14:solidFill>
              <w14:schemeClr w14:val="tx1"/>
            </w14:solidFill>
          </w14:textFill>
        </w:rPr>
        <w:t>【项目编号：              】（标项号：  ）投标样品或参加演示，并全权负责标后取回样品等其他处理事宜。</w:t>
      </w:r>
    </w:p>
    <w:p>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特此告知。</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投标人名称(公章)：</w:t>
      </w:r>
    </w:p>
    <w:p>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签发日期：  年  月   日</w:t>
      </w:r>
    </w:p>
    <w:p>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p>
    <w:p>
      <w:pPr>
        <w:snapToGrid w:val="0"/>
        <w:spacing w:line="360" w:lineRule="auto"/>
        <w:ind w:right="1920"/>
        <w:rPr>
          <w:rFonts w:hint="eastAsia" w:ascii="宋体" w:hAnsi="宋体" w:eastAsia="宋体" w:cs="宋体"/>
          <w:color w:val="000000" w:themeColor="text1"/>
          <w:lang w:val="zh-CN"/>
          <w14:textFill>
            <w14:solidFill>
              <w14:schemeClr w14:val="tx1"/>
            </w14:solidFill>
          </w14:textFill>
        </w:rPr>
      </w:pPr>
    </w:p>
    <w:p>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p>
    <w:p>
      <w:pPr>
        <w:snapToGrid w:val="0"/>
        <w:spacing w:line="360" w:lineRule="auto"/>
        <w:ind w:right="24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受委托人</w:t>
      </w:r>
      <w:r>
        <w:rPr>
          <w:rFonts w:hint="eastAsia" w:ascii="宋体" w:hAnsi="宋体" w:eastAsia="宋体" w:cs="宋体"/>
          <w:color w:val="000000" w:themeColor="text1"/>
          <w:lang w:val="zh-CN"/>
          <w14:textFill>
            <w14:solidFill>
              <w14:schemeClr w14:val="tx1"/>
            </w14:solidFill>
          </w14:textFill>
        </w:rPr>
        <w:t>身份证复印件：</w:t>
      </w:r>
    </w:p>
    <w:p>
      <w:pPr>
        <w:snapToGrid w:val="0"/>
        <w:spacing w:line="360" w:lineRule="auto"/>
        <w:ind w:right="240"/>
        <w:rPr>
          <w:rFonts w:hint="eastAsia" w:ascii="宋体" w:hAnsi="宋体" w:eastAsia="宋体" w:cs="宋体"/>
          <w:color w:val="000000" w:themeColor="text1"/>
          <w:lang w:val="zh-CN"/>
          <w14:textFill>
            <w14:solidFill>
              <w14:schemeClr w14:val="tx1"/>
            </w14:solidFill>
          </w14:textFill>
        </w:rPr>
      </w:pPr>
    </w:p>
    <w:p>
      <w:pPr>
        <w:snapToGrid w:val="0"/>
        <w:spacing w:line="360" w:lineRule="auto"/>
        <w:ind w:right="24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说明：本委托书在有样品或演示时由受委托人携带至指定地点。</w:t>
      </w:r>
    </w:p>
    <w:p>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同时有样品和演示的，可委托不同人员。</w:t>
      </w:r>
    </w:p>
    <w:p>
      <w:pPr>
        <w:spacing w:line="360" w:lineRule="auto"/>
        <w:ind w:right="420"/>
        <w:rPr>
          <w:rFonts w:hint="eastAsia" w:ascii="宋体" w:hAnsi="宋体" w:eastAsia="宋体" w:cs="宋体"/>
          <w:color w:val="000000" w:themeColor="text1"/>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4BD10"/>
    <w:multiLevelType w:val="singleLevel"/>
    <w:tmpl w:val="8AD4BD10"/>
    <w:lvl w:ilvl="0" w:tentative="0">
      <w:start w:val="1"/>
      <w:numFmt w:val="decimal"/>
      <w:suff w:val="nothing"/>
      <w:lvlText w:val="%1、"/>
      <w:lvlJc w:val="left"/>
    </w:lvl>
  </w:abstractNum>
  <w:abstractNum w:abstractNumId="1">
    <w:nsid w:val="263B6F18"/>
    <w:multiLevelType w:val="multilevel"/>
    <w:tmpl w:val="263B6F18"/>
    <w:lvl w:ilvl="0" w:tentative="0">
      <w:start w:val="1"/>
      <w:numFmt w:val="chineseCountingThousand"/>
      <w:suff w:val="nothing"/>
      <w:lvlText w:val="%1、"/>
      <w:lvlJc w:val="left"/>
      <w:pPr>
        <w:ind w:left="0" w:firstLine="0"/>
      </w:pPr>
      <w:rPr>
        <w:rFonts w:hint="default" w:ascii="Times New Roman" w:hAnsi="Times New Roman" w:eastAsia="宋体"/>
        <w:b/>
        <w:i w:val="0"/>
        <w:sz w:val="32"/>
      </w:rPr>
    </w:lvl>
    <w:lvl w:ilvl="1" w:tentative="0">
      <w:start w:val="1"/>
      <w:numFmt w:val="decimal"/>
      <w:isLgl/>
      <w:suff w:val="space"/>
      <w:lvlText w:val="%2."/>
      <w:lvlJc w:val="left"/>
      <w:pPr>
        <w:ind w:left="4111" w:firstLine="0"/>
      </w:pPr>
      <w:rPr>
        <w:rFonts w:hint="default" w:ascii="Times New Roman" w:hAnsi="Times New Roman" w:eastAsia="宋体"/>
        <w:b/>
        <w:i w:val="0"/>
        <w:sz w:val="32"/>
      </w:rPr>
    </w:lvl>
    <w:lvl w:ilvl="2" w:tentative="0">
      <w:start w:val="1"/>
      <w:numFmt w:val="decimal"/>
      <w:suff w:val="space"/>
      <w:lvlText w:val="%2.%3"/>
      <w:lvlJc w:val="left"/>
      <w:pPr>
        <w:ind w:left="0" w:firstLine="0"/>
      </w:pPr>
      <w:rPr>
        <w:rFonts w:hint="default" w:ascii="Times New Roman" w:hAnsi="Times New Roman" w:eastAsia="宋体"/>
        <w:b/>
        <w:i w:val="0"/>
        <w:sz w:val="30"/>
      </w:rPr>
    </w:lvl>
    <w:lvl w:ilvl="3" w:tentative="0">
      <w:start w:val="1"/>
      <w:numFmt w:val="decimal"/>
      <w:suff w:val="space"/>
      <w:lvlText w:val="%2.%3.%4"/>
      <w:lvlJc w:val="left"/>
      <w:pPr>
        <w:ind w:left="0" w:firstLine="0"/>
      </w:pPr>
      <w:rPr>
        <w:rFonts w:hint="default" w:ascii="Times New Roman" w:hAnsi="Times New Roman" w:eastAsia="宋体"/>
        <w:b/>
        <w:i w:val="0"/>
        <w:sz w:val="28"/>
        <w:lang w:val="en-US"/>
      </w:rPr>
    </w:lvl>
    <w:lvl w:ilvl="4" w:tentative="0">
      <w:start w:val="1"/>
      <w:numFmt w:val="decimal"/>
      <w:suff w:val="space"/>
      <w:lvlText w:val="%2.%3.%4.%5"/>
      <w:lvlJc w:val="left"/>
      <w:pPr>
        <w:ind w:left="0" w:firstLine="0"/>
      </w:pPr>
      <w:rPr>
        <w:rFonts w:hint="default" w:ascii="Times New Roman" w:hAnsi="Times New Roman" w:eastAsia="宋体"/>
        <w:b/>
        <w:i w:val="0"/>
        <w:sz w:val="21"/>
      </w:rPr>
    </w:lvl>
    <w:lvl w:ilvl="5" w:tentative="0">
      <w:start w:val="1"/>
      <w:numFmt w:val="decimal"/>
      <w:suff w:val="space"/>
      <w:lvlText w:val="%2.%3.%4.%5.%6"/>
      <w:lvlJc w:val="left"/>
      <w:pPr>
        <w:ind w:left="0" w:firstLine="0"/>
      </w:pPr>
      <w:rPr>
        <w:rFonts w:hint="default" w:ascii="Times New Roman" w:hAnsi="Times New Roman" w:eastAsia="宋体"/>
        <w:b/>
        <w:i w:val="0"/>
        <w:sz w:val="21"/>
      </w:rPr>
    </w:lvl>
    <w:lvl w:ilvl="6" w:tentative="0">
      <w:start w:val="1"/>
      <w:numFmt w:val="decimal"/>
      <w:suff w:val="space"/>
      <w:lvlText w:val="%2.%3.%4.%5.%6.%7"/>
      <w:lvlJc w:val="left"/>
      <w:pPr>
        <w:ind w:left="0" w:firstLine="0"/>
      </w:pPr>
      <w:rPr>
        <w:rFonts w:hint="default" w:ascii="Times New Roman" w:hAnsi="Times New Roman" w:eastAsia="宋体"/>
        <w:b/>
        <w:i w:val="0"/>
        <w:spacing w:val="0"/>
        <w:w w:val="100"/>
        <w:sz w:val="21"/>
      </w:rPr>
    </w:lvl>
    <w:lvl w:ilvl="7" w:tentative="0">
      <w:start w:val="1"/>
      <w:numFmt w:val="decimal"/>
      <w:suff w:val="nothing"/>
      <w:lvlText w:val="（%8）"/>
      <w:lvlJc w:val="left"/>
      <w:pPr>
        <w:ind w:left="0" w:firstLine="0"/>
      </w:pPr>
      <w:rPr>
        <w:rFonts w:hint="default" w:ascii="Times New Roman" w:hAnsi="Times New Roman" w:eastAsia="宋体"/>
        <w:b w:val="0"/>
        <w:i w:val="0"/>
        <w:spacing w:val="0"/>
        <w:w w:val="100"/>
        <w:sz w:val="21"/>
      </w:rPr>
    </w:lvl>
    <w:lvl w:ilvl="8" w:tentative="0">
      <w:start w:val="1"/>
      <w:numFmt w:val="decimalEnclosedCircle"/>
      <w:suff w:val="space"/>
      <w:lvlText w:val="%9"/>
      <w:lvlJc w:val="left"/>
      <w:pPr>
        <w:ind w:left="0" w:firstLine="0"/>
      </w:pPr>
      <w:rPr>
        <w:rFonts w:hint="default" w:ascii="Times New Roman" w:hAnsi="Times New Roman" w:eastAsia="宋体"/>
        <w:b/>
        <w:i w:val="0"/>
        <w:spacing w:val="0"/>
        <w:w w:val="100"/>
        <w:sz w:val="21"/>
      </w:rPr>
    </w:lvl>
  </w:abstractNum>
  <w:abstractNum w:abstractNumId="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59833E"/>
    <w:multiLevelType w:val="singleLevel"/>
    <w:tmpl w:val="5559833E"/>
    <w:lvl w:ilvl="0" w:tentative="0">
      <w:start w:val="1"/>
      <w:numFmt w:val="chineseCounting"/>
      <w:suff w:val="nothing"/>
      <w:lvlText w:val="%1、"/>
      <w:lvlJc w:val="left"/>
    </w:lvl>
  </w:abstractNum>
  <w:abstractNum w:abstractNumId="4">
    <w:nsid w:val="727662DE"/>
    <w:multiLevelType w:val="multilevel"/>
    <w:tmpl w:val="727662DE"/>
    <w:lvl w:ilvl="0" w:tentative="0">
      <w:start w:val="1"/>
      <w:numFmt w:val="decimal"/>
      <w:pStyle w:val="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2I0OTFkMmI1YTkyNDVkODhhMGNkMTBiN2E2ZTM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51F3E50"/>
    <w:rsid w:val="0749563E"/>
    <w:rsid w:val="098C2B06"/>
    <w:rsid w:val="0A790453"/>
    <w:rsid w:val="0D1D65A7"/>
    <w:rsid w:val="0E4C09E5"/>
    <w:rsid w:val="0FFF5BD0"/>
    <w:rsid w:val="1404500D"/>
    <w:rsid w:val="16B20DAC"/>
    <w:rsid w:val="197B71FC"/>
    <w:rsid w:val="1F4F0DB4"/>
    <w:rsid w:val="206D0F07"/>
    <w:rsid w:val="20873B99"/>
    <w:rsid w:val="215E49C8"/>
    <w:rsid w:val="245172AF"/>
    <w:rsid w:val="26CB50A9"/>
    <w:rsid w:val="2E02028D"/>
    <w:rsid w:val="328F5F4B"/>
    <w:rsid w:val="3B321A26"/>
    <w:rsid w:val="51785811"/>
    <w:rsid w:val="51DC67CC"/>
    <w:rsid w:val="544067AC"/>
    <w:rsid w:val="580975E3"/>
    <w:rsid w:val="59146B6E"/>
    <w:rsid w:val="60255718"/>
    <w:rsid w:val="63A56A47"/>
    <w:rsid w:val="650869CE"/>
    <w:rsid w:val="681F38AC"/>
    <w:rsid w:val="686F17B6"/>
    <w:rsid w:val="68A35D74"/>
    <w:rsid w:val="73064FE0"/>
    <w:rsid w:val="77004BDF"/>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4"/>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5"/>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6"/>
    <w:unhideWhenUsed/>
    <w:qFormat/>
    <w:uiPriority w:val="9"/>
    <w:pPr>
      <w:outlineLvl w:val="2"/>
    </w:pPr>
    <w:rPr>
      <w:b/>
    </w:rPr>
  </w:style>
  <w:style w:type="paragraph" w:styleId="2">
    <w:name w:val="heading 4"/>
    <w:basedOn w:val="1"/>
    <w:next w:val="1"/>
    <w:link w:val="37"/>
    <w:unhideWhenUsed/>
    <w:qFormat/>
    <w:uiPriority w:val="9"/>
    <w:pPr>
      <w:spacing w:after="0" w:line="271" w:lineRule="auto"/>
      <w:outlineLvl w:val="3"/>
    </w:pPr>
    <w:rPr>
      <w:b/>
      <w:bCs/>
      <w:spacing w:val="5"/>
    </w:rPr>
  </w:style>
  <w:style w:type="paragraph" w:styleId="6">
    <w:name w:val="heading 5"/>
    <w:basedOn w:val="1"/>
    <w:next w:val="1"/>
    <w:link w:val="38"/>
    <w:unhideWhenUsed/>
    <w:qFormat/>
    <w:uiPriority w:val="9"/>
    <w:pPr>
      <w:spacing w:after="0" w:line="271" w:lineRule="auto"/>
      <w:outlineLvl w:val="4"/>
    </w:pPr>
    <w:rPr>
      <w:i/>
      <w:iCs/>
    </w:rPr>
  </w:style>
  <w:style w:type="paragraph" w:styleId="7">
    <w:name w:val="heading 6"/>
    <w:basedOn w:val="1"/>
    <w:next w:val="1"/>
    <w:link w:val="39"/>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0"/>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1"/>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2"/>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1"/>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w:basedOn w:val="1"/>
    <w:next w:val="14"/>
    <w:qFormat/>
    <w:uiPriority w:val="0"/>
    <w:pPr>
      <w:autoSpaceDE w:val="0"/>
      <w:autoSpaceDN w:val="0"/>
      <w:adjustRightInd w:val="0"/>
      <w:spacing w:line="360" w:lineRule="auto"/>
    </w:pPr>
    <w:rPr>
      <w:rFonts w:ascii="宋体" w:hAnsi="Arial" w:cs="Arial"/>
      <w:snapToGrid w:val="0"/>
      <w:sz w:val="24"/>
      <w:szCs w:val="21"/>
      <w:lang w:val="zh-CN"/>
    </w:rPr>
  </w:style>
  <w:style w:type="paragraph" w:styleId="14">
    <w:name w:val="Body Text First Indent"/>
    <w:basedOn w:val="13"/>
    <w:qFormat/>
    <w:uiPriority w:val="0"/>
    <w:pPr>
      <w:ind w:firstLine="420"/>
    </w:pPr>
    <w:rPr>
      <w:rFonts w:hAnsi="Calibri" w:cs="Times New Roman"/>
      <w:snapToGrid/>
      <w:szCs w:val="20"/>
    </w:rPr>
  </w:style>
  <w:style w:type="paragraph" w:styleId="15">
    <w:name w:val="Body Text Indent"/>
    <w:basedOn w:val="1"/>
    <w:next w:val="1"/>
    <w:link w:val="64"/>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62"/>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6"/>
    <w:semiHidden/>
    <w:unhideWhenUsed/>
    <w:qFormat/>
    <w:uiPriority w:val="99"/>
    <w:pPr>
      <w:spacing w:after="0"/>
    </w:pPr>
    <w:rPr>
      <w:sz w:val="18"/>
      <w:szCs w:val="18"/>
    </w:rPr>
  </w:style>
  <w:style w:type="paragraph" w:styleId="18">
    <w:name w:val="footer"/>
    <w:basedOn w:val="1"/>
    <w:link w:val="33"/>
    <w:unhideWhenUsed/>
    <w:qFormat/>
    <w:uiPriority w:val="99"/>
    <w:pPr>
      <w:tabs>
        <w:tab w:val="center" w:pos="4153"/>
        <w:tab w:val="right" w:pos="8306"/>
      </w:tabs>
      <w:snapToGrid w:val="0"/>
    </w:pPr>
    <w:rPr>
      <w:sz w:val="18"/>
      <w:szCs w:val="18"/>
    </w:rPr>
  </w:style>
  <w:style w:type="paragraph" w:styleId="19">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Subtitle"/>
    <w:basedOn w:val="1"/>
    <w:next w:val="1"/>
    <w:link w:val="44"/>
    <w:qFormat/>
    <w:uiPriority w:val="11"/>
    <w:rPr>
      <w:i/>
      <w:iCs/>
      <w:smallCaps/>
      <w:spacing w:val="10"/>
      <w:sz w:val="28"/>
      <w:szCs w:val="28"/>
    </w:rPr>
  </w:style>
  <w:style w:type="paragraph" w:styleId="22">
    <w:name w:val="Normal (Web)"/>
    <w:basedOn w:val="1"/>
    <w:qFormat/>
    <w:uiPriority w:val="99"/>
    <w:pPr>
      <w:spacing w:before="100" w:beforeAutospacing="1" w:after="100" w:afterAutospacing="1"/>
      <w:jc w:val="left"/>
    </w:pPr>
    <w:rPr>
      <w:kern w:val="0"/>
      <w:sz w:val="24"/>
    </w:rPr>
  </w:style>
  <w:style w:type="paragraph" w:styleId="23">
    <w:name w:val="Title"/>
    <w:basedOn w:val="1"/>
    <w:next w:val="1"/>
    <w:link w:val="43"/>
    <w:qFormat/>
    <w:uiPriority w:val="10"/>
    <w:pPr>
      <w:spacing w:after="300"/>
      <w:contextualSpacing/>
    </w:pPr>
    <w:rPr>
      <w:smallCaps/>
      <w:sz w:val="52"/>
      <w:szCs w:val="52"/>
    </w:rPr>
  </w:style>
  <w:style w:type="paragraph" w:styleId="24">
    <w:name w:val="Body Text First Indent 2"/>
    <w:basedOn w:val="15"/>
    <w:semiHidden/>
    <w:unhideWhenUsed/>
    <w:qFormat/>
    <w:uiPriority w:val="99"/>
    <w:pPr>
      <w:ind w:firstLine="420" w:firstLine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paragraph" w:customStyle="1" w:styleId="31">
    <w:name w:val="正文文本首行缩进 21"/>
    <w:basedOn w:val="15"/>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2">
    <w:name w:val="页眉 Char"/>
    <w:basedOn w:val="27"/>
    <w:link w:val="19"/>
    <w:qFormat/>
    <w:uiPriority w:val="99"/>
    <w:rPr>
      <w:sz w:val="18"/>
      <w:szCs w:val="18"/>
    </w:rPr>
  </w:style>
  <w:style w:type="character" w:customStyle="1" w:styleId="33">
    <w:name w:val="页脚 Char"/>
    <w:basedOn w:val="27"/>
    <w:link w:val="18"/>
    <w:qFormat/>
    <w:uiPriority w:val="99"/>
    <w:rPr>
      <w:sz w:val="18"/>
      <w:szCs w:val="18"/>
    </w:rPr>
  </w:style>
  <w:style w:type="character" w:customStyle="1" w:styleId="34">
    <w:name w:val="标题 1 Char"/>
    <w:basedOn w:val="27"/>
    <w:link w:val="3"/>
    <w:qFormat/>
    <w:uiPriority w:val="9"/>
    <w:rPr>
      <w:rFonts w:ascii="仿宋_GB2312" w:hAnsi="仿宋" w:eastAsia="仿宋_GB2312"/>
      <w:b/>
      <w:smallCaps/>
      <w:spacing w:val="5"/>
      <w:sz w:val="36"/>
      <w:szCs w:val="36"/>
    </w:rPr>
  </w:style>
  <w:style w:type="character" w:customStyle="1" w:styleId="35">
    <w:name w:val="标题 2 Char"/>
    <w:basedOn w:val="27"/>
    <w:link w:val="4"/>
    <w:qFormat/>
    <w:uiPriority w:val="9"/>
    <w:rPr>
      <w:rFonts w:ascii="仿宋" w:hAnsi="仿宋" w:eastAsia="仿宋"/>
      <w:b/>
      <w:smallCaps/>
      <w:sz w:val="28"/>
      <w:szCs w:val="28"/>
    </w:rPr>
  </w:style>
  <w:style w:type="character" w:customStyle="1" w:styleId="36">
    <w:name w:val="标题 3 Char"/>
    <w:basedOn w:val="27"/>
    <w:link w:val="5"/>
    <w:qFormat/>
    <w:uiPriority w:val="9"/>
    <w:rPr>
      <w:rFonts w:ascii="仿宋" w:hAnsi="仿宋" w:eastAsia="仿宋"/>
      <w:b/>
      <w:sz w:val="24"/>
      <w:szCs w:val="24"/>
    </w:rPr>
  </w:style>
  <w:style w:type="character" w:customStyle="1" w:styleId="37">
    <w:name w:val="标题 4 Char"/>
    <w:basedOn w:val="27"/>
    <w:link w:val="2"/>
    <w:qFormat/>
    <w:uiPriority w:val="9"/>
    <w:rPr>
      <w:b/>
      <w:bCs/>
      <w:spacing w:val="5"/>
      <w:sz w:val="24"/>
      <w:szCs w:val="24"/>
    </w:rPr>
  </w:style>
  <w:style w:type="character" w:customStyle="1" w:styleId="38">
    <w:name w:val="标题 5 Char"/>
    <w:basedOn w:val="27"/>
    <w:link w:val="6"/>
    <w:qFormat/>
    <w:uiPriority w:val="9"/>
    <w:rPr>
      <w:i/>
      <w:iCs/>
      <w:sz w:val="24"/>
      <w:szCs w:val="24"/>
    </w:rPr>
  </w:style>
  <w:style w:type="character" w:customStyle="1" w:styleId="39">
    <w:name w:val="标题 6 Char"/>
    <w:basedOn w:val="27"/>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0">
    <w:name w:val="标题 7 Char"/>
    <w:basedOn w:val="27"/>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1">
    <w:name w:val="标题 8 Char"/>
    <w:basedOn w:val="27"/>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2">
    <w:name w:val="标题 9 Char"/>
    <w:basedOn w:val="27"/>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3">
    <w:name w:val="标题 Char"/>
    <w:basedOn w:val="27"/>
    <w:link w:val="23"/>
    <w:qFormat/>
    <w:uiPriority w:val="10"/>
    <w:rPr>
      <w:smallCaps/>
      <w:sz w:val="52"/>
      <w:szCs w:val="52"/>
    </w:rPr>
  </w:style>
  <w:style w:type="character" w:customStyle="1" w:styleId="44">
    <w:name w:val="副标题 Char"/>
    <w:basedOn w:val="27"/>
    <w:link w:val="21"/>
    <w:qFormat/>
    <w:uiPriority w:val="11"/>
    <w:rPr>
      <w:i/>
      <w:iCs/>
      <w:smallCaps/>
      <w:spacing w:val="10"/>
      <w:sz w:val="28"/>
      <w:szCs w:val="28"/>
    </w:rPr>
  </w:style>
  <w:style w:type="paragraph" w:styleId="45">
    <w:name w:val="No Spacing"/>
    <w:basedOn w:val="1"/>
    <w:link w:val="57"/>
    <w:qFormat/>
    <w:uiPriority w:val="1"/>
    <w:pPr>
      <w:spacing w:after="0"/>
    </w:pPr>
  </w:style>
  <w:style w:type="paragraph" w:styleId="46">
    <w:name w:val="List Paragraph"/>
    <w:basedOn w:val="1"/>
    <w:qFormat/>
    <w:uiPriority w:val="34"/>
    <w:pPr>
      <w:ind w:left="720"/>
      <w:contextualSpacing/>
    </w:pPr>
  </w:style>
  <w:style w:type="paragraph" w:styleId="47">
    <w:name w:val="Quote"/>
    <w:basedOn w:val="1"/>
    <w:next w:val="1"/>
    <w:link w:val="48"/>
    <w:qFormat/>
    <w:uiPriority w:val="29"/>
    <w:rPr>
      <w:i/>
      <w:iCs/>
    </w:rPr>
  </w:style>
  <w:style w:type="character" w:customStyle="1" w:styleId="48">
    <w:name w:val="引用 Char"/>
    <w:basedOn w:val="27"/>
    <w:link w:val="47"/>
    <w:qFormat/>
    <w:uiPriority w:val="29"/>
    <w:rPr>
      <w:i/>
      <w:iCs/>
    </w:rPr>
  </w:style>
  <w:style w:type="paragraph" w:styleId="49">
    <w:name w:val="Intense Quote"/>
    <w:basedOn w:val="1"/>
    <w:next w:val="1"/>
    <w:link w:val="50"/>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0">
    <w:name w:val="明显引用 Char"/>
    <w:basedOn w:val="27"/>
    <w:link w:val="49"/>
    <w:qFormat/>
    <w:uiPriority w:val="30"/>
    <w:rPr>
      <w:i/>
      <w:iCs/>
    </w:rPr>
  </w:style>
  <w:style w:type="character" w:customStyle="1" w:styleId="51">
    <w:name w:val="不明显强调1"/>
    <w:qFormat/>
    <w:uiPriority w:val="19"/>
    <w:rPr>
      <w:i/>
      <w:iCs/>
    </w:rPr>
  </w:style>
  <w:style w:type="character" w:customStyle="1" w:styleId="52">
    <w:name w:val="明显强调1"/>
    <w:qFormat/>
    <w:uiPriority w:val="21"/>
    <w:rPr>
      <w:b/>
      <w:bCs/>
      <w:i/>
      <w:iCs/>
    </w:rPr>
  </w:style>
  <w:style w:type="character" w:customStyle="1" w:styleId="53">
    <w:name w:val="不明显参考1"/>
    <w:basedOn w:val="27"/>
    <w:qFormat/>
    <w:uiPriority w:val="31"/>
    <w:rPr>
      <w:smallCaps/>
    </w:rPr>
  </w:style>
  <w:style w:type="character" w:customStyle="1" w:styleId="54">
    <w:name w:val="明显参考1"/>
    <w:qFormat/>
    <w:uiPriority w:val="32"/>
    <w:rPr>
      <w:b/>
      <w:bCs/>
      <w:smallCaps/>
    </w:rPr>
  </w:style>
  <w:style w:type="character" w:customStyle="1" w:styleId="55">
    <w:name w:val="书籍标题1"/>
    <w:basedOn w:val="27"/>
    <w:qFormat/>
    <w:uiPriority w:val="33"/>
    <w:rPr>
      <w:i/>
      <w:iCs/>
      <w:smallCaps/>
      <w:spacing w:val="5"/>
    </w:rPr>
  </w:style>
  <w:style w:type="paragraph" w:customStyle="1" w:styleId="56">
    <w:name w:val="TOC 标题1"/>
    <w:basedOn w:val="3"/>
    <w:next w:val="1"/>
    <w:semiHidden/>
    <w:unhideWhenUsed/>
    <w:qFormat/>
    <w:uiPriority w:val="39"/>
    <w:pPr>
      <w:outlineLvl w:val="9"/>
    </w:pPr>
    <w:rPr>
      <w:lang w:bidi="en-US"/>
    </w:rPr>
  </w:style>
  <w:style w:type="character" w:customStyle="1" w:styleId="57">
    <w:name w:val="无间隔 Char"/>
    <w:basedOn w:val="27"/>
    <w:link w:val="45"/>
    <w:qFormat/>
    <w:uiPriority w:val="1"/>
  </w:style>
  <w:style w:type="paragraph" w:customStyle="1" w:styleId="58">
    <w:name w:val="Personal Name"/>
    <w:basedOn w:val="23"/>
    <w:qFormat/>
    <w:uiPriority w:val="0"/>
    <w:rPr>
      <w:b/>
      <w:caps/>
      <w:color w:val="000000"/>
      <w:sz w:val="28"/>
      <w:szCs w:val="28"/>
    </w:rPr>
  </w:style>
  <w:style w:type="character" w:customStyle="1" w:styleId="59">
    <w:name w:val="正文2 Char Char"/>
    <w:link w:val="60"/>
    <w:qFormat/>
    <w:uiPriority w:val="0"/>
    <w:rPr>
      <w:rFonts w:ascii="仿宋" w:hAnsi="仿宋" w:eastAsia="仿宋"/>
      <w:sz w:val="24"/>
      <w:szCs w:val="24"/>
    </w:rPr>
  </w:style>
  <w:style w:type="paragraph" w:customStyle="1" w:styleId="60">
    <w:name w:val="正文2"/>
    <w:basedOn w:val="1"/>
    <w:link w:val="59"/>
    <w:qFormat/>
    <w:uiPriority w:val="0"/>
    <w:pPr>
      <w:spacing w:line="360" w:lineRule="auto"/>
    </w:pPr>
  </w:style>
  <w:style w:type="character" w:customStyle="1" w:styleId="61">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62">
    <w:name w:val="纯文本 Char"/>
    <w:basedOn w:val="27"/>
    <w:link w:val="16"/>
    <w:qFormat/>
    <w:uiPriority w:val="0"/>
    <w:rPr>
      <w:rFonts w:ascii="宋体" w:hAnsi="Courier New" w:eastAsia="宋体" w:cs="Arial"/>
      <w:snapToGrid w:val="0"/>
      <w:kern w:val="2"/>
      <w:sz w:val="21"/>
      <w:szCs w:val="21"/>
    </w:rPr>
  </w:style>
  <w:style w:type="character" w:customStyle="1" w:styleId="63">
    <w:name w:val="正文文本缩进 Char"/>
    <w:basedOn w:val="27"/>
    <w:semiHidden/>
    <w:qFormat/>
    <w:uiPriority w:val="99"/>
    <w:rPr>
      <w:rFonts w:ascii="仿宋" w:hAnsi="仿宋" w:eastAsia="仿宋"/>
      <w:sz w:val="24"/>
      <w:szCs w:val="24"/>
    </w:rPr>
  </w:style>
  <w:style w:type="character" w:customStyle="1" w:styleId="64">
    <w:name w:val="正文文本缩进 Char1"/>
    <w:link w:val="15"/>
    <w:qFormat/>
    <w:uiPriority w:val="0"/>
    <w:rPr>
      <w:rFonts w:ascii="宋体" w:hAnsi="宋体" w:eastAsia="宋体" w:cs="Times New Roman"/>
      <w:kern w:val="2"/>
      <w:sz w:val="24"/>
      <w:szCs w:val="24"/>
    </w:rPr>
  </w:style>
  <w:style w:type="character" w:customStyle="1" w:styleId="65">
    <w:name w:val="标题 Char2"/>
    <w:qFormat/>
    <w:uiPriority w:val="10"/>
    <w:rPr>
      <w:b/>
      <w:sz w:val="24"/>
      <w:lang w:val="en-GB"/>
    </w:rPr>
  </w:style>
  <w:style w:type="character" w:customStyle="1" w:styleId="66">
    <w:name w:val="纯文本 Char1"/>
    <w:link w:val="67"/>
    <w:qFormat/>
    <w:uiPriority w:val="0"/>
    <w:rPr>
      <w:rFonts w:ascii="宋体" w:hAnsi="Courier New"/>
    </w:rPr>
  </w:style>
  <w:style w:type="paragraph" w:customStyle="1" w:styleId="67">
    <w:name w:val="纯文本1"/>
    <w:basedOn w:val="1"/>
    <w:link w:val="66"/>
    <w:qFormat/>
    <w:uiPriority w:val="0"/>
    <w:pPr>
      <w:widowControl w:val="0"/>
      <w:spacing w:after="0"/>
      <w:jc w:val="both"/>
    </w:pPr>
    <w:rPr>
      <w:rFonts w:ascii="宋体" w:hAnsi="Courier New" w:eastAsiaTheme="majorEastAsia"/>
      <w:sz w:val="22"/>
      <w:szCs w:val="22"/>
    </w:rPr>
  </w:style>
  <w:style w:type="character" w:customStyle="1" w:styleId="68">
    <w:name w:val="页脚 Char2"/>
    <w:qFormat/>
    <w:locked/>
    <w:uiPriority w:val="99"/>
    <w:rPr>
      <w:kern w:val="2"/>
      <w:sz w:val="18"/>
      <w:szCs w:val="18"/>
    </w:rPr>
  </w:style>
  <w:style w:type="character" w:customStyle="1" w:styleId="69">
    <w:name w:val="页眉 Char2"/>
    <w:qFormat/>
    <w:uiPriority w:val="99"/>
    <w:rPr>
      <w:kern w:val="2"/>
      <w:sz w:val="18"/>
      <w:szCs w:val="18"/>
    </w:rPr>
  </w:style>
  <w:style w:type="paragraph" w:customStyle="1" w:styleId="70">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1">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2">
    <w:name w:val="text-tag"/>
    <w:basedOn w:val="1"/>
    <w:semiHidden/>
    <w:qFormat/>
    <w:uiPriority w:val="99"/>
    <w:pPr>
      <w:spacing w:before="100" w:beforeAutospacing="1" w:after="100" w:afterAutospacing="1"/>
    </w:pPr>
    <w:rPr>
      <w:rFonts w:ascii="宋体" w:hAnsi="宋体" w:eastAsia="宋体" w:cs="宋体"/>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1"/>
    <w:link w:val="73"/>
    <w:qFormat/>
    <w:uiPriority w:val="0"/>
    <w:pPr>
      <w:widowControl w:val="0"/>
      <w:spacing w:after="0"/>
      <w:jc w:val="both"/>
    </w:pPr>
    <w:rPr>
      <w:rFonts w:ascii="宋体" w:hAnsi="Courier New" w:eastAsiaTheme="majorEastAsia"/>
      <w:kern w:val="2"/>
      <w:sz w:val="21"/>
      <w:szCs w:val="21"/>
    </w:rPr>
  </w:style>
  <w:style w:type="paragraph" w:customStyle="1" w:styleId="75">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6">
    <w:name w:val="批注框文本 Char"/>
    <w:basedOn w:val="27"/>
    <w:link w:val="17"/>
    <w:semiHidden/>
    <w:qFormat/>
    <w:uiPriority w:val="99"/>
    <w:rPr>
      <w:rFonts w:ascii="仿宋" w:hAnsi="仿宋" w:eastAsia="仿宋"/>
      <w:sz w:val="18"/>
      <w:szCs w:val="18"/>
    </w:rPr>
  </w:style>
  <w:style w:type="paragraph" w:customStyle="1" w:styleId="77">
    <w:name w:val="3级"/>
    <w:basedOn w:val="1"/>
    <w:qFormat/>
    <w:uiPriority w:val="0"/>
    <w:pPr>
      <w:numPr>
        <w:ilvl w:val="0"/>
        <w:numId w:val="1"/>
      </w:numPr>
      <w:spacing w:line="360" w:lineRule="auto"/>
      <w:outlineLvl w:val="2"/>
    </w:pPr>
    <w:rPr>
      <w:rFonts w:ascii="仿宋" w:hAnsi="仿宋" w:eastAsia="仿宋"/>
      <w:b/>
      <w:sz w:val="24"/>
    </w:rPr>
  </w:style>
  <w:style w:type="paragraph" w:customStyle="1" w:styleId="78">
    <w:name w:val="zhengwen"/>
    <w:basedOn w:val="1"/>
    <w:qFormat/>
    <w:uiPriority w:val="0"/>
    <w:pPr>
      <w:spacing w:line="360" w:lineRule="auto"/>
      <w:ind w:left="-2" w:leftChars="-1" w:firstLine="425" w:firstLineChars="177"/>
    </w:pPr>
    <w:rPr>
      <w:rFonts w:ascii="仿宋" w:hAnsi="仿宋" w:eastAsia="仿宋"/>
      <w:sz w:val="24"/>
    </w:rPr>
  </w:style>
  <w:style w:type="paragraph" w:customStyle="1" w:styleId="79">
    <w:name w:val="文档正文"/>
    <w:basedOn w:val="1"/>
    <w:qFormat/>
    <w:uiPriority w:val="0"/>
    <w:pPr>
      <w:spacing w:line="480" w:lineRule="atLeast"/>
      <w:ind w:firstLine="567"/>
      <w:textAlignment w:val="baseline"/>
    </w:pPr>
    <w:rPr>
      <w:kern w:val="0"/>
      <w:sz w:val="24"/>
      <w:szCs w:val="20"/>
    </w:rPr>
  </w:style>
  <w:style w:type="paragraph" w:customStyle="1" w:styleId="80">
    <w:name w:val="正常"/>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1">
    <w:name w:val="首行缩进"/>
    <w:qFormat/>
    <w:uiPriority w:val="0"/>
    <w:pPr>
      <w:widowControl w:val="0"/>
      <w:adjustRightInd w:val="0"/>
      <w:spacing w:line="360" w:lineRule="auto"/>
      <w:ind w:firstLine="480" w:firstLineChars="200"/>
      <w:jc w:val="both"/>
    </w:pPr>
    <w:rPr>
      <w:rFonts w:ascii="宋体"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58645</Words>
  <Characters>61773</Characters>
  <Lines>306</Lines>
  <Paragraphs>86</Paragraphs>
  <TotalTime>43</TotalTime>
  <ScaleCrop>false</ScaleCrop>
  <LinksUpToDate>false</LinksUpToDate>
  <CharactersWithSpaces>67556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豐</cp:lastModifiedBy>
  <cp:lastPrinted>2022-06-10T09:02:00Z</cp:lastPrinted>
  <dcterms:modified xsi:type="dcterms:W3CDTF">2022-11-20T12:19:56Z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7C7FF7CB622B4EC489D80390DC7C3DAF</vt:lpwstr>
  </property>
</Properties>
</file>