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jc w:val="center"/>
        <w:rPr>
          <w:rFonts w:hint="eastAsia" w:ascii="宋体" w:hAnsi="宋体" w:eastAsia="宋体" w:cs="宋体"/>
          <w:color w:val="000000" w:themeColor="text1"/>
          <w:sz w:val="40"/>
          <w:lang w:eastAsia="zh-CN"/>
          <w14:textFill>
            <w14:solidFill>
              <w14:schemeClr w14:val="tx1"/>
            </w14:solidFill>
          </w14:textFill>
        </w:rPr>
      </w:pPr>
      <w:r>
        <w:rPr>
          <w:rFonts w:hint="eastAsia" w:ascii="宋体" w:hAnsi="宋体" w:eastAsia="宋体" w:cs="宋体"/>
          <w:color w:val="000000" w:themeColor="text1"/>
          <w:sz w:val="40"/>
          <w:lang w:eastAsia="zh-CN"/>
          <w14:textFill>
            <w14:solidFill>
              <w14:schemeClr w14:val="tx1"/>
            </w14:solidFill>
          </w14:textFill>
        </w:rPr>
        <w:t>杭州市萧山区综合交通信息指挥中心二期项目</w:t>
      </w:r>
    </w:p>
    <w:p>
      <w:pPr>
        <w:jc w:val="center"/>
        <w:rPr>
          <w:rFonts w:hint="eastAsia" w:ascii="宋体" w:hAnsi="宋体" w:eastAsia="宋体" w:cs="宋体"/>
          <w:color w:val="000000" w:themeColor="text1"/>
          <w:sz w:val="40"/>
          <w14:textFill>
            <w14:solidFill>
              <w14:schemeClr w14:val="tx1"/>
            </w14:solidFill>
          </w14:textFill>
        </w:rPr>
      </w:pPr>
      <w:r>
        <w:rPr>
          <w:rFonts w:hint="eastAsia" w:ascii="宋体" w:hAnsi="宋体" w:eastAsia="宋体" w:cs="宋体"/>
          <w:color w:val="000000" w:themeColor="text1"/>
          <w:sz w:val="40"/>
          <w14:textFill>
            <w14:solidFill>
              <w14:schemeClr w14:val="tx1"/>
            </w14:solidFill>
          </w14:textFill>
        </w:rPr>
        <w:t>招标文件</w:t>
      </w:r>
    </w:p>
    <w:p>
      <w:pPr>
        <w:jc w:val="center"/>
        <w:rPr>
          <w:rFonts w:hint="eastAsia" w:ascii="宋体" w:hAnsi="宋体" w:eastAsia="宋体" w:cs="宋体"/>
          <w:color w:val="000000" w:themeColor="text1"/>
          <w:sz w:val="36"/>
          <w:lang w:eastAsia="zh-CN"/>
          <w14:textFill>
            <w14:solidFill>
              <w14:schemeClr w14:val="tx1"/>
            </w14:solidFill>
          </w14:textFill>
        </w:rPr>
      </w:pPr>
      <w:r>
        <w:rPr>
          <w:rFonts w:hint="eastAsia" w:ascii="宋体" w:hAnsi="宋体" w:eastAsia="宋体" w:cs="宋体"/>
          <w:color w:val="000000" w:themeColor="text1"/>
          <w:sz w:val="36"/>
          <w14:textFill>
            <w14:solidFill>
              <w14:schemeClr w14:val="tx1"/>
            </w14:solidFill>
          </w14:textFill>
        </w:rPr>
        <w:t>编号:</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sz w:val="36"/>
          <w:lang w:eastAsia="zh-CN"/>
          <w14:textFill>
            <w14:solidFill>
              <w14:schemeClr w14:val="tx1"/>
            </w14:solidFill>
          </w14:textFill>
        </w:rPr>
        <w:t>XSJTJ2022001</w:t>
      </w:r>
    </w:p>
    <w:p>
      <w:pPr>
        <w:jc w:val="center"/>
        <w:rPr>
          <w:rFonts w:hint="eastAsia" w:ascii="宋体" w:hAnsi="宋体" w:eastAsia="宋体" w:cs="宋体"/>
          <w:color w:val="000000" w:themeColor="text1"/>
          <w:sz w:val="36"/>
          <w14:textFill>
            <w14:solidFill>
              <w14:schemeClr w14:val="tx1"/>
            </w14:solidFill>
          </w14:textFill>
        </w:rPr>
      </w:pPr>
    </w:p>
    <w:p>
      <w:pPr>
        <w:jc w:val="center"/>
        <w:rPr>
          <w:rFonts w:hint="eastAsia" w:ascii="宋体" w:hAnsi="宋体" w:eastAsia="宋体" w:cs="宋体"/>
          <w:color w:val="000000" w:themeColor="text1"/>
          <w:sz w:val="36"/>
          <w14:textFill>
            <w14:solidFill>
              <w14:schemeClr w14:val="tx1"/>
            </w14:solidFill>
          </w14:textFill>
        </w:rPr>
      </w:pPr>
    </w:p>
    <w:p>
      <w:pPr>
        <w:pStyle w:val="15"/>
        <w:rPr>
          <w:rFonts w:hint="eastAsia" w:ascii="宋体" w:hAnsi="宋体" w:eastAsia="宋体" w:cs="宋体"/>
          <w:color w:val="000000" w:themeColor="text1"/>
          <w:sz w:val="36"/>
          <w14:textFill>
            <w14:solidFill>
              <w14:schemeClr w14:val="tx1"/>
            </w14:solidFill>
          </w14:textFill>
        </w:rPr>
      </w:pPr>
    </w:p>
    <w:p>
      <w:pPr>
        <w:pStyle w:val="15"/>
        <w:rPr>
          <w:rFonts w:hint="eastAsia" w:ascii="宋体" w:hAnsi="宋体" w:eastAsia="宋体" w:cs="宋体"/>
          <w:color w:val="000000" w:themeColor="text1"/>
          <w:sz w:val="36"/>
          <w14:textFill>
            <w14:solidFill>
              <w14:schemeClr w14:val="tx1"/>
            </w14:solidFill>
          </w14:textFill>
        </w:rPr>
      </w:pPr>
    </w:p>
    <w:p>
      <w:pPr>
        <w:pStyle w:val="15"/>
        <w:rPr>
          <w:rFonts w:hint="eastAsia" w:ascii="宋体" w:hAnsi="宋体" w:eastAsia="宋体" w:cs="宋体"/>
          <w:color w:val="000000" w:themeColor="text1"/>
          <w:sz w:val="36"/>
          <w14:textFill>
            <w14:solidFill>
              <w14:schemeClr w14:val="tx1"/>
            </w14:solidFill>
          </w14:textFill>
        </w:rPr>
      </w:pPr>
    </w:p>
    <w:p>
      <w:pPr>
        <w:jc w:val="center"/>
        <w:rPr>
          <w:rFonts w:hint="eastAsia" w:ascii="宋体" w:hAnsi="宋体" w:eastAsia="宋体" w:cs="宋体"/>
          <w:color w:val="000000" w:themeColor="text1"/>
          <w:sz w:val="36"/>
          <w14:textFill>
            <w14:solidFill>
              <w14:schemeClr w14:val="tx1"/>
            </w14:solidFill>
          </w14:textFill>
        </w:rPr>
      </w:pPr>
    </w:p>
    <w:p>
      <w:pPr>
        <w:jc w:val="center"/>
        <w:rPr>
          <w:rFonts w:hint="eastAsia" w:ascii="宋体" w:hAnsi="宋体" w:eastAsia="宋体" w:cs="宋体"/>
          <w:color w:val="000000" w:themeColor="text1"/>
          <w:sz w:val="36"/>
          <w:lang w:eastAsia="zh-CN"/>
          <w14:textFill>
            <w14:solidFill>
              <w14:schemeClr w14:val="tx1"/>
            </w14:solidFill>
          </w14:textFill>
        </w:rPr>
      </w:pPr>
      <w:r>
        <w:rPr>
          <w:rFonts w:hint="eastAsia" w:ascii="宋体" w:hAnsi="宋体" w:eastAsia="宋体" w:cs="宋体"/>
          <w:color w:val="000000" w:themeColor="text1"/>
          <w:sz w:val="36"/>
          <w:lang w:val="en-US" w:eastAsia="zh-CN"/>
          <w14:textFill>
            <w14:solidFill>
              <w14:schemeClr w14:val="tx1"/>
            </w14:solidFill>
          </w14:textFill>
        </w:rPr>
        <w:t xml:space="preserve"> </w:t>
      </w:r>
    </w:p>
    <w:p>
      <w:pPr>
        <w:rPr>
          <w:rFonts w:hint="eastAsia" w:ascii="宋体" w:hAnsi="宋体" w:eastAsia="宋体" w:cs="宋体"/>
          <w:color w:val="000000" w:themeColor="text1"/>
          <w14:textFill>
            <w14:solidFill>
              <w14:schemeClr w14:val="tx1"/>
            </w14:solidFill>
          </w14:textFill>
        </w:rPr>
      </w:pPr>
    </w:p>
    <w:p>
      <w:pPr>
        <w:jc w:val="center"/>
        <w:rPr>
          <w:rFonts w:hint="eastAsia" w:ascii="宋体" w:hAnsi="宋体" w:eastAsia="宋体" w:cs="宋体"/>
          <w:color w:val="000000" w:themeColor="text1"/>
          <w14:textFill>
            <w14:solidFill>
              <w14:schemeClr w14:val="tx1"/>
            </w14:solidFill>
          </w14:textFill>
        </w:rPr>
      </w:pPr>
    </w:p>
    <w:p>
      <w:pPr>
        <w:jc w:val="center"/>
        <w:rPr>
          <w:rFonts w:hint="eastAsia" w:ascii="宋体" w:hAnsi="宋体" w:eastAsia="宋体" w:cs="宋体"/>
          <w:color w:val="000000" w:themeColor="text1"/>
          <w:sz w:val="36"/>
          <w:lang w:eastAsia="zh-CN"/>
          <w14:textFill>
            <w14:solidFill>
              <w14:schemeClr w14:val="tx1"/>
            </w14:solidFill>
          </w14:textFill>
        </w:rPr>
      </w:pPr>
      <w:r>
        <w:rPr>
          <w:rFonts w:hint="eastAsia" w:ascii="宋体" w:hAnsi="宋体" w:eastAsia="宋体" w:cs="宋体"/>
          <w:color w:val="000000" w:themeColor="text1"/>
          <w:sz w:val="36"/>
          <w:lang w:eastAsia="zh-CN"/>
          <w14:textFill>
            <w14:solidFill>
              <w14:schemeClr w14:val="tx1"/>
            </w14:solidFill>
          </w14:textFill>
        </w:rPr>
        <w:t>杭州市萧山区交通运输局</w:t>
      </w:r>
    </w:p>
    <w:p>
      <w:pPr>
        <w:jc w:val="center"/>
        <w:rPr>
          <w:rFonts w:hint="eastAsia" w:ascii="宋体" w:hAnsi="宋体" w:eastAsia="宋体" w:cs="宋体"/>
          <w:color w:val="000000" w:themeColor="text1"/>
          <w:sz w:val="36"/>
          <w14:textFill>
            <w14:solidFill>
              <w14:schemeClr w14:val="tx1"/>
            </w14:solidFill>
          </w14:textFill>
        </w:rPr>
      </w:pPr>
      <w:r>
        <w:rPr>
          <w:rFonts w:hint="eastAsia" w:ascii="宋体" w:hAnsi="宋体" w:eastAsia="宋体" w:cs="宋体"/>
          <w:color w:val="000000" w:themeColor="text1"/>
          <w:sz w:val="36"/>
          <w:lang w:eastAsia="zh-CN"/>
          <w14:textFill>
            <w14:solidFill>
              <w14:schemeClr w14:val="tx1"/>
            </w14:solidFill>
          </w14:textFill>
        </w:rPr>
        <w:t>浙江经济建设投资咨询中心有限公司</w:t>
      </w:r>
    </w:p>
    <w:p>
      <w:pPr>
        <w:jc w:val="center"/>
        <w:rPr>
          <w:rFonts w:hint="eastAsia" w:ascii="宋体" w:hAnsi="宋体" w:eastAsia="宋体" w:cs="宋体"/>
          <w:color w:val="000000" w:themeColor="text1"/>
          <w:sz w:val="36"/>
          <w14:textFill>
            <w14:solidFill>
              <w14:schemeClr w14:val="tx1"/>
            </w14:solidFill>
          </w14:textFill>
        </w:rPr>
      </w:pPr>
      <w:r>
        <w:rPr>
          <w:rFonts w:hint="eastAsia" w:ascii="宋体" w:hAnsi="宋体" w:eastAsia="宋体" w:cs="宋体"/>
          <w:color w:val="000000" w:themeColor="text1"/>
          <w:sz w:val="36"/>
          <w:lang w:val="en-US" w:eastAsia="zh-CN"/>
          <w14:textFill>
            <w14:solidFill>
              <w14:schemeClr w14:val="tx1"/>
            </w14:solidFill>
          </w14:textFill>
        </w:rPr>
        <w:t>2022</w:t>
      </w:r>
      <w:r>
        <w:rPr>
          <w:rFonts w:hint="eastAsia" w:ascii="宋体" w:hAnsi="宋体" w:eastAsia="宋体" w:cs="宋体"/>
          <w:color w:val="000000" w:themeColor="text1"/>
          <w:sz w:val="36"/>
          <w14:textFill>
            <w14:solidFill>
              <w14:schemeClr w14:val="tx1"/>
            </w14:solidFill>
          </w14:textFill>
        </w:rPr>
        <w:t>年</w:t>
      </w:r>
      <w:r>
        <w:rPr>
          <w:rFonts w:hint="eastAsia" w:ascii="宋体" w:hAnsi="宋体" w:eastAsia="宋体" w:cs="宋体"/>
          <w:color w:val="000000" w:themeColor="text1"/>
          <w:sz w:val="36"/>
          <w:lang w:val="en-US" w:eastAsia="zh-CN"/>
          <w14:textFill>
            <w14:solidFill>
              <w14:schemeClr w14:val="tx1"/>
            </w14:solidFill>
          </w14:textFill>
        </w:rPr>
        <w:t>11</w:t>
      </w:r>
      <w:r>
        <w:rPr>
          <w:rFonts w:hint="eastAsia" w:ascii="宋体" w:hAnsi="宋体" w:eastAsia="宋体" w:cs="宋体"/>
          <w:color w:val="000000" w:themeColor="text1"/>
          <w:sz w:val="36"/>
          <w14:textFill>
            <w14:solidFill>
              <w14:schemeClr w14:val="tx1"/>
            </w14:solidFill>
          </w14:textFill>
        </w:rPr>
        <w:t>月</w:t>
      </w:r>
    </w:p>
    <w:p>
      <w:pPr>
        <w:jc w:val="center"/>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 </w:t>
      </w:r>
    </w:p>
    <w:p>
      <w:pPr>
        <w:spacing w:line="276" w:lineRule="auto"/>
        <w:rPr>
          <w:rFonts w:hint="eastAsia" w:ascii="宋体" w:hAnsi="宋体" w:eastAsia="宋体" w:cs="宋体"/>
          <w:b/>
          <w:smallCaps/>
          <w:color w:val="000000" w:themeColor="text1"/>
          <w:spacing w:val="5"/>
          <w:sz w:val="36"/>
          <w:szCs w:val="36"/>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3"/>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目  录</w:t>
      </w: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sz w:val="32"/>
          <w14:textFill>
            <w14:solidFill>
              <w14:schemeClr w14:val="tx1"/>
            </w14:solidFill>
          </w14:textFill>
        </w:rPr>
      </w:pPr>
      <w:r>
        <w:rPr>
          <w:rFonts w:hint="eastAsia" w:ascii="宋体" w:hAnsi="宋体" w:eastAsia="宋体" w:cs="宋体"/>
          <w:color w:val="000000" w:themeColor="text1"/>
          <w:sz w:val="32"/>
          <w14:textFill>
            <w14:solidFill>
              <w14:schemeClr w14:val="tx1"/>
            </w14:solidFill>
          </w14:textFill>
        </w:rPr>
        <w:t>第一部分      招标公告</w:t>
      </w:r>
    </w:p>
    <w:p>
      <w:pPr>
        <w:rPr>
          <w:rFonts w:hint="eastAsia" w:ascii="宋体" w:hAnsi="宋体" w:eastAsia="宋体" w:cs="宋体"/>
          <w:color w:val="000000" w:themeColor="text1"/>
          <w:sz w:val="32"/>
          <w14:textFill>
            <w14:solidFill>
              <w14:schemeClr w14:val="tx1"/>
            </w14:solidFill>
          </w14:textFill>
        </w:rPr>
      </w:pPr>
      <w:r>
        <w:rPr>
          <w:rFonts w:hint="eastAsia" w:ascii="宋体" w:hAnsi="宋体" w:eastAsia="宋体" w:cs="宋体"/>
          <w:color w:val="000000" w:themeColor="text1"/>
          <w:sz w:val="32"/>
          <w14:textFill>
            <w14:solidFill>
              <w14:schemeClr w14:val="tx1"/>
            </w14:solidFill>
          </w14:textFill>
        </w:rPr>
        <w:t>第二部分      投标人须知</w:t>
      </w:r>
    </w:p>
    <w:p>
      <w:pPr>
        <w:rPr>
          <w:rFonts w:hint="eastAsia" w:ascii="宋体" w:hAnsi="宋体" w:eastAsia="宋体" w:cs="宋体"/>
          <w:color w:val="000000" w:themeColor="text1"/>
          <w:sz w:val="32"/>
          <w14:textFill>
            <w14:solidFill>
              <w14:schemeClr w14:val="tx1"/>
            </w14:solidFill>
          </w14:textFill>
        </w:rPr>
      </w:pPr>
      <w:r>
        <w:rPr>
          <w:rFonts w:hint="eastAsia" w:ascii="宋体" w:hAnsi="宋体" w:eastAsia="宋体" w:cs="宋体"/>
          <w:color w:val="000000" w:themeColor="text1"/>
          <w:sz w:val="32"/>
          <w14:textFill>
            <w14:solidFill>
              <w14:schemeClr w14:val="tx1"/>
            </w14:solidFill>
          </w14:textFill>
        </w:rPr>
        <w:t>第三部分      采购需求</w:t>
      </w:r>
    </w:p>
    <w:p>
      <w:pPr>
        <w:rPr>
          <w:rFonts w:hint="eastAsia" w:ascii="宋体" w:hAnsi="宋体" w:eastAsia="宋体" w:cs="宋体"/>
          <w:color w:val="000000" w:themeColor="text1"/>
          <w:sz w:val="32"/>
          <w14:textFill>
            <w14:solidFill>
              <w14:schemeClr w14:val="tx1"/>
            </w14:solidFill>
          </w14:textFill>
        </w:rPr>
      </w:pPr>
      <w:r>
        <w:rPr>
          <w:rFonts w:hint="eastAsia" w:ascii="宋体" w:hAnsi="宋体" w:eastAsia="宋体" w:cs="宋体"/>
          <w:color w:val="000000" w:themeColor="text1"/>
          <w:sz w:val="32"/>
          <w14:textFill>
            <w14:solidFill>
              <w14:schemeClr w14:val="tx1"/>
            </w14:solidFill>
          </w14:textFill>
        </w:rPr>
        <w:t>第四部分      评标办法</w:t>
      </w:r>
    </w:p>
    <w:p>
      <w:pPr>
        <w:rPr>
          <w:rFonts w:hint="eastAsia" w:ascii="宋体" w:hAnsi="宋体" w:eastAsia="宋体" w:cs="宋体"/>
          <w:color w:val="000000" w:themeColor="text1"/>
          <w:sz w:val="32"/>
          <w14:textFill>
            <w14:solidFill>
              <w14:schemeClr w14:val="tx1"/>
            </w14:solidFill>
          </w14:textFill>
        </w:rPr>
      </w:pPr>
      <w:r>
        <w:rPr>
          <w:rFonts w:hint="eastAsia" w:ascii="宋体" w:hAnsi="宋体" w:eastAsia="宋体" w:cs="宋体"/>
          <w:color w:val="000000" w:themeColor="text1"/>
          <w:sz w:val="32"/>
          <w14:textFill>
            <w14:solidFill>
              <w14:schemeClr w14:val="tx1"/>
            </w14:solidFill>
          </w14:textFill>
        </w:rPr>
        <w:t>第五部分      拟签订的合同文本</w:t>
      </w:r>
    </w:p>
    <w:p>
      <w:pPr>
        <w:rPr>
          <w:rFonts w:hint="eastAsia" w:ascii="宋体" w:hAnsi="宋体" w:eastAsia="宋体" w:cs="宋体"/>
          <w:color w:val="000000" w:themeColor="text1"/>
          <w:sz w:val="32"/>
          <w14:textFill>
            <w14:solidFill>
              <w14:schemeClr w14:val="tx1"/>
            </w14:solidFill>
          </w14:textFill>
        </w:rPr>
      </w:pPr>
      <w:r>
        <w:rPr>
          <w:rFonts w:hint="eastAsia" w:ascii="宋体" w:hAnsi="宋体" w:eastAsia="宋体" w:cs="宋体"/>
          <w:color w:val="000000" w:themeColor="text1"/>
          <w:sz w:val="32"/>
          <w14:textFill>
            <w14:solidFill>
              <w14:schemeClr w14:val="tx1"/>
            </w14:solidFill>
          </w14:textFill>
        </w:rPr>
        <w:t>第六部分      应提交的有关格式范例</w:t>
      </w:r>
    </w:p>
    <w:p>
      <w:pPr>
        <w:spacing w:line="276" w:lineRule="auto"/>
        <w:rPr>
          <w:rFonts w:hint="eastAsia" w:ascii="宋体" w:hAnsi="宋体" w:eastAsia="宋体" w:cs="宋体"/>
          <w:color w:val="000000" w:themeColor="text1"/>
          <w:sz w:val="32"/>
          <w14:textFill>
            <w14:solidFill>
              <w14:schemeClr w14:val="tx1"/>
            </w14:solidFill>
          </w14:textFill>
        </w:rPr>
      </w:pPr>
    </w:p>
    <w:p>
      <w:pPr>
        <w:spacing w:line="276" w:lineRule="auto"/>
        <w:rPr>
          <w:rFonts w:hint="eastAsia" w:ascii="宋体" w:hAnsi="宋体" w:eastAsia="宋体" w:cs="宋体"/>
          <w:b/>
          <w:smallCaps/>
          <w:color w:val="000000" w:themeColor="text1"/>
          <w:spacing w:val="5"/>
          <w:sz w:val="36"/>
          <w:szCs w:val="36"/>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3"/>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第一部分 招标公告</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after="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项目概况</w:t>
            </w:r>
          </w:p>
          <w:p>
            <w:pPr>
              <w:spacing w:after="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u w:val="single"/>
                <w14:textFill>
                  <w14:solidFill>
                    <w14:schemeClr w14:val="tx1"/>
                  </w14:solidFill>
                </w14:textFill>
              </w:rPr>
              <w:t>（</w:t>
            </w:r>
            <w:r>
              <w:rPr>
                <w:rFonts w:hint="eastAsia" w:ascii="宋体" w:hAnsi="宋体" w:eastAsia="宋体" w:cs="宋体"/>
                <w:color w:val="000000" w:themeColor="text1"/>
                <w:u w:val="single"/>
                <w:lang w:eastAsia="zh-CN"/>
                <w14:textFill>
                  <w14:solidFill>
                    <w14:schemeClr w14:val="tx1"/>
                  </w14:solidFill>
                </w14:textFill>
              </w:rPr>
              <w:t>杭州市萧山区综合交通信息指挥中心二期项目</w:t>
            </w:r>
            <w:r>
              <w:rPr>
                <w:rFonts w:hint="eastAsia" w:ascii="宋体" w:hAnsi="宋体" w:eastAsia="宋体" w:cs="宋体"/>
                <w:color w:val="000000" w:themeColor="text1"/>
                <w:u w:val="single"/>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招标项目的潜在投标人应在政采云平台（</w:t>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"https://www.zcygov.cn/）获取（下载）招标文件，并于2021年"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https://www.zcygov.cn/）获取（下载）招标文件，并于202</w:t>
            </w: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年</w:t>
            </w:r>
            <w:r>
              <w:rPr>
                <w:rFonts w:hint="eastAsia" w:ascii="宋体" w:hAnsi="宋体" w:eastAsia="宋体" w:cs="宋体"/>
                <w:color w:val="000000" w:themeColor="text1"/>
                <w:lang w:val="en-US" w:eastAsia="zh-CN"/>
                <w14:textFill>
                  <w14:solidFill>
                    <w14:schemeClr w14:val="tx1"/>
                  </w14:solidFill>
                </w14:textFill>
              </w:rPr>
              <w:t xml:space="preserve">  12</w:t>
            </w:r>
            <w:r>
              <w:rPr>
                <w:rFonts w:hint="eastAsia" w:ascii="宋体" w:hAnsi="宋体" w:eastAsia="宋体" w:cs="宋体"/>
                <w:color w:val="000000" w:themeColor="text1"/>
                <w14:textFill>
                  <w14:solidFill>
                    <w14:schemeClr w14:val="tx1"/>
                  </w14:solidFill>
                </w14:textFill>
              </w:rPr>
              <w:t>月</w:t>
            </w:r>
            <w:r>
              <w:rPr>
                <w:rFonts w:hint="eastAsia" w:ascii="宋体" w:hAnsi="宋体" w:eastAsia="宋体" w:cs="宋体"/>
                <w:color w:val="000000" w:themeColor="text1"/>
                <w:lang w:val="en-US" w:eastAsia="zh-CN"/>
                <w14:textFill>
                  <w14:solidFill>
                    <w14:schemeClr w14:val="tx1"/>
                  </w14:solidFill>
                </w14:textFill>
              </w:rPr>
              <w:t>10</w:t>
            </w:r>
            <w:r>
              <w:rPr>
                <w:rFonts w:hint="eastAsia" w:ascii="宋体" w:hAnsi="宋体" w:eastAsia="宋体" w:cs="宋体"/>
                <w:color w:val="000000" w:themeColor="text1"/>
                <w14:textFill>
                  <w14:solidFill>
                    <w14:schemeClr w14:val="tx1"/>
                  </w14:solidFill>
                </w14:textFill>
              </w:rPr>
              <w:t xml:space="preserve"> 日</w:t>
            </w:r>
            <w:r>
              <w:rPr>
                <w:rFonts w:hint="eastAsia" w:ascii="宋体" w:hAnsi="宋体" w:eastAsia="宋体" w:cs="宋体"/>
                <w:color w:val="000000" w:themeColor="text1"/>
                <w:lang w:val="en-US" w:eastAsia="zh-CN"/>
                <w14:textFill>
                  <w14:solidFill>
                    <w14:schemeClr w14:val="tx1"/>
                  </w14:solidFill>
                </w14:textFill>
              </w:rPr>
              <w:t>09</w:t>
            </w:r>
            <w:r>
              <w:rPr>
                <w:rFonts w:hint="eastAsia" w:ascii="宋体" w:hAnsi="宋体" w:eastAsia="宋体" w:cs="宋体"/>
                <w:color w:val="000000" w:themeColor="text1"/>
                <w14:textFill>
                  <w14:solidFill>
                    <w14:schemeClr w14:val="tx1"/>
                  </w14:solidFill>
                </w14:textFill>
              </w:rPr>
              <w:t>点</w:t>
            </w:r>
            <w:r>
              <w:rPr>
                <w:rFonts w:hint="eastAsia" w:ascii="宋体" w:hAnsi="宋体" w:eastAsia="宋体" w:cs="宋体"/>
                <w:color w:val="000000" w:themeColor="text1"/>
                <w:lang w:val="en-US" w:eastAsia="zh-CN"/>
                <w14:textFill>
                  <w14:solidFill>
                    <w14:schemeClr w14:val="tx1"/>
                  </w14:solidFill>
                </w14:textFill>
              </w:rPr>
              <w:t>00</w:t>
            </w:r>
            <w:r>
              <w:rPr>
                <w:rFonts w:hint="eastAsia" w:ascii="宋体" w:hAnsi="宋体" w:eastAsia="宋体" w:cs="宋体"/>
                <w:color w:val="000000" w:themeColor="text1"/>
                <w14:textFill>
                  <w14:solidFill>
                    <w14:schemeClr w14:val="tx1"/>
                  </w14:solidFill>
                </w14:textFill>
              </w:rPr>
              <w:t>分00秒</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t>（北京时间）前递交（上传）投标文件。</w:t>
            </w:r>
          </w:p>
          <w:p>
            <w:pPr>
              <w:spacing w:after="0"/>
              <w:rPr>
                <w:rFonts w:hint="eastAsia" w:ascii="宋体" w:hAnsi="宋体" w:eastAsia="宋体" w:cs="宋体"/>
                <w:color w:val="000000" w:themeColor="text1"/>
                <w14:textFill>
                  <w14:solidFill>
                    <w14:schemeClr w14:val="tx1"/>
                  </w14:solidFill>
                </w14:textFill>
              </w:rPr>
            </w:pPr>
          </w:p>
        </w:tc>
      </w:tr>
    </w:tbl>
    <w:p>
      <w:pP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 xml:space="preserve">一、项目基本情况                                            </w:t>
      </w:r>
    </w:p>
    <w:p>
      <w:pPr>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项目编号：</w:t>
      </w:r>
      <w:r>
        <w:rPr>
          <w:rFonts w:hint="eastAsia" w:ascii="宋体" w:hAnsi="宋体" w:eastAsia="宋体" w:cs="宋体"/>
          <w:color w:val="000000" w:themeColor="text1"/>
          <w:lang w:eastAsia="zh-CN"/>
          <w14:textFill>
            <w14:solidFill>
              <w14:schemeClr w14:val="tx1"/>
            </w14:solidFill>
          </w14:textFill>
        </w:rPr>
        <w:t>XSJTJ2022001</w:t>
      </w:r>
    </w:p>
    <w:p>
      <w:pPr>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项目名称：</w:t>
      </w:r>
      <w:r>
        <w:rPr>
          <w:rFonts w:hint="eastAsia" w:ascii="宋体" w:hAnsi="宋体" w:eastAsia="宋体" w:cs="宋体"/>
          <w:color w:val="000000" w:themeColor="text1"/>
          <w:lang w:eastAsia="zh-CN"/>
          <w14:textFill>
            <w14:solidFill>
              <w14:schemeClr w14:val="tx1"/>
            </w14:solidFill>
          </w14:textFill>
        </w:rPr>
        <w:t>杭州市萧山区综合交通信息指挥中心二期项目</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预算金额（元）：</w:t>
      </w:r>
      <w:r>
        <w:rPr>
          <w:rFonts w:hint="eastAsia" w:ascii="宋体" w:hAnsi="宋体" w:eastAsia="宋体" w:cs="宋体"/>
          <w:color w:val="000000" w:themeColor="text1"/>
          <w:sz w:val="24"/>
          <w:lang w:val="en-US" w:eastAsia="zh-CN"/>
          <w14:textFill>
            <w14:solidFill>
              <w14:schemeClr w14:val="tx1"/>
            </w14:solidFill>
          </w14:textFill>
        </w:rPr>
        <w:t>7522130</w:t>
      </w:r>
      <w:r>
        <w:rPr>
          <w:rFonts w:hint="eastAsia" w:ascii="宋体" w:hAnsi="宋体" w:eastAsia="宋体" w:cs="宋体"/>
          <w:color w:val="000000" w:themeColor="text1"/>
          <w14:textFill>
            <w14:solidFill>
              <w14:schemeClr w14:val="tx1"/>
            </w14:solidFill>
          </w14:textFill>
        </w:rPr>
        <w:t xml:space="preserve">  </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最高限价（元）：</w:t>
      </w:r>
      <w:r>
        <w:rPr>
          <w:rFonts w:hint="eastAsia" w:ascii="宋体" w:hAnsi="宋体" w:eastAsia="宋体" w:cs="宋体"/>
          <w:color w:val="000000" w:themeColor="text1"/>
          <w:sz w:val="24"/>
          <w:lang w:val="en-US" w:eastAsia="zh-CN"/>
          <w14:textFill>
            <w14:solidFill>
              <w14:schemeClr w14:val="tx1"/>
            </w14:solidFill>
          </w14:textFill>
        </w:rPr>
        <w:t>7522130</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采购需求：（项目名称）主要内容：</w:t>
      </w:r>
      <w:bookmarkStart w:id="0" w:name="OLE_LINK2"/>
      <w:r>
        <w:rPr>
          <w:rFonts w:hint="eastAsia" w:ascii="宋体" w:hAnsi="宋体" w:eastAsia="宋体" w:cs="宋体"/>
          <w:color w:val="000000" w:themeColor="text1"/>
          <w14:textFill>
            <w14:solidFill>
              <w14:schemeClr w14:val="tx1"/>
            </w14:solidFill>
          </w14:textFill>
        </w:rPr>
        <w:t>详见招标文件第三部分采购需求</w:t>
      </w:r>
      <w:bookmarkEnd w:id="0"/>
      <w:r>
        <w:rPr>
          <w:rFonts w:hint="eastAsia" w:ascii="宋体" w:hAnsi="宋体" w:eastAsia="宋体" w:cs="宋体"/>
          <w:color w:val="000000" w:themeColor="text1"/>
          <w14:textFill>
            <w14:solidFill>
              <w14:schemeClr w14:val="tx1"/>
            </w14:solidFill>
          </w14:textFill>
        </w:rPr>
        <w:t>。</w:t>
      </w:r>
    </w:p>
    <w:p>
      <w:pP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合同履约期限：</w:t>
      </w:r>
      <w:r>
        <w:rPr>
          <w:rFonts w:hint="eastAsia" w:ascii="宋体" w:hAnsi="宋体" w:eastAsia="宋体" w:cs="宋体"/>
          <w:color w:val="000000" w:themeColor="text1"/>
          <w:lang w:val="en-US" w:eastAsia="zh-CN"/>
          <w14:textFill>
            <w14:solidFill>
              <w14:schemeClr w14:val="tx1"/>
            </w14:solidFill>
          </w14:textFill>
        </w:rPr>
        <w:t>按招标文件要求</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本项目接受联合体投标：（√）是；（ ）否 。</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二、申请人的资格要求</w:t>
      </w:r>
      <w:r>
        <w:rPr>
          <w:rFonts w:hint="eastAsia" w:ascii="宋体" w:hAnsi="宋体" w:eastAsia="宋体" w:cs="宋体"/>
          <w:color w:val="000000" w:themeColor="text1"/>
          <w14:textFill>
            <w14:solidFill>
              <w14:schemeClr w14:val="tx1"/>
            </w14:solidFill>
          </w14:textFill>
        </w:rPr>
        <w:t>：</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 满足《中华人民共和国政府采购法》第二十二条规定；未被“信用中国”（www.creditchina.gov.cn)、中国政府采购网（www.ccgp.gov.cn）列入失信被执行人、重大税收违法案件当事人名单、政府采购严重违法失信行为记录名单；</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2.落实政府采购政策需满足的资格要求：</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）无；</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）专门面向中小企业</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）货物全部由符合政策要求的中小企业制造，提供中小企业声明函；</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）货物全部由符合政策要求的小微企业制造，提供中小企业声明函；</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）服务全部由符合政策要求的中小企业承接，提供中小企业声明函；</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）服务全部由符合政策要求的小微企业承接，提供中小企业声明函；</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）要求以联合体形式参加，提供联合协议和中小企业声明函，联合协议中中小企业合同金额应当达到  %，小微企业合同金额应当达到 %;如果供应商本身提供所有标的均由中小企业制造、承建或承接，视同符合了资格条件，无需再与其他中小企业组成联合体参加政府采购活动，无需提供联合协议；</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）要求合同分包，提供分包意向协议和中小企业声明函，分包意向协议中中小企业合同金额应当达到达到  % ，小微企业合同金额应当达到 % ;如果供应商本身提供所有标的均由中小企业制造、承建或承接，视同符合了资格条件，无需再向中小企业分包，无需提供分包意向协议；</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3.本项目的特定资格要求：无；</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rPr>
          <w:rFonts w:hint="eastAsia" w:ascii="宋体" w:hAnsi="宋体" w:eastAsia="宋体" w:cs="宋体"/>
          <w:b/>
          <w:color w:val="000000" w:themeColor="text1"/>
          <w:lang w:val="en-US" w:eastAsia="zh-CN"/>
          <w14:textFill>
            <w14:solidFill>
              <w14:schemeClr w14:val="tx1"/>
            </w14:solidFill>
          </w14:textFill>
        </w:rPr>
      </w:pPr>
      <w:r>
        <w:rPr>
          <w:rFonts w:hint="eastAsia" w:ascii="宋体" w:hAnsi="宋体" w:eastAsia="宋体" w:cs="宋体"/>
          <w:b/>
          <w:color w:val="000000" w:themeColor="text1"/>
          <w:lang w:val="en-US" w:eastAsia="zh-CN"/>
          <w14:textFill>
            <w14:solidFill>
              <w14:schemeClr w14:val="tx1"/>
            </w14:solidFill>
          </w14:textFill>
        </w:rPr>
        <w:t>5. 联合体组成成员单位不超过2家。</w:t>
      </w:r>
    </w:p>
    <w:p>
      <w:pP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 xml:space="preserve">三、获取招标文件 </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时间：/至202</w:t>
      </w: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年</w:t>
      </w:r>
      <w:r>
        <w:rPr>
          <w:rFonts w:hint="eastAsia" w:ascii="宋体" w:hAnsi="宋体" w:eastAsia="宋体" w:cs="宋体"/>
          <w:color w:val="000000" w:themeColor="text1"/>
          <w:lang w:val="en-US" w:eastAsia="zh-CN"/>
          <w14:textFill>
            <w14:solidFill>
              <w14:schemeClr w14:val="tx1"/>
            </w14:solidFill>
          </w14:textFill>
        </w:rPr>
        <w:t>12</w:t>
      </w:r>
      <w:r>
        <w:rPr>
          <w:rFonts w:hint="eastAsia" w:ascii="宋体" w:hAnsi="宋体" w:eastAsia="宋体" w:cs="宋体"/>
          <w:color w:val="000000" w:themeColor="text1"/>
          <w14:textFill>
            <w14:solidFill>
              <w14:schemeClr w14:val="tx1"/>
            </w14:solidFill>
          </w14:textFill>
        </w:rPr>
        <w:t>月</w:t>
      </w:r>
      <w:r>
        <w:rPr>
          <w:rFonts w:hint="eastAsia" w:ascii="宋体" w:hAnsi="宋体" w:eastAsia="宋体" w:cs="宋体"/>
          <w:color w:val="000000" w:themeColor="text1"/>
          <w:lang w:val="en-US" w:eastAsia="zh-CN"/>
          <w14:textFill>
            <w14:solidFill>
              <w14:schemeClr w14:val="tx1"/>
            </w14:solidFill>
          </w14:textFill>
        </w:rPr>
        <w:t>10</w:t>
      </w:r>
      <w:r>
        <w:rPr>
          <w:rFonts w:hint="eastAsia" w:ascii="宋体" w:hAnsi="宋体" w:eastAsia="宋体" w:cs="宋体"/>
          <w:color w:val="000000" w:themeColor="text1"/>
          <w14:textFill>
            <w14:solidFill>
              <w14:schemeClr w14:val="tx1"/>
            </w14:solidFill>
          </w14:textFill>
        </w:rPr>
        <w:t>日，每天上午00:00至12:00 ，下午12:00至23:59（北京时间，线上获取法定节假日均可，线下获取文件法定节假日除外）</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地点（网址）：</w:t>
      </w:r>
      <w:bookmarkStart w:id="1" w:name="OLE_LINK3"/>
      <w:r>
        <w:rPr>
          <w:rFonts w:hint="eastAsia" w:ascii="宋体" w:hAnsi="宋体" w:eastAsia="宋体" w:cs="宋体"/>
          <w:color w:val="000000" w:themeColor="text1"/>
          <w14:textFill>
            <w14:solidFill>
              <w14:schemeClr w14:val="tx1"/>
            </w14:solidFill>
          </w14:textFill>
        </w:rPr>
        <w:t xml:space="preserve">政采云平台（https://www.zcygov.cn/） </w:t>
      </w:r>
      <w:bookmarkEnd w:id="1"/>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方式：供应商登录政采云平台https://www.zcygov.cn/在线申请获取采购文件（进入“项目采购”应用，在获取采购文件菜单中选择项目，申请获取采购文件）。 </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售价（元）：0 </w:t>
      </w:r>
      <w:r>
        <w:rPr>
          <w:rFonts w:hint="eastAsia" w:ascii="宋体" w:hAnsi="宋体" w:eastAsia="宋体" w:cs="宋体"/>
          <w:color w:val="000000" w:themeColor="text1"/>
          <w14:textFill>
            <w14:solidFill>
              <w14:schemeClr w14:val="tx1"/>
            </w14:solidFill>
          </w14:textFill>
        </w:rPr>
        <w:tab/>
      </w:r>
    </w:p>
    <w:p>
      <w:pP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四、提交投标文件截止时间、开标时间和地点</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提交投标文件截止时间： 202</w:t>
      </w: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年</w:t>
      </w:r>
      <w:r>
        <w:rPr>
          <w:rFonts w:hint="eastAsia" w:ascii="宋体" w:hAnsi="宋体" w:eastAsia="宋体" w:cs="宋体"/>
          <w:color w:val="000000" w:themeColor="text1"/>
          <w:lang w:val="en-US" w:eastAsia="zh-CN"/>
          <w14:textFill>
            <w14:solidFill>
              <w14:schemeClr w14:val="tx1"/>
            </w14:solidFill>
          </w14:textFill>
        </w:rPr>
        <w:t>12</w:t>
      </w:r>
      <w:r>
        <w:rPr>
          <w:rFonts w:hint="eastAsia" w:ascii="宋体" w:hAnsi="宋体" w:eastAsia="宋体" w:cs="宋体"/>
          <w:color w:val="000000" w:themeColor="text1"/>
          <w14:textFill>
            <w14:solidFill>
              <w14:schemeClr w14:val="tx1"/>
            </w14:solidFill>
          </w14:textFill>
        </w:rPr>
        <w:t>月</w:t>
      </w:r>
      <w:r>
        <w:rPr>
          <w:rFonts w:hint="eastAsia" w:ascii="宋体" w:hAnsi="宋体" w:eastAsia="宋体" w:cs="宋体"/>
          <w:color w:val="000000" w:themeColor="text1"/>
          <w:lang w:val="en-US" w:eastAsia="zh-CN"/>
          <w14:textFill>
            <w14:solidFill>
              <w14:schemeClr w14:val="tx1"/>
            </w14:solidFill>
          </w14:textFill>
        </w:rPr>
        <w:t>10</w:t>
      </w:r>
      <w:r>
        <w:rPr>
          <w:rFonts w:hint="eastAsia" w:ascii="宋体" w:hAnsi="宋体" w:eastAsia="宋体" w:cs="宋体"/>
          <w:color w:val="000000" w:themeColor="text1"/>
          <w14:textFill>
            <w14:solidFill>
              <w14:schemeClr w14:val="tx1"/>
            </w14:solidFill>
          </w14:textFill>
        </w:rPr>
        <w:t>日</w:t>
      </w:r>
      <w:r>
        <w:rPr>
          <w:rFonts w:hint="eastAsia" w:ascii="宋体" w:hAnsi="宋体" w:eastAsia="宋体" w:cs="宋体"/>
          <w:color w:val="000000" w:themeColor="text1"/>
          <w:lang w:val="en-US" w:eastAsia="zh-CN"/>
          <w14:textFill>
            <w14:solidFill>
              <w14:schemeClr w14:val="tx1"/>
            </w14:solidFill>
          </w14:textFill>
        </w:rPr>
        <w:t>09</w:t>
      </w:r>
      <w:r>
        <w:rPr>
          <w:rFonts w:hint="eastAsia" w:ascii="宋体" w:hAnsi="宋体" w:eastAsia="宋体" w:cs="宋体"/>
          <w:color w:val="000000" w:themeColor="text1"/>
          <w14:textFill>
            <w14:solidFill>
              <w14:schemeClr w14:val="tx1"/>
            </w14:solidFill>
          </w14:textFill>
        </w:rPr>
        <w:t>点</w:t>
      </w:r>
      <w:r>
        <w:rPr>
          <w:rFonts w:hint="eastAsia" w:ascii="宋体" w:hAnsi="宋体" w:eastAsia="宋体" w:cs="宋体"/>
          <w:color w:val="000000" w:themeColor="text1"/>
          <w:lang w:val="en-US" w:eastAsia="zh-CN"/>
          <w14:textFill>
            <w14:solidFill>
              <w14:schemeClr w14:val="tx1"/>
            </w14:solidFill>
          </w14:textFill>
        </w:rPr>
        <w:t>00</w:t>
      </w:r>
      <w:r>
        <w:rPr>
          <w:rFonts w:hint="eastAsia" w:ascii="宋体" w:hAnsi="宋体" w:eastAsia="宋体" w:cs="宋体"/>
          <w:color w:val="000000" w:themeColor="text1"/>
          <w14:textFill>
            <w14:solidFill>
              <w14:schemeClr w14:val="tx1"/>
            </w14:solidFill>
          </w14:textFill>
        </w:rPr>
        <w:t>分 （北京时间）</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投标地点（网址）：政采云平台（https://www.zcygov.cn/） </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开标时间：202</w:t>
      </w: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年</w:t>
      </w:r>
      <w:r>
        <w:rPr>
          <w:rFonts w:hint="eastAsia" w:ascii="宋体" w:hAnsi="宋体" w:eastAsia="宋体" w:cs="宋体"/>
          <w:color w:val="000000" w:themeColor="text1"/>
          <w:lang w:val="en-US" w:eastAsia="zh-CN"/>
          <w14:textFill>
            <w14:solidFill>
              <w14:schemeClr w14:val="tx1"/>
            </w14:solidFill>
          </w14:textFill>
        </w:rPr>
        <w:t>12</w:t>
      </w:r>
      <w:r>
        <w:rPr>
          <w:rFonts w:hint="eastAsia" w:ascii="宋体" w:hAnsi="宋体" w:eastAsia="宋体" w:cs="宋体"/>
          <w:color w:val="000000" w:themeColor="text1"/>
          <w14:textFill>
            <w14:solidFill>
              <w14:schemeClr w14:val="tx1"/>
            </w14:solidFill>
          </w14:textFill>
        </w:rPr>
        <w:t>月</w:t>
      </w:r>
      <w:r>
        <w:rPr>
          <w:rFonts w:hint="eastAsia" w:ascii="宋体" w:hAnsi="宋体" w:eastAsia="宋体" w:cs="宋体"/>
          <w:color w:val="000000" w:themeColor="text1"/>
          <w:lang w:val="en-US" w:eastAsia="zh-CN"/>
          <w14:textFill>
            <w14:solidFill>
              <w14:schemeClr w14:val="tx1"/>
            </w14:solidFill>
          </w14:textFill>
        </w:rPr>
        <w:t>10</w:t>
      </w:r>
      <w:r>
        <w:rPr>
          <w:rFonts w:hint="eastAsia" w:ascii="宋体" w:hAnsi="宋体" w:eastAsia="宋体" w:cs="宋体"/>
          <w:color w:val="000000" w:themeColor="text1"/>
          <w14:textFill>
            <w14:solidFill>
              <w14:schemeClr w14:val="tx1"/>
            </w14:solidFill>
          </w14:textFill>
        </w:rPr>
        <w:t>日</w:t>
      </w:r>
      <w:r>
        <w:rPr>
          <w:rFonts w:hint="eastAsia" w:ascii="宋体" w:hAnsi="宋体" w:eastAsia="宋体" w:cs="宋体"/>
          <w:color w:val="000000" w:themeColor="text1"/>
          <w:lang w:val="en-US" w:eastAsia="zh-CN"/>
          <w14:textFill>
            <w14:solidFill>
              <w14:schemeClr w14:val="tx1"/>
            </w14:solidFill>
          </w14:textFill>
        </w:rPr>
        <w:t>09</w:t>
      </w:r>
      <w:r>
        <w:rPr>
          <w:rFonts w:hint="eastAsia" w:ascii="宋体" w:hAnsi="宋体" w:eastAsia="宋体" w:cs="宋体"/>
          <w:color w:val="000000" w:themeColor="text1"/>
          <w14:textFill>
            <w14:solidFill>
              <w14:schemeClr w14:val="tx1"/>
            </w14:solidFill>
          </w14:textFill>
        </w:rPr>
        <w:t>点</w:t>
      </w:r>
      <w:r>
        <w:rPr>
          <w:rFonts w:hint="eastAsia" w:ascii="宋体" w:hAnsi="宋体" w:eastAsia="宋体" w:cs="宋体"/>
          <w:color w:val="000000" w:themeColor="text1"/>
          <w:lang w:val="en-US" w:eastAsia="zh-CN"/>
          <w14:textFill>
            <w14:solidFill>
              <w14:schemeClr w14:val="tx1"/>
            </w14:solidFill>
          </w14:textFill>
        </w:rPr>
        <w:t>00</w:t>
      </w:r>
      <w:r>
        <w:rPr>
          <w:rFonts w:hint="eastAsia" w:ascii="宋体" w:hAnsi="宋体" w:eastAsia="宋体" w:cs="宋体"/>
          <w:color w:val="000000" w:themeColor="text1"/>
          <w14:textFill>
            <w14:solidFill>
              <w14:schemeClr w14:val="tx1"/>
            </w14:solidFill>
          </w14:textFill>
        </w:rPr>
        <w:t xml:space="preserve">分 </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开标地点（网址）：政采云平台（https://www.zcygov.cn/）</w:t>
      </w:r>
    </w:p>
    <w:p>
      <w:pP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 xml:space="preserve">五、公告期限 </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自本公告发布之日起5个工作日。</w:t>
      </w:r>
    </w:p>
    <w:p>
      <w:pP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六、其他补充事宜</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w:t>
      </w:r>
    </w:p>
    <w:p>
      <w:pP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七、对本次采购提出询问、质疑、投诉，请按以下方式联系</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1.采购人信息</w:t>
      </w:r>
    </w:p>
    <w:p>
      <w:pPr>
        <w:rPr>
          <w:rFonts w:ascii="宋体" w:hAnsi="宋体" w:eastAsia="宋体" w:cs="宋体"/>
          <w:color w:val="000000" w:themeColor="text1"/>
          <w14:textFill>
            <w14:solidFill>
              <w14:schemeClr w14:val="tx1"/>
            </w14:solidFill>
          </w14:textFill>
        </w:rPr>
      </w:pPr>
      <w:bookmarkStart w:id="2" w:name="_Toc28359086"/>
      <w:bookmarkStart w:id="3" w:name="_Toc28359009"/>
      <w:r>
        <w:rPr>
          <w:rFonts w:hint="eastAsia" w:ascii="宋体" w:hAnsi="宋体" w:eastAsia="宋体" w:cs="宋体"/>
          <w:color w:val="000000" w:themeColor="text1"/>
          <w14:textFill>
            <w14:solidFill>
              <w14:schemeClr w14:val="tx1"/>
            </w14:solidFill>
          </w14:textFill>
        </w:rPr>
        <w:t>名 称：杭州市萧山区交通运输局</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地 址： 杭州市萧山区市心中路</w:t>
      </w:r>
      <w:r>
        <w:rPr>
          <w:rFonts w:ascii="宋体" w:hAnsi="宋体" w:eastAsia="宋体" w:cs="宋体"/>
          <w:color w:val="000000" w:themeColor="text1"/>
          <w14:textFill>
            <w14:solidFill>
              <w14:schemeClr w14:val="tx1"/>
            </w14:solidFill>
          </w14:textFill>
        </w:rPr>
        <w:t>1058号</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传真：/</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项目联系人（询问）：刘女士</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项目联系方式（询问）：0</w:t>
      </w:r>
      <w:r>
        <w:rPr>
          <w:rFonts w:ascii="宋体" w:hAnsi="宋体" w:eastAsia="宋体" w:cs="宋体"/>
          <w:color w:val="000000" w:themeColor="text1"/>
          <w14:textFill>
            <w14:solidFill>
              <w14:schemeClr w14:val="tx1"/>
            </w14:solidFill>
          </w14:textFill>
        </w:rPr>
        <w:t>571-82709228</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质疑联系人：洪先生</w:t>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质疑联系方式 ：</w:t>
      </w:r>
      <w:r>
        <w:rPr>
          <w:rFonts w:ascii="宋体" w:hAnsi="宋体" w:eastAsia="宋体" w:cs="宋体"/>
          <w:color w:val="000000" w:themeColor="text1"/>
          <w14:textFill>
            <w14:solidFill>
              <w14:schemeClr w14:val="tx1"/>
            </w14:solidFill>
          </w14:textFill>
        </w:rPr>
        <w:t>0571-82709518</w:t>
      </w:r>
    </w:p>
    <w:p>
      <w:pPr>
        <w:widowControl/>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 xml:space="preserve">     </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2.采购代理机构信息</w:t>
      </w:r>
      <w:bookmarkEnd w:id="2"/>
      <w:bookmarkEnd w:id="3"/>
    </w:p>
    <w:p>
      <w:pP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名 称：浙江经济建设投资咨询中心有限公司</w:t>
      </w:r>
    </w:p>
    <w:p>
      <w:pP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地 址：萧山工陶家居商场5楼</w:t>
      </w:r>
    </w:p>
    <w:p>
      <w:pP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传真：/</w:t>
      </w:r>
    </w:p>
    <w:p>
      <w:pP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项目联系人（询问）：孙先生  </w:t>
      </w:r>
    </w:p>
    <w:p>
      <w:pP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项目联系方式（询问）：15267126588</w:t>
      </w:r>
    </w:p>
    <w:p>
      <w:pP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质疑联系人：高杰</w:t>
      </w:r>
    </w:p>
    <w:p>
      <w:pP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质疑联系方式：13867138864</w:t>
      </w:r>
    </w:p>
    <w:p>
      <w:pP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 xml:space="preserve"> </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3.同级政府采购监督管理部门            </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名    称：萧山区财政局             </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地    址：萧山区人民路318号             </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传   真：0571-82756122          </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联系人 ：汤先生             </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监督投诉电话：0571-82756122        </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若对项目采购电子交易系统操作有疑问，可登录政采云（https://www.zcygov.cn/），点击右侧咨询小采，获取采小蜜智能服务管家帮助，或拨打政采云服务热线400-881-7190获取热线服务帮助。</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CA问题联系电话（人工）：汇信CA 400-888-4636；天谷CA 400-087-8198。</w:t>
      </w:r>
    </w:p>
    <w:p>
      <w:pPr>
        <w:spacing w:line="276"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3"/>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第二部分 投标人须知</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前附表</w:t>
      </w:r>
    </w:p>
    <w:tbl>
      <w:tblPr>
        <w:tblStyle w:val="26"/>
        <w:tblW w:w="505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1"/>
        <w:gridCol w:w="6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序号</w:t>
            </w:r>
          </w:p>
        </w:tc>
        <w:tc>
          <w:tcPr>
            <w:tcW w:w="822" w:type="pct"/>
            <w:vAlign w:val="center"/>
          </w:tcPr>
          <w:p>
            <w:pPr>
              <w:spacing w:after="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事项</w:t>
            </w:r>
          </w:p>
        </w:tc>
        <w:tc>
          <w:tcPr>
            <w:tcW w:w="3867" w:type="pct"/>
            <w:vAlign w:val="center"/>
          </w:tcPr>
          <w:p>
            <w:pPr>
              <w:spacing w:after="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本项目特别规定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spacing w:after="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822" w:type="pct"/>
            <w:vAlign w:val="center"/>
          </w:tcPr>
          <w:p>
            <w:pPr>
              <w:spacing w:after="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 w:val="22"/>
                <w14:textFill>
                  <w14:solidFill>
                    <w14:schemeClr w14:val="tx1"/>
                  </w14:solidFill>
                </w14:textFill>
              </w:rPr>
              <w:t>项目属性与核心产品</w:t>
            </w:r>
          </w:p>
        </w:tc>
        <w:tc>
          <w:tcPr>
            <w:tcW w:w="3867" w:type="pct"/>
            <w:vAlign w:val="center"/>
          </w:tcPr>
          <w:p>
            <w:pPr>
              <w:spacing w:after="0" w:line="360" w:lineRule="auto"/>
              <w:rPr>
                <w:rFonts w:hint="eastAsia"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   )A货物类，单一产品或核心产品为：</w:t>
            </w:r>
            <w:r>
              <w:rPr>
                <w:rFonts w:hint="eastAsia" w:ascii="宋体" w:hAnsi="宋体" w:eastAsia="宋体" w:cs="宋体"/>
                <w:color w:val="000000" w:themeColor="text1"/>
                <w:sz w:val="22"/>
                <w:u w:val="single"/>
                <w14:textFill>
                  <w14:solidFill>
                    <w14:schemeClr w14:val="tx1"/>
                  </w14:solidFill>
                </w14:textFill>
              </w:rPr>
              <w:t xml:space="preserve">    </w:t>
            </w:r>
            <w:r>
              <w:rPr>
                <w:rFonts w:hint="eastAsia" w:ascii="宋体" w:hAnsi="宋体" w:eastAsia="宋体" w:cs="宋体"/>
                <w:color w:val="000000" w:themeColor="text1"/>
                <w:sz w:val="22"/>
                <w14:textFill>
                  <w14:solidFill>
                    <w14:schemeClr w14:val="tx1"/>
                  </w14:solidFill>
                </w14:textFill>
              </w:rPr>
              <w:t>。</w:t>
            </w:r>
          </w:p>
          <w:p>
            <w:pPr>
              <w:spacing w:after="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w:t>
            </w:r>
            <w:r>
              <w:rPr>
                <w:rFonts w:hint="eastAsia" w:ascii="宋体" w:hAnsi="宋体" w:eastAsia="宋体" w:cs="宋体"/>
                <w:b/>
                <w:color w:val="000000" w:themeColor="text1"/>
                <w:sz w:val="22"/>
                <w14:textFill>
                  <w14:solidFill>
                    <w14:schemeClr w14:val="tx1"/>
                  </w14:solidFill>
                </w14:textFill>
              </w:rPr>
              <w:t>√</w:t>
            </w:r>
            <w:r>
              <w:rPr>
                <w:rFonts w:hint="eastAsia" w:ascii="宋体" w:hAnsi="宋体" w:eastAsia="宋体" w:cs="宋体"/>
                <w:color w:val="000000" w:themeColor="text1"/>
                <w:sz w:val="22"/>
                <w14:textFill>
                  <w14:solidFill>
                    <w14:schemeClr w14:val="tx1"/>
                  </w14:solidFill>
                </w14:textFill>
              </w:rPr>
              <w:t>)B服务类。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p>
        </w:tc>
        <w:tc>
          <w:tcPr>
            <w:tcW w:w="822" w:type="pct"/>
            <w:vAlign w:val="center"/>
          </w:tcPr>
          <w:p>
            <w:pPr>
              <w:spacing w:after="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 w:val="22"/>
                <w14:textFill>
                  <w14:solidFill>
                    <w14:schemeClr w14:val="tx1"/>
                  </w14:solidFill>
                </w14:textFill>
              </w:rPr>
              <w:t>采购标的对应的中小企业划分标准所属行业</w:t>
            </w:r>
          </w:p>
        </w:tc>
        <w:tc>
          <w:tcPr>
            <w:tcW w:w="3867" w:type="pct"/>
            <w:vAlign w:val="center"/>
          </w:tcPr>
          <w:p>
            <w:pPr>
              <w:spacing w:after="0"/>
              <w:rPr>
                <w:rFonts w:hint="eastAsia" w:ascii="宋体" w:hAnsi="宋体" w:eastAsia="宋体" w:cs="宋体"/>
                <w:color w:val="000000" w:themeColor="text1"/>
                <w:sz w:val="22"/>
                <w:lang w:eastAsia="zh-CN"/>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（1）标的：</w:t>
            </w:r>
            <w:r>
              <w:rPr>
                <w:rFonts w:hint="eastAsia" w:ascii="宋体" w:hAnsi="宋体" w:eastAsia="宋体" w:cs="宋体"/>
                <w:color w:val="000000" w:themeColor="text1"/>
                <w:sz w:val="24"/>
                <w:lang w:eastAsia="zh-CN"/>
                <w14:textFill>
                  <w14:solidFill>
                    <w14:schemeClr w14:val="tx1"/>
                  </w14:solidFill>
                </w14:textFill>
              </w:rPr>
              <w:t>杭州市萧山区综合交通信息指挥中心二期项目</w:t>
            </w:r>
            <w:r>
              <w:rPr>
                <w:rFonts w:hint="eastAsia" w:ascii="宋体" w:hAnsi="宋体" w:eastAsia="宋体" w:cs="宋体"/>
                <w:color w:val="000000" w:themeColor="text1"/>
                <w:sz w:val="22"/>
                <w14:textFill>
                  <w14:solidFill>
                    <w14:schemeClr w14:val="tx1"/>
                  </w14:solidFill>
                </w14:textFill>
              </w:rPr>
              <w:t xml:space="preserve"> ，属于</w:t>
            </w:r>
            <w:r>
              <w:rPr>
                <w:rFonts w:hint="eastAsia" w:ascii="宋体" w:hAnsi="宋体" w:eastAsia="宋体" w:cs="宋体"/>
                <w:color w:val="000000" w:themeColor="text1"/>
                <w:sz w:val="24"/>
                <w:u w:val="single"/>
                <w14:textFill>
                  <w14:solidFill>
                    <w14:schemeClr w14:val="tx1"/>
                  </w14:solidFill>
                </w14:textFill>
              </w:rPr>
              <w:t>软件和信息技术服务业</w:t>
            </w: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2"/>
                <w14:textFill>
                  <w14:solidFill>
                    <w14:schemeClr w14:val="tx1"/>
                  </w14:solidFill>
                </w14:textFill>
              </w:rPr>
              <w:t>行业；</w:t>
            </w:r>
            <w:r>
              <w:rPr>
                <w:rFonts w:hint="eastAsia" w:ascii="宋体" w:hAnsi="宋体" w:eastAsia="宋体" w:cs="宋体"/>
                <w:color w:val="000000" w:themeColor="text1"/>
                <w:sz w:val="22"/>
                <w:lang w:val="en-US" w:eastAsia="zh-CN"/>
                <w14:textFill>
                  <w14:solidFill>
                    <w14:schemeClr w14:val="tx1"/>
                  </w14:solidFill>
                </w14:textFill>
              </w:rPr>
              <w:t xml:space="preserve"> </w:t>
            </w:r>
          </w:p>
          <w:p>
            <w:pPr>
              <w:spacing w:after="0" w:line="360" w:lineRule="auto"/>
              <w:rPr>
                <w:rFonts w:hint="eastAsia"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行业划分标准：</w:t>
            </w:r>
          </w:p>
          <w:p>
            <w:pPr>
              <w:spacing w:after="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p>
        </w:tc>
        <w:tc>
          <w:tcPr>
            <w:tcW w:w="822" w:type="pct"/>
            <w:vAlign w:val="center"/>
          </w:tcPr>
          <w:p>
            <w:pPr>
              <w:spacing w:after="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 w:val="22"/>
                <w14:textFill>
                  <w14:solidFill>
                    <w14:schemeClr w14:val="tx1"/>
                  </w14:solidFill>
                </w14:textFill>
              </w:rPr>
              <w:t>是否允许采购进口产品</w:t>
            </w:r>
          </w:p>
        </w:tc>
        <w:tc>
          <w:tcPr>
            <w:tcW w:w="3867" w:type="pct"/>
            <w:vAlign w:val="center"/>
          </w:tcPr>
          <w:p>
            <w:pPr>
              <w:spacing w:after="0" w:line="360" w:lineRule="auto"/>
              <w:rPr>
                <w:rFonts w:hint="eastAsia" w:ascii="宋体" w:hAnsi="宋体" w:eastAsia="宋体" w:cs="宋体"/>
                <w:color w:val="000000" w:themeColor="text1"/>
                <w:sz w:val="22"/>
                <w:szCs w:val="3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w:t>
            </w:r>
            <w:r>
              <w:rPr>
                <w:rFonts w:hint="eastAsia" w:ascii="宋体" w:hAnsi="宋体" w:eastAsia="宋体" w:cs="宋体"/>
                <w:b/>
                <w:color w:val="000000" w:themeColor="text1"/>
                <w:sz w:val="22"/>
                <w14:textFill>
                  <w14:solidFill>
                    <w14:schemeClr w14:val="tx1"/>
                  </w14:solidFill>
                </w14:textFill>
              </w:rPr>
              <w:t>√</w:t>
            </w:r>
            <w:r>
              <w:rPr>
                <w:rFonts w:hint="eastAsia" w:ascii="宋体" w:hAnsi="宋体" w:eastAsia="宋体" w:cs="宋体"/>
                <w:color w:val="000000" w:themeColor="text1"/>
                <w:sz w:val="22"/>
                <w14:textFill>
                  <w14:solidFill>
                    <w14:schemeClr w14:val="tx1"/>
                  </w14:solidFill>
                </w14:textFill>
              </w:rPr>
              <w:t>)</w:t>
            </w:r>
            <w:r>
              <w:rPr>
                <w:rFonts w:hint="eastAsia" w:ascii="宋体" w:hAnsi="宋体" w:eastAsia="宋体" w:cs="宋体"/>
                <w:color w:val="000000" w:themeColor="text1"/>
                <w:sz w:val="22"/>
                <w:szCs w:val="32"/>
                <w14:textFill>
                  <w14:solidFill>
                    <w14:schemeClr w14:val="tx1"/>
                  </w14:solidFill>
                </w14:textFill>
              </w:rPr>
              <w:t>本项目不允许采购进口产品。</w:t>
            </w:r>
          </w:p>
          <w:p>
            <w:pPr>
              <w:spacing w:after="0" w:line="360" w:lineRule="auto"/>
              <w:rPr>
                <w:rFonts w:hint="eastAsia" w:ascii="宋体" w:hAnsi="宋体" w:eastAsia="宋体" w:cs="宋体"/>
                <w:color w:val="000000" w:themeColor="text1"/>
                <w:sz w:val="22"/>
                <w:szCs w:val="3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   )</w:t>
            </w:r>
            <w:r>
              <w:rPr>
                <w:rFonts w:hint="eastAsia" w:ascii="宋体" w:hAnsi="宋体" w:eastAsia="宋体" w:cs="宋体"/>
                <w:color w:val="000000" w:themeColor="text1"/>
                <w:sz w:val="22"/>
                <w:szCs w:val="32"/>
                <w14:textFill>
                  <w14:solidFill>
                    <w14:schemeClr w14:val="tx1"/>
                  </w14:solidFill>
                </w14:textFill>
              </w:rPr>
              <w:t>可以就    采购进口产品。</w:t>
            </w:r>
          </w:p>
          <w:p>
            <w:pPr>
              <w:spacing w:after="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进口产品是指通过中国海关保关验放进入中国境内且产自境关外的产品。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w:t>
            </w:r>
          </w:p>
        </w:tc>
        <w:tc>
          <w:tcPr>
            <w:tcW w:w="822" w:type="pct"/>
            <w:vAlign w:val="center"/>
          </w:tcPr>
          <w:p>
            <w:pPr>
              <w:spacing w:after="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 w:val="22"/>
                <w14:textFill>
                  <w14:solidFill>
                    <w14:schemeClr w14:val="tx1"/>
                  </w14:solidFill>
                </w14:textFill>
              </w:rPr>
              <w:t>分包</w:t>
            </w:r>
          </w:p>
        </w:tc>
        <w:tc>
          <w:tcPr>
            <w:tcW w:w="3867" w:type="pct"/>
            <w:vAlign w:val="center"/>
          </w:tcPr>
          <w:p>
            <w:pPr>
              <w:snapToGrid w:val="0"/>
              <w:spacing w:after="0" w:line="360" w:lineRule="auto"/>
              <w:rPr>
                <w:rFonts w:hint="eastAsia" w:ascii="宋体" w:hAnsi="宋体" w:eastAsia="宋体" w:cs="宋体"/>
                <w:color w:val="000000" w:themeColor="text1"/>
                <w:sz w:val="22"/>
                <w14:textFill>
                  <w14:solidFill>
                    <w14:schemeClr w14:val="tx1"/>
                  </w14:solidFill>
                </w14:textFill>
              </w:rPr>
            </w:pPr>
            <w:r>
              <w:rPr>
                <w:rFonts w:hint="eastAsia" w:ascii="宋体" w:hAnsi="宋体" w:eastAsia="宋体" w:cs="宋体"/>
                <w:b/>
                <w:color w:val="000000" w:themeColor="text1"/>
                <w:sz w:val="22"/>
                <w14:textFill>
                  <w14:solidFill>
                    <w14:schemeClr w14:val="tx1"/>
                  </w14:solidFill>
                </w14:textFill>
              </w:rPr>
              <w:t>（ ）</w:t>
            </w:r>
            <w:r>
              <w:rPr>
                <w:rFonts w:hint="eastAsia" w:ascii="宋体" w:hAnsi="宋体" w:eastAsia="宋体" w:cs="宋体"/>
                <w:color w:val="000000" w:themeColor="text1"/>
                <w:sz w:val="22"/>
                <w14:textFill>
                  <w14:solidFill>
                    <w14:schemeClr w14:val="tx1"/>
                  </w14:solidFill>
                </w14:textFill>
              </w:rPr>
              <w:t>A同意将非主体、非关键性的</w:t>
            </w:r>
            <w:r>
              <w:rPr>
                <w:rFonts w:hint="eastAsia" w:ascii="宋体" w:hAnsi="宋体" w:eastAsia="宋体" w:cs="宋体"/>
                <w:color w:val="000000" w:themeColor="text1"/>
                <w:sz w:val="22"/>
                <w:u w:val="single"/>
                <w14:textFill>
                  <w14:solidFill>
                    <w14:schemeClr w14:val="tx1"/>
                  </w14:solidFill>
                </w14:textFill>
              </w:rPr>
              <w:t xml:space="preserve">             </w:t>
            </w:r>
            <w:r>
              <w:rPr>
                <w:rFonts w:hint="eastAsia" w:ascii="宋体" w:hAnsi="宋体" w:eastAsia="宋体" w:cs="宋体"/>
                <w:color w:val="000000" w:themeColor="text1"/>
                <w:sz w:val="22"/>
                <w14:textFill>
                  <w14:solidFill>
                    <w14:schemeClr w14:val="tx1"/>
                  </w14:solidFill>
                </w14:textFill>
              </w:rPr>
              <w:t>工</w:t>
            </w:r>
            <w:bookmarkStart w:id="529" w:name="_GoBack"/>
            <w:bookmarkEnd w:id="529"/>
            <w:r>
              <w:rPr>
                <w:rFonts w:hint="eastAsia" w:ascii="宋体" w:hAnsi="宋体" w:eastAsia="宋体" w:cs="宋体"/>
                <w:color w:val="000000" w:themeColor="text1"/>
                <w:sz w:val="22"/>
                <w14:textFill>
                  <w14:solidFill>
                    <w14:schemeClr w14:val="tx1"/>
                  </w14:solidFill>
                </w14:textFill>
              </w:rPr>
              <w:t>作分包。</w:t>
            </w:r>
          </w:p>
          <w:p>
            <w:pPr>
              <w:spacing w:after="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 w:val="22"/>
                <w14:textFill>
                  <w14:solidFill>
                    <w14:schemeClr w14:val="tx1"/>
                  </w14:solidFill>
                </w14:textFill>
              </w:rPr>
              <w:t>（√）</w:t>
            </w:r>
            <w:r>
              <w:rPr>
                <w:rFonts w:hint="eastAsia" w:ascii="宋体" w:hAnsi="宋体" w:eastAsia="宋体" w:cs="宋体"/>
                <w:color w:val="000000" w:themeColor="text1"/>
                <w:sz w:val="22"/>
                <w14:textFill>
                  <w14:solidFill>
                    <w14:schemeClr w14:val="tx1"/>
                  </w14:solidFill>
                </w14:textFill>
              </w:rPr>
              <w:t>B不同意分包。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spacing w:after="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w:t>
            </w:r>
          </w:p>
        </w:tc>
        <w:tc>
          <w:tcPr>
            <w:tcW w:w="822" w:type="pct"/>
            <w:vAlign w:val="center"/>
          </w:tcPr>
          <w:p>
            <w:pPr>
              <w:spacing w:after="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 w:val="22"/>
                <w14:textFill>
                  <w14:solidFill>
                    <w14:schemeClr w14:val="tx1"/>
                  </w14:solidFill>
                </w14:textFill>
              </w:rPr>
              <w:t>开标前答疑会或现场考察</w:t>
            </w:r>
          </w:p>
        </w:tc>
        <w:tc>
          <w:tcPr>
            <w:tcW w:w="3867" w:type="pct"/>
            <w:vAlign w:val="center"/>
          </w:tcPr>
          <w:p>
            <w:pPr>
              <w:spacing w:after="0" w:line="360" w:lineRule="auto"/>
              <w:rPr>
                <w:rFonts w:hint="eastAsia" w:ascii="宋体" w:hAnsi="宋体" w:eastAsia="宋体" w:cs="宋体"/>
                <w:color w:val="000000" w:themeColor="text1"/>
                <w:sz w:val="22"/>
                <w14:textFill>
                  <w14:solidFill>
                    <w14:schemeClr w14:val="tx1"/>
                  </w14:solidFill>
                </w14:textFill>
              </w:rPr>
            </w:pPr>
            <w:r>
              <w:rPr>
                <w:rFonts w:hint="eastAsia" w:ascii="宋体" w:hAnsi="宋体" w:eastAsia="宋体" w:cs="宋体"/>
                <w:b/>
                <w:color w:val="000000" w:themeColor="text1"/>
                <w:sz w:val="22"/>
                <w14:textFill>
                  <w14:solidFill>
                    <w14:schemeClr w14:val="tx1"/>
                  </w14:solidFill>
                </w14:textFill>
              </w:rPr>
              <w:t>（√）</w:t>
            </w:r>
            <w:r>
              <w:rPr>
                <w:rFonts w:hint="eastAsia" w:ascii="宋体" w:hAnsi="宋体" w:eastAsia="宋体" w:cs="宋体"/>
                <w:color w:val="000000" w:themeColor="text1"/>
                <w:sz w:val="22"/>
                <w14:textFill>
                  <w14:solidFill>
                    <w14:schemeClr w14:val="tx1"/>
                  </w14:solidFill>
                </w14:textFill>
              </w:rPr>
              <w:t>A不组织。</w:t>
            </w:r>
          </w:p>
          <w:p>
            <w:pPr>
              <w:spacing w:after="0" w:line="360" w:lineRule="auto"/>
              <w:rPr>
                <w:rFonts w:hint="eastAsia" w:ascii="宋体" w:hAnsi="宋体" w:eastAsia="宋体" w:cs="宋体"/>
                <w:color w:val="000000" w:themeColor="text1"/>
                <w:sz w:val="22"/>
                <w14:textFill>
                  <w14:solidFill>
                    <w14:schemeClr w14:val="tx1"/>
                  </w14:solidFill>
                </w14:textFill>
              </w:rPr>
            </w:pPr>
            <w:r>
              <w:rPr>
                <w:rFonts w:hint="eastAsia" w:ascii="宋体" w:hAnsi="宋体" w:eastAsia="宋体" w:cs="宋体"/>
                <w:b/>
                <w:color w:val="000000" w:themeColor="text1"/>
                <w:sz w:val="22"/>
                <w14:textFill>
                  <w14:solidFill>
                    <w14:schemeClr w14:val="tx1"/>
                  </w14:solidFill>
                </w14:textFill>
              </w:rPr>
              <w:t>（  ）</w:t>
            </w:r>
            <w:r>
              <w:rPr>
                <w:rFonts w:hint="eastAsia" w:ascii="宋体" w:hAnsi="宋体" w:eastAsia="宋体" w:cs="宋体"/>
                <w:color w:val="000000" w:themeColor="text1"/>
                <w:sz w:val="22"/>
                <w14:textFill>
                  <w14:solidFill>
                    <w14:schemeClr w14:val="tx1"/>
                  </w14:solidFill>
                </w14:textFill>
              </w:rPr>
              <w:t>B组织，时间：</w:t>
            </w:r>
            <w:r>
              <w:rPr>
                <w:rFonts w:hint="eastAsia" w:ascii="宋体" w:hAnsi="宋体" w:eastAsia="宋体" w:cs="宋体"/>
                <w:color w:val="000000" w:themeColor="text1"/>
                <w:sz w:val="22"/>
                <w:u w:val="single"/>
                <w14:textFill>
                  <w14:solidFill>
                    <w14:schemeClr w14:val="tx1"/>
                  </w14:solidFill>
                </w14:textFill>
              </w:rPr>
              <w:t xml:space="preserve">      </w:t>
            </w:r>
            <w:r>
              <w:rPr>
                <w:rFonts w:hint="eastAsia" w:ascii="宋体" w:hAnsi="宋体" w:eastAsia="宋体" w:cs="宋体"/>
                <w:color w:val="000000" w:themeColor="text1"/>
                <w:sz w:val="22"/>
                <w14:textFill>
                  <w14:solidFill>
                    <w14:schemeClr w14:val="tx1"/>
                  </w14:solidFill>
                </w14:textFill>
              </w:rPr>
              <w:t>,地点：</w:t>
            </w:r>
            <w:r>
              <w:rPr>
                <w:rFonts w:hint="eastAsia" w:ascii="宋体" w:hAnsi="宋体" w:eastAsia="宋体" w:cs="宋体"/>
                <w:color w:val="000000" w:themeColor="text1"/>
                <w:sz w:val="22"/>
                <w:u w:val="single"/>
                <w14:textFill>
                  <w14:solidFill>
                    <w14:schemeClr w14:val="tx1"/>
                  </w14:solidFill>
                </w14:textFill>
              </w:rPr>
              <w:t xml:space="preserve">      </w:t>
            </w:r>
            <w:r>
              <w:rPr>
                <w:rFonts w:hint="eastAsia" w:ascii="宋体" w:hAnsi="宋体" w:eastAsia="宋体" w:cs="宋体"/>
                <w:color w:val="000000" w:themeColor="text1"/>
                <w:sz w:val="22"/>
                <w14:textFill>
                  <w14:solidFill>
                    <w14:schemeClr w14:val="tx1"/>
                  </w14:solidFill>
                </w14:textFill>
              </w:rPr>
              <w:t>，</w:t>
            </w:r>
          </w:p>
          <w:p>
            <w:pPr>
              <w:spacing w:after="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联系人：</w:t>
            </w:r>
            <w:r>
              <w:rPr>
                <w:rFonts w:hint="eastAsia" w:ascii="宋体" w:hAnsi="宋体" w:eastAsia="宋体" w:cs="宋体"/>
                <w:color w:val="000000" w:themeColor="text1"/>
                <w:sz w:val="22"/>
                <w:u w:val="single"/>
                <w14:textFill>
                  <w14:solidFill>
                    <w14:schemeClr w14:val="tx1"/>
                  </w14:solidFill>
                </w14:textFill>
              </w:rPr>
              <w:t xml:space="preserve">      </w:t>
            </w:r>
            <w:r>
              <w:rPr>
                <w:rFonts w:hint="eastAsia" w:ascii="宋体" w:hAnsi="宋体" w:eastAsia="宋体" w:cs="宋体"/>
                <w:color w:val="000000" w:themeColor="text1"/>
                <w:sz w:val="22"/>
                <w14:textFill>
                  <w14:solidFill>
                    <w14:schemeClr w14:val="tx1"/>
                  </w14:solidFill>
                </w14:textFill>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w:t>
            </w:r>
          </w:p>
        </w:tc>
        <w:tc>
          <w:tcPr>
            <w:tcW w:w="822" w:type="pct"/>
            <w:vAlign w:val="center"/>
          </w:tcPr>
          <w:p>
            <w:pPr>
              <w:spacing w:after="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 w:val="22"/>
                <w14:textFill>
                  <w14:solidFill>
                    <w14:schemeClr w14:val="tx1"/>
                  </w14:solidFill>
                </w14:textFill>
              </w:rPr>
              <w:t>样品提供</w:t>
            </w:r>
          </w:p>
        </w:tc>
        <w:tc>
          <w:tcPr>
            <w:tcW w:w="3867" w:type="pct"/>
            <w:vAlign w:val="center"/>
          </w:tcPr>
          <w:p>
            <w:pPr>
              <w:spacing w:after="0"/>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bCs/>
                <w:color w:val="000000" w:themeColor="text1"/>
                <w:sz w:val="2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7</w:t>
            </w:r>
          </w:p>
        </w:tc>
        <w:tc>
          <w:tcPr>
            <w:tcW w:w="1411" w:type="dxa"/>
            <w:vAlign w:val="center"/>
          </w:tcPr>
          <w:p>
            <w:pPr>
              <w:snapToGrid w:val="0"/>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现场演示</w:t>
            </w:r>
          </w:p>
        </w:tc>
        <w:tc>
          <w:tcPr>
            <w:tcW w:w="6640" w:type="dxa"/>
            <w:vAlign w:val="center"/>
          </w:tcPr>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在评标时安排每个投标人现场演示，</w:t>
            </w:r>
            <w:r>
              <w:rPr>
                <w:rFonts w:hint="eastAsia" w:ascii="宋体" w:hAnsi="宋体" w:eastAsia="宋体" w:cs="宋体"/>
                <w:color w:val="000000" w:themeColor="text1"/>
                <w14:textFill>
                  <w14:solidFill>
                    <w14:schemeClr w14:val="tx1"/>
                  </w14:solidFill>
                </w14:textFill>
              </w:rPr>
              <w:t>投标人接到工作人员电话通知时起5分钟内到达</w:t>
            </w:r>
            <w:r>
              <w:rPr>
                <w:rFonts w:hint="eastAsia" w:ascii="宋体" w:hAnsi="宋体" w:eastAsia="宋体" w:cs="宋体"/>
                <w:b/>
                <w:bCs/>
                <w:color w:val="000000" w:themeColor="text1"/>
                <w:u w:val="none"/>
                <w:lang w:val="en-US" w:eastAsia="zh-CN"/>
                <w14:textFill>
                  <w14:solidFill>
                    <w14:schemeClr w14:val="tx1"/>
                  </w14:solidFill>
                </w14:textFill>
              </w:rPr>
              <w:t>萧山工陶家居商场5楼开标室</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val="zh-CN"/>
                <w14:textFill>
                  <w14:solidFill>
                    <w14:schemeClr w14:val="tx1"/>
                  </w14:solidFill>
                </w14:textFill>
              </w:rPr>
              <w:t>否则不得进场</w:t>
            </w:r>
            <w:r>
              <w:rPr>
                <w:rFonts w:hint="eastAsia" w:ascii="宋体" w:hAnsi="宋体" w:eastAsia="宋体" w:cs="宋体"/>
                <w:color w:val="000000" w:themeColor="text1"/>
                <w14:textFill>
                  <w14:solidFill>
                    <w14:schemeClr w14:val="tx1"/>
                  </w14:solidFill>
                </w14:textFill>
              </w:rPr>
              <w:t>演示</w:t>
            </w:r>
            <w:r>
              <w:rPr>
                <w:rFonts w:hint="eastAsia" w:ascii="宋体" w:hAnsi="宋体" w:eastAsia="宋体" w:cs="宋体"/>
                <w:color w:val="000000" w:themeColor="text1"/>
                <w:lang w:val="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，并在工作人员的带领下进入演示地点，</w:t>
            </w:r>
            <w:r>
              <w:rPr>
                <w:rFonts w:hint="eastAsia" w:ascii="宋体" w:hAnsi="宋体" w:eastAsia="宋体" w:cs="宋体"/>
                <w:color w:val="000000" w:themeColor="text1"/>
                <w:lang w:val="zh-CN"/>
                <w14:textFill>
                  <w14:solidFill>
                    <w14:schemeClr w14:val="tx1"/>
                  </w14:solidFill>
                </w14:textFill>
              </w:rPr>
              <w:t>每个投标人</w:t>
            </w:r>
            <w:r>
              <w:rPr>
                <w:rFonts w:hint="eastAsia" w:ascii="宋体" w:hAnsi="宋体" w:eastAsia="宋体" w:cs="宋体"/>
                <w:color w:val="000000" w:themeColor="text1"/>
                <w14:textFill>
                  <w14:solidFill>
                    <w14:schemeClr w14:val="tx1"/>
                  </w14:solidFill>
                </w14:textFill>
              </w:rPr>
              <w:t>演示</w:t>
            </w:r>
            <w:r>
              <w:rPr>
                <w:rFonts w:hint="eastAsia" w:ascii="宋体" w:hAnsi="宋体" w:eastAsia="宋体" w:cs="宋体"/>
                <w:color w:val="000000" w:themeColor="text1"/>
                <w:lang w:val="zh-CN"/>
                <w14:textFill>
                  <w14:solidFill>
                    <w14:schemeClr w14:val="tx1"/>
                  </w14:solidFill>
                </w14:textFill>
              </w:rPr>
              <w:t>时间不超过</w:t>
            </w:r>
            <w:r>
              <w:rPr>
                <w:rFonts w:hint="eastAsia" w:ascii="宋体" w:hAnsi="宋体" w:eastAsia="宋体" w:cs="宋体"/>
                <w:color w:val="000000" w:themeColor="text1"/>
                <w:lang w:val="en-US" w:eastAsia="zh-CN"/>
                <w14:textFill>
                  <w14:solidFill>
                    <w14:schemeClr w14:val="tx1"/>
                  </w14:solidFill>
                </w14:textFill>
              </w:rPr>
              <w:t>25</w:t>
            </w:r>
            <w:r>
              <w:rPr>
                <w:rFonts w:hint="eastAsia" w:ascii="宋体" w:hAnsi="宋体" w:eastAsia="宋体" w:cs="宋体"/>
                <w:color w:val="000000" w:themeColor="text1"/>
                <w:lang w:val="zh-CN"/>
                <w14:textFill>
                  <w14:solidFill>
                    <w14:schemeClr w14:val="tx1"/>
                  </w14:solidFill>
                </w14:textFill>
              </w:rPr>
              <w:t>分钟。现场演示次序以投标登记先后次序为准。现场演示人员不超过</w:t>
            </w:r>
            <w:r>
              <w:rPr>
                <w:rFonts w:hint="eastAsia" w:ascii="宋体" w:hAnsi="宋体" w:eastAsia="宋体" w:cs="宋体"/>
                <w:color w:val="000000" w:themeColor="text1"/>
                <w:lang w:val="en-US"/>
                <w14:textFill>
                  <w14:solidFill>
                    <w14:schemeClr w14:val="tx1"/>
                  </w14:solidFill>
                </w14:textFill>
              </w:rPr>
              <w:t>2</w:t>
            </w:r>
            <w:r>
              <w:rPr>
                <w:rFonts w:hint="eastAsia" w:ascii="宋体" w:hAnsi="宋体" w:eastAsia="宋体" w:cs="宋体"/>
                <w:color w:val="000000" w:themeColor="text1"/>
                <w:lang w:val="zh-CN"/>
                <w14:textFill>
                  <w14:solidFill>
                    <w14:schemeClr w14:val="tx1"/>
                  </w14:solidFill>
                </w14:textFill>
              </w:rPr>
              <w:t>人，且必须包含法定代表人或其授权代表；现场演示人员进场时携带身份证</w:t>
            </w:r>
            <w:r>
              <w:rPr>
                <w:rFonts w:hint="eastAsia" w:ascii="宋体" w:hAnsi="宋体" w:eastAsia="宋体" w:cs="宋体"/>
                <w:color w:val="000000" w:themeColor="text1"/>
                <w14:textFill>
                  <w14:solidFill>
                    <w14:schemeClr w14:val="tx1"/>
                  </w14:solidFill>
                </w14:textFill>
              </w:rPr>
              <w:t>原件</w:t>
            </w:r>
            <w:r>
              <w:rPr>
                <w:rFonts w:hint="eastAsia" w:ascii="宋体" w:hAnsi="宋体" w:eastAsia="宋体" w:cs="宋体"/>
                <w:color w:val="000000" w:themeColor="text1"/>
                <w:lang w:val="zh-CN"/>
                <w14:textFill>
                  <w14:solidFill>
                    <w14:schemeClr w14:val="tx1"/>
                  </w14:solidFill>
                </w14:textFill>
              </w:rPr>
              <w:t>、授权委托书（详见招标文件格式范例附件6，法人代表可不携带）、演示人员</w:t>
            </w:r>
            <w:r>
              <w:rPr>
                <w:rFonts w:hint="eastAsia" w:ascii="宋体" w:hAnsi="宋体" w:eastAsia="宋体" w:cs="宋体"/>
                <w:color w:val="000000" w:themeColor="text1"/>
                <w:lang w:val="en-US" w:eastAsia="zh-CN"/>
                <w14:textFill>
                  <w14:solidFill>
                    <w14:schemeClr w14:val="tx1"/>
                  </w14:solidFill>
                </w14:textFill>
              </w:rPr>
              <w:t>的</w:t>
            </w:r>
            <w:r>
              <w:rPr>
                <w:rFonts w:hint="eastAsia" w:ascii="宋体" w:hAnsi="宋体" w:eastAsia="宋体" w:cs="宋体"/>
                <w:color w:val="000000" w:themeColor="text1"/>
                <w:lang w:val="zh-CN"/>
                <w14:textFill>
                  <w14:solidFill>
                    <w14:schemeClr w14:val="tx1"/>
                  </w14:solidFill>
                </w14:textFill>
              </w:rPr>
              <w:t>自2022年</w:t>
            </w:r>
            <w:r>
              <w:rPr>
                <w:rFonts w:hint="eastAsia" w:ascii="宋体" w:hAnsi="宋体" w:eastAsia="宋体" w:cs="宋体"/>
                <w:color w:val="000000" w:themeColor="text1"/>
                <w:lang w:val="en-US" w:eastAsia="zh-CN"/>
                <w14:textFill>
                  <w14:solidFill>
                    <w14:schemeClr w14:val="tx1"/>
                  </w14:solidFill>
                </w14:textFill>
              </w:rPr>
              <w:t>7</w:t>
            </w:r>
            <w:r>
              <w:rPr>
                <w:rFonts w:hint="eastAsia" w:ascii="宋体" w:hAnsi="宋体" w:eastAsia="宋体" w:cs="宋体"/>
                <w:color w:val="000000" w:themeColor="text1"/>
                <w:lang w:val="zh-CN"/>
                <w14:textFill>
                  <w14:solidFill>
                    <w14:schemeClr w14:val="tx1"/>
                  </w14:solidFill>
                </w14:textFill>
              </w:rPr>
              <w:t>月-2022年</w:t>
            </w:r>
            <w:r>
              <w:rPr>
                <w:rFonts w:hint="eastAsia" w:ascii="宋体" w:hAnsi="宋体" w:eastAsia="宋体" w:cs="宋体"/>
                <w:color w:val="000000" w:themeColor="text1"/>
                <w:lang w:val="en-US" w:eastAsia="zh-CN"/>
                <w14:textFill>
                  <w14:solidFill>
                    <w14:schemeClr w14:val="tx1"/>
                  </w14:solidFill>
                </w14:textFill>
              </w:rPr>
              <w:t>11</w:t>
            </w:r>
            <w:r>
              <w:rPr>
                <w:rFonts w:hint="eastAsia" w:ascii="宋体" w:hAnsi="宋体" w:eastAsia="宋体" w:cs="宋体"/>
                <w:color w:val="000000" w:themeColor="text1"/>
                <w:lang w:val="zh-CN"/>
                <w14:textFill>
                  <w14:solidFill>
                    <w14:schemeClr w14:val="tx1"/>
                  </w14:solidFill>
                </w14:textFill>
              </w:rPr>
              <w:t>月的任意三个月的在职社保证明（法人代表可不携带），否则不得进场。现场演示后按要求解答评标委员会的提问。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spacing w:after="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8</w:t>
            </w:r>
          </w:p>
        </w:tc>
        <w:tc>
          <w:tcPr>
            <w:tcW w:w="822" w:type="pct"/>
            <w:vAlign w:val="center"/>
          </w:tcPr>
          <w:p>
            <w:pPr>
              <w:spacing w:after="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 w:val="22"/>
                <w14:textFill>
                  <w14:solidFill>
                    <w14:schemeClr w14:val="tx1"/>
                  </w14:solidFill>
                </w14:textFill>
              </w:rPr>
              <w:t>投标人应当提供的资格、资信证明文件</w:t>
            </w:r>
          </w:p>
        </w:tc>
        <w:tc>
          <w:tcPr>
            <w:tcW w:w="3867" w:type="pct"/>
            <w:vAlign w:val="center"/>
          </w:tcPr>
          <w:p>
            <w:pPr>
              <w:spacing w:after="0" w:line="360" w:lineRule="auto"/>
              <w:rPr>
                <w:rFonts w:hint="eastAsia"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（1）资格证明文件：见招标文件第二部分11.1。</w:t>
            </w:r>
          </w:p>
          <w:p>
            <w:pPr>
              <w:spacing w:after="0"/>
              <w:rPr>
                <w:rFonts w:hint="eastAsia" w:ascii="宋体" w:hAnsi="宋体" w:eastAsia="宋体" w:cs="宋体"/>
                <w:color w:val="000000" w:themeColor="text1"/>
                <w:sz w:val="22"/>
                <w:lang w:val="zh-CN"/>
                <w14:textFill>
                  <w14:solidFill>
                    <w14:schemeClr w14:val="tx1"/>
                  </w14:solidFill>
                </w14:textFill>
              </w:rPr>
            </w:pPr>
            <w:r>
              <w:rPr>
                <w:rFonts w:hint="eastAsia" w:ascii="宋体" w:hAnsi="宋体" w:eastAsia="宋体" w:cs="宋体"/>
                <w:color w:val="000000" w:themeColor="text1"/>
                <w:sz w:val="22"/>
                <w:lang w:val="zh-CN"/>
                <w14:textFill>
                  <w14:solidFill>
                    <w14:schemeClr w14:val="tx1"/>
                  </w14:solidFill>
                </w14:textFill>
              </w:rPr>
              <w:t>投标人未提供有效的资格证明文件的，视为投标人不具备招标文件中规定的资格要求，投标无效。</w:t>
            </w:r>
          </w:p>
          <w:p>
            <w:pPr>
              <w:spacing w:after="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9</w:t>
            </w:r>
          </w:p>
        </w:tc>
        <w:tc>
          <w:tcPr>
            <w:tcW w:w="822" w:type="pct"/>
            <w:vAlign w:val="center"/>
          </w:tcPr>
          <w:p>
            <w:pPr>
              <w:spacing w:after="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 w:val="22"/>
                <w14:textFill>
                  <w14:solidFill>
                    <w14:schemeClr w14:val="tx1"/>
                  </w14:solidFill>
                </w14:textFill>
              </w:rPr>
              <w:t>节能产品、环境标志产品</w:t>
            </w:r>
          </w:p>
        </w:tc>
        <w:tc>
          <w:tcPr>
            <w:tcW w:w="3867" w:type="pct"/>
            <w:vAlign w:val="center"/>
          </w:tcPr>
          <w:p>
            <w:pPr>
              <w:spacing w:after="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10</w:t>
            </w:r>
          </w:p>
        </w:tc>
        <w:tc>
          <w:tcPr>
            <w:tcW w:w="822" w:type="pct"/>
            <w:vAlign w:val="center"/>
          </w:tcPr>
          <w:p>
            <w:pPr>
              <w:spacing w:after="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 w:val="22"/>
                <w14:textFill>
                  <w14:solidFill>
                    <w14:schemeClr w14:val="tx1"/>
                  </w14:solidFill>
                </w14:textFill>
              </w:rPr>
              <w:t>报价要求</w:t>
            </w:r>
          </w:p>
        </w:tc>
        <w:tc>
          <w:tcPr>
            <w:tcW w:w="3867" w:type="pct"/>
            <w:vAlign w:val="center"/>
          </w:tcPr>
          <w:p>
            <w:pPr>
              <w:spacing w:after="0" w:line="360" w:lineRule="auto"/>
              <w:ind w:firstLine="440" w:firstLineChars="200"/>
              <w:rPr>
                <w:rFonts w:hint="eastAsia" w:ascii="宋体" w:hAnsi="宋体" w:eastAsia="宋体" w:cs="宋体"/>
                <w:bCs/>
                <w:color w:val="000000" w:themeColor="text1"/>
                <w:sz w:val="22"/>
                <w:lang w:val="zh-CN"/>
                <w14:textFill>
                  <w14:solidFill>
                    <w14:schemeClr w14:val="tx1"/>
                  </w14:solidFill>
                </w14:textFill>
              </w:rPr>
            </w:pPr>
            <w:r>
              <w:rPr>
                <w:rFonts w:hint="eastAsia" w:ascii="宋体" w:hAnsi="宋体" w:eastAsia="宋体" w:cs="宋体"/>
                <w:bCs/>
                <w:color w:val="000000" w:themeColor="text1"/>
                <w:sz w:val="22"/>
                <w:lang w:val="zh-CN"/>
                <w14:textFill>
                  <w14:solidFill>
                    <w14:schemeClr w14:val="tx1"/>
                  </w14:solidFill>
                </w14:textFill>
              </w:rPr>
              <w:t>有关本项目实施所需的所有费用（含税费）均计入报价。</w:t>
            </w:r>
            <w:r>
              <w:rPr>
                <w:rFonts w:hint="eastAsia" w:ascii="宋体" w:hAnsi="宋体" w:eastAsia="宋体" w:cs="宋体"/>
                <w:bCs/>
                <w:color w:val="000000" w:themeColor="text1"/>
                <w:sz w:val="22"/>
                <w14:textFill>
                  <w14:solidFill>
                    <w14:schemeClr w14:val="tx1"/>
                  </w14:solidFill>
                </w14:textFill>
              </w:rPr>
              <w:t>开标一览表（报价表）是报价的唯一载体</w:t>
            </w:r>
            <w:r>
              <w:rPr>
                <w:rFonts w:hint="eastAsia" w:ascii="宋体" w:hAnsi="宋体" w:eastAsia="宋体" w:cs="宋体"/>
                <w:bCs/>
                <w:color w:val="000000" w:themeColor="text1"/>
                <w:sz w:val="22"/>
                <w:lang w:val="zh-CN"/>
                <w14:textFill>
                  <w14:solidFill>
                    <w14:schemeClr w14:val="tx1"/>
                  </w14:solidFill>
                </w14:textFill>
              </w:rPr>
              <w:t>。投标文件中价格全部采用人民币报价。招标文件未列明，而投标人认为必需的费用也需列入报价。提醒：验收时检测费用由采购人承担，不包含在投标总价中。</w:t>
            </w:r>
          </w:p>
          <w:p>
            <w:pPr>
              <w:spacing w:after="0" w:line="360" w:lineRule="auto"/>
              <w:rPr>
                <w:rFonts w:hint="eastAsia" w:ascii="宋体" w:hAnsi="宋体" w:eastAsia="宋体" w:cs="宋体"/>
                <w:bCs/>
                <w:color w:val="000000" w:themeColor="text1"/>
                <w:sz w:val="22"/>
                <w:lang w:val="zh-CN"/>
                <w14:textFill>
                  <w14:solidFill>
                    <w14:schemeClr w14:val="tx1"/>
                  </w14:solidFill>
                </w14:textFill>
              </w:rPr>
            </w:pPr>
            <w:r>
              <w:rPr>
                <w:rFonts w:hint="eastAsia" w:ascii="宋体" w:hAnsi="宋体" w:eastAsia="宋体" w:cs="宋体"/>
                <w:bCs/>
                <w:color w:val="000000" w:themeColor="text1"/>
                <w:sz w:val="22"/>
                <w:lang w:val="zh-CN"/>
                <w14:textFill>
                  <w14:solidFill>
                    <w14:schemeClr w14:val="tx1"/>
                  </w14:solidFill>
                </w14:textFill>
              </w:rPr>
              <w:t>投标报价出现下列情形的，投标无效：</w:t>
            </w:r>
          </w:p>
          <w:p>
            <w:pPr>
              <w:spacing w:after="0" w:line="360" w:lineRule="auto"/>
              <w:ind w:firstLine="440" w:firstLineChars="200"/>
              <w:rPr>
                <w:rFonts w:hint="eastAsia" w:ascii="宋体" w:hAnsi="宋体" w:eastAsia="宋体" w:cs="宋体"/>
                <w:bCs/>
                <w:color w:val="000000" w:themeColor="text1"/>
                <w:sz w:val="22"/>
                <w:lang w:val="zh-CN"/>
                <w14:textFill>
                  <w14:solidFill>
                    <w14:schemeClr w14:val="tx1"/>
                  </w14:solidFill>
                </w14:textFill>
              </w:rPr>
            </w:pPr>
            <w:r>
              <w:rPr>
                <w:rFonts w:hint="eastAsia" w:ascii="宋体" w:hAnsi="宋体" w:eastAsia="宋体" w:cs="宋体"/>
                <w:bCs/>
                <w:color w:val="000000" w:themeColor="text1"/>
                <w:sz w:val="22"/>
                <w:lang w:val="zh-CN"/>
                <w14:textFill>
                  <w14:solidFill>
                    <w14:schemeClr w14:val="tx1"/>
                  </w14:solidFill>
                </w14:textFill>
              </w:rPr>
              <w:t>投标文件出现不是唯一的、有选择性投标报价的；</w:t>
            </w:r>
          </w:p>
          <w:p>
            <w:pPr>
              <w:spacing w:after="0" w:line="360" w:lineRule="auto"/>
              <w:ind w:firstLine="440" w:firstLineChars="200"/>
              <w:rPr>
                <w:rFonts w:hint="eastAsia" w:ascii="宋体" w:hAnsi="宋体" w:eastAsia="宋体" w:cs="宋体"/>
                <w:bCs/>
                <w:color w:val="000000" w:themeColor="text1"/>
                <w:sz w:val="22"/>
                <w:lang w:val="zh-CN"/>
                <w14:textFill>
                  <w14:solidFill>
                    <w14:schemeClr w14:val="tx1"/>
                  </w14:solidFill>
                </w14:textFill>
              </w:rPr>
            </w:pPr>
            <w:r>
              <w:rPr>
                <w:rFonts w:hint="eastAsia" w:ascii="宋体" w:hAnsi="宋体" w:eastAsia="宋体" w:cs="宋体"/>
                <w:bCs/>
                <w:color w:val="000000" w:themeColor="text1"/>
                <w:sz w:val="22"/>
                <w:lang w:val="zh-CN"/>
                <w14:textFill>
                  <w14:solidFill>
                    <w14:schemeClr w14:val="tx1"/>
                  </w14:solidFill>
                </w14:textFill>
              </w:rPr>
              <w:t>投标报价超过招标文件中规定的预算金额或者最高限价的;</w:t>
            </w:r>
          </w:p>
          <w:p>
            <w:pPr>
              <w:spacing w:after="0" w:line="360" w:lineRule="auto"/>
              <w:ind w:firstLine="440" w:firstLineChars="200"/>
              <w:rPr>
                <w:rFonts w:hint="eastAsia" w:ascii="宋体" w:hAnsi="宋体" w:eastAsia="宋体" w:cs="宋体"/>
                <w:bCs/>
                <w:color w:val="000000" w:themeColor="text1"/>
                <w:sz w:val="22"/>
                <w14:textFill>
                  <w14:solidFill>
                    <w14:schemeClr w14:val="tx1"/>
                  </w14:solidFill>
                </w14:textFill>
              </w:rPr>
            </w:pPr>
            <w:r>
              <w:rPr>
                <w:rFonts w:hint="eastAsia" w:ascii="宋体" w:hAnsi="宋体" w:eastAsia="宋体" w:cs="宋体"/>
                <w:bCs/>
                <w:color w:val="000000" w:themeColor="text1"/>
                <w:sz w:val="22"/>
                <w14:textFill>
                  <w14:solidFill>
                    <w14:schemeClr w14:val="tx1"/>
                  </w14:solidFill>
                </w14:textFill>
              </w:rPr>
              <w:t>报价明显低于其他通过符合性审查投标人的报价，有可能影响产品质量或者不能诚信履约的，未能按要求提供书面说明或者提交相关证明材料证明其报价合理性的;</w:t>
            </w:r>
          </w:p>
          <w:p>
            <w:pPr>
              <w:spacing w:after="0" w:line="360" w:lineRule="auto"/>
              <w:ind w:firstLine="440" w:firstLineChars="200"/>
              <w:rPr>
                <w:rFonts w:hint="eastAsia" w:ascii="宋体" w:hAnsi="宋体" w:eastAsia="宋体" w:cs="宋体"/>
                <w:bCs/>
                <w:color w:val="000000" w:themeColor="text1"/>
                <w:sz w:val="22"/>
                <w14:textFill>
                  <w14:solidFill>
                    <w14:schemeClr w14:val="tx1"/>
                  </w14:solidFill>
                </w14:textFill>
              </w:rPr>
            </w:pPr>
            <w:r>
              <w:rPr>
                <w:rFonts w:hint="eastAsia" w:ascii="宋体" w:hAnsi="宋体" w:eastAsia="宋体" w:cs="宋体"/>
                <w:bCs/>
                <w:color w:val="000000" w:themeColor="text1"/>
                <w:sz w:val="22"/>
                <w14:textFill>
                  <w14:solidFill>
                    <w14:schemeClr w14:val="tx1"/>
                  </w14:solidFill>
                </w14:textFill>
              </w:rPr>
              <w:t>投标人对根据修正原则修正后的报价不确认的。</w:t>
            </w:r>
          </w:p>
          <w:p>
            <w:pPr>
              <w:spacing w:after="0" w:line="360" w:lineRule="auto"/>
              <w:ind w:firstLine="440" w:firstLineChars="200"/>
              <w:rPr>
                <w:rFonts w:hint="eastAsia" w:ascii="宋体" w:hAnsi="宋体" w:eastAsia="宋体" w:cs="宋体"/>
                <w:bCs/>
                <w:color w:val="000000" w:themeColor="text1"/>
                <w:sz w:val="22"/>
                <w14:textFill>
                  <w14:solidFill>
                    <w14:schemeClr w14:val="tx1"/>
                  </w14:solidFill>
                </w14:textFill>
              </w:rPr>
            </w:pPr>
            <w:r>
              <w:rPr>
                <w:rFonts w:hint="eastAsia" w:ascii="宋体" w:hAnsi="宋体" w:eastAsia="宋体" w:cs="宋体"/>
                <w:bCs/>
                <w:color w:val="000000" w:themeColor="text1"/>
                <w:sz w:val="22"/>
                <w14:textFill>
                  <w14:solidFill>
                    <w14:schemeClr w14:val="tx1"/>
                  </w14:solidFill>
                </w14:textFill>
              </w:rPr>
              <w:t>资格文件、商务技术文件与报价文件未分开制作。</w:t>
            </w:r>
          </w:p>
          <w:p>
            <w:pPr>
              <w:spacing w:after="0"/>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w:t>
            </w:r>
          </w:p>
        </w:tc>
        <w:tc>
          <w:tcPr>
            <w:tcW w:w="822" w:type="pct"/>
            <w:vAlign w:val="center"/>
          </w:tcPr>
          <w:p>
            <w:pPr>
              <w:spacing w:after="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 w:val="22"/>
                <w14:textFill>
                  <w14:solidFill>
                    <w14:schemeClr w14:val="tx1"/>
                  </w14:solidFill>
                </w14:textFill>
              </w:rPr>
              <w:t>中小企业信用融资</w:t>
            </w:r>
          </w:p>
        </w:tc>
        <w:tc>
          <w:tcPr>
            <w:tcW w:w="3867" w:type="pct"/>
            <w:vAlign w:val="center"/>
          </w:tcPr>
          <w:p>
            <w:pPr>
              <w:snapToGrid w:val="0"/>
              <w:spacing w:after="0" w:line="360" w:lineRule="auto"/>
              <w:rPr>
                <w:rFonts w:hint="eastAsia"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本项目支持《杭州市萧山区政府采购支持中小企业信用融资暂行办法》。</w:t>
            </w:r>
          </w:p>
          <w:p>
            <w:pPr>
              <w:spacing w:after="0"/>
              <w:rPr>
                <w:rFonts w:hint="eastAsia"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有融资需求的中标供应商可参照相关规定及银行方案凭政府采购合同向相关合作银行提出信用融资（贷款）申请。详见</w:t>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HYPERLINK "http://www.xiaoshan.gov.cn/art/2018/12/20/art_1229293109_1559514.html" </w:instrText>
            </w:r>
            <w:r>
              <w:rPr>
                <w:rFonts w:hint="eastAsia" w:ascii="宋体" w:hAnsi="宋体" w:eastAsia="宋体" w:cs="宋体"/>
                <w:color w:val="000000" w:themeColor="text1"/>
                <w14:textFill>
                  <w14:solidFill>
                    <w14:schemeClr w14:val="tx1"/>
                  </w14:solidFill>
                </w14:textFill>
              </w:rPr>
              <w:fldChar w:fldCharType="separate"/>
            </w:r>
            <w:r>
              <w:rPr>
                <w:rStyle w:val="30"/>
                <w:rFonts w:hint="eastAsia" w:ascii="宋体" w:hAnsi="宋体" w:eastAsia="宋体" w:cs="宋体"/>
                <w:snapToGrid/>
                <w:color w:val="000000" w:themeColor="text1"/>
                <w:sz w:val="22"/>
                <w:szCs w:val="24"/>
                <w14:textFill>
                  <w14:solidFill>
                    <w14:schemeClr w14:val="tx1"/>
                  </w14:solidFill>
                </w14:textFill>
              </w:rPr>
              <w:t>http://www.xiaoshan.gov.cn/art/2018/12/20/art_1229293109_1559514.html</w:t>
            </w:r>
            <w:r>
              <w:rPr>
                <w:rStyle w:val="30"/>
                <w:rFonts w:hint="eastAsia" w:ascii="宋体" w:hAnsi="宋体" w:eastAsia="宋体" w:cs="宋体"/>
                <w:snapToGrid/>
                <w:color w:val="000000" w:themeColor="text1"/>
                <w:sz w:val="22"/>
                <w:szCs w:val="24"/>
                <w14:textFill>
                  <w14:solidFill>
                    <w14:schemeClr w14:val="tx1"/>
                  </w14:solidFill>
                </w14:textFill>
              </w:rPr>
              <w:fldChar w:fldCharType="end"/>
            </w:r>
          </w:p>
          <w:p>
            <w:pPr>
              <w:spacing w:after="0"/>
              <w:rPr>
                <w:rFonts w:hint="eastAsia" w:ascii="宋体" w:hAnsi="宋体" w:eastAsia="宋体" w:cs="宋体"/>
                <w:color w:val="000000" w:themeColor="text1"/>
                <w:sz w:val="22"/>
                <w14:textFill>
                  <w14:solidFill>
                    <w14:schemeClr w14:val="tx1"/>
                  </w14:solidFill>
                </w14:textFill>
              </w:rPr>
            </w:pPr>
          </w:p>
          <w:p>
            <w:pPr>
              <w:spacing w:after="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snapToGrid w:val="0"/>
                <w:color w:val="000000" w:themeColor="text1"/>
                <w:kern w:val="28"/>
                <w:sz w:val="22"/>
                <w14:textFill>
                  <w14:solidFill>
                    <w14:schemeClr w14:val="tx1"/>
                  </w14:solidFill>
                </w14:textFill>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spacing w:after="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12</w:t>
            </w:r>
          </w:p>
        </w:tc>
        <w:tc>
          <w:tcPr>
            <w:tcW w:w="822" w:type="pct"/>
            <w:vAlign w:val="center"/>
          </w:tcPr>
          <w:p>
            <w:pPr>
              <w:spacing w:after="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 w:val="22"/>
                <w14:textFill>
                  <w14:solidFill>
                    <w14:schemeClr w14:val="tx1"/>
                  </w14:solidFill>
                </w14:textFill>
              </w:rPr>
              <w:t>备份投标文件</w:t>
            </w:r>
          </w:p>
        </w:tc>
        <w:tc>
          <w:tcPr>
            <w:tcW w:w="3867" w:type="pct"/>
            <w:vAlign w:val="center"/>
          </w:tcPr>
          <w:p>
            <w:pPr>
              <w:pStyle w:val="16"/>
              <w:spacing w:line="360" w:lineRule="auto"/>
              <w:rPr>
                <w:rFonts w:hint="eastAsia" w:ascii="宋体" w:hAnsi="宋体" w:eastAsia="宋体" w:cs="宋体"/>
                <w:color w:val="000000" w:themeColor="text1"/>
                <w:kern w:val="28"/>
                <w:sz w:val="22"/>
                <w:szCs w:val="24"/>
                <w14:textFill>
                  <w14:solidFill>
                    <w14:schemeClr w14:val="tx1"/>
                  </w14:solidFill>
                </w14:textFill>
              </w:rPr>
            </w:pPr>
            <w:r>
              <w:rPr>
                <w:rFonts w:hint="eastAsia" w:ascii="宋体" w:hAnsi="宋体" w:eastAsia="宋体" w:cs="宋体"/>
                <w:color w:val="000000" w:themeColor="text1"/>
                <w:kern w:val="28"/>
                <w:sz w:val="22"/>
                <w:szCs w:val="24"/>
                <w14:textFill>
                  <w14:solidFill>
                    <w14:schemeClr w14:val="tx1"/>
                  </w14:solidFill>
                </w14:textFill>
              </w:rPr>
              <w:t>备份文件是否收取：可提交备份</w:t>
            </w:r>
          </w:p>
          <w:p>
            <w:pPr>
              <w:pStyle w:val="16"/>
              <w:spacing w:line="360" w:lineRule="auto"/>
              <w:ind w:left="880" w:hanging="880" w:hangingChars="400"/>
              <w:rPr>
                <w:rFonts w:hint="eastAsia" w:ascii="宋体" w:hAnsi="宋体" w:eastAsia="宋体" w:cs="宋体"/>
                <w:color w:val="000000" w:themeColor="text1"/>
                <w:kern w:val="28"/>
                <w:sz w:val="22"/>
                <w:szCs w:val="24"/>
                <w14:textFill>
                  <w14:solidFill>
                    <w14:schemeClr w14:val="tx1"/>
                  </w14:solidFill>
                </w14:textFill>
              </w:rPr>
            </w:pPr>
            <w:r>
              <w:rPr>
                <w:rFonts w:hint="eastAsia" w:ascii="宋体" w:hAnsi="宋体" w:eastAsia="宋体" w:cs="宋体"/>
                <w:color w:val="000000" w:themeColor="text1"/>
                <w:kern w:val="28"/>
                <w:sz w:val="22"/>
                <w:szCs w:val="24"/>
                <w14:textFill>
                  <w14:solidFill>
                    <w14:schemeClr w14:val="tx1"/>
                  </w14:solidFill>
                </w14:textFill>
              </w:rPr>
              <w:t>备份投标文件送达地点：</w:t>
            </w:r>
            <w:r>
              <w:rPr>
                <w:rFonts w:hint="eastAsia" w:ascii="宋体" w:hAnsi="宋体" w:eastAsia="宋体" w:cs="宋体"/>
                <w:color w:val="000000" w:themeColor="text1"/>
                <w:sz w:val="22"/>
                <w:u w:val="single"/>
                <w14:textFill>
                  <w14:solidFill>
                    <w14:schemeClr w14:val="tx1"/>
                  </w14:solidFill>
                </w14:textFill>
              </w:rPr>
              <w:t xml:space="preserve"> </w:t>
            </w:r>
            <w:r>
              <w:rPr>
                <w:rFonts w:hint="eastAsia" w:ascii="宋体" w:hAnsi="宋体" w:eastAsia="宋体" w:cs="宋体"/>
                <w:color w:val="000000" w:themeColor="text1"/>
                <w:sz w:val="22"/>
                <w:u w:val="single"/>
                <w:lang w:val="en-US" w:eastAsia="zh-CN"/>
                <w14:textFill>
                  <w14:solidFill>
                    <w14:schemeClr w14:val="tx1"/>
                  </w14:solidFill>
                </w14:textFill>
              </w:rPr>
              <w:t>萧山工陶家居商场5楼</w:t>
            </w:r>
            <w:r>
              <w:rPr>
                <w:rFonts w:hint="eastAsia" w:ascii="宋体" w:hAnsi="宋体" w:eastAsia="宋体" w:cs="宋体"/>
                <w:color w:val="000000" w:themeColor="text1"/>
                <w:sz w:val="22"/>
                <w:u w:val="single"/>
                <w14:textFill>
                  <w14:solidFill>
                    <w14:schemeClr w14:val="tx1"/>
                  </w14:solidFill>
                </w14:textFill>
              </w:rPr>
              <w:t xml:space="preserve"> </w:t>
            </w:r>
            <w:r>
              <w:rPr>
                <w:rFonts w:hint="eastAsia" w:ascii="宋体" w:hAnsi="宋体" w:eastAsia="宋体" w:cs="宋体"/>
                <w:color w:val="000000" w:themeColor="text1"/>
                <w:kern w:val="28"/>
                <w:sz w:val="22"/>
                <w:szCs w:val="24"/>
                <w14:textFill>
                  <w14:solidFill>
                    <w14:schemeClr w14:val="tx1"/>
                  </w14:solidFill>
                </w14:textFill>
              </w:rPr>
              <w:t>；</w:t>
            </w:r>
          </w:p>
          <w:p>
            <w:pPr>
              <w:pStyle w:val="16"/>
              <w:spacing w:line="360" w:lineRule="auto"/>
              <w:ind w:left="880" w:hanging="880" w:hangingChars="400"/>
              <w:rPr>
                <w:rFonts w:hint="eastAsia" w:ascii="宋体" w:hAnsi="宋体" w:eastAsia="宋体" w:cs="宋体"/>
                <w:color w:val="000000" w:themeColor="text1"/>
                <w:sz w:val="22"/>
                <w:szCs w:val="24"/>
                <w14:textFill>
                  <w14:solidFill>
                    <w14:schemeClr w14:val="tx1"/>
                  </w14:solidFill>
                </w14:textFill>
              </w:rPr>
            </w:pPr>
            <w:r>
              <w:rPr>
                <w:rFonts w:hint="eastAsia" w:ascii="宋体" w:hAnsi="宋体" w:eastAsia="宋体" w:cs="宋体"/>
                <w:color w:val="000000" w:themeColor="text1"/>
                <w:kern w:val="28"/>
                <w:sz w:val="22"/>
                <w:szCs w:val="24"/>
                <w14:textFill>
                  <w14:solidFill>
                    <w14:schemeClr w14:val="tx1"/>
                  </w14:solidFill>
                </w14:textFill>
              </w:rPr>
              <w:t>备份投标文件签收人员联系电话：</w:t>
            </w:r>
            <w:r>
              <w:rPr>
                <w:rFonts w:hint="eastAsia" w:ascii="宋体" w:hAnsi="宋体" w:eastAsia="宋体" w:cs="宋体"/>
                <w:color w:val="000000" w:themeColor="text1"/>
                <w:kern w:val="28"/>
                <w:sz w:val="22"/>
                <w:szCs w:val="24"/>
                <w:lang w:val="en-US" w:eastAsia="zh-CN"/>
                <w14:textFill>
                  <w14:solidFill>
                    <w14:schemeClr w14:val="tx1"/>
                  </w14:solidFill>
                </w14:textFill>
              </w:rPr>
              <w:t>孙先生15267126588</w:t>
            </w:r>
            <w:r>
              <w:rPr>
                <w:rFonts w:hint="eastAsia" w:ascii="宋体" w:hAnsi="宋体" w:eastAsia="宋体" w:cs="宋体"/>
                <w:color w:val="000000" w:themeColor="text1"/>
                <w:sz w:val="22"/>
                <w:u w:val="single"/>
                <w14:textFill>
                  <w14:solidFill>
                    <w14:schemeClr w14:val="tx1"/>
                  </w14:solidFill>
                </w14:textFill>
              </w:rPr>
              <w:t xml:space="preserve"> </w:t>
            </w:r>
            <w:r>
              <w:rPr>
                <w:rFonts w:hint="eastAsia" w:ascii="宋体" w:hAnsi="宋体" w:eastAsia="宋体" w:cs="宋体"/>
                <w:color w:val="000000" w:themeColor="text1"/>
                <w:sz w:val="22"/>
                <w:szCs w:val="24"/>
                <w14:textFill>
                  <w14:solidFill>
                    <w14:schemeClr w14:val="tx1"/>
                  </w14:solidFill>
                </w14:textFill>
              </w:rPr>
              <w:t>。</w:t>
            </w:r>
          </w:p>
          <w:p>
            <w:pPr>
              <w:spacing w:after="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 w:val="22"/>
                <w14:textFill>
                  <w14:solidFill>
                    <w14:schemeClr w14:val="tx1"/>
                  </w14:solidFill>
                </w14:textFill>
              </w:rPr>
              <w:t>采购人、采购机构不强制或变相强制投标人提交备份文件。提交的备份文件格式无效（.bfbs格式）或其他因投标人自身制作不当导致的无法使用的情况由投标人自行负责。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13</w:t>
            </w:r>
          </w:p>
        </w:tc>
        <w:tc>
          <w:tcPr>
            <w:tcW w:w="822" w:type="pct"/>
            <w:vAlign w:val="center"/>
          </w:tcPr>
          <w:p>
            <w:pPr>
              <w:spacing w:after="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 w:val="22"/>
                <w14:textFill>
                  <w14:solidFill>
                    <w14:schemeClr w14:val="tx1"/>
                  </w14:solidFill>
                </w14:textFill>
              </w:rPr>
              <w:t>采购机构代理费用</w:t>
            </w:r>
          </w:p>
        </w:tc>
        <w:tc>
          <w:tcPr>
            <w:tcW w:w="3867" w:type="pct"/>
            <w:vAlign w:val="center"/>
          </w:tcPr>
          <w:p>
            <w:pPr>
              <w:spacing w:after="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本项目的招标代理服务费由中标人支付。招标代理服务费计费标准：以中标（成交）金额为计费基准，按计价格[2002]1980号文及发改办价格［2003］857号文规定的收费标准计取。结算方式及时间为：中标人在领取中标通知书前向采购代理机构支付招标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14</w:t>
            </w:r>
          </w:p>
        </w:tc>
        <w:tc>
          <w:tcPr>
            <w:tcW w:w="822" w:type="pct"/>
            <w:vAlign w:val="center"/>
          </w:tcPr>
          <w:p>
            <w:pPr>
              <w:spacing w:after="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 w:val="22"/>
                <w14:textFill>
                  <w14:solidFill>
                    <w14:schemeClr w14:val="tx1"/>
                  </w14:solidFill>
                </w14:textFill>
              </w:rPr>
              <w:t>履约保证金</w:t>
            </w:r>
          </w:p>
        </w:tc>
        <w:tc>
          <w:tcPr>
            <w:tcW w:w="3867" w:type="pct"/>
            <w:vAlign w:val="center"/>
          </w:tcPr>
          <w:p>
            <w:pPr>
              <w:pStyle w:val="16"/>
              <w:spacing w:line="360" w:lineRule="auto"/>
              <w:ind w:hanging="4"/>
              <w:rPr>
                <w:rFonts w:hint="eastAsia"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履约保证金：不收取</w:t>
            </w:r>
          </w:p>
          <w:p>
            <w:pPr>
              <w:spacing w:after="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供应商应当以支票、汇票、本票或者金融机构、担保机构出具的保函等非现金形式提交。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spacing w:after="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15</w:t>
            </w:r>
          </w:p>
        </w:tc>
        <w:tc>
          <w:tcPr>
            <w:tcW w:w="822" w:type="pct"/>
            <w:vAlign w:val="center"/>
          </w:tcPr>
          <w:p>
            <w:pPr>
              <w:spacing w:after="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 w:val="22"/>
                <w14:textFill>
                  <w14:solidFill>
                    <w14:schemeClr w14:val="tx1"/>
                  </w14:solidFill>
                </w14:textFill>
              </w:rPr>
              <w:t>资格审查和信用信息审查</w:t>
            </w:r>
          </w:p>
        </w:tc>
        <w:tc>
          <w:tcPr>
            <w:tcW w:w="3867" w:type="pct"/>
            <w:vAlign w:val="center"/>
          </w:tcPr>
          <w:p>
            <w:pPr>
              <w:spacing w:after="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本项目由采购机构进行资格文件及信用信息查询。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16</w:t>
            </w:r>
          </w:p>
        </w:tc>
        <w:tc>
          <w:tcPr>
            <w:tcW w:w="822" w:type="pct"/>
            <w:vAlign w:val="center"/>
          </w:tcPr>
          <w:p>
            <w:pPr>
              <w:spacing w:after="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 w:val="22"/>
                <w14:textFill>
                  <w14:solidFill>
                    <w14:schemeClr w14:val="tx1"/>
                  </w14:solidFill>
                </w14:textFill>
              </w:rPr>
              <w:t>质疑接收人及答复</w:t>
            </w:r>
          </w:p>
        </w:tc>
        <w:tc>
          <w:tcPr>
            <w:tcW w:w="3867" w:type="pct"/>
            <w:vAlign w:val="center"/>
          </w:tcPr>
          <w:p>
            <w:pPr>
              <w:snapToGrid w:val="0"/>
              <w:spacing w:after="0" w:line="360" w:lineRule="auto"/>
              <w:rPr>
                <w:rFonts w:hint="eastAsia" w:ascii="宋体" w:hAnsi="宋体" w:eastAsia="宋体" w:cs="宋体"/>
                <w:color w:val="000000" w:themeColor="text1"/>
                <w:sz w:val="22"/>
                <w:u w:val="single"/>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采购人、采购机构质疑接收人、联系方式：详见公告</w:t>
            </w:r>
          </w:p>
          <w:p>
            <w:pPr>
              <w:snapToGrid w:val="0"/>
              <w:spacing w:after="0" w:line="360" w:lineRule="auto"/>
              <w:rPr>
                <w:rFonts w:hint="eastAsia" w:ascii="宋体" w:hAnsi="宋体" w:eastAsia="宋体" w:cs="宋体"/>
                <w:b/>
                <w:color w:val="000000" w:themeColor="text1"/>
                <w:sz w:val="22"/>
                <w14:textFill>
                  <w14:solidFill>
                    <w14:schemeClr w14:val="tx1"/>
                  </w14:solidFill>
                </w14:textFill>
              </w:rPr>
            </w:pPr>
            <w:r>
              <w:rPr>
                <w:rFonts w:hint="eastAsia" w:ascii="宋体" w:hAnsi="宋体" w:eastAsia="宋体" w:cs="宋体"/>
                <w:b/>
                <w:color w:val="000000" w:themeColor="text1"/>
                <w:sz w:val="22"/>
                <w14:textFill>
                  <w14:solidFill>
                    <w14:schemeClr w14:val="tx1"/>
                  </w14:solidFill>
                </w14:textFill>
              </w:rPr>
              <w:t>线上提交质疑方式：政采云线上质疑路径：项目采购-询问质疑投诉-质疑列表。请使用ca签章在每一页质疑文件中加盖电子公章，上传完整附件。</w:t>
            </w:r>
          </w:p>
          <w:p>
            <w:pPr>
              <w:snapToGrid w:val="0"/>
              <w:spacing w:after="0" w:line="360" w:lineRule="auto"/>
              <w:rPr>
                <w:rFonts w:hint="eastAsia"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本项目涉及资格条件、采购需求、评分办法及采购过程中有关现场考察或开标前答疑会等事项由采购人进行答复。</w:t>
            </w:r>
          </w:p>
          <w:p>
            <w:pPr>
              <w:spacing w:after="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涉及流程规范性、组织程序等相关事项，由采购机构进行答复。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311" w:type="pct"/>
            <w:vAlign w:val="center"/>
          </w:tcPr>
          <w:p>
            <w:pPr>
              <w:spacing w:after="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17</w:t>
            </w:r>
          </w:p>
        </w:tc>
        <w:tc>
          <w:tcPr>
            <w:tcW w:w="822" w:type="pct"/>
            <w:vAlign w:val="center"/>
          </w:tcPr>
          <w:p>
            <w:pPr>
              <w:spacing w:after="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 w:val="22"/>
                <w14:textFill>
                  <w14:solidFill>
                    <w14:schemeClr w14:val="tx1"/>
                  </w14:solidFill>
                </w14:textFill>
              </w:rPr>
              <w:t>特别说明</w:t>
            </w:r>
          </w:p>
        </w:tc>
        <w:tc>
          <w:tcPr>
            <w:tcW w:w="3867" w:type="pct"/>
            <w:vAlign w:val="center"/>
          </w:tcPr>
          <w:p>
            <w:pPr>
              <w:spacing w:after="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 w:val="22"/>
                <w14:textFill>
                  <w14:solidFill>
                    <w14:schemeClr w14:val="tx1"/>
                  </w14:solidFill>
                </w14:textFill>
              </w:rPr>
              <w:t>本项目通用总则条款与前附表等专用特别规定有冲突之处，以专用条款（特别规定）为准</w:t>
            </w:r>
          </w:p>
        </w:tc>
      </w:tr>
    </w:tbl>
    <w:p>
      <w:pPr>
        <w:rPr>
          <w:rFonts w:hint="eastAsia" w:ascii="宋体" w:hAnsi="宋体" w:eastAsia="宋体" w:cs="宋体"/>
          <w:color w:val="000000" w:themeColor="text1"/>
          <w14:textFill>
            <w14:solidFill>
              <w14:schemeClr w14:val="tx1"/>
            </w14:solidFill>
          </w14:textFill>
        </w:rPr>
      </w:pPr>
    </w:p>
    <w:p>
      <w:pPr>
        <w:spacing w:line="276"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一、总则</w:t>
      </w:r>
    </w:p>
    <w:p>
      <w:pPr>
        <w:pStyle w:val="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 适用范围</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本招标文件适用于该项目的招标、投标、开标、资格审查及信用信息查询、评标、定标、合同、验收等行为（法律、法规另有规定的，从其规定）。</w:t>
      </w:r>
    </w:p>
    <w:p>
      <w:pPr>
        <w:pStyle w:val="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2.定义</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2.1 “采购人”系指招标公告中载明的本项目的采购人。</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2.2 “采购机构”系指招标公告中载明的本项目的采购机构。</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2.3 “投标人”系指是指响应招标、参加投标竞争的法人、其他组织或者自然人。</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2.4 “负责人”系指法人企业的法定负责人，或其他组织为法律、行政法规规定代表单位行使职权的主要负责人，或自然人本人。</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2.5“电子签名”系指数据电文中以电子形式所含、所附用于识别签名人身份并表明签名人认可其中内容的数据，投标人电子签名指投标人电子公章；“公章”系指单位法定名称章。因特殊原因需要使用冠以法定名称的业务专用章的，投标时须提供《业务专用章使用说明函》（附件4）。</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2.6“电子交易平台”是指本项目政府采购活动所依托的政府采购云平台（https://www.zcygov.cn/）。</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2.7 “▲” 系指实质性要求条款，“（√）” 系指适用本项目的要求，“（  ）”系指不适用本项目的要求。</w:t>
      </w:r>
    </w:p>
    <w:p>
      <w:pPr>
        <w:pStyle w:val="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 采购项目需要落实的政府采购政策</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3.2 支持绿色发展</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采购人拟采购的产品属于政府强制采购的节能产品品目清单范围的，投标人未按招标文件要求提供国家确定的认证机构出具的、处于有效期之内的节能产品认证证书的，投标无效。</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3.2.2 修缮、装修类项目采购建材的，采购人应将绿色建筑和绿色建材性能、指标等作为实质性条件纳入招标文件和合同。</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3.3支持中小企业发展</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符合中小企业划分标准的个体工商户，在政府采购活动中视同中小企业。</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3.3.2在政府采购活动中，投标人提供的货物、工程或者服务符合下列情形的，享受中小企业扶持政策：</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3.3.2.1在货物采购项目中，货物由中小企业制造，即货物由中小企业生产且使用该中小企业商号或者注册商标；</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3.3.2.2在工程采购项目中，工程由中小企业承建，即工程施工单位为中小企业；</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3.3.2.3在服务采购项目中，服务由中小企业承接，即提供服务的人员为中小企业依照《中华人民共和国劳动合同法》订立劳动合同的从业人员。</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在货物采购项目中，投标人提供的货物既有中小企业制造货物，也有大型企业制造货物的，不享受中小企业扶持政策。</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以联合体形式参加政府采购活动，联合体各方均为中小企业的，联合体视同中小企业。其中，联合体各方均为小微企业的，联合体视同小微企业。</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3.3.7中小企业享受扶持政策获得政府采购合同的，小微企业不得将合同分包给大中型企业，中型企业不得将合同分包给大型企业。</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3.4支持创新发展</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3.4.1 采购人优先采购被认定为首台套产品和“制造精品”的自主创新产品。</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 </w:t>
      </w:r>
    </w:p>
    <w:p>
      <w:pPr>
        <w:pStyle w:val="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 询问、质疑、投诉</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4.1供应商询问</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4.2供应商质疑</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4.2.1提出质疑的供应商应当是参与所质疑项目采购活动的供应商。潜在供应商已依法获取其可质疑的招标文件的，可以对该文件提出质疑。</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4.2.2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4.2.2.1对招标文件提出质疑的，质疑期限为供应商获得招标文件之日或者招标文件公告期限届满之日起计算。</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4.2.2.2对采购过程提出质疑的，质疑期限为各采购程序环节结束之日起计算。对同一采购程序环节的质疑，供应商须一次性提出。</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4.2.2.3对采购结果提出质疑的，质疑期限自采购结果公告期限届满之日起计算。</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4.2.3供应商提出质疑应当提交质疑函和必要的证明材料。质疑函应当包括下列内容：</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4.2.3.1供应商的姓名或者名称、地址、邮编、联系人及联系电话；</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4.2.3.2质疑项目的名称、编号；</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4.2.3.3具体、明确的质疑事项和与质疑事项相关的请求；</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4.2.3.4事实依据；</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4.2.3.5必要的法律依据；</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4.2.3.6提出质疑的日期。</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质疑函范本及制作说明详见附件2。</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4.2.4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4.2.5询问或者质疑事项可能影响采购结果的，采购人应当暂停签订合同，已经签订合同的，应当中止履行合同。</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4.3供应商投诉</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4.3.1质疑供应商对采购人、采购机构的答复不满意或者采购人、采购机构未在规定的时间内作出答复的，可以在答复期满后十五个工作日内向同级政府采购监督管理部门提出投诉。</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4.3.2供应商投诉的事项不得超出已质疑事项的范围，基于质疑答复内容提出的投诉事项除外。</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4.3.3供应商投诉应当有明确的请求和必要的证明材料。</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4.3.4 以联合体形式参加政府采购活动的，其投诉应当由组成联合体的所有供应商共同提出。</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投诉书范本及制作说明详见附件3。</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二、招标文件的构成、澄清、修改</w:t>
      </w:r>
    </w:p>
    <w:p>
      <w:pPr>
        <w:pStyle w:val="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5．招标文件的构成</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5.1 招标文件包括下列文件及附件：</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5.1.1招标公告；</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5.1.2投标人须知；</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5.1.3采购需求；</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5.1.4评标办法；</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5.1.5拟签订的合同文本；</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5.1.6应提交的有关格式范例。</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5.2与本项目有关的澄清或者修改的内容为招标文件的组成部分。</w:t>
      </w:r>
    </w:p>
    <w:p>
      <w:pPr>
        <w:pStyle w:val="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 招标文件的澄清、修改</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6.1已获取招标文件的潜在投标人，若有问题需要澄清，应于投标截止时间前，以书面形式向采购机构提出。</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三、投标</w:t>
      </w:r>
    </w:p>
    <w:p>
      <w:pPr>
        <w:pStyle w:val="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7. 招标文件的获取</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详见招标公告中获取招标文件的时间期限、地点、方式及招标文件售价。</w:t>
      </w:r>
    </w:p>
    <w:p>
      <w:pPr>
        <w:pStyle w:val="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8.开标前答疑会或现场考察</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采购人组织潜在投标人现场考察或者召开开标前答疑会的，潜在投标人按第二部分投标人须知前附表的规定参加现场考察或者开标前答疑会。</w:t>
      </w:r>
    </w:p>
    <w:p>
      <w:pPr>
        <w:pStyle w:val="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9.投标保证金</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本项目不需缴纳投标保证金。</w:t>
      </w:r>
    </w:p>
    <w:p>
      <w:pPr>
        <w:pStyle w:val="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10. 投标文件的语言</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投标文件及投标人与采购有关的来往通知、函件和文件均应使用中文。</w:t>
      </w:r>
    </w:p>
    <w:p>
      <w:pPr>
        <w:pStyle w:val="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 投标文件的组成</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11.1资格文件：</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11.1.1符合参加政府采购活动应当具备的一般条件的承诺函；</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11.1.2落实政府采购政策需满足的资格要求；</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11.1.3本项目的特定资格要求。</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11.2  商务技术文件：</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11.2.1投标函； </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11.2.2授权委托书或法定代表人（单位负责人、自然人本人）身份证明；</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11.2.3联合协议；</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11.2.4分包意向协议；</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11.2.5符合性审查资料；</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11.2.6评标标准相应的商务技术资料；</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11.2.7投标标的清单；</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11.2.8商务技术偏离表；</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11.2.9政府采购供应商廉洁自律承诺书；</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11.3报价文件： </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11.3.1开标一览表（报价表）；</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11.3.2中小企业声明函。</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投标文件含有采购人不能接受的附加条件的，投标无效；</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投标人提供虚假材料投标的，投标无效。</w:t>
      </w:r>
    </w:p>
    <w:p>
      <w:pPr>
        <w:pStyle w:val="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12. 投标文件的编制</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12.2投标人进行电子投标应安装客户端软件—“政采云电子交易客户端”，并按照招标文件和电子交易平台的要求编制并加密投标文件。投标人未按规定加密的投标文件，电子交易平台将拒收并提示。</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12.3使用“政采云电子交易客户端”需要提前申领CA数字证书，申领流程请自行前往“浙江政府采购网-下载专区-电子交易客户端-CA驱动和申领流程”进行查阅。</w:t>
      </w:r>
    </w:p>
    <w:p>
      <w:pPr>
        <w:pStyle w:val="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13.投标文件的签署、盖章</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13.1投标文件按照招标文件第六部分格式要求进行签署、盖章。▲投标人的投标文件未按照招标文件要求签署、盖章的，其投标无效。</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13.2为确保网上操作合法、有效和安全，投标人应当在投标截止时间前完成在“政府采购云平台”的身份认证，确保在电子投标过程中能够对相关数据电文进行加密和使用电子签名。</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13.3招标文件对投标文件签署、盖章的要求适用于电子签名。</w:t>
      </w:r>
    </w:p>
    <w:p>
      <w:pPr>
        <w:pStyle w:val="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14. 投标文件的提交、补充、修改、撤回</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14.3采购人、采购机构可以视情况延长投标文件提交的截止时间。在上述情况下，采购机构与投标人以前在投标截止期方面的全部权利、责任和义务，将适用于延长至新的投标截止期。</w:t>
      </w:r>
    </w:p>
    <w:p>
      <w:pPr>
        <w:pStyle w:val="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15.备份投标文件</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15.1投标人在电子交易平台传输递交投标文件后，还可以在投标截止时间前直接提交或者以邮政快递方式递交备份投标文件1份，但采购人、采购机构不强制或变相强制投标人提交备份投标文件。</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15.2备份投标文件须在“政采云投标客户端”制作生成，并储存在DVD光盘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15.3直接提交备份投标文件的，投标人应于投标截止时间前在招标公告中载明的开标地点将备份投标文件提交给采购机构，采购机构将拒绝接受逾期送达的备份投标文件。</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15.5投标人仅提交备份投标文件，未在电子交易平台传输递交投标文件的，投标无效。</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16.投标文件的无效处理</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有招标文件第四部分4.2规定的情形之一的，投标无效：</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17.投标有效期</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17.1投标有效期为从提交投标文件的截止之日起90天。▲投标人的投标文件中承诺的投标有效期少于招标文件中载明的投标有效期的，投标无效。</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17.2投标文件合格投递后，自投标截止日期起，在投标有效期内有效。</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17.3在原定投标有效期满之前，如果出现特殊情况，采购机构可以以书面形式通知投标人延长投标有效期。投标人同意延长的，不得要求或被允许修改其投标文件，投标人拒绝延长的，其投标无效。</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四、开标、资格审查与信用信息查询</w:t>
      </w:r>
    </w:p>
    <w:p>
      <w:pPr>
        <w:pStyle w:val="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18.开标 </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18.1采购机构按照招标文件规定的时间通过电子交易平台组织开标，所有投标人均应当准时在线参加。投标人不足3家的，不得开标。</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18.2开标时，电子交易平台按开标时间自动提取所有投标文件。采购机构依托电子交易平台发起开始解密指令，投标人按照平台提示和招标文件的规定在半小时内完成在线解密。</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18.3投标文件未按时解密，投标人提供了备份投标文件的，以备份投标文件作为依据，否则视为投标文件撤回。投标文件已按时解密的，备份投标文件自动失效。</w:t>
      </w:r>
    </w:p>
    <w:p>
      <w:pPr>
        <w:pStyle w:val="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19、资格审查</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19.1开标后，采购人或采购机构将依法对投标人的资格进行审查。</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19.2采购人或采购机构依据法律法规和招标文件的规定，对投标人的基本资格条件、特定资格条件进行审查。</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19.3投标人未按照招标文件要求提供与基本资格条件、特定资格条件相应的有效资格证明材料的，视为投标人不具备招标文件中规定的资格要求，其投标无效。</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19.4对未通过资格审查的投标人，采购人或采购机构告知其未通过的原因。</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19.5合格投标人不足3家的，不再评标。</w:t>
      </w:r>
    </w:p>
    <w:p>
      <w:pPr>
        <w:pStyle w:val="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20、信用信息查询</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20.1信用信息查询渠道及截止时间：采购机构将通过“信用中国”网站(www.creditchina.gov.cn)、中国政府采购网(www.ccgp.gov.cn)渠道查询投标人投标截止时间当天的信用记录。</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20.2信用信息查询记录和证据留存的具体方式：现场查询的投标人的信用记录、查询结果经确认后将与采购文件一起存档。</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20.3信用信息的使用规则：经查询列入失信被执行人名单、重大税收违法案件当事人名单（税收违法黑名单）、政府采购严重违法失信行为记录名单的投标人将被拒绝参与政府采购活动。</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五、评标</w:t>
      </w:r>
    </w:p>
    <w:p>
      <w:pPr>
        <w:pStyle w:val="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21. 评标</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评标办法。</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六、定 标</w:t>
      </w:r>
    </w:p>
    <w:p>
      <w:pPr>
        <w:pStyle w:val="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22. 确定中标供应商</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采购人将自收到评审报告之日起5个工作日内通过电子交易平台在评审报告推荐的中标候选人中按顺序确定中标供应商。</w:t>
      </w:r>
    </w:p>
    <w:p>
      <w:pPr>
        <w:pStyle w:val="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23. 中标通知与中标结果公告</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23.1自中标人确定之日起2个工作日内，采购机构通过电子交易平台向中标人发出中标通知书，同时编制发布采购结果公告。采购机构也可以以纸质形式进行中标通知。</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23.3公告期限为1个工作日。</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七、合同授予</w:t>
      </w:r>
    </w:p>
    <w:p>
      <w:pPr>
        <w:pStyle w:val="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24. 合同主要条款详见第五部分拟签订的合同文本。</w:t>
      </w:r>
    </w:p>
    <w:p>
      <w:pPr>
        <w:pStyle w:val="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25. 合同的签订</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25.1 采购人与中标人应当通过电子交易平台在中标通知书发出之日起三十日内，按照招标文件确定的事项签订政府采购合同，并在合同签订之日起2个工作日内依法发布合同公告。</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25.2中标人按规定的日期、时间、地点，由法定代表人或其授权代表与采购人代表签订合同。如中标人为联合体的，由联合体成员各方法定代表人或其授权代表与采购人代表签订合同。</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25.3如签订合同并生效后，供应商无故拒绝或延期，除按照合同条款处理外，列入不良行为记录一次，并给予通报。</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25.4中标供应商拒绝与采购人签订合同的，采购人可以按照评审报告推荐的中标或者成交候选人名单排序，确定下一候选人为中标供应商，也可以重新开展政府采购活动。</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25.5采购合同由采购人与中标供应商根据招标文件、投标文件等内容通过政府采购电子交易平台在线签订，自动备案。</w:t>
      </w:r>
    </w:p>
    <w:p>
      <w:pPr>
        <w:pStyle w:val="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26. 履约保证金</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拟签订的合同文本要求中标供应商提交履约保证金的，供应商应当以支票、汇票、本票或者金融机构、担保机构出具的保函等非现金形式提交。履约保证金的数额不得超过政府采购合同金额的1%。鼓励和支持供应商以银行、保险公司出具的保函形式提供履约保证金。采购人不得拒收履约保函，项目验收结束后应及时退还。</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政府采购货物和服务项目中，采购单位可根据杭州市政府采购网公布的供应商履约评价情况减免履约保证金。供应商履约验收评价总分为100分的，采购单位应当免收履约保证金；</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rPr>
          <w:rFonts w:hint="eastAsia" w:ascii="宋体" w:hAnsi="宋体" w:eastAsia="宋体" w:cs="宋体"/>
          <w:color w:val="000000" w:themeColor="text1"/>
          <w14:textFill>
            <w14:solidFill>
              <w14:schemeClr w14:val="tx1"/>
            </w14:solidFill>
          </w14:textFill>
        </w:rPr>
      </w:pPr>
    </w:p>
    <w:p>
      <w:pPr>
        <w:spacing w:line="276" w:lineRule="auto"/>
        <w:rPr>
          <w:rFonts w:hint="eastAsia" w:ascii="宋体" w:hAnsi="宋体" w:eastAsia="宋体" w:cs="宋体"/>
          <w:b/>
          <w:smallCaps/>
          <w:color w:val="000000" w:themeColor="text1"/>
          <w:sz w:val="28"/>
          <w:szCs w:val="28"/>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八、电子交易活动的中止</w:t>
      </w:r>
    </w:p>
    <w:p>
      <w:pPr>
        <w:pStyle w:val="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27. 电子交易活动的中止。</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采购过程中出现以下情形，导致电子交易平台无法正常运行，或者无法保证电子交易的公平、公正和安全时，采购机构可中止电子交易活动：</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27.1电子交易平台发生故障而无法登录访问的； </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27.2电子交易平台应用或数据库出现错误，不能进行正常操作的；</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27.3电子交易平台发现严重安全漏洞，有潜在泄密危险的；</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27.4病毒发作导致不能进行正常操作的； </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27.5其他无法保证电子交易的公平、公正和安全的情况。</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九、验收</w:t>
      </w:r>
    </w:p>
    <w:p>
      <w:pPr>
        <w:pStyle w:val="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29.验收</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29.1采购人应当组织对供应商履约的验收。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之时已有新文件，按照最新文件执行）。存在隐蔽工程的项目，采购单位及供应商应在货物到货并将实施安装前，申请进行初验收。</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联系电话: 0571-83587785/0571-82816012  联系地址: 萧山区通惠北路2-1号302室</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29.2采购人组织对供应商履约的验收。除29.1情形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pacing w:line="276"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3"/>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第三部分   采购需求</w:t>
      </w:r>
    </w:p>
    <w:p>
      <w:pPr>
        <w:snapToGrid w:val="0"/>
        <w:rPr>
          <w:rStyle w:val="51"/>
          <w:rFonts w:hint="eastAsia" w:ascii="宋体" w:hAnsi="宋体" w:eastAsia="宋体" w:cs="宋体"/>
          <w:i w:val="0"/>
          <w:iCs w:val="0"/>
          <w:color w:val="000000" w:themeColor="text1"/>
          <w14:textFill>
            <w14:solidFill>
              <w14:schemeClr w14:val="tx1"/>
            </w14:solidFill>
          </w14:textFill>
        </w:rPr>
      </w:pPr>
      <w:r>
        <w:rPr>
          <w:rStyle w:val="51"/>
          <w:rFonts w:hint="eastAsia" w:ascii="宋体" w:hAnsi="宋体" w:eastAsia="宋体" w:cs="宋体"/>
          <w:i w:val="0"/>
          <w:iCs w:val="0"/>
          <w:color w:val="000000" w:themeColor="text1"/>
          <w14:textFill>
            <w14:solidFill>
              <w14:schemeClr w14:val="tx1"/>
            </w14:solidFill>
          </w14:textFill>
        </w:rPr>
        <w:t>属于实质性要求条款的，请用符号“▲”标明，否则属于非实质性要求。</w:t>
      </w:r>
    </w:p>
    <w:p>
      <w:pPr>
        <w:snapToGrid w:val="0"/>
        <w:rPr>
          <w:rStyle w:val="51"/>
          <w:rFonts w:hint="eastAsia" w:ascii="宋体" w:hAnsi="宋体" w:eastAsia="宋体" w:cs="宋体"/>
          <w:i w:val="0"/>
          <w:iCs w:val="0"/>
          <w:color w:val="000000" w:themeColor="text1"/>
          <w14:textFill>
            <w14:solidFill>
              <w14:schemeClr w14:val="tx1"/>
            </w14:solidFill>
          </w14:textFill>
        </w:rPr>
      </w:pPr>
      <w:r>
        <w:rPr>
          <w:rStyle w:val="51"/>
          <w:rFonts w:hint="eastAsia" w:ascii="宋体" w:hAnsi="宋体" w:eastAsia="宋体" w:cs="宋体"/>
          <w:i w:val="0"/>
          <w:iCs w:val="0"/>
          <w:color w:val="000000" w:themeColor="text1"/>
          <w14:textFill>
            <w14:solidFill>
              <w14:schemeClr w14:val="tx1"/>
            </w14:solidFill>
          </w14:textFill>
        </w:rPr>
        <w:t>“★”系产品采购项目中单一产品或核心产品。</w:t>
      </w:r>
    </w:p>
    <w:p>
      <w:pPr>
        <w:numPr>
          <w:ilvl w:val="0"/>
          <w:numId w:val="2"/>
        </w:numPr>
        <w:spacing w:line="360" w:lineRule="auto"/>
        <w:ind w:left="360" w:hanging="360"/>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交易一览表</w:t>
      </w:r>
    </w:p>
    <w:p>
      <w:pPr>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交易项：一</w:t>
      </w:r>
    </w:p>
    <w:tbl>
      <w:tblPr>
        <w:tblStyle w:val="25"/>
        <w:tblW w:w="8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551"/>
        <w:gridCol w:w="850"/>
        <w:gridCol w:w="851"/>
        <w:gridCol w:w="1309"/>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88" w:type="dxa"/>
            <w:vAlign w:val="center"/>
          </w:tcPr>
          <w:p>
            <w:pPr>
              <w:jc w:val="center"/>
              <w:rPr>
                <w:rFonts w:hint="eastAsia" w:ascii="宋体" w:hAnsi="宋体" w:eastAsia="宋体" w:cs="宋体"/>
                <w:b/>
                <w:color w:val="000000" w:themeColor="text1"/>
                <w:sz w:val="24"/>
                <w14:textFill>
                  <w14:solidFill>
                    <w14:schemeClr w14:val="tx1"/>
                  </w14:solidFill>
                </w14:textFill>
              </w:rPr>
            </w:pPr>
            <w:bookmarkStart w:id="4" w:name="_二期网络工程项目改造需求"/>
            <w:bookmarkEnd w:id="4"/>
            <w:r>
              <w:rPr>
                <w:rFonts w:hint="eastAsia" w:ascii="宋体" w:hAnsi="宋体" w:eastAsia="宋体" w:cs="宋体"/>
                <w:b/>
                <w:color w:val="000000" w:themeColor="text1"/>
                <w:sz w:val="24"/>
                <w14:textFill>
                  <w14:solidFill>
                    <w14:schemeClr w14:val="tx1"/>
                  </w14:solidFill>
                </w14:textFill>
              </w:rPr>
              <w:t>交易项</w:t>
            </w:r>
          </w:p>
        </w:tc>
        <w:tc>
          <w:tcPr>
            <w:tcW w:w="2551" w:type="dxa"/>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项目内容</w:t>
            </w:r>
          </w:p>
        </w:tc>
        <w:tc>
          <w:tcPr>
            <w:tcW w:w="850" w:type="dxa"/>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单位</w:t>
            </w:r>
          </w:p>
        </w:tc>
        <w:tc>
          <w:tcPr>
            <w:tcW w:w="851" w:type="dxa"/>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数量</w:t>
            </w:r>
          </w:p>
        </w:tc>
        <w:tc>
          <w:tcPr>
            <w:tcW w:w="1309" w:type="dxa"/>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参考品牌</w:t>
            </w:r>
          </w:p>
        </w:tc>
        <w:tc>
          <w:tcPr>
            <w:tcW w:w="2048" w:type="dxa"/>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是否为核心产品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3" w:hRule="atLeast"/>
          <w:jc w:val="center"/>
        </w:trPr>
        <w:tc>
          <w:tcPr>
            <w:tcW w:w="988" w:type="dxa"/>
            <w:vAlign w:val="center"/>
          </w:tcPr>
          <w:p>
            <w:pPr>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p>
        </w:tc>
        <w:tc>
          <w:tcPr>
            <w:tcW w:w="2551" w:type="dxa"/>
            <w:vAlign w:val="center"/>
          </w:tcPr>
          <w:p>
            <w:pPr>
              <w:jc w:val="left"/>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lang w:eastAsia="zh-CN"/>
                <w14:textFill>
                  <w14:solidFill>
                    <w14:schemeClr w14:val="tx1"/>
                  </w14:solidFill>
                </w14:textFill>
              </w:rPr>
              <w:t>杭州市萧山区综合交通信息指挥中心二期项目</w:t>
            </w:r>
          </w:p>
        </w:tc>
        <w:tc>
          <w:tcPr>
            <w:tcW w:w="850" w:type="dxa"/>
            <w:vAlign w:val="center"/>
          </w:tcPr>
          <w:p>
            <w:pPr>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批</w:t>
            </w:r>
          </w:p>
        </w:tc>
        <w:tc>
          <w:tcPr>
            <w:tcW w:w="851" w:type="dxa"/>
            <w:vAlign w:val="center"/>
          </w:tcPr>
          <w:p>
            <w:pPr>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p>
        </w:tc>
        <w:tc>
          <w:tcPr>
            <w:tcW w:w="1309" w:type="dxa"/>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w:t>
            </w:r>
          </w:p>
        </w:tc>
        <w:tc>
          <w:tcPr>
            <w:tcW w:w="2048" w:type="dxa"/>
            <w:vAlign w:val="center"/>
          </w:tcPr>
          <w:p>
            <w:pPr>
              <w:jc w:val="center"/>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w:t>
            </w:r>
          </w:p>
        </w:tc>
      </w:tr>
    </w:tbl>
    <w:p>
      <w:pPr>
        <w:widowControl w:val="0"/>
        <w:adjustRightInd/>
        <w:spacing w:after="0" w:line="440" w:lineRule="exact"/>
        <w:jc w:val="both"/>
        <w:rPr>
          <w:rFonts w:hint="eastAsia" w:ascii="宋体" w:hAnsi="宋体" w:eastAsia="宋体" w:cs="宋体"/>
          <w:b/>
          <w:bCs w:val="0"/>
          <w:color w:val="000000" w:themeColor="text1"/>
          <w:kern w:val="44"/>
          <w:sz w:val="32"/>
          <w:szCs w:val="44"/>
          <w:lang w:val="en-US" w:eastAsia="zh-CN" w:bidi="ar-SA"/>
          <w14:textFill>
            <w14:solidFill>
              <w14:schemeClr w14:val="tx1"/>
            </w14:solidFill>
          </w14:textFill>
        </w:rPr>
      </w:pPr>
    </w:p>
    <w:p>
      <w:pPr>
        <w:keepNext/>
        <w:keepLines/>
        <w:widowControl w:val="0"/>
        <w:numPr>
          <w:ilvl w:val="0"/>
          <w:numId w:val="3"/>
        </w:numPr>
        <w:tabs>
          <w:tab w:val="left" w:pos="0"/>
        </w:tabs>
        <w:spacing w:before="312" w:beforeLines="100" w:after="156" w:afterLines="50" w:line="360" w:lineRule="auto"/>
        <w:ind w:firstLine="200" w:firstLineChars="0"/>
        <w:jc w:val="left"/>
        <w:outlineLvl w:val="0"/>
        <w:rPr>
          <w:rFonts w:ascii="宋体" w:hAnsi="宋体" w:eastAsia="宋体" w:cs="Times New Roman"/>
          <w:b/>
          <w:bCs w:val="0"/>
          <w:color w:val="000000" w:themeColor="text1"/>
          <w:kern w:val="44"/>
          <w:sz w:val="32"/>
          <w:szCs w:val="44"/>
          <w:lang w:val="zh-CN" w:eastAsia="zh-CN" w:bidi="ar-SA"/>
          <w14:textFill>
            <w14:solidFill>
              <w14:schemeClr w14:val="tx1"/>
            </w14:solidFill>
          </w14:textFill>
        </w:rPr>
      </w:pPr>
      <w:r>
        <w:rPr>
          <w:rFonts w:hint="eastAsia" w:ascii="宋体" w:hAnsi="宋体" w:eastAsia="宋体" w:cs="Times New Roman"/>
          <w:b/>
          <w:bCs w:val="0"/>
          <w:color w:val="000000" w:themeColor="text1"/>
          <w:kern w:val="44"/>
          <w:sz w:val="32"/>
          <w:szCs w:val="44"/>
          <w:lang w:val="zh-CN" w:eastAsia="zh-CN" w:bidi="ar-SA"/>
          <w14:textFill>
            <w14:solidFill>
              <w14:schemeClr w14:val="tx1"/>
            </w14:solidFill>
          </w14:textFill>
        </w:rPr>
        <w:t>建设背景</w:t>
      </w:r>
    </w:p>
    <w:p>
      <w:pPr>
        <w:widowControl w:val="0"/>
        <w:spacing w:after="0" w:line="360" w:lineRule="auto"/>
        <w:ind w:firstLine="480" w:firstLineChars="200"/>
        <w:jc w:val="both"/>
        <w:rPr>
          <w:rFonts w:ascii="宋体" w:hAnsi="宋体" w:eastAsia="宋体" w:cs="Times New Roman"/>
          <w:color w:val="000000" w:themeColor="text1"/>
          <w:kern w:val="2"/>
          <w:szCs w:val="20"/>
          <w:lang w:val="zh-CN"/>
          <w14:textFill>
            <w14:solidFill>
              <w14:schemeClr w14:val="tx1"/>
            </w14:solidFill>
          </w14:textFill>
        </w:rPr>
      </w:pPr>
      <w:r>
        <w:rPr>
          <w:rFonts w:hint="eastAsia" w:ascii="宋体" w:hAnsi="宋体" w:eastAsia="宋体" w:cs="Times New Roman"/>
          <w:color w:val="000000" w:themeColor="text1"/>
          <w:kern w:val="2"/>
          <w:szCs w:val="20"/>
          <w:lang w:val="zh-CN"/>
          <w14:textFill>
            <w14:solidFill>
              <w14:schemeClr w14:val="tx1"/>
            </w14:solidFill>
          </w14:textFill>
        </w:rPr>
        <w:t>经过萧山区综合交通信息指挥中心一期项目的建设，萧山交通运输系统信息化水平大幅提升，交通信息数据质量和采集内容得到增强，交通出行服务信息化明显提高，但在智慧交通平台的感知化、业务化、移动化、数据化等方面，仍有较大的提升空间。随着亚运会会期将近，届时将吸引大量的客流从全国各地、世界各地来到杭州、来到萧山，进行参会观光。交通作为参会的第一步体验，具有重要的形象展示和服务能力展示作用。在尽可能保障城市居民基本交通出行的基础上，利用信息化手段提升对萧山交通行业治理，彰显萧山交通运输面貌。</w:t>
      </w:r>
    </w:p>
    <w:p>
      <w:pPr>
        <w:widowControl w:val="0"/>
        <w:spacing w:after="0" w:line="360" w:lineRule="auto"/>
        <w:ind w:firstLine="480" w:firstLineChars="200"/>
        <w:jc w:val="both"/>
        <w:rPr>
          <w:rFonts w:ascii="宋体" w:hAnsi="宋体" w:eastAsia="宋体" w:cs="Times New Roman"/>
          <w:color w:val="000000" w:themeColor="text1"/>
          <w:kern w:val="2"/>
          <w:szCs w:val="20"/>
          <w:lang w:val="zh-CN"/>
          <w14:textFill>
            <w14:solidFill>
              <w14:schemeClr w14:val="tx1"/>
            </w14:solidFill>
          </w14:textFill>
        </w:rPr>
      </w:pPr>
      <w:r>
        <w:rPr>
          <w:rFonts w:hint="eastAsia" w:ascii="宋体" w:hAnsi="宋体" w:eastAsia="宋体" w:cs="Times New Roman"/>
          <w:color w:val="000000" w:themeColor="text1"/>
          <w:kern w:val="2"/>
          <w:szCs w:val="20"/>
          <w:lang w:val="zh-CN"/>
          <w14:textFill>
            <w14:solidFill>
              <w14:schemeClr w14:val="tx1"/>
            </w14:solidFill>
          </w14:textFill>
        </w:rPr>
        <w:t>本期项目将借力“人工智能、互联网+、大数据”等新一代技术，在国务院《国家综合立体交通网规划纲要》、国务院《交通强国建设纲要》、交通运输部《数字交通发展规划纲要》、交通运输部《推进综合交通运输大数据发展行动纲要（2020-2025年）》、中共浙江省委《浙江省数字化改革总体方案》、浙江省交通运输厅《浙江省交通数字化改革行动方案》等指导下，加快新基建和交通运输领域的深度融合，建立覆盖交通运行状态感知、运输动态信息服务、交通行业管理等全方位的数字交通管理与服务体系，实现交通信息服务精准化、交通管理精细化、交通决策科学化，进一步提升萧山区全域交通智慧化设施和管控水平，引领萧山交通运输行业转型升级。</w:t>
      </w:r>
    </w:p>
    <w:p>
      <w:pPr>
        <w:keepNext/>
        <w:keepLines/>
        <w:widowControl w:val="0"/>
        <w:numPr>
          <w:ilvl w:val="0"/>
          <w:numId w:val="3"/>
        </w:numPr>
        <w:tabs>
          <w:tab w:val="left" w:pos="0"/>
        </w:tabs>
        <w:spacing w:before="312" w:beforeLines="100" w:after="156" w:afterLines="50" w:line="360" w:lineRule="auto"/>
        <w:ind w:firstLine="200" w:firstLineChars="0"/>
        <w:jc w:val="left"/>
        <w:outlineLvl w:val="0"/>
        <w:rPr>
          <w:rFonts w:ascii="宋体" w:hAnsi="宋体" w:eastAsia="宋体" w:cs="宋体"/>
          <w:b/>
          <w:bCs w:val="0"/>
          <w:color w:val="000000" w:themeColor="text1"/>
          <w:kern w:val="44"/>
          <w:sz w:val="32"/>
          <w:szCs w:val="44"/>
          <w:lang w:val="zh-CN" w:eastAsia="zh-CN" w:bidi="ar-SA"/>
          <w14:textFill>
            <w14:solidFill>
              <w14:schemeClr w14:val="tx1"/>
            </w14:solidFill>
          </w14:textFill>
        </w:rPr>
      </w:pPr>
      <w:r>
        <w:rPr>
          <w:rFonts w:hint="eastAsia" w:ascii="宋体" w:hAnsi="宋体" w:eastAsia="宋体" w:cs="宋体"/>
          <w:b/>
          <w:bCs w:val="0"/>
          <w:color w:val="000000" w:themeColor="text1"/>
          <w:kern w:val="44"/>
          <w:sz w:val="32"/>
          <w:szCs w:val="44"/>
          <w:lang w:val="zh-CN" w:eastAsia="zh-CN" w:bidi="ar-SA"/>
          <w14:textFill>
            <w14:solidFill>
              <w14:schemeClr w14:val="tx1"/>
            </w14:solidFill>
          </w14:textFill>
        </w:rPr>
        <w:t>建设目标</w:t>
      </w:r>
    </w:p>
    <w:p>
      <w:pPr>
        <w:widowControl w:val="0"/>
        <w:spacing w:after="0" w:line="360" w:lineRule="auto"/>
        <w:ind w:firstLine="480" w:firstLineChars="200"/>
        <w:jc w:val="both"/>
        <w:rPr>
          <w:rFonts w:ascii="宋体" w:hAnsi="宋体" w:eastAsia="宋体" w:cs="Times New Roman"/>
          <w:color w:val="000000" w:themeColor="text1"/>
          <w:kern w:val="2"/>
          <w:szCs w:val="20"/>
          <w:lang w:val="zh-CN"/>
          <w14:textFill>
            <w14:solidFill>
              <w14:schemeClr w14:val="tx1"/>
            </w14:solidFill>
          </w14:textFill>
        </w:rPr>
      </w:pPr>
      <w:r>
        <w:rPr>
          <w:rFonts w:hint="eastAsia" w:ascii="宋体" w:hAnsi="宋体" w:eastAsia="宋体" w:cs="Times New Roman"/>
          <w:color w:val="000000" w:themeColor="text1"/>
          <w:kern w:val="2"/>
          <w:szCs w:val="20"/>
          <w:lang w:val="zh-CN"/>
          <w14:textFill>
            <w14:solidFill>
              <w14:schemeClr w14:val="tx1"/>
            </w14:solidFill>
          </w14:textFill>
        </w:rPr>
        <w:t>深入贯彻数字化改革的中心思想，围绕建设数字浙江目标，统筹运用数字化技术、数字化思维、数字化认知，把数字化、一体化、现代化贯穿于本次智慧交通项目的建设中。把握一体化、全方位、制度重塑、数字赋能、现代化的改革特征；聚焦数字政府、数字经济、数字社会、数字法治的改革重点，在根本上实现萧山区域整体智治、高效协同，努力成为“重要窗口”的重大标志性成果。进一步整合、完善萧山区交通运输系统信息化基础设施和信息资源，进一步丰富综合交通大数据枢纽数字资源，构建一流的保障体系，创造一流的通行环境，提供一流的出行服务，确保亚运期间通行顺畅、路域环境良好、运输安全高效、应急保障有力，实现萧山区日常及亚运赛会期间交通安全、畅通，亚运保障圆满、高效；市民出行舒心、便捷。</w:t>
      </w:r>
    </w:p>
    <w:p>
      <w:pPr>
        <w:widowControl w:val="0"/>
        <w:spacing w:after="0" w:line="360" w:lineRule="auto"/>
        <w:ind w:firstLine="480" w:firstLineChars="200"/>
        <w:jc w:val="both"/>
        <w:rPr>
          <w:rFonts w:ascii="宋体" w:hAnsi="宋体" w:eastAsia="宋体" w:cs="Times New Roman"/>
          <w:color w:val="000000" w:themeColor="text1"/>
          <w:kern w:val="2"/>
          <w:szCs w:val="20"/>
          <w:lang w:val="zh-CN"/>
          <w14:textFill>
            <w14:solidFill>
              <w14:schemeClr w14:val="tx1"/>
            </w14:solidFill>
          </w14:textFill>
        </w:rPr>
      </w:pPr>
      <w:r>
        <w:rPr>
          <w:rFonts w:hint="eastAsia" w:ascii="宋体" w:hAnsi="宋体" w:eastAsia="宋体" w:cs="Times New Roman"/>
          <w:color w:val="000000" w:themeColor="text1"/>
          <w:kern w:val="2"/>
          <w:szCs w:val="20"/>
          <w:lang w:val="zh-CN"/>
          <w14:textFill>
            <w14:solidFill>
              <w14:schemeClr w14:val="tx1"/>
            </w14:solidFill>
          </w14:textFill>
        </w:rPr>
        <w:t>（1）实现数字赋能大型活动期间交通运输组织保障</w:t>
      </w:r>
    </w:p>
    <w:p>
      <w:pPr>
        <w:widowControl w:val="0"/>
        <w:spacing w:after="0" w:line="360" w:lineRule="auto"/>
        <w:ind w:firstLine="480" w:firstLineChars="200"/>
        <w:jc w:val="both"/>
        <w:rPr>
          <w:rFonts w:ascii="宋体" w:hAnsi="宋体" w:eastAsia="宋体" w:cs="Times New Roman"/>
          <w:color w:val="000000" w:themeColor="text1"/>
          <w:kern w:val="2"/>
          <w:szCs w:val="20"/>
          <w:lang w:val="zh-CN"/>
          <w14:textFill>
            <w14:solidFill>
              <w14:schemeClr w14:val="tx1"/>
            </w14:solidFill>
          </w14:textFill>
        </w:rPr>
      </w:pPr>
      <w:r>
        <w:rPr>
          <w:rFonts w:hint="eastAsia" w:ascii="宋体" w:hAnsi="宋体" w:eastAsia="宋体" w:cs="Times New Roman"/>
          <w:color w:val="000000" w:themeColor="text1"/>
          <w:kern w:val="2"/>
          <w:szCs w:val="20"/>
          <w:lang w:val="zh-CN"/>
          <w14:textFill>
            <w14:solidFill>
              <w14:schemeClr w14:val="tx1"/>
            </w14:solidFill>
          </w14:textFill>
        </w:rPr>
        <w:t>确保亚运会等大型活动举办期间交通运输的安全有序、先进便捷，形成萧山交通运输可持续发展的机制，满足大型活动交通运输一体化协同指挥调度机制需求，运用信息化手段分析研判大型活动期间客流需求，为预案制定、运力调度提供切实有据的辅助决策，赋能大型活动期间交通运输组织保障工作有序开展，解决大型活动智慧交通系统建设、运行、保障的引领性问题。</w:t>
      </w:r>
    </w:p>
    <w:p>
      <w:pPr>
        <w:widowControl w:val="0"/>
        <w:spacing w:after="0" w:line="360" w:lineRule="auto"/>
        <w:ind w:firstLine="480" w:firstLineChars="200"/>
        <w:jc w:val="both"/>
        <w:rPr>
          <w:rFonts w:ascii="宋体" w:hAnsi="宋体" w:eastAsia="宋体" w:cs="Times New Roman"/>
          <w:color w:val="000000" w:themeColor="text1"/>
          <w:kern w:val="2"/>
          <w:szCs w:val="20"/>
          <w:lang w:val="zh-CN"/>
          <w14:textFill>
            <w14:solidFill>
              <w14:schemeClr w14:val="tx1"/>
            </w14:solidFill>
          </w14:textFill>
        </w:rPr>
      </w:pPr>
      <w:r>
        <w:rPr>
          <w:rFonts w:hint="eastAsia" w:ascii="宋体" w:hAnsi="宋体" w:eastAsia="宋体" w:cs="Times New Roman"/>
          <w:color w:val="000000" w:themeColor="text1"/>
          <w:kern w:val="2"/>
          <w:szCs w:val="20"/>
          <w:lang w:val="zh-CN"/>
          <w14:textFill>
            <w14:solidFill>
              <w14:schemeClr w14:val="tx1"/>
            </w14:solidFill>
          </w14:textFill>
        </w:rPr>
        <w:t>（2）实现疫情常态下交通转运快速响应、精准调度</w:t>
      </w:r>
    </w:p>
    <w:p>
      <w:pPr>
        <w:widowControl w:val="0"/>
        <w:spacing w:after="0" w:line="360" w:lineRule="auto"/>
        <w:ind w:firstLine="480" w:firstLineChars="200"/>
        <w:jc w:val="both"/>
        <w:rPr>
          <w:rFonts w:ascii="宋体" w:hAnsi="宋体" w:eastAsia="宋体" w:cs="Times New Roman"/>
          <w:color w:val="000000" w:themeColor="text1"/>
          <w:kern w:val="2"/>
          <w:szCs w:val="20"/>
          <w:lang w:val="zh-CN"/>
          <w14:textFill>
            <w14:solidFill>
              <w14:schemeClr w14:val="tx1"/>
            </w14:solidFill>
          </w14:textFill>
        </w:rPr>
      </w:pPr>
      <w:r>
        <w:rPr>
          <w:rFonts w:hint="eastAsia" w:ascii="宋体" w:hAnsi="宋体" w:eastAsia="宋体" w:cs="Times New Roman"/>
          <w:color w:val="000000" w:themeColor="text1"/>
          <w:kern w:val="2"/>
          <w:szCs w:val="20"/>
          <w:lang w:val="zh-CN"/>
          <w14:textFill>
            <w14:solidFill>
              <w14:schemeClr w14:val="tx1"/>
            </w14:solidFill>
          </w14:textFill>
        </w:rPr>
        <w:t>交通运输部门作为疫情防控转运的关键执行者，更需借助数字化手段，构建防疫转运一张图，动态统筹转运车辆等防疫要素的部署及调度，通过转运任务全面线上流转、线上闭环执行的方式，与时间赛跑，提升疫情防控转运效率，落实防疫转运任务点对点精确完成，助力疫情防控交通转运环节增能提效，减轻转运一线工作人员负担。同时可全面分析研判疫情防控转运相关资源使用情况，为后期防疫工作调度部署提供辅助决策支持。</w:t>
      </w:r>
    </w:p>
    <w:p>
      <w:pPr>
        <w:widowControl w:val="0"/>
        <w:spacing w:after="0" w:line="360" w:lineRule="auto"/>
        <w:ind w:firstLine="480" w:firstLineChars="200"/>
        <w:jc w:val="both"/>
        <w:rPr>
          <w:rFonts w:ascii="宋体" w:hAnsi="宋体" w:eastAsia="宋体" w:cs="Times New Roman"/>
          <w:color w:val="000000" w:themeColor="text1"/>
          <w:kern w:val="2"/>
          <w:szCs w:val="20"/>
          <w:lang w:val="zh-CN"/>
          <w14:textFill>
            <w14:solidFill>
              <w14:schemeClr w14:val="tx1"/>
            </w14:solidFill>
          </w14:textFill>
        </w:rPr>
      </w:pPr>
      <w:r>
        <w:rPr>
          <w:rFonts w:hint="eastAsia" w:ascii="宋体" w:hAnsi="宋体" w:eastAsia="宋体" w:cs="Times New Roman"/>
          <w:color w:val="000000" w:themeColor="text1"/>
          <w:kern w:val="2"/>
          <w:szCs w:val="20"/>
          <w:lang w:val="zh-CN"/>
          <w14:textFill>
            <w14:solidFill>
              <w14:schemeClr w14:val="tx1"/>
            </w14:solidFill>
          </w14:textFill>
        </w:rPr>
        <w:t>（3）迎亚运环境整治，推进交通运输行业精准治理</w:t>
      </w:r>
    </w:p>
    <w:p>
      <w:pPr>
        <w:widowControl w:val="0"/>
        <w:spacing w:after="0" w:line="360" w:lineRule="auto"/>
        <w:ind w:firstLine="480" w:firstLineChars="200"/>
        <w:jc w:val="both"/>
        <w:rPr>
          <w:rFonts w:ascii="宋体" w:hAnsi="宋体" w:eastAsia="宋体" w:cs="Times New Roman"/>
          <w:color w:val="000000" w:themeColor="text1"/>
          <w:kern w:val="2"/>
          <w:szCs w:val="20"/>
          <w:lang w:val="zh-CN"/>
          <w14:textFill>
            <w14:solidFill>
              <w14:schemeClr w14:val="tx1"/>
            </w14:solidFill>
          </w14:textFill>
        </w:rPr>
      </w:pPr>
      <w:r>
        <w:rPr>
          <w:rFonts w:hint="eastAsia" w:ascii="宋体" w:hAnsi="宋体" w:eastAsia="宋体" w:cs="Times New Roman"/>
          <w:color w:val="000000" w:themeColor="text1"/>
          <w:kern w:val="2"/>
          <w:szCs w:val="20"/>
          <w:lang w:val="zh-CN"/>
          <w14:textFill>
            <w14:solidFill>
              <w14:schemeClr w14:val="tx1"/>
            </w14:solidFill>
          </w14:textFill>
        </w:rPr>
        <w:t>深入贯彻落实习近平总书记关于安全生产的重要指示批示精神，深刻汲取“9·28 ”特大道路交通事故教训，坚决有力抓好“遏重大”攻坚行动和平安交通年建设年活动，有效维护道路客运市场秩序，消除行业风险隐患和突出问题，保障人民群众的生命财产安全，依据《浙江省道路客运“数字打非”工作规范》等有关规定，进一步完善接入重点车辆相关数据信息，针对性提高打击客运各类非法营运、超限运输、行业企业管理等重点行业场景的力度，全面优化大数据运用能力，实现精确分析、精准管控、精细管理和精心服务，为亚运会营造良好的交通运输市场环境。</w:t>
      </w:r>
    </w:p>
    <w:p>
      <w:pPr>
        <w:widowControl w:val="0"/>
        <w:spacing w:after="0" w:line="360" w:lineRule="auto"/>
        <w:ind w:firstLine="480" w:firstLineChars="200"/>
        <w:jc w:val="both"/>
        <w:rPr>
          <w:rFonts w:ascii="宋体" w:hAnsi="宋体" w:eastAsia="宋体" w:cs="Times New Roman"/>
          <w:color w:val="000000" w:themeColor="text1"/>
          <w:kern w:val="2"/>
          <w:szCs w:val="20"/>
          <w:lang w:val="zh-CN"/>
          <w14:textFill>
            <w14:solidFill>
              <w14:schemeClr w14:val="tx1"/>
            </w14:solidFill>
          </w14:textFill>
        </w:rPr>
      </w:pPr>
      <w:r>
        <w:rPr>
          <w:rFonts w:hint="eastAsia" w:ascii="宋体" w:hAnsi="宋体" w:eastAsia="宋体" w:cs="Times New Roman"/>
          <w:color w:val="000000" w:themeColor="text1"/>
          <w:kern w:val="2"/>
          <w:szCs w:val="20"/>
          <w:lang w:val="zh-CN"/>
          <w14:textFill>
            <w14:solidFill>
              <w14:schemeClr w14:val="tx1"/>
            </w14:solidFill>
          </w14:textFill>
        </w:rPr>
        <w:t>（4）提升完善可视化的交通运输应急指挥平台</w:t>
      </w:r>
    </w:p>
    <w:p>
      <w:pPr>
        <w:widowControl w:val="0"/>
        <w:spacing w:after="0" w:line="360" w:lineRule="auto"/>
        <w:ind w:firstLine="480" w:firstLineChars="200"/>
        <w:jc w:val="both"/>
        <w:rPr>
          <w:rFonts w:ascii="宋体" w:hAnsi="宋体" w:eastAsia="宋体" w:cs="Times New Roman"/>
          <w:color w:val="000000" w:themeColor="text1"/>
          <w:kern w:val="2"/>
          <w:szCs w:val="20"/>
          <w:lang w:val="zh-CN"/>
          <w14:textFill>
            <w14:solidFill>
              <w14:schemeClr w14:val="tx1"/>
            </w14:solidFill>
          </w14:textFill>
        </w:rPr>
      </w:pPr>
      <w:r>
        <w:rPr>
          <w:rFonts w:hint="eastAsia" w:ascii="宋体" w:hAnsi="宋体" w:eastAsia="宋体" w:cs="Times New Roman"/>
          <w:color w:val="000000" w:themeColor="text1"/>
          <w:kern w:val="2"/>
          <w:szCs w:val="20"/>
          <w:lang w:val="zh-CN"/>
          <w14:textFill>
            <w14:solidFill>
              <w14:schemeClr w14:val="tx1"/>
            </w14:solidFill>
          </w14:textFill>
        </w:rPr>
        <w:t>通过整合道路、车辆、人员、物资等资源，建立快速信息通道，构建智能化可视化应急指挥系统，提供灾害性天气和重大突发事件的决策信息支持手段，形成信息快速获取、快速响应、快速处置、快速反馈的能力，实现应急指挥与多部门协调联动。依托指挥中心融合通信系统可与执法车辆车载视频监控系统、卫星定位系统、手持单兵设备以及应急指挥智能终端等进行相互通信，实现应急事件信息和现场实时视频、数据的上传下达、协调联动，并以可视化形式动态展现，满足应急管理要求。以提高交通运输应急保障能力为核心，按照预防与应急并重、常态与非常态结合的要求，全面提升萧山区交通运输行业应急处置能力、管理效率和信息服务水平，为保障亚运期间交通运输行业安全有序畅通提供有力支撑。</w:t>
      </w:r>
    </w:p>
    <w:p>
      <w:pPr>
        <w:widowControl w:val="0"/>
        <w:spacing w:after="0" w:line="360" w:lineRule="auto"/>
        <w:ind w:firstLine="480" w:firstLineChars="200"/>
        <w:jc w:val="both"/>
        <w:rPr>
          <w:rFonts w:ascii="宋体" w:hAnsi="宋体" w:eastAsia="宋体" w:cs="Times New Roman"/>
          <w:color w:val="000000" w:themeColor="text1"/>
          <w:kern w:val="2"/>
          <w:szCs w:val="20"/>
          <w:lang w:val="zh-CN"/>
          <w14:textFill>
            <w14:solidFill>
              <w14:schemeClr w14:val="tx1"/>
            </w14:solidFill>
          </w14:textFill>
        </w:rPr>
      </w:pPr>
      <w:r>
        <w:rPr>
          <w:rFonts w:hint="eastAsia" w:ascii="宋体" w:hAnsi="宋体" w:eastAsia="宋体" w:cs="Times New Roman"/>
          <w:color w:val="000000" w:themeColor="text1"/>
          <w:kern w:val="2"/>
          <w:szCs w:val="20"/>
          <w:lang w:val="zh-CN"/>
          <w14:textFill>
            <w14:solidFill>
              <w14:schemeClr w14:val="tx1"/>
            </w14:solidFill>
          </w14:textFill>
        </w:rPr>
        <w:t>（5）完善公众出行信息服务</w:t>
      </w:r>
    </w:p>
    <w:p>
      <w:pPr>
        <w:widowControl w:val="0"/>
        <w:spacing w:after="0" w:line="360" w:lineRule="auto"/>
        <w:ind w:firstLine="480" w:firstLineChars="200"/>
        <w:jc w:val="both"/>
        <w:rPr>
          <w:rFonts w:ascii="宋体" w:hAnsi="宋体" w:eastAsia="宋体" w:cs="Times New Roman"/>
          <w:color w:val="000000" w:themeColor="text1"/>
          <w:kern w:val="2"/>
          <w:szCs w:val="20"/>
          <w:lang w:val="zh-CN"/>
          <w14:textFill>
            <w14:solidFill>
              <w14:schemeClr w14:val="tx1"/>
            </w14:solidFill>
          </w14:textFill>
        </w:rPr>
      </w:pPr>
      <w:r>
        <w:rPr>
          <w:rFonts w:hint="eastAsia" w:ascii="宋体" w:hAnsi="宋体" w:eastAsia="宋体" w:cs="Times New Roman"/>
          <w:color w:val="000000" w:themeColor="text1"/>
          <w:kern w:val="2"/>
          <w:szCs w:val="20"/>
          <w:lang w:val="zh-CN"/>
          <w14:textFill>
            <w14:solidFill>
              <w14:schemeClr w14:val="tx1"/>
            </w14:solidFill>
          </w14:textFill>
        </w:rPr>
        <w:t>结合公众出行需求，结合萧山特色深化“浙里办”，构建本地适用“浙里畅行”功能模块，实现交通服务不止交通，更能辐射萧山市民生活的方方面面。以移动端为依托，梳理交通统一服务热线受理记录中市民出行咨询的热点问题，大型活动期间发布出行导引信息、交通管制信息，设置热点问题一键查的功能，为公众提供“一站式”、多维度、精细化定制型交通信息出行服务。</w:t>
      </w:r>
    </w:p>
    <w:p>
      <w:pPr>
        <w:widowControl w:val="0"/>
        <w:spacing w:after="0" w:line="360" w:lineRule="auto"/>
        <w:ind w:firstLine="480" w:firstLineChars="200"/>
        <w:jc w:val="both"/>
        <w:rPr>
          <w:rFonts w:ascii="宋体" w:hAnsi="宋体" w:eastAsia="宋体" w:cs="Times New Roman"/>
          <w:color w:val="000000" w:themeColor="text1"/>
          <w:kern w:val="2"/>
          <w:szCs w:val="20"/>
          <w:lang w:val="zh-CN"/>
          <w14:textFill>
            <w14:solidFill>
              <w14:schemeClr w14:val="tx1"/>
            </w14:solidFill>
          </w14:textFill>
        </w:rPr>
      </w:pPr>
      <w:r>
        <w:rPr>
          <w:rFonts w:hint="eastAsia" w:ascii="宋体" w:hAnsi="宋体" w:eastAsia="宋体" w:cs="Times New Roman"/>
          <w:color w:val="000000" w:themeColor="text1"/>
          <w:kern w:val="2"/>
          <w:szCs w:val="20"/>
          <w:lang w:val="zh-CN"/>
          <w14:textFill>
            <w14:solidFill>
              <w14:schemeClr w14:val="tx1"/>
            </w14:solidFill>
          </w14:textFill>
        </w:rPr>
        <w:t>（6）完善交通运输信息资源整合</w:t>
      </w:r>
    </w:p>
    <w:p>
      <w:pPr>
        <w:widowControl w:val="0"/>
        <w:spacing w:after="0" w:line="360" w:lineRule="auto"/>
        <w:ind w:firstLine="480" w:firstLineChars="200"/>
        <w:jc w:val="both"/>
        <w:rPr>
          <w:rFonts w:ascii="宋体" w:hAnsi="宋体" w:eastAsia="宋体" w:cs="Times New Roman"/>
          <w:color w:val="000000" w:themeColor="text1"/>
          <w:kern w:val="2"/>
          <w:szCs w:val="20"/>
          <w:lang w:val="zh-CN"/>
          <w14:textFill>
            <w14:solidFill>
              <w14:schemeClr w14:val="tx1"/>
            </w14:solidFill>
          </w14:textFill>
        </w:rPr>
      </w:pPr>
      <w:r>
        <w:rPr>
          <w:rFonts w:hint="eastAsia" w:ascii="宋体" w:hAnsi="宋体" w:eastAsia="宋体" w:cs="Times New Roman"/>
          <w:color w:val="000000" w:themeColor="text1"/>
          <w:kern w:val="2"/>
          <w:szCs w:val="20"/>
          <w:lang w:val="zh-CN"/>
          <w14:textFill>
            <w14:solidFill>
              <w14:schemeClr w14:val="tx1"/>
            </w14:solidFill>
          </w14:textFill>
        </w:rPr>
        <w:t>在萧山区综合交通信息指挥中心一期项目建设基础上，进一步完善交通数据接入，完善外场感知设备建设，提升、完善数字交通基础平台，全面夯实基础系统和行业数据，完善支撑平台底座建设，为萧山区交通运输数字化改革提供全面支撑。</w:t>
      </w:r>
    </w:p>
    <w:p>
      <w:pPr>
        <w:keepNext/>
        <w:keepLines/>
        <w:widowControl w:val="0"/>
        <w:numPr>
          <w:ilvl w:val="0"/>
          <w:numId w:val="3"/>
        </w:numPr>
        <w:tabs>
          <w:tab w:val="left" w:pos="0"/>
        </w:tabs>
        <w:spacing w:before="312" w:beforeLines="100" w:after="156" w:afterLines="50" w:line="360" w:lineRule="auto"/>
        <w:ind w:firstLine="200" w:firstLineChars="0"/>
        <w:jc w:val="left"/>
        <w:outlineLvl w:val="0"/>
        <w:rPr>
          <w:rFonts w:ascii="Times New Roman" w:hAnsi="Times New Roman" w:eastAsia="宋体" w:cs="Times New Roman"/>
          <w:b/>
          <w:bCs w:val="0"/>
          <w:color w:val="000000" w:themeColor="text1"/>
          <w:kern w:val="44"/>
          <w:sz w:val="32"/>
          <w:szCs w:val="44"/>
          <w:lang w:val="zh-CN" w:eastAsia="zh-CN" w:bidi="ar-SA"/>
          <w14:textFill>
            <w14:solidFill>
              <w14:schemeClr w14:val="tx1"/>
            </w14:solidFill>
          </w14:textFill>
        </w:rPr>
      </w:pPr>
      <w:r>
        <w:rPr>
          <w:rFonts w:hint="eastAsia" w:ascii="Times New Roman" w:hAnsi="Times New Roman" w:eastAsia="宋体" w:cs="Times New Roman"/>
          <w:b/>
          <w:bCs w:val="0"/>
          <w:color w:val="000000" w:themeColor="text1"/>
          <w:kern w:val="44"/>
          <w:sz w:val="32"/>
          <w:szCs w:val="44"/>
          <w:lang w:val="zh-CN" w:eastAsia="zh-CN" w:bidi="ar-SA"/>
          <w14:textFill>
            <w14:solidFill>
              <w14:schemeClr w14:val="tx1"/>
            </w14:solidFill>
          </w14:textFill>
        </w:rPr>
        <w:t>总体建设内容</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萧山区综合交通信息指挥中心二期项目搭建“1+6+3”总体架构。</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“1”是在萧山综合交通指挥中心一期建设基础上，提升、完善1个数字交通基础平台，全面夯实基础系统和行业数据，完善支撑平台底座建设，为萧山交通数字化改革提供全面支撑；</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“6”是围绕党政机关整体智治、数字政府、数字经济、数字社会、数字法治五大方面，以业务为牵引，抓好数字公路、工程管理、法制信用、安全应急、机关智治、公众服务六个业务板块的数字化改革；</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“3”是在全面推进基础上，围绕重大任务进行重点突破,分别打造“大型活动期间交通数字化组织保障”、“交通转运‘疫安行’”、“非法营运靶向数治”等三个基层交通管理部门数字化改革实践。</w:t>
      </w:r>
    </w:p>
    <w:p>
      <w:pPr>
        <w:keepNext/>
        <w:keepLines/>
        <w:widowControl w:val="0"/>
        <w:numPr>
          <w:ilvl w:val="0"/>
          <w:numId w:val="3"/>
        </w:numPr>
        <w:tabs>
          <w:tab w:val="left" w:pos="0"/>
        </w:tabs>
        <w:spacing w:before="312" w:beforeLines="100" w:after="156" w:afterLines="50" w:line="360" w:lineRule="auto"/>
        <w:ind w:firstLine="200" w:firstLineChars="0"/>
        <w:jc w:val="left"/>
        <w:outlineLvl w:val="0"/>
        <w:rPr>
          <w:rFonts w:ascii="宋体" w:hAnsi="宋体" w:eastAsia="宋体" w:cs="宋体"/>
          <w:b/>
          <w:bCs w:val="0"/>
          <w:color w:val="000000" w:themeColor="text1"/>
          <w:kern w:val="44"/>
          <w:sz w:val="32"/>
          <w:szCs w:val="44"/>
          <w:lang w:val="zh-CN" w:eastAsia="zh-CN" w:bidi="ar-SA"/>
          <w14:textFill>
            <w14:solidFill>
              <w14:schemeClr w14:val="tx1"/>
            </w14:solidFill>
          </w14:textFill>
        </w:rPr>
      </w:pPr>
      <w:r>
        <w:rPr>
          <w:rFonts w:hint="eastAsia" w:ascii="宋体" w:hAnsi="宋体" w:eastAsia="宋体" w:cs="宋体"/>
          <w:b/>
          <w:bCs w:val="0"/>
          <w:color w:val="000000" w:themeColor="text1"/>
          <w:kern w:val="44"/>
          <w:sz w:val="32"/>
          <w:szCs w:val="44"/>
          <w:lang w:val="zh-CN" w:eastAsia="zh-CN" w:bidi="ar-SA"/>
          <w14:textFill>
            <w14:solidFill>
              <w14:schemeClr w14:val="tx1"/>
            </w14:solidFill>
          </w14:textFill>
        </w:rPr>
        <w:t>详细建设需求</w:t>
      </w:r>
    </w:p>
    <w:p>
      <w:pPr>
        <w:keepNext/>
        <w:keepLines/>
        <w:numPr>
          <w:ilvl w:val="1"/>
          <w:numId w:val="3"/>
        </w:numPr>
        <w:spacing w:before="312" w:beforeLines="100" w:after="156" w:afterLines="50"/>
        <w:ind w:left="0"/>
        <w:outlineLvl w:val="1"/>
        <w:rPr>
          <w:rFonts w:ascii="宋体" w:hAnsi="宋体" w:eastAsia="宋体" w:cs="宋体"/>
          <w:b/>
          <w:bCs/>
          <w:color w:val="000000" w:themeColor="text1"/>
          <w:kern w:val="2"/>
          <w:sz w:val="32"/>
          <w:szCs w:val="32"/>
          <w:lang w:val="zh-CN" w:eastAsia="zh-CN" w:bidi="ar-SA"/>
          <w14:textFill>
            <w14:solidFill>
              <w14:schemeClr w14:val="tx1"/>
            </w14:solidFill>
          </w14:textFill>
        </w:rPr>
      </w:pPr>
      <w:r>
        <w:rPr>
          <w:rFonts w:hint="eastAsia" w:ascii="宋体" w:hAnsi="宋体" w:eastAsia="宋体" w:cs="宋体"/>
          <w:b/>
          <w:bCs/>
          <w:color w:val="000000" w:themeColor="text1"/>
          <w:kern w:val="2"/>
          <w:sz w:val="32"/>
          <w:szCs w:val="32"/>
          <w:lang w:val="zh-CN" w:eastAsia="zh-CN" w:bidi="ar-SA"/>
          <w14:textFill>
            <w14:solidFill>
              <w14:schemeClr w14:val="tx1"/>
            </w14:solidFill>
          </w14:textFill>
        </w:rPr>
        <w:t>交通数字化改革场景</w:t>
      </w:r>
    </w:p>
    <w:p>
      <w:pPr>
        <w:keepNext/>
        <w:keepLines/>
        <w:numPr>
          <w:ilvl w:val="2"/>
          <w:numId w:val="3"/>
        </w:numPr>
        <w:tabs>
          <w:tab w:val="left" w:pos="567"/>
        </w:tabs>
        <w:spacing w:before="312" w:beforeLines="100" w:after="156" w:afterLines="50"/>
        <w:outlineLvl w:val="2"/>
        <w:rPr>
          <w:rFonts w:ascii="宋体" w:hAnsi="宋体" w:eastAsia="宋体" w:cs="宋体"/>
          <w:b/>
          <w:bCs/>
          <w:color w:val="000000" w:themeColor="text1"/>
          <w:kern w:val="2"/>
          <w:sz w:val="30"/>
          <w:szCs w:val="30"/>
          <w:lang w:val="zh-CN" w:eastAsia="zh-CN" w:bidi="ar-SA"/>
          <w14:textFill>
            <w14:solidFill>
              <w14:schemeClr w14:val="tx1"/>
            </w14:solidFill>
          </w14:textFill>
        </w:rPr>
      </w:pPr>
      <w:r>
        <w:rPr>
          <w:rFonts w:hint="eastAsia" w:ascii="宋体" w:hAnsi="宋体" w:eastAsia="宋体" w:cs="宋体"/>
          <w:b/>
          <w:bCs/>
          <w:color w:val="000000" w:themeColor="text1"/>
          <w:kern w:val="2"/>
          <w:sz w:val="30"/>
          <w:szCs w:val="30"/>
          <w:lang w:val="zh-CN" w:eastAsia="zh-CN" w:bidi="ar-SA"/>
          <w14:textFill>
            <w14:solidFill>
              <w14:schemeClr w14:val="tx1"/>
            </w14:solidFill>
          </w14:textFill>
        </w:rPr>
        <w:t>大型活动期间交通数字化组织保障</w:t>
      </w:r>
    </w:p>
    <w:p>
      <w:pPr>
        <w:keepNext/>
        <w:keepLines/>
        <w:numPr>
          <w:ilvl w:val="3"/>
          <w:numId w:val="3"/>
        </w:numPr>
        <w:tabs>
          <w:tab w:val="left" w:pos="735"/>
        </w:tabs>
        <w:spacing w:before="312" w:beforeLines="100" w:after="156" w:afterLines="50"/>
        <w:outlineLvl w:val="3"/>
        <w:rPr>
          <w:rFonts w:ascii="Times New Roman" w:hAnsi="Times New Roman" w:eastAsia="Times New Roman" w:cs="Times New Roman"/>
          <w:b/>
          <w:bCs/>
          <w:color w:val="000000" w:themeColor="text1"/>
          <w:kern w:val="2"/>
          <w:sz w:val="28"/>
          <w:szCs w:val="28"/>
          <w:lang w:val="zh-CN"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8"/>
          <w:szCs w:val="28"/>
          <w:lang w:val="zh-CN" w:eastAsia="zh-CN" w:bidi="ar-SA"/>
          <w14:textFill>
            <w14:solidFill>
              <w14:schemeClr w14:val="tx1"/>
            </w14:solidFill>
          </w14:textFill>
        </w:rPr>
        <w:t>大型活动出行</w:t>
      </w:r>
      <w:r>
        <w:rPr>
          <w:rFonts w:hint="eastAsia" w:ascii="宋体" w:hAnsi="宋体" w:eastAsia="宋体" w:cs="宋体"/>
          <w:b/>
          <w:bCs/>
          <w:color w:val="000000" w:themeColor="text1"/>
          <w:kern w:val="2"/>
          <w:sz w:val="28"/>
          <w:szCs w:val="28"/>
          <w:lang w:val="zh-CN" w:eastAsia="zh-CN" w:bidi="ar-SA"/>
          <w14:textFill>
            <w14:solidFill>
              <w14:schemeClr w14:val="tx1"/>
            </w14:solidFill>
          </w14:textFill>
        </w:rPr>
        <w:t>“</w:t>
      </w:r>
      <w:r>
        <w:rPr>
          <w:rFonts w:hint="eastAsia" w:ascii="Times New Roman" w:hAnsi="Times New Roman" w:eastAsia="宋体" w:cs="Times New Roman"/>
          <w:b/>
          <w:bCs/>
          <w:color w:val="000000" w:themeColor="text1"/>
          <w:kern w:val="2"/>
          <w:sz w:val="28"/>
          <w:szCs w:val="28"/>
          <w:lang w:val="zh-CN" w:eastAsia="zh-CN" w:bidi="ar-SA"/>
          <w14:textFill>
            <w14:solidFill>
              <w14:schemeClr w14:val="tx1"/>
            </w14:solidFill>
          </w14:textFill>
        </w:rPr>
        <w:t>早保障</w:t>
      </w:r>
      <w:r>
        <w:rPr>
          <w:rFonts w:hint="eastAsia" w:ascii="宋体" w:hAnsi="宋体" w:eastAsia="宋体" w:cs="宋体"/>
          <w:b/>
          <w:bCs/>
          <w:color w:val="000000" w:themeColor="text1"/>
          <w:kern w:val="2"/>
          <w:sz w:val="28"/>
          <w:szCs w:val="28"/>
          <w:lang w:val="zh-CN" w:eastAsia="zh-CN" w:bidi="ar-SA"/>
          <w14:textFill>
            <w14:solidFill>
              <w14:schemeClr w14:val="tx1"/>
            </w14:solidFill>
          </w14:textFill>
        </w:rPr>
        <w:t>”</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从清底数、查隐患、定预案三个方向出发，构建系统、安全、完备的大型活动事前准备工作，划分大型活动管控“三区”，充分摸排区内交通运输行业企业，以及各类交通设施资产，明晰大型活动场馆周边交通运输行业底数；</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确认交通运输隐患排查整治清单，从加强落实行业主管部门的监管责任、运输从业企业的安全主体责任出发，加强对企业日常安全生产监管，从而实现大型活动开展期间交通行业安全运行；</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充分调研交通运力情况及大型活动旅客情况，保障大型活动交通组织，助力活动结束后人员疏散转运。</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交通运输行业底数梳理</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将全区范围内的交通运输行业的企业（包括公交、客运、货运、出租车、驾培、航运、港口码头等）、站点、桥梁、隧道以及交通工程在建项目底数进行梳理，要求能够在平台建立“底数清单”，实现对大型活动开展场馆周边的底数摸排。</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（1）交通运输行业底数信息建档</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（2）交通运输行业底数信息管理</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（3）交通运输行业底数信息关联</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大型活动场景要素管理</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（1）管控区域施划</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根据大型活动前期对行业摸排的需求，构建大型活动主要场馆整治范围“三区”，平台需能够支持用户以灵活绘制、方框框选、圆形圈选的三种形式，在电子地图上自定义绘制重点区域、严控区域、管控区域，根据行业底数梳理的各要素地理信息坐标，支持一键自动获取各区域内各交通运输行业信息，为相关要素的智能展示提供基础，便于活动开展前对相关要素进行快捷搜索，为行业隐患摸排提供有力抓手。</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（2）场景要素管理</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平台需支持在当前专题内对交通运输相关企业、交通设施点位进行增添、修改，支持在地图选点或输入经纬度坐标，增补相关交通运输企业、交通设施点位情况。</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（3）场景图层管理</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需提供包括交通设施图层、交通运输行业企业图层、营运车辆图层、场所图层、监控设备图层。</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交通运输隐患排查整治</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针对萧山区公交、客运、普货运输、危货运输等交通运输行业企业，以及站点、桥梁、隧道等底数，在平台实现隐患排查整治清单生成、检查计划设定、检查任务推送、检查反馈结果接入的功能。</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（1）隐患排查名单自动生成</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（2）隐患排查名单补录</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（3）隐患排查任务计划生成</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（4）隐患排查任务提醒</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（5）隐患排查任务流转</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（6）隐患排查任务处置情况跟踪</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（7）隐患排查任务处置情况归档</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运力调度基础信息梳理</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实现对大型活动交通保障组涉及的各部门的在岗人员状况进行统一管理，对涉及的接驳车辆、运输企业、相关司机、活动期间组织保障人员等相关信息进行统一管理，为活动期间车辆调度及人员接驳做好基础。</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（1）交通保障组人员信息梳理</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（2）接驳运输企业信息梳理</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（3）接驳车辆信息梳理</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（4）接驳司机信息梳理</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交通出行评估模型</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需充分融合互联网数据，以及人员入场之后散场之前的客流数据，将于大型活动相关的多源数据进行分析，对大型活动开展前后人员接驳疏散所需的交通运力进行评估，并输出相关运力调度建议。</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（1）活动期间交通状态分析</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（2）停车场可用情况分析</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（3）公交站台客流分析</w:t>
      </w:r>
    </w:p>
    <w:p>
      <w:pPr>
        <w:keepNext/>
        <w:keepLines/>
        <w:numPr>
          <w:ilvl w:val="3"/>
          <w:numId w:val="3"/>
        </w:numPr>
        <w:tabs>
          <w:tab w:val="left" w:pos="735"/>
        </w:tabs>
        <w:spacing w:before="312" w:beforeLines="100" w:after="156" w:afterLines="50"/>
        <w:outlineLvl w:val="3"/>
        <w:rPr>
          <w:rFonts w:ascii="Times New Roman" w:hAnsi="Times New Roman" w:eastAsia="Times New Roman" w:cs="Times New Roman"/>
          <w:b/>
          <w:bCs/>
          <w:color w:val="000000" w:themeColor="text1"/>
          <w:kern w:val="2"/>
          <w:sz w:val="28"/>
          <w:szCs w:val="28"/>
          <w:lang w:val="zh-CN" w:eastAsia="zh-CN" w:bidi="ar-SA"/>
          <w14:textFill>
            <w14:solidFill>
              <w14:schemeClr w14:val="tx1"/>
            </w14:solidFill>
          </w14:textFill>
        </w:rPr>
      </w:pPr>
      <w:r>
        <w:rPr>
          <w:rFonts w:hint="eastAsia" w:ascii="宋体" w:hAnsi="宋体" w:eastAsia="宋体" w:cs="宋体"/>
          <w:b/>
          <w:bCs/>
          <w:color w:val="000000" w:themeColor="text1"/>
          <w:kern w:val="2"/>
          <w:sz w:val="28"/>
          <w:szCs w:val="28"/>
          <w:lang w:val="zh-CN" w:eastAsia="zh-CN" w:bidi="ar-SA"/>
          <w14:textFill>
            <w14:solidFill>
              <w14:schemeClr w14:val="tx1"/>
            </w14:solidFill>
          </w14:textFill>
        </w:rPr>
        <w:t>大型活动态势“全掌握”</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平台需能够对接入数据的处理和分析计算，实现对场馆人流情况、场馆周边交通运行情况的可视化监测与展示。当出现大量旅客聚集时，能够通过系统下发相关运力调度指令，实现人员的接驳疏散。</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场馆周边交通动态分析</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平台需接入大型活动开展场馆周边、公交站台周边等重点位置外场感知设备的实时图像，通过视频图像对场馆周边人员客流情况、交通拥堵情况等动态进行实时监测分析，并针对交通事件发生的具体出入口位置，动态调整相关交通运力的调配决策。</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如发现大量人员聚集、车辆异常聚集等状况，则及时调整运力部署，提供将相关调度要求派发给出租、公交、长运等企业进行运力调配的功能。</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客流动态分析</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平台需能够结合互联网第三方数据等，获取场馆周边实时客流数据、交通拥堵情况，为活动人员疏散运力调配提供辅助决策；</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如场馆周边发现大量拥堵车辆，则与交警进行协同联动，对车辆及人员及时进行相关引导及处置。</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交通态势专题监测</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需建立交通态势专题监测模型，梳理大型活动期间场馆周边公交、出租车、停车场信息等各要素的实时动态信息，基于交通出行模型设定指标项和参数信息，实现对动态数据进行相应指标的实时分析研判，支撑大型活动公共交通运行态势的清晰掌控。</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（1）场馆周边公交动态指标分析展示</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（2）场馆周边出租车动态指标分析展示</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（3）场馆周边停车场动态指标分析展示</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（4）场馆客流情况动态指标分析展示</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交通态势异常告警</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通过告警配置管理，实现对重要通道大客流、交通运力不足、恶劣天气等进行告警设置及提示，平台能够实现对告警信息的推送和展示，帮助相关部门和客运企业对告警信息进行研判，确定是否采取相关措施。</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（1）告警配置管理</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（2）异常实时告警模型</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公共出行运力调度</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结合大型活动开展前及开展期间接入的数据情况，以及交通出行评估模型对交通需求的分析结果、交通态势异常告警的告警内容，如发现场馆周边的公交、出租、地铁等公共交通出行运力存在不足的情况，平台能够及时将所需转运的客流需求信息推送给相关企业进行处置，并核实确认处置效果，实现运力调度任务的在线闭环处置，支撑相关公共交通线路的增减和排班进行优化协同，提升整体的运行效率，使交通运载能力满足大型活动期间客流需求。</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（1）运力调度任务设定</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（2）待办接驳单管理</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（3）已办接驳单管理</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（4）运力调度任务派发</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（5）接驳车辆动态监测</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（6）运力调度任务反馈</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（7）运力调度任务完结</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区域交通管控</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平台提供针对大型活动设置管控区域电子围栏的功能，实现对区域内营运车辆尤其是两客一危车辆进行立体、全方位、自动化的监控，保障活动期间交通运输的生产安全。</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（1）数据研判分析模型</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（2）出行管控圈划定模型</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（3）异常车辆告警模型</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（4）车辆动态追踪模型</w:t>
      </w:r>
    </w:p>
    <w:p>
      <w:pPr>
        <w:keepNext/>
        <w:keepLines/>
        <w:numPr>
          <w:ilvl w:val="3"/>
          <w:numId w:val="3"/>
        </w:numPr>
        <w:tabs>
          <w:tab w:val="left" w:pos="735"/>
        </w:tabs>
        <w:spacing w:before="312" w:beforeLines="100" w:after="156" w:afterLines="50"/>
        <w:outlineLvl w:val="3"/>
        <w:rPr>
          <w:rFonts w:ascii="Times New Roman" w:hAnsi="Times New Roman" w:eastAsia="Times New Roman" w:cs="Times New Roman"/>
          <w:b/>
          <w:bCs/>
          <w:color w:val="000000" w:themeColor="text1"/>
          <w:kern w:val="2"/>
          <w:sz w:val="28"/>
          <w:szCs w:val="28"/>
          <w:lang w:val="zh-CN" w:eastAsia="zh-CN" w:bidi="ar-SA"/>
          <w14:textFill>
            <w14:solidFill>
              <w14:schemeClr w14:val="tx1"/>
            </w14:solidFill>
          </w14:textFill>
        </w:rPr>
      </w:pPr>
      <w:r>
        <w:rPr>
          <w:rFonts w:hint="eastAsia" w:ascii="宋体" w:hAnsi="宋体" w:eastAsia="宋体" w:cs="宋体"/>
          <w:b/>
          <w:bCs/>
          <w:color w:val="000000" w:themeColor="text1"/>
          <w:kern w:val="2"/>
          <w:sz w:val="28"/>
          <w:szCs w:val="28"/>
          <w:lang w:val="zh-CN" w:eastAsia="zh-CN" w:bidi="ar-SA"/>
          <w14:textFill>
            <w14:solidFill>
              <w14:schemeClr w14:val="tx1"/>
            </w14:solidFill>
          </w14:textFill>
        </w:rPr>
        <w:t>大型活动复盘“再升级”</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通过事后对大型活动交通组织保障调度的全过程跟踪记录、信息收集汇总、统计分析，需提供对管控效率、资源调配效率等评价要素的分析和评估功能，评估实际情况与事前预案的偏差，在复盘的基础上总结经验和教训，做好记录保存，以此作为预案升级优化的依据。</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大型活动归档信息梳理</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平台需对大型活动中采集到的信息进行统一的信息管理，针对每一次活动进行独立电子建档，能够通过关键词搜索的方式锁定过往重大活动的档案，并能够在此基础上进行相关信息的编辑。</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（1）交通隐患排查整治情况</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（2）大型活动举办状态信息</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大型活动管控效果评价</w:t>
      </w:r>
    </w:p>
    <w:p>
      <w:pPr>
        <w:keepNext/>
        <w:keepLines/>
        <w:numPr>
          <w:ilvl w:val="5"/>
          <w:numId w:val="3"/>
        </w:numPr>
        <w:tabs>
          <w:tab w:val="left" w:pos="993"/>
        </w:tabs>
        <w:spacing w:before="312" w:beforeLines="100" w:after="156" w:afterLines="50"/>
        <w:outlineLvl w:val="5"/>
        <w:rPr>
          <w:rFonts w:ascii="Times New Roman" w:hAnsi="Times New Roman" w:eastAsia="宋体" w:cs="Times New Roman"/>
          <w:b/>
          <w:bCs/>
          <w:color w:val="000000" w:themeColor="text1"/>
          <w:kern w:val="2"/>
          <w:sz w:val="21"/>
          <w:szCs w:val="24"/>
          <w:lang w:val="zh-CN"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1"/>
          <w:szCs w:val="24"/>
          <w:lang w:val="zh-CN" w:eastAsia="zh-CN" w:bidi="ar-SA"/>
          <w14:textFill>
            <w14:solidFill>
              <w14:schemeClr w14:val="tx1"/>
            </w14:solidFill>
          </w14:textFill>
        </w:rPr>
        <w:t>大型活动隐患排查评价</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根据大型活动安全隐患排查工作的计划安排，需提供对隐患排查工作计划的执行情况、接入的隐患排查治理的整改情况进行评价的功能，并形成研判分析报表。</w:t>
      </w:r>
    </w:p>
    <w:p>
      <w:pPr>
        <w:keepNext/>
        <w:keepLines/>
        <w:numPr>
          <w:ilvl w:val="5"/>
          <w:numId w:val="3"/>
        </w:numPr>
        <w:tabs>
          <w:tab w:val="left" w:pos="993"/>
        </w:tabs>
        <w:spacing w:before="312" w:beforeLines="100" w:after="156" w:afterLines="50"/>
        <w:outlineLvl w:val="5"/>
        <w:rPr>
          <w:rFonts w:ascii="Times New Roman" w:hAnsi="Times New Roman" w:eastAsia="宋体" w:cs="Times New Roman"/>
          <w:b/>
          <w:bCs/>
          <w:color w:val="000000" w:themeColor="text1"/>
          <w:kern w:val="2"/>
          <w:sz w:val="21"/>
          <w:szCs w:val="24"/>
          <w:lang w:val="zh-CN"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1"/>
          <w:szCs w:val="24"/>
          <w:lang w:val="zh-CN" w:eastAsia="zh-CN" w:bidi="ar-SA"/>
          <w14:textFill>
            <w14:solidFill>
              <w14:schemeClr w14:val="tx1"/>
            </w14:solidFill>
          </w14:textFill>
        </w:rPr>
        <w:t>大型活动预案效果评价</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要求对大型活动中重要的管控要素如分配的公交、出租车等交通工具在大型活动期间的运力进行统计分析，从运力资源调度响应时间、车辆到场情况进行研判分析，为事前预案制定提供辅助决策。</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事后专题分析报表</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要求能实现大型活动期间交通运输运行监测指标如多种交通出行方式的运行情况、停车场饱和情况等指标的统计分析报告的自动生成，作为事后分析研判以及预案优化升级的辅助依据。</w:t>
      </w:r>
    </w:p>
    <w:p>
      <w:pPr>
        <w:keepNext/>
        <w:keepLines/>
        <w:numPr>
          <w:ilvl w:val="3"/>
          <w:numId w:val="3"/>
        </w:numPr>
        <w:tabs>
          <w:tab w:val="left" w:pos="735"/>
        </w:tabs>
        <w:spacing w:before="312" w:beforeLines="100" w:after="156" w:afterLines="50"/>
        <w:outlineLvl w:val="3"/>
        <w:rPr>
          <w:rFonts w:ascii="Times New Roman" w:hAnsi="Times New Roman" w:eastAsia="Times New Roman" w:cs="Times New Roman"/>
          <w:b/>
          <w:bCs/>
          <w:color w:val="000000" w:themeColor="text1"/>
          <w:kern w:val="2"/>
          <w:sz w:val="28"/>
          <w:szCs w:val="28"/>
          <w:lang w:val="zh-CN" w:eastAsia="zh-CN" w:bidi="ar-SA"/>
          <w14:textFill>
            <w14:solidFill>
              <w14:schemeClr w14:val="tx1"/>
            </w14:solidFill>
          </w14:textFill>
        </w:rPr>
      </w:pPr>
      <w:r>
        <w:rPr>
          <w:rFonts w:hint="eastAsia" w:ascii="Times New Roman" w:hAnsi="Times New Roman" w:eastAsia="Times New Roman" w:cs="Times New Roman"/>
          <w:b/>
          <w:bCs/>
          <w:color w:val="000000" w:themeColor="text1"/>
          <w:kern w:val="2"/>
          <w:sz w:val="28"/>
          <w:szCs w:val="28"/>
          <w:lang w:val="zh-CN" w:eastAsia="zh-CN" w:bidi="ar-SA"/>
          <w14:textFill>
            <w14:solidFill>
              <w14:schemeClr w14:val="tx1"/>
            </w14:solidFill>
          </w14:textFill>
        </w:rPr>
        <w:t>大型活动“畅行萧山”</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要求对一期项目已建的“萧山交通公众服务平台”微信端同步迁移至浙里办端，并进一步分析市民出行需求，研判群众出行痛点，结合萧山特色深化“浙里办”，能够梳理群众日常投诉、咨询的热点问题，为市民提供交通出行规划、交通拥堵信息、交通换乘、出行热点问题等特色化服务；</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在大型活动开展期间，能够发布活动信息推送、出行引导信息发布、管制安排通知等便民信息，提升群众交通出行、参观购票的体验。</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微信端服务同步迁移</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要求将一期项目已建的“萧山交通公众服务平台”微信端同步迁移至浙里办端，并提供访客统计功能。</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活动期间信息梳理</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要求在活动开展期间梳理相关活动信息以及相应的购票渠道，在观众购票的同时进行出行方式调研，为深入挖掘群众出行需求提供抓手。</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交通管制信息发布</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联动交警，推送大型活动期间交通管制信息。</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信访投诉接入梳理</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要求将群众信访咨询、投诉信息提取关键字信息，进行分析。</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咨询问题热力分析</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对信访投诉咨询问题的频率、热度进行实时监控、热力排序，相关投诉咨询热词、新词以词云图的形式在大屏进行滚动展示。</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热点问题问答固化</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排名靠前的问题能够推送至平台，提示操作人员进行问答固化确认，提取关键词，便于后期实现出行咨询问题速查。</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多维出行信息整合</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要求将固化完成的出行咨询问答速查信息与萧山的旅游服务相关信息进行整合。</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出行信息多端推送</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通过浙里办端，实现对日常及大型活动期间萧山出行信息进行发布。</w:t>
      </w:r>
    </w:p>
    <w:p>
      <w:pPr>
        <w:keepNext/>
        <w:keepLines/>
        <w:numPr>
          <w:ilvl w:val="2"/>
          <w:numId w:val="3"/>
        </w:numPr>
        <w:tabs>
          <w:tab w:val="left" w:pos="567"/>
        </w:tabs>
        <w:spacing w:before="312" w:beforeLines="100" w:after="156" w:afterLines="50"/>
        <w:outlineLvl w:val="2"/>
        <w:rPr>
          <w:rFonts w:ascii="Times New Roman" w:hAnsi="Times New Roman" w:eastAsia="Times New Roman" w:cs="Times New Roman"/>
          <w:b/>
          <w:bCs/>
          <w:color w:val="000000" w:themeColor="text1"/>
          <w:kern w:val="2"/>
          <w:sz w:val="30"/>
          <w:szCs w:val="30"/>
          <w:lang w:val="zh-CN" w:eastAsia="zh-CN" w:bidi="ar-SA"/>
          <w14:textFill>
            <w14:solidFill>
              <w14:schemeClr w14:val="tx1"/>
            </w14:solidFill>
          </w14:textFill>
        </w:rPr>
      </w:pPr>
      <w:r>
        <w:rPr>
          <w:rFonts w:hint="eastAsia" w:ascii="宋体" w:hAnsi="宋体" w:eastAsia="宋体" w:cs="宋体"/>
          <w:b/>
          <w:bCs/>
          <w:color w:val="000000" w:themeColor="text1"/>
          <w:kern w:val="2"/>
          <w:sz w:val="30"/>
          <w:szCs w:val="30"/>
          <w:lang w:val="zh-CN" w:eastAsia="zh-CN" w:bidi="ar-SA"/>
          <w14:textFill>
            <w14:solidFill>
              <w14:schemeClr w14:val="tx1"/>
            </w14:solidFill>
          </w14:textFill>
        </w:rPr>
        <w:t>交通转运</w:t>
      </w:r>
      <w:r>
        <w:rPr>
          <w:rFonts w:ascii="Times New Roman" w:hAnsi="Times New Roman" w:eastAsia="Times New Roman" w:cs="Times New Roman"/>
          <w:b/>
          <w:bCs/>
          <w:color w:val="000000" w:themeColor="text1"/>
          <w:kern w:val="2"/>
          <w:sz w:val="30"/>
          <w:szCs w:val="30"/>
          <w:lang w:val="zh-CN" w:eastAsia="zh-CN" w:bidi="ar-SA"/>
          <w14:textFill>
            <w14:solidFill>
              <w14:schemeClr w14:val="tx1"/>
            </w14:solidFill>
          </w14:textFill>
        </w:rPr>
        <w:t>“</w:t>
      </w:r>
      <w:r>
        <w:rPr>
          <w:rFonts w:hint="eastAsia" w:ascii="宋体" w:hAnsi="宋体" w:eastAsia="宋体" w:cs="宋体"/>
          <w:b/>
          <w:bCs/>
          <w:color w:val="000000" w:themeColor="text1"/>
          <w:kern w:val="2"/>
          <w:sz w:val="30"/>
          <w:szCs w:val="30"/>
          <w:lang w:val="zh-CN" w:eastAsia="zh-CN" w:bidi="ar-SA"/>
          <w14:textFill>
            <w14:solidFill>
              <w14:schemeClr w14:val="tx1"/>
            </w14:solidFill>
          </w14:textFill>
        </w:rPr>
        <w:t>疫安行</w:t>
      </w:r>
      <w:r>
        <w:rPr>
          <w:rFonts w:ascii="Times New Roman" w:hAnsi="Times New Roman" w:eastAsia="Times New Roman" w:cs="Times New Roman"/>
          <w:b/>
          <w:bCs/>
          <w:color w:val="000000" w:themeColor="text1"/>
          <w:kern w:val="2"/>
          <w:sz w:val="30"/>
          <w:szCs w:val="30"/>
          <w:lang w:val="zh-CN" w:eastAsia="zh-CN" w:bidi="ar-SA"/>
          <w14:textFill>
            <w14:solidFill>
              <w14:schemeClr w14:val="tx1"/>
            </w14:solidFill>
          </w14:textFill>
        </w:rPr>
        <w:t>”</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为奋力打造亚运新窗口，在疫情常态化形势下确保经济社会的正常运行和发展，打造交通转运“疫安行”数字化改革实践，持之以恒做好疫情常态化防控工作。动态接入疫情防控、人员转运的相关人员及车辆数据，实现疫情转运相关信息的全程动态透明掌握；打造疫情防疫点对点转运任务全链条在线流转，助力疫情防控转运增能提效；建设防疫转运浙政钉端、企业端、司机端，实现转运任务的指尖一键确认、一键转发，为疫情转运一线工作人员提供端对端的便捷处置服务；全面分析研判疫情防控相关资源使用情况，为后期防疫工作调度部署提供辅助决策。</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lang w:eastAsia="zh-CN"/>
          <w14:textFill>
            <w14:solidFill>
              <w14:schemeClr w14:val="tx1"/>
            </w14:solidFill>
          </w14:textFill>
        </w:rPr>
        <w:t>※</w:t>
      </w:r>
      <w:r>
        <w:rPr>
          <w:rFonts w:hint="eastAsia" w:ascii="Times New Roman" w:hAnsi="Times New Roman" w:eastAsia="宋体" w:cs="Times New Roman"/>
          <w:color w:val="000000" w:themeColor="text1"/>
          <w:kern w:val="2"/>
          <w:szCs w:val="20"/>
          <w14:textFill>
            <w14:solidFill>
              <w14:schemeClr w14:val="tx1"/>
            </w14:solidFill>
          </w14:textFill>
        </w:rPr>
        <w:t>投标人需根据对项目需求的理解，1）对本场景中防疫转运业务流程进行详细设计，提供流程图；2）结合本场景需求，以及防疫转运工作中不同部门的具体业务职责，提供镇街、卫健、交通等不同部门角色的功能设计；3）结合本场景建设内容，对数据需求进行详细分析。</w:t>
      </w:r>
    </w:p>
    <w:p>
      <w:pPr>
        <w:keepNext/>
        <w:keepLines/>
        <w:numPr>
          <w:ilvl w:val="3"/>
          <w:numId w:val="3"/>
        </w:numPr>
        <w:tabs>
          <w:tab w:val="left" w:pos="735"/>
        </w:tabs>
        <w:spacing w:before="312" w:beforeLines="100" w:after="156" w:afterLines="50"/>
        <w:outlineLvl w:val="3"/>
        <w:rPr>
          <w:rFonts w:ascii="Times New Roman" w:hAnsi="Times New Roman" w:eastAsia="Times New Roman" w:cs="Times New Roman"/>
          <w:b/>
          <w:bCs/>
          <w:color w:val="000000" w:themeColor="text1"/>
          <w:kern w:val="2"/>
          <w:sz w:val="28"/>
          <w:szCs w:val="28"/>
          <w:lang w:val="zh-CN" w:eastAsia="zh-CN" w:bidi="ar-SA"/>
          <w14:textFill>
            <w14:solidFill>
              <w14:schemeClr w14:val="tx1"/>
            </w14:solidFill>
          </w14:textFill>
        </w:rPr>
      </w:pPr>
      <w:r>
        <w:rPr>
          <w:rFonts w:hint="eastAsia" w:ascii="宋体" w:hAnsi="宋体" w:eastAsia="宋体" w:cs="宋体"/>
          <w:b/>
          <w:bCs/>
          <w:color w:val="000000" w:themeColor="text1"/>
          <w:kern w:val="2"/>
          <w:sz w:val="28"/>
          <w:szCs w:val="28"/>
          <w:lang w:val="zh-CN" w:eastAsia="zh-CN" w:bidi="ar-SA"/>
          <w14:textFill>
            <w14:solidFill>
              <w14:schemeClr w14:val="tx1"/>
            </w14:solidFill>
          </w14:textFill>
        </w:rPr>
        <w:t>防疫转运一屏统览</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转运车辆动态指标分析</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要求实时动态分析转运车辆的车辆状态、可用车座数等指标，展示当前各个状态下的转运车辆可用指标情况。</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（1）转运车辆指标展示</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（2）转运车辆图层筛选</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（3）转运车辆人员关联</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转运车辆动态轨迹绘制</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要求根据转运车辆的历史定位数据、当前定位位置，实现转运车辆的实时动态轨迹绘制、历史轨迹回看等功能，帮助管理人员了解转运车辆当前行驶动向。</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（1）车辆轨迹分析</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（2）车辆轨迹绘制</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（3）车辆轨迹倍数回放</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（4）车辆速度分析</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（5）车辆速度曲线绘制</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（6）车辆速度峰值分析</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（7）车辆行驶总里程分析</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（8）车辆最近定位时间分析</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转运车辆实时视频接入</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要求能够实时调取转运车辆的视频信息，通过点击地图上转运车辆或根据车牌号、人员信息等搜索到的车辆，实现查询获取转运车辆安装在车头、车内的视频监控。</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被转运隔离人员动态指标分析</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能够实时展示处于转运中各个环节人员数量，包括处于纳入集中管控的人员的总数、派单中、到达转运起点途中、运送中、已到达人数，对处于转运中的各环节的人员数量进行展示，对异常人员相关信息进行展示，通过大屏进行循环播放。</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（1）被转运隔离人员数量分布</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（2）被转运隔离人员热力图</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（3）被转运隔离人员迁徙图</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大规模转运车队关联</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要求能够在大规模转运场景下，对转运车队进行统一展示，包括车队中各车辆的实时位置信息及转运状态信息，分析大规模转运总人数以及待转运人数、转运中人数、已完成转运的人数，实时更新转运进度。</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（1）大规模转运进度指标展示</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（2）大规模转运车辆动态关联</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转运司机动态指标分析</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要求实时分析各转运司机的休息中、工作中、隔离中等工作状态，展示当前各个状态下的司机数量及比例，并提供司机联系方式、姓名等指标的同步查看。</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（1）转运司机指标展示</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（2）转运司机图层筛选</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转运企业动态指标分析</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要求实时分析萧山区转运企业的相关数据状态，展示当前转运企业各类数据指标情况，实现企业地址、负责人联系方式、主要联系人等指标的同步可视。</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隔离酒店动态指标分析</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要求能够根据隔离酒店每日上报的可用房间数量、实时被转运隔离人员分配的酒店数量，实时更新隔离点数量以及可用房间总数。</w:t>
      </w:r>
    </w:p>
    <w:p>
      <w:pPr>
        <w:keepNext/>
        <w:keepLines/>
        <w:numPr>
          <w:ilvl w:val="3"/>
          <w:numId w:val="3"/>
        </w:numPr>
        <w:tabs>
          <w:tab w:val="left" w:pos="735"/>
        </w:tabs>
        <w:spacing w:before="312" w:beforeLines="100" w:after="156" w:afterLines="50"/>
        <w:outlineLvl w:val="3"/>
        <w:rPr>
          <w:rFonts w:ascii="Times New Roman" w:hAnsi="Times New Roman" w:eastAsia="Times New Roman" w:cs="Times New Roman"/>
          <w:b/>
          <w:bCs/>
          <w:color w:val="000000" w:themeColor="text1"/>
          <w:kern w:val="2"/>
          <w:sz w:val="28"/>
          <w:szCs w:val="28"/>
          <w:lang w:val="zh-CN" w:eastAsia="zh-CN" w:bidi="ar-SA"/>
          <w14:textFill>
            <w14:solidFill>
              <w14:schemeClr w14:val="tx1"/>
            </w14:solidFill>
          </w14:textFill>
        </w:rPr>
      </w:pPr>
      <w:r>
        <w:rPr>
          <w:rFonts w:hint="eastAsia" w:ascii="宋体" w:hAnsi="宋体" w:eastAsia="宋体" w:cs="宋体"/>
          <w:b/>
          <w:bCs/>
          <w:color w:val="000000" w:themeColor="text1"/>
          <w:kern w:val="2"/>
          <w:sz w:val="28"/>
          <w:szCs w:val="28"/>
          <w:lang w:val="zh-CN" w:eastAsia="zh-CN" w:bidi="ar-SA"/>
          <w14:textFill>
            <w14:solidFill>
              <w14:schemeClr w14:val="tx1"/>
            </w14:solidFill>
          </w14:textFill>
        </w:rPr>
        <w:t>防疫基础信息梳理</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要求对常态化疫情防控中涉及的防疫转运车辆、运输企业、相关司机、交通防疫检疫人员、隔离酒店等相关信息进行统一管理，实现疫情防控相关信息的全面掌握。</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防疫人员信息梳理</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要求对交通防疫相关工作人员信息进行线上管理、梳理，包含姓名、联系方式、所属单位、科室等信息。</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隔离酒店信息梳理</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要求对各个隔离酒店基础信息进行线上管理、梳理，包括隔离酒店名称、可用房间数量、隔离人员类型、负责人及联络方式等信息。</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转运企业信息梳理</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要求对疫情防控涉及的交通运输防疫转运企业进行基础信息管理，包含企业名下的车辆基本信息、车辆数、负责人及联系电话、司机等静态信息进行统一管理维护。</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转运车辆信息梳理</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要求对萧山区用于疫情转运的公交、长运、小汽车等防疫转运车辆进行基础信息管理，包含车辆的车牌、所属单位、核定载客人数、管理人联系电话等静态信息进行统一管理维护。</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转运司机信息梳理</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要求对萧山区用于疫情转运的司机进行基础信息管理，包含姓名、性别、年龄、所属企业、联系电话、使用车辆等静态信息，进行统一管理维护。</w:t>
      </w:r>
    </w:p>
    <w:p>
      <w:pPr>
        <w:keepNext/>
        <w:keepLines/>
        <w:numPr>
          <w:ilvl w:val="3"/>
          <w:numId w:val="3"/>
        </w:numPr>
        <w:tabs>
          <w:tab w:val="left" w:pos="735"/>
        </w:tabs>
        <w:spacing w:before="312" w:beforeLines="100" w:after="156" w:afterLines="50"/>
        <w:outlineLvl w:val="3"/>
        <w:rPr>
          <w:rFonts w:ascii="Times New Roman" w:hAnsi="Times New Roman" w:eastAsia="Times New Roman" w:cs="Times New Roman"/>
          <w:b/>
          <w:bCs/>
          <w:color w:val="000000" w:themeColor="text1"/>
          <w:kern w:val="2"/>
          <w:sz w:val="28"/>
          <w:szCs w:val="28"/>
          <w:lang w:val="zh-CN"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8"/>
          <w:szCs w:val="28"/>
          <w:lang w:val="zh-CN" w:eastAsia="zh-CN" w:bidi="ar-SA"/>
          <w14:textFill>
            <w14:solidFill>
              <w14:schemeClr w14:val="tx1"/>
            </w14:solidFill>
          </w14:textFill>
        </w:rPr>
        <w:t>疫情防控精准转运</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对转运人员、转运司机、转运车辆等要素进行动态管理，全透明掌握疫情转运可用的转运车辆情况，线上建立、派发疫情转运任务，追踪监测转运任务执行情况，实现疫情防控转运任务的线上流转、执行状态实览。</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车辆派发调度建议模型</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要求能根据任务单的人员数量及类型，对可用车辆进行智能倒序排列，输出精准调度安全转运任务分配车辆建议。</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司机派发建议调度模型</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要求能够输出精准调度安全转运任务分配司机的建议，帮助管理人员快速抉择当次转运任务所需调度的转运司机。</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转运要素管理</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能够实现对转运任务中各环节的相关要素的动态监测，接入转运人员、转运车辆、转运企业等相关信息以及动态数据，运用各类数学模型，通过分析研判，计算得出各类指标数据，实现转运流程各环节留痕，做到转运任务全流程可追溯管理。</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（1）被转运人员动态监测</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（2）转运车辆动态监测</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（3）转运司机动态监测</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转运任务单管理</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（1）待办转运单管理</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要求能够集中展示待处理的转运任务单的相关信息，按照处理时间的优先级进行排序，可根据不同转运类型进行筛选，当一批待办转运单可以进行批量处理时，可一键批量处理。</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（2）已办转运单管理</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集中展示已完成的转运任务单的相关信息，按照任务完结时间的优先级进行排列展示。</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隔离转运单全程流转</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（1）隔离转运单镇街填报</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针对隔离转运单处置任务，为各镇街防疫相关管理人员提供转运信息上报功能。</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（2）隔离转运单卫健填报</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基于卫健在隔离转运单处置的任务职责，开发隔离转运单卫健填报模块，为卫健管理人员提供隔离转运单处置功能。</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（3）隔离转运单交通局处置</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基于交通局在隔离转运单处置的任务职责，开发隔离转运单交通局处置模块，为管理人员提供隔离转运单处置功能。</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（4）隔离转运单转运企业处置</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为转运任务承运企业提供隔离转运单的转派处置功能。</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（5）隔离转运单司机转运处置</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为司机提供隔离转运单处置功能，提供对转运任务进行接收、到达上车点打卡、转运人员上车打卡、到达隔离点打卡的功能。</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（6）隔离转运单隔离点接收处置</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为隔离点工作人员提供隔离转运单任务完结接收功能。</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※投标人需结合对本项目的理解，提供对本模块的</w:t>
      </w:r>
      <w:r>
        <w:rPr>
          <w:rFonts w:hint="eastAsia" w:ascii="Times New Roman" w:hAnsi="Times New Roman" w:eastAsia="宋体" w:cs="Times New Roman"/>
          <w:color w:val="000000" w:themeColor="text1"/>
          <w:kern w:val="2"/>
          <w:szCs w:val="20"/>
          <w14:textFill>
            <w14:solidFill>
              <w14:schemeClr w14:val="tx1"/>
            </w14:solidFill>
          </w14:textFill>
        </w:rPr>
        <w:t>上述六点分项功能模块的</w:t>
      </w:r>
      <w:r>
        <w:rPr>
          <w:rFonts w:hint="eastAsia" w:ascii="Times New Roman" w:hAnsi="Times New Roman" w:eastAsia="宋体" w:cs="Times New Roman"/>
          <w:color w:val="000000" w:themeColor="text1"/>
          <w:kern w:val="2"/>
          <w:szCs w:val="20"/>
          <w:lang w:val="zh-CN"/>
          <w14:textFill>
            <w14:solidFill>
              <w14:schemeClr w14:val="tx1"/>
            </w14:solidFill>
          </w14:textFill>
        </w:rPr>
        <w:t>具体设计。</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其它转运单全程流转</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（1）其它转运单镇街/隔离点填报</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针对其它转运单处置任务，为各镇街防疫相关管理人员提供转运信息上报功能。</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（2）其他转运单交通转派处置</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基于交通局在其他转运单处置的任务职责，开发其他转运单交通局处置模块，为管理人员提供其他转运单处置功能。</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（3）其他转运单企业分派司机</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为转运任务承运企业提供其他转运单的转派处置功能。</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（4）其他转运单司机转运确认</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为司机提供其他转运单的处置功能，对转运任务进行接收、到达上车点打卡、转运人员上车打卡、到达隔离点打卡的功能。</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规模转运单全程流转</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（1）规模转运单镇街填报</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为镇街防疫管理人员提供重大疫情大批量人员信息填报功能。</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（2）规模转运单卫健填报</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为卫健防疫管理人员提供规模转运单填报处置功能。</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（3）规模转运单交通转派</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为交通防疫管理人员提供规模转运单转派处置功能。</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（4）规模转运单企业分派</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为规模转运单任务承担企业提供规模转运单分配处置功能。</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（5）规模转运单社区确认</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实现社区工作人员通过移动端对转运车辆进行选择及转运人员确认上车的操作。</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（6）规模转运单任务完结</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运输企业完成大规模转运任务时，提供管理者对对规模转运单进行任务完结的操作。</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转运任务线上追踪</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要求实现对转运任务单流程的跟踪提醒，以及转运任务各项要素的实时追踪，可通过对转运任务流程各部门的在岗人员进行任务处理提醒，通过中心端，可对转运流程各项内容进行查看，并能够追踪各任务当前动态以及历史状态。</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（1）转运任务流程提醒</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（2）转运任务线上透视</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转运任务单完结</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转运任务完结后，为管理人员提供在中心端完善本次转运任务相关信息的功能，通过平台能够进行后台信息的维护，并最终完结本次点对点转运任务。任务完结后，相关转运车辆的状态即进行重新更新。</w:t>
      </w:r>
    </w:p>
    <w:p>
      <w:pPr>
        <w:keepNext/>
        <w:keepLines/>
        <w:numPr>
          <w:ilvl w:val="3"/>
          <w:numId w:val="3"/>
        </w:numPr>
        <w:tabs>
          <w:tab w:val="left" w:pos="735"/>
        </w:tabs>
        <w:spacing w:before="312" w:beforeLines="100" w:after="156" w:afterLines="50"/>
        <w:outlineLvl w:val="3"/>
        <w:rPr>
          <w:rFonts w:ascii="Times New Roman" w:hAnsi="Times New Roman" w:eastAsia="Times New Roman" w:cs="Times New Roman"/>
          <w:b/>
          <w:bCs/>
          <w:color w:val="000000" w:themeColor="text1"/>
          <w:kern w:val="2"/>
          <w:sz w:val="28"/>
          <w:szCs w:val="28"/>
          <w:lang w:val="zh-CN" w:eastAsia="zh-CN" w:bidi="ar-SA"/>
          <w14:textFill>
            <w14:solidFill>
              <w14:schemeClr w14:val="tx1"/>
            </w14:solidFill>
          </w14:textFill>
        </w:rPr>
      </w:pPr>
      <w:r>
        <w:rPr>
          <w:rFonts w:hint="eastAsia" w:ascii="宋体" w:hAnsi="宋体" w:eastAsia="宋体" w:cs="宋体"/>
          <w:b/>
          <w:bCs/>
          <w:color w:val="000000" w:themeColor="text1"/>
          <w:kern w:val="2"/>
          <w:sz w:val="28"/>
          <w:szCs w:val="28"/>
          <w:lang w:val="zh-CN" w:eastAsia="zh-CN" w:bidi="ar-SA"/>
          <w14:textFill>
            <w14:solidFill>
              <w14:schemeClr w14:val="tx1"/>
            </w14:solidFill>
          </w14:textFill>
        </w:rPr>
        <w:t>防疫转运监测告警</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企业接单异常监测模型</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能够实时追踪转运任务的当前状态节点，在企业待接单状态的持续时间触发异常告警时间限制时，在中心端进行对应提示。</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司机接单异常监测模型</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能够实时追踪转运任务的当前状态节点，在企业待接单状态的持续时间触发异常告警时间限制时，在中心端进行对应提示。</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任务执行时长监测模型</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能够分析转运任务每个办理人、办理环节处置时间节点及处置时长，可根据实际需求，灵活设定任务超期的计时节点，实现对转运任务全程处置的追踪。</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转运任务执行时长告警</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能够对即将超期、已经超期等任务进行告警提示，对对应环节所在部门的在岗负责人提供对应提醒。</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企业接单超期告警</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要求中心端对转运任务派发状态进行实时监测，如企业超出规定时间仍未接单，平台需在中心端弹出告警信息，提醒管理人员进行关注。</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司机接单超期告警</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要求中心端对转运任务派发状态进行实时监测，如司机超出规定时间仍未接单，平台需在中心端弹出告警信息，提醒管理人员进行关注。</w:t>
      </w:r>
    </w:p>
    <w:p>
      <w:pPr>
        <w:keepNext/>
        <w:keepLines/>
        <w:numPr>
          <w:ilvl w:val="3"/>
          <w:numId w:val="3"/>
        </w:numPr>
        <w:tabs>
          <w:tab w:val="left" w:pos="735"/>
        </w:tabs>
        <w:spacing w:before="312" w:beforeLines="100" w:after="156" w:afterLines="50"/>
        <w:outlineLvl w:val="3"/>
        <w:rPr>
          <w:rFonts w:ascii="Times New Roman" w:hAnsi="Times New Roman" w:eastAsia="Times New Roman" w:cs="Times New Roman"/>
          <w:b/>
          <w:bCs/>
          <w:color w:val="000000" w:themeColor="text1"/>
          <w:kern w:val="2"/>
          <w:sz w:val="28"/>
          <w:szCs w:val="28"/>
          <w:lang w:val="zh-CN" w:eastAsia="zh-CN" w:bidi="ar-SA"/>
          <w14:textFill>
            <w14:solidFill>
              <w14:schemeClr w14:val="tx1"/>
            </w14:solidFill>
          </w14:textFill>
        </w:rPr>
      </w:pPr>
      <w:r>
        <w:rPr>
          <w:rFonts w:hint="eastAsia" w:ascii="宋体" w:hAnsi="宋体" w:eastAsia="宋体" w:cs="宋体"/>
          <w:b/>
          <w:bCs/>
          <w:color w:val="000000" w:themeColor="text1"/>
          <w:kern w:val="2"/>
          <w:sz w:val="28"/>
          <w:szCs w:val="28"/>
          <w:lang w:val="zh-CN" w:eastAsia="zh-CN" w:bidi="ar-SA"/>
          <w14:textFill>
            <w14:solidFill>
              <w14:schemeClr w14:val="tx1"/>
            </w14:solidFill>
          </w14:textFill>
        </w:rPr>
        <w:t>防疫转运浙政钉端</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要求开发防疫转运浙政钉端，实现防疫转运相关动态信息及转运任务的线上实揽、便捷处置。实现转运任务的线上填报、派发、透视、完结，提升防疫转运任务处置效率。</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转运任务单新增</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要求为镇街提供移动端新增转运任务单的功能，包括闭环流程任务单以及转运流程任务单，填写上报被转运人员信息。可以通过移动端查看被转运隔离人员的任务单流转状态，确认转运所处环节。</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转运信息填报</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要求为卫健提供相关转运任务的隔离酒店的分配、修改、退回以及已办任务单的查看。</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转运任务派发</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要求为管理人员提供通过浙政钉端将转运任务派发给企业的功能。</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转运任务追踪</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能够与防疫转运中心端进行实时联动，对各个已建立的转运任务的动态节点进行追踪，能够进一步下钻转运任务的当前具体节点及处置人员信息。</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转运任务办结</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要求与防疫转运中心端进行实时联动，管理人员可在浙政钉端同步进行转运任务完结，并上传此次转运任务相关信息，将转运任务进行归档。</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转运任务单接收</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为司机提供确认接收/拒绝接收转运任务的功能，相关操作将同步回传至中心端。</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转运任务执行回传</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为司机提供确认接收任务、司机到达被转运人员的出发地、确认被转运人员的转运状态、确认被转运人员到达隔离酒店、以及对车辆完成消杀等流程的转运任务节点信息回传功能。</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转运任务完结</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为司机提供车辆确认消杀、转运任务信息完结功能。</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司机接单提醒</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要求移动端对司机接单状态进行监测，如司机在规定时间内仍未接单，司机端将则弹出接单提醒。</w:t>
      </w:r>
    </w:p>
    <w:p>
      <w:pPr>
        <w:keepNext/>
        <w:keepLines/>
        <w:numPr>
          <w:ilvl w:val="3"/>
          <w:numId w:val="3"/>
        </w:numPr>
        <w:tabs>
          <w:tab w:val="left" w:pos="735"/>
        </w:tabs>
        <w:spacing w:before="312" w:beforeLines="100" w:after="156" w:afterLines="50"/>
        <w:outlineLvl w:val="3"/>
        <w:rPr>
          <w:rFonts w:ascii="Times New Roman" w:hAnsi="Times New Roman" w:eastAsia="Times New Roman" w:cs="Times New Roman"/>
          <w:b/>
          <w:bCs/>
          <w:color w:val="000000" w:themeColor="text1"/>
          <w:kern w:val="2"/>
          <w:sz w:val="28"/>
          <w:szCs w:val="28"/>
          <w:lang w:val="zh-CN" w:eastAsia="zh-CN" w:bidi="ar-SA"/>
          <w14:textFill>
            <w14:solidFill>
              <w14:schemeClr w14:val="tx1"/>
            </w14:solidFill>
          </w14:textFill>
        </w:rPr>
      </w:pPr>
      <w:r>
        <w:rPr>
          <w:rFonts w:hint="eastAsia" w:ascii="宋体" w:hAnsi="宋体" w:eastAsia="宋体" w:cs="宋体"/>
          <w:b/>
          <w:bCs/>
          <w:color w:val="000000" w:themeColor="text1"/>
          <w:kern w:val="2"/>
          <w:sz w:val="28"/>
          <w:szCs w:val="28"/>
          <w:lang w:val="zh-CN" w:eastAsia="zh-CN" w:bidi="ar-SA"/>
          <w14:textFill>
            <w14:solidFill>
              <w14:schemeClr w14:val="tx1"/>
            </w14:solidFill>
          </w14:textFill>
        </w:rPr>
        <w:t>防疫信息研判分析</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防疫信息融合研判模型</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围绕转运任务的安排关键要素点，进行防疫安全、任务安全等方面的研判及评估数据的输出，支撑防疫转运任务的科学预警和调度。</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转运任务分析</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对所有转运任务相关信息进行分析，归纳任务状态、执行任务总时间、任务执行各时间节点、执行人员、车辆、企业等。</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（1）转运任务时长统计</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（2）转运任务过程分析</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转运车辆分析</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要求按照消杀中/空闲/转运中等不同状态，分类研判各状态下的车辆数量，同时关联各个车辆的转运任务执行情况，可查看车辆的历史转运任务单、当前转运任务单等。</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转运司机分析</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要求按照隔离中/空闲/转运中等不同状态，分类研判各状态下的司机数量，同时关联各个司机的转运任务执行情况，可查看司机的历史转运任务单、当前转运任务单等。</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转运运输企业分析</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要求梳理各个转运企业的名下司机情况、转运车辆情况，关联转运任务信息，可查看派发给当前企业的历史转运任务单、当前转运任务单等。</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被转运人员隔离情况分析</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要求分析各转运任务填报的被转运人员数量，为疫情防控趋势分析、疫情防控转运决策提供支撑。</w:t>
      </w:r>
    </w:p>
    <w:p>
      <w:pPr>
        <w:keepNext/>
        <w:keepLines/>
        <w:numPr>
          <w:ilvl w:val="2"/>
          <w:numId w:val="3"/>
        </w:numPr>
        <w:tabs>
          <w:tab w:val="left" w:pos="567"/>
        </w:tabs>
        <w:spacing w:before="312" w:beforeLines="100" w:after="156" w:afterLines="50"/>
        <w:outlineLvl w:val="2"/>
        <w:rPr>
          <w:rFonts w:ascii="Times New Roman" w:hAnsi="Times New Roman" w:eastAsia="Times New Roman" w:cs="Times New Roman"/>
          <w:b/>
          <w:bCs/>
          <w:color w:val="000000" w:themeColor="text1"/>
          <w:kern w:val="2"/>
          <w:sz w:val="30"/>
          <w:szCs w:val="30"/>
          <w:lang w:val="zh-CN" w:eastAsia="zh-CN" w:bidi="ar-SA"/>
          <w14:textFill>
            <w14:solidFill>
              <w14:schemeClr w14:val="tx1"/>
            </w14:solidFill>
          </w14:textFill>
        </w:rPr>
      </w:pPr>
      <w:r>
        <w:rPr>
          <w:rFonts w:hint="eastAsia" w:ascii="宋体" w:hAnsi="宋体" w:eastAsia="宋体" w:cs="宋体"/>
          <w:b/>
          <w:bCs/>
          <w:color w:val="000000" w:themeColor="text1"/>
          <w:kern w:val="2"/>
          <w:sz w:val="30"/>
          <w:szCs w:val="30"/>
          <w:lang w:val="zh-CN" w:eastAsia="zh-CN" w:bidi="ar-SA"/>
          <w14:textFill>
            <w14:solidFill>
              <w14:schemeClr w14:val="tx1"/>
            </w14:solidFill>
          </w14:textFill>
        </w:rPr>
        <w:t>非法营运靶向数治</w:t>
      </w:r>
    </w:p>
    <w:p>
      <w:pPr>
        <w:keepNext/>
        <w:keepLines/>
        <w:numPr>
          <w:ilvl w:val="3"/>
          <w:numId w:val="3"/>
        </w:numPr>
        <w:tabs>
          <w:tab w:val="left" w:pos="735"/>
        </w:tabs>
        <w:spacing w:before="312" w:beforeLines="100" w:after="156" w:afterLines="50"/>
        <w:outlineLvl w:val="3"/>
        <w:rPr>
          <w:rFonts w:ascii="Times New Roman" w:hAnsi="Times New Roman" w:eastAsia="Times New Roman" w:cs="Times New Roman"/>
          <w:b/>
          <w:bCs/>
          <w:color w:val="000000" w:themeColor="text1"/>
          <w:kern w:val="2"/>
          <w:sz w:val="28"/>
          <w:szCs w:val="28"/>
          <w:lang w:val="zh-CN" w:eastAsia="zh-CN" w:bidi="ar-SA"/>
          <w14:textFill>
            <w14:solidFill>
              <w14:schemeClr w14:val="tx1"/>
            </w14:solidFill>
          </w14:textFill>
        </w:rPr>
      </w:pPr>
      <w:r>
        <w:rPr>
          <w:rFonts w:hint="eastAsia" w:ascii="宋体" w:hAnsi="宋体" w:eastAsia="宋体" w:cs="宋体"/>
          <w:b/>
          <w:bCs/>
          <w:color w:val="000000" w:themeColor="text1"/>
          <w:kern w:val="2"/>
          <w:sz w:val="28"/>
          <w:szCs w:val="28"/>
          <w:lang w:val="zh-CN" w:eastAsia="zh-CN" w:bidi="ar-SA"/>
          <w14:textFill>
            <w14:solidFill>
              <w14:schemeClr w14:val="tx1"/>
            </w14:solidFill>
          </w14:textFill>
        </w:rPr>
        <w:t>两客在线云诊</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非法上客行为识别</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要求能够对接在萧山区内大客车站外组客点安装的智能分析抓拍摄像头，接入智能抓拍的大客车违规上客视频，并进行视频数据进行图像分析识别，联动后端软件应用模块，为非法上客行为识别提供证据。</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违法两客车辆研判</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要求开发重点车辆研判分析模型，将疑似车辆各类告警信息进行研判分析，将违规车辆汇集于黑名单车辆库中进行重点监管，对黑名单车辆信息进行全面梳理，为后期车辆布控提供基础。</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（1）疑似非法营运车辆研判模型</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要求能够筛选出高频车辆、GPS未上传车辆、</w:t>
      </w:r>
      <w:r>
        <w:rPr>
          <w:rFonts w:ascii="Times New Roman" w:hAnsi="Times New Roman" w:eastAsia="宋体" w:cs="Times New Roman"/>
          <w:color w:val="000000" w:themeColor="text1"/>
          <w:kern w:val="2"/>
          <w:szCs w:val="20"/>
          <w14:textFill>
            <w14:solidFill>
              <w14:schemeClr w14:val="tx1"/>
            </w14:solidFill>
          </w14:textFill>
        </w:rPr>
        <w:t>2</w:t>
      </w:r>
      <w:r>
        <w:rPr>
          <w:rFonts w:hint="eastAsia" w:ascii="Times New Roman" w:hAnsi="Times New Roman" w:eastAsia="宋体" w:cs="Times New Roman"/>
          <w:color w:val="000000" w:themeColor="text1"/>
          <w:kern w:val="2"/>
          <w:szCs w:val="20"/>
          <w14:textFill>
            <w14:solidFill>
              <w14:schemeClr w14:val="tx1"/>
            </w14:solidFill>
          </w14:textFill>
        </w:rPr>
        <w:t>-5点违规未停驶等存在异常行为的营运车辆，同时支持利用现有人工识别出的疑似非法营运客车和公众投诉举报的非法营运客车统一纳入到重点监管车辆库进行统一管理。</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（2）疑似非法营运车辆告警分析模型</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根据高频车辆、GPS未上传、</w:t>
      </w:r>
      <w:r>
        <w:rPr>
          <w:rFonts w:ascii="Times New Roman" w:hAnsi="Times New Roman" w:eastAsia="宋体" w:cs="Times New Roman"/>
          <w:color w:val="000000" w:themeColor="text1"/>
          <w:kern w:val="2"/>
          <w:szCs w:val="20"/>
          <w14:textFill>
            <w14:solidFill>
              <w14:schemeClr w14:val="tx1"/>
            </w14:solidFill>
          </w14:textFill>
        </w:rPr>
        <w:t>2</w:t>
      </w:r>
      <w:r>
        <w:rPr>
          <w:rFonts w:hint="eastAsia" w:ascii="Times New Roman" w:hAnsi="Times New Roman" w:eastAsia="宋体" w:cs="Times New Roman"/>
          <w:color w:val="000000" w:themeColor="text1"/>
          <w:kern w:val="2"/>
          <w:szCs w:val="20"/>
          <w14:textFill>
            <w14:solidFill>
              <w14:schemeClr w14:val="tx1"/>
            </w14:solidFill>
          </w14:textFill>
        </w:rPr>
        <w:t>-5点违规未停驶等车辆异常行为，通过车辆告警规则的分类制定，实现对不同类型的疑似行为的分类监测。</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（3）不按站点停靠研判分析</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要求能结合本项目在高速公路出入口、客运枢纽周边的道路路边布设球机/枪球一体机，捕获经停车辆的信息，包括车辆类型、号牌、颜色等基础信息及车辆行驶、停靠等车辆时间信息；</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对于识别出来的大客车路边违章停车的事件，系统实时生成违法行为预警，预警信息中包括违法时间、违法地点、违法车辆信息、违法行为、违法行为取证图片和视频等关键信息。</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（4）违规上客研判</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要求基于智能视频算法，识别大客车违规站外上客行为，24小时智能抓拍，实现自动预警，并生成视频片段。</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对于识别出来的在非上下客地点处，存在乘客违规上客的事件，系统根据前端设备回传内容，实时生成违法行为预警，预警信息中包括违法时间、违法地点、违法车辆信息、违法行为、违法行为取证图片和视频等关键信息。</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（5）违规上客黑点研判</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通过GPS数据和大客车的线路数据，能够智能研判和归集大客车非法站外组客点，辅助执法人员开展稽查。</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（6）车辆告警研判分析</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对疑似非法营运客车告警情况进行研判分析，梳理各疑似车辆预警情况、异常行为类型、预警等级、历史过车具体记录等，管理人员可查看告警的具体信息，并针对预警类型、告警规则进行筛选，认为该疑似车辆存在较高违法可能后，可一键将车辆转入黑名单库进行重点监管，对于因公需要而频繁进出管控区域的车辆可纳入白名单，实现对车辆的过滤。</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（7）重点车辆黑名单库管理</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接入、梳理各来源的需重点监管的黑名单车辆信息，将相关车辆信息统一纳入重点车辆黑名单库进行管理，支持对黑名单车辆库的导入、手动添加等编辑功能。记录相关信息，支持追溯黑名单车辆基础信息，可查询追溯黑名单车辆一定时间范围内具体卡口过车记录、在地图查看行驶轨迹等，为车辆追踪布控研判提供有力支撑。</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（8）非现场审核</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非现场审查嫌疑违法的抓图、关联录像片段、违法地点、历史违法记录、历史报警记录等，通过非现场方式确认违法事实，执法处理违规事件，支持非现场执法审核线索的查询展示。</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lang w:eastAsia="zh-CN"/>
          <w14:textFill>
            <w14:solidFill>
              <w14:schemeClr w14:val="tx1"/>
            </w14:solidFill>
          </w14:textFill>
        </w:rPr>
        <w:t>※</w:t>
      </w:r>
      <w:r>
        <w:rPr>
          <w:rFonts w:hint="eastAsia" w:ascii="Times New Roman" w:hAnsi="Times New Roman" w:eastAsia="宋体" w:cs="Times New Roman"/>
          <w:color w:val="000000" w:themeColor="text1"/>
          <w:kern w:val="2"/>
          <w:szCs w:val="20"/>
          <w14:textFill>
            <w14:solidFill>
              <w14:schemeClr w14:val="tx1"/>
            </w14:solidFill>
          </w14:textFill>
        </w:rPr>
        <w:t>投标人需结合对本项目的理解，1）针对上述“（2）疑似非法营运车辆告警分析模型”的要求，提供疑似非法营运车辆告警分析模型的详细设计；2）投标人需针对上述“（6）车辆告警研判分析”,提供车辆告警研判分析模块的详细设计。</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违法车辆信息推送</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要求将识别的违法大客车相关数据进行梳理归集，联动推送至萧山区“一网统管”平台，并接入“一网统管”相关办件结果，</w:t>
      </w:r>
      <w:r>
        <w:rPr>
          <w:rFonts w:hint="eastAsia" w:ascii="Times New Roman" w:hAnsi="Times New Roman" w:eastAsia="宋体" w:cs="Times New Roman"/>
          <w:color w:val="000000" w:themeColor="text1"/>
          <w:kern w:val="2"/>
          <w:szCs w:val="20"/>
          <w14:textFill>
            <w14:solidFill>
              <w14:schemeClr w14:val="tx1"/>
            </w14:solidFill>
          </w14:textFill>
        </w:rPr>
        <w:t>或通过指挥中心平台以工单形式推送给执法队，经审核录入后期核实处置结果，形成闭环。</w:t>
      </w:r>
    </w:p>
    <w:p>
      <w:pPr>
        <w:keepNext/>
        <w:keepLines/>
        <w:numPr>
          <w:ilvl w:val="3"/>
          <w:numId w:val="3"/>
        </w:numPr>
        <w:tabs>
          <w:tab w:val="left" w:pos="735"/>
        </w:tabs>
        <w:spacing w:before="312" w:beforeLines="100" w:after="156" w:afterLines="50"/>
        <w:outlineLvl w:val="3"/>
        <w:rPr>
          <w:rFonts w:ascii="Times New Roman" w:hAnsi="Times New Roman" w:eastAsia="Times New Roman" w:cs="Times New Roman"/>
          <w:b/>
          <w:bCs/>
          <w:color w:val="000000" w:themeColor="text1"/>
          <w:kern w:val="2"/>
          <w:sz w:val="28"/>
          <w:szCs w:val="28"/>
          <w:lang w:val="zh-CN" w:eastAsia="zh-CN" w:bidi="ar-SA"/>
          <w14:textFill>
            <w14:solidFill>
              <w14:schemeClr w14:val="tx1"/>
            </w14:solidFill>
          </w14:textFill>
        </w:rPr>
      </w:pPr>
      <w:r>
        <w:rPr>
          <w:rFonts w:hint="eastAsia" w:ascii="宋体" w:hAnsi="宋体" w:eastAsia="宋体" w:cs="宋体"/>
          <w:b/>
          <w:bCs/>
          <w:color w:val="000000" w:themeColor="text1"/>
          <w:kern w:val="2"/>
          <w:sz w:val="28"/>
          <w:szCs w:val="28"/>
          <w:lang w:val="zh-CN" w:eastAsia="zh-CN" w:bidi="ar-SA"/>
          <w14:textFill>
            <w14:solidFill>
              <w14:schemeClr w14:val="tx1"/>
            </w14:solidFill>
          </w14:textFill>
        </w:rPr>
        <w:t>车辆精准布控</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布控策略制定</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针对车辆布控、区域布控两种不同的布控策略，能够设置所需布控的管控区域范围、卡口范围、具体布控站点、高速出入口等布控参数，并设置布控信息推送人联系信息，为后期车辆布控、管控区域布控制定策略基础。</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黑名单车辆轨迹分析研判</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能够针对掌握的疑似非法营运客车数据，利用历史采集的卡口数据，在GIS地图绘制疑似车辆的行驶轨迹，并显示车辆具体经过的卡口时间、卡口地点、经过顺序，并能根据历史轨迹信息预测黑名单车辆的未来可能经过的卡口位置、顺序、经过概率等，为车辆定点精准布控提供支撑。</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（1）车辆轨迹分析</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（2）车辆轨迹绘制</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（3）车辆未来行驶点位预测</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（4）车辆未来行驶轨迹预测</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待布控车辆监测推送</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当布控模式开启时，要求实时监测布控区域内卡口过车情况，当卡口系统抓拍到待布控客车，将及时在平台弹出告警信息，待布控黑名单车辆的车辆信息、卡口信息、行驶轨迹、经过站点等数据推送给对应辖区中队执法人员，便于联合公安到系统推荐的疑似非法营运客车的下一个必经路段进行拦截。</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（1）待布控车辆轨迹分析</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（2）待布控车辆轨迹绘制</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（3）待布控车辆未来行驶点位预测</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（4）待布控车辆未来行驶轨迹预测</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车辆布控核查处置</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（1）违法车辆证据管理</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能够针对抓拍车辆、卡口研判车辆，将违法车辆相关图片、车辆信息进行汇总管理功能。</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（2）违法车辆证据审核</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要求开发证据审核模块，由管理人员确认证据是否符合执法指引的要求。</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（3）布控车辆信息推送</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将审核后的违法车辆图像证据、高度疑似非法营运车辆名单等违法车辆信息进行汇总，开发相关接口，推送至萧山区一网统管智治中心或通过指挥中心平台以工单形式推送给执法队，经审核录入后期核实处置结果，形成闭环。以及联动推送至“打非移动执法”移动端。</w:t>
      </w:r>
    </w:p>
    <w:p>
      <w:pPr>
        <w:keepNext/>
        <w:keepLines/>
        <w:numPr>
          <w:ilvl w:val="3"/>
          <w:numId w:val="3"/>
        </w:numPr>
        <w:tabs>
          <w:tab w:val="left" w:pos="735"/>
        </w:tabs>
        <w:spacing w:before="312" w:beforeLines="100" w:after="156" w:afterLines="50"/>
        <w:outlineLvl w:val="3"/>
        <w:rPr>
          <w:rFonts w:ascii="Times New Roman" w:hAnsi="Times New Roman" w:eastAsia="Times New Roman" w:cs="Times New Roman"/>
          <w:b/>
          <w:bCs/>
          <w:color w:val="000000" w:themeColor="text1"/>
          <w:kern w:val="2"/>
          <w:sz w:val="28"/>
          <w:szCs w:val="28"/>
          <w:lang w:val="zh-CN" w:eastAsia="zh-CN" w:bidi="ar-SA"/>
          <w14:textFill>
            <w14:solidFill>
              <w14:schemeClr w14:val="tx1"/>
            </w14:solidFill>
          </w14:textFill>
        </w:rPr>
      </w:pPr>
      <w:r>
        <w:rPr>
          <w:rFonts w:hint="eastAsia" w:ascii="宋体" w:hAnsi="宋体" w:eastAsia="宋体" w:cs="宋体"/>
          <w:b/>
          <w:bCs/>
          <w:color w:val="000000" w:themeColor="text1"/>
          <w:kern w:val="2"/>
          <w:sz w:val="28"/>
          <w:szCs w:val="28"/>
          <w:lang w:val="zh-CN" w:eastAsia="zh-CN" w:bidi="ar-SA"/>
          <w14:textFill>
            <w14:solidFill>
              <w14:schemeClr w14:val="tx1"/>
            </w14:solidFill>
          </w14:textFill>
        </w:rPr>
        <w:t>出行全局研判</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黑名单过车区域排行</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根据设置的萧山区内各街道、各重点场站等区域，分析各区域中黑名单车辆经过总次数、黑名单车辆数，实时展示输出区域黑名单过车次数排行。</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车辆过车次数排行</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对全区车辆卡口过车数据次数进行分析，根据车辆过车次数输出车辆排名，同时展示该车辆是否为白名单、黑名单车，提供一键转入白名单、黑名单功能。</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车辆出行热力图分布</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对全区营运车辆的GPS数据进行分析，通过车辆运行的热力图分布情况，实时查看车辆运行的热点区域，发现不同时间段不同区域的车辆分布特征。</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黑名单过车卡口排行</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全面研判萧山区域内各个卡口抓拍黑名单车辆的抓拍情况，分析输出每个卡口抓拍黑名单车辆总次数、对应的车辆数，对卡口进行过车次数排行。</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（1）黑名单卡口过车排行分析</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（2）黑名单卡口过车排行详情下钻</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黑名单过车时间分析</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对萧山区域内各个卡口抓拍黑名单车辆的时间进行分析，按照小时、天、月三个时间维度，分析输出对应时间段内黑名单车辆被卡口抓拍的过车数。</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（1）各时段过车情况分析</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（2）各时段过车曲线绘制</w:t>
      </w:r>
    </w:p>
    <w:p>
      <w:pPr>
        <w:keepNext/>
        <w:keepLines/>
        <w:numPr>
          <w:ilvl w:val="3"/>
          <w:numId w:val="3"/>
        </w:numPr>
        <w:tabs>
          <w:tab w:val="left" w:pos="735"/>
        </w:tabs>
        <w:spacing w:before="312" w:beforeLines="100" w:after="156" w:afterLines="50"/>
        <w:outlineLvl w:val="3"/>
        <w:rPr>
          <w:rFonts w:ascii="宋体" w:hAnsi="宋体" w:eastAsia="宋体" w:cs="宋体"/>
          <w:b/>
          <w:bCs/>
          <w:color w:val="000000" w:themeColor="text1"/>
          <w:kern w:val="2"/>
          <w:sz w:val="28"/>
          <w:szCs w:val="28"/>
          <w:lang w:val="zh-CN" w:eastAsia="zh-CN" w:bidi="ar-SA"/>
          <w14:textFill>
            <w14:solidFill>
              <w14:schemeClr w14:val="tx1"/>
            </w14:solidFill>
          </w14:textFill>
        </w:rPr>
      </w:pPr>
      <w:r>
        <w:rPr>
          <w:rFonts w:hint="eastAsia" w:ascii="宋体" w:hAnsi="宋体" w:eastAsia="宋体" w:cs="宋体"/>
          <w:b/>
          <w:bCs/>
          <w:color w:val="000000" w:themeColor="text1"/>
          <w:kern w:val="2"/>
          <w:sz w:val="28"/>
          <w:szCs w:val="28"/>
          <w:lang w:val="zh-CN" w:eastAsia="zh-CN" w:bidi="ar-SA"/>
          <w14:textFill>
            <w14:solidFill>
              <w14:schemeClr w14:val="tx1"/>
            </w14:solidFill>
          </w14:textFill>
        </w:rPr>
        <w:t>打非移动执法</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非法营运车辆预警</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提供浙政钉端查询预警车辆过车记录轨迹的功能，在地图上进行展示；将产生的车辆预警信息，基于浙政钉平台推送给执法人员，支持在推送预警通知信息的过程中，将相关的证据（车牌号、车牌颜色、行驶方向、抓拍图片信息等）发送到相应执法人员的终端上面，为执法人员落实排查提供支撑。</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非法营运车辆追踪</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支持对生成的预警信息进行跟踪，对生成的预警信息点击追踪，展示车辆生成预警卡口等信息。同时提供在移动端对车辆历史行驶轨迹的查询功能，在地图上对历史行驶轨迹进行展示。</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执法音视频管理</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将采集站上传的视音频数据文件进行打备注标签，且备注的标签可以快速查找功能；用户记录日常审核平台采集的视音频数据后情况信息支持手动导入视音频文件录入平台做归档及调阅功能，导入数据存入平台挂载的中心存储。</w:t>
      </w:r>
    </w:p>
    <w:p>
      <w:pPr>
        <w:keepNext/>
        <w:keepLines/>
        <w:numPr>
          <w:ilvl w:val="4"/>
          <w:numId w:val="3"/>
        </w:numPr>
        <w:tabs>
          <w:tab w:val="left" w:pos="840"/>
        </w:tabs>
        <w:spacing w:before="312" w:beforeLines="100" w:after="156" w:afterLines="50"/>
        <w:outlineLvl w:val="4"/>
        <w:rPr>
          <w:rFonts w:ascii="Times New Roman" w:hAnsi="Times New Roman" w:eastAsia="宋体" w:cs="Times New Roman"/>
          <w:b/>
          <w:color w:val="000000" w:themeColor="text1"/>
          <w:kern w:val="2"/>
          <w:sz w:val="24"/>
          <w:szCs w:val="24"/>
          <w:lang w:val="zh-CN" w:eastAsia="zh-CN" w:bidi="ar-SA"/>
          <w14:textFill>
            <w14:solidFill>
              <w14:schemeClr w14:val="tx1"/>
            </w14:solidFill>
          </w14:textFill>
        </w:rPr>
      </w:pPr>
      <w:r>
        <w:rPr>
          <w:rFonts w:hint="eastAsia" w:ascii="Times New Roman" w:hAnsi="Times New Roman" w:eastAsia="宋体" w:cs="Times New Roman"/>
          <w:b/>
          <w:color w:val="000000" w:themeColor="text1"/>
          <w:kern w:val="2"/>
          <w:sz w:val="24"/>
          <w:szCs w:val="24"/>
          <w:lang w:val="zh-CN" w:eastAsia="zh-CN" w:bidi="ar-SA"/>
          <w14:textFill>
            <w14:solidFill>
              <w14:schemeClr w14:val="tx1"/>
            </w14:solidFill>
          </w14:textFill>
        </w:rPr>
        <w:t>执法稽查</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根据预警信息，执法人员落实排查，根据客运车辆电子化检查事项清单，实行逐项检查，逐项录入反馈检查情况，根据线上线下数据比对判断有无异常，并选择后续处理方式。</w:t>
      </w:r>
    </w:p>
    <w:p>
      <w:pPr>
        <w:keepNext/>
        <w:keepLines/>
        <w:numPr>
          <w:ilvl w:val="1"/>
          <w:numId w:val="3"/>
        </w:numPr>
        <w:spacing w:before="312" w:beforeLines="100" w:after="156" w:afterLines="50"/>
        <w:ind w:left="0"/>
        <w:outlineLvl w:val="1"/>
        <w:rPr>
          <w:rFonts w:ascii="宋体" w:hAnsi="宋体" w:eastAsia="宋体" w:cs="宋体"/>
          <w:b/>
          <w:bCs/>
          <w:color w:val="000000" w:themeColor="text1"/>
          <w:kern w:val="2"/>
          <w:sz w:val="32"/>
          <w:szCs w:val="32"/>
          <w:lang w:val="zh-CN" w:eastAsia="zh-CN" w:bidi="ar-SA"/>
          <w14:textFill>
            <w14:solidFill>
              <w14:schemeClr w14:val="tx1"/>
            </w14:solidFill>
          </w14:textFill>
        </w:rPr>
      </w:pPr>
      <w:r>
        <w:rPr>
          <w:rFonts w:hint="eastAsia" w:ascii="宋体" w:hAnsi="宋体" w:eastAsia="宋体" w:cs="宋体"/>
          <w:b/>
          <w:bCs/>
          <w:color w:val="000000" w:themeColor="text1"/>
          <w:kern w:val="2"/>
          <w:sz w:val="32"/>
          <w:szCs w:val="32"/>
          <w:lang w:val="zh-CN" w:eastAsia="zh-CN" w:bidi="ar-SA"/>
          <w14:textFill>
            <w14:solidFill>
              <w14:schemeClr w14:val="tx1"/>
            </w14:solidFill>
          </w14:textFill>
        </w:rPr>
        <w:t>数字交通基础支撑平台</w:t>
      </w:r>
    </w:p>
    <w:p>
      <w:pPr>
        <w:keepNext/>
        <w:keepLines/>
        <w:numPr>
          <w:ilvl w:val="2"/>
          <w:numId w:val="3"/>
        </w:numPr>
        <w:tabs>
          <w:tab w:val="left" w:pos="567"/>
        </w:tabs>
        <w:spacing w:before="312" w:beforeLines="100" w:after="156" w:afterLines="50"/>
        <w:outlineLvl w:val="2"/>
        <w:rPr>
          <w:rFonts w:ascii="Times New Roman" w:hAnsi="Times New Roman" w:eastAsia="Times New Roman" w:cs="Times New Roman"/>
          <w:b/>
          <w:bCs/>
          <w:color w:val="000000" w:themeColor="text1"/>
          <w:kern w:val="2"/>
          <w:sz w:val="30"/>
          <w:szCs w:val="30"/>
          <w:lang w:val="zh-CN" w:eastAsia="zh-CN" w:bidi="ar-SA"/>
          <w14:textFill>
            <w14:solidFill>
              <w14:schemeClr w14:val="tx1"/>
            </w14:solidFill>
          </w14:textFill>
        </w:rPr>
      </w:pPr>
      <w:r>
        <w:rPr>
          <w:rFonts w:hint="eastAsia" w:ascii="宋体" w:hAnsi="宋体" w:eastAsia="宋体" w:cs="宋体"/>
          <w:b/>
          <w:bCs/>
          <w:color w:val="000000" w:themeColor="text1"/>
          <w:kern w:val="2"/>
          <w:sz w:val="30"/>
          <w:szCs w:val="30"/>
          <w:lang w:val="zh-CN" w:eastAsia="zh-CN" w:bidi="ar-SA"/>
          <w14:textFill>
            <w14:solidFill>
              <w14:schemeClr w14:val="tx1"/>
            </w14:solidFill>
          </w14:textFill>
        </w:rPr>
        <w:t>完善交通数据资源中心</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二期项目需进一步完善数据接入种类、数量，为二期平台升级、全面智治赋能。</w:t>
      </w:r>
    </w:p>
    <w:p>
      <w:pPr>
        <w:keepNext/>
        <w:keepLines/>
        <w:numPr>
          <w:ilvl w:val="3"/>
          <w:numId w:val="3"/>
        </w:numPr>
        <w:tabs>
          <w:tab w:val="left" w:pos="735"/>
        </w:tabs>
        <w:spacing w:before="312" w:beforeLines="100" w:after="156" w:afterLines="50"/>
        <w:outlineLvl w:val="3"/>
        <w:rPr>
          <w:rFonts w:ascii="Times New Roman" w:hAnsi="Times New Roman" w:eastAsia="Times New Roman" w:cs="Times New Roman"/>
          <w:b/>
          <w:bCs/>
          <w:color w:val="000000" w:themeColor="text1"/>
          <w:kern w:val="2"/>
          <w:sz w:val="28"/>
          <w:szCs w:val="28"/>
          <w:lang w:val="zh-CN" w:eastAsia="zh-CN" w:bidi="ar-SA"/>
          <w14:textFill>
            <w14:solidFill>
              <w14:schemeClr w14:val="tx1"/>
            </w14:solidFill>
          </w14:textFill>
        </w:rPr>
      </w:pPr>
      <w:r>
        <w:rPr>
          <w:rFonts w:hint="eastAsia" w:ascii="宋体" w:hAnsi="宋体" w:eastAsia="宋体" w:cs="宋体"/>
          <w:b/>
          <w:bCs/>
          <w:color w:val="000000" w:themeColor="text1"/>
          <w:kern w:val="2"/>
          <w:sz w:val="28"/>
          <w:szCs w:val="28"/>
          <w:lang w:val="zh-CN" w:eastAsia="zh-CN" w:bidi="ar-SA"/>
          <w14:textFill>
            <w14:solidFill>
              <w14:schemeClr w14:val="tx1"/>
            </w14:solidFill>
          </w14:textFill>
        </w:rPr>
        <w:t>数据接入</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预留各类数据接口,与相关部门实现数据对接。</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（1）数据接入服务</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需接入本项目所需的各部门数据，实现数字赋能萧山区交通运输行业管理全面提升，为交通数字化改革应用场景的建设提供数据和平台支撑。</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（2）互联网客流数据接入</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需接入场馆周边区域(大小莲花、国博区域不大于30平方公里，下同)每间隔15分钟的实时客流数据。包括分网格的人数，整个区域人员的画像包括性别、年龄、收入等数据标签。</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（3）互联网路况数据接入</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需接入萧山区内link路段级别的路况服务数据，包含各路段车速、拥堵程度等数据。</w:t>
      </w:r>
    </w:p>
    <w:p>
      <w:pPr>
        <w:keepNext/>
        <w:keepLines/>
        <w:numPr>
          <w:ilvl w:val="3"/>
          <w:numId w:val="3"/>
        </w:numPr>
        <w:tabs>
          <w:tab w:val="left" w:pos="735"/>
        </w:tabs>
        <w:spacing w:before="312" w:beforeLines="100" w:after="156" w:afterLines="50"/>
        <w:outlineLvl w:val="3"/>
        <w:rPr>
          <w:rFonts w:ascii="Times New Roman" w:hAnsi="Times New Roman" w:eastAsia="Times New Roman" w:cs="Times New Roman"/>
          <w:b/>
          <w:bCs/>
          <w:color w:val="000000" w:themeColor="text1"/>
          <w:kern w:val="2"/>
          <w:sz w:val="28"/>
          <w:szCs w:val="28"/>
          <w:lang w:val="zh-CN" w:eastAsia="zh-CN" w:bidi="ar-SA"/>
          <w14:textFill>
            <w14:solidFill>
              <w14:schemeClr w14:val="tx1"/>
            </w14:solidFill>
          </w14:textFill>
        </w:rPr>
      </w:pPr>
      <w:r>
        <w:rPr>
          <w:rFonts w:hint="eastAsia" w:ascii="宋体" w:hAnsi="宋体" w:eastAsia="宋体" w:cs="宋体"/>
          <w:b/>
          <w:bCs/>
          <w:color w:val="000000" w:themeColor="text1"/>
          <w:kern w:val="2"/>
          <w:sz w:val="28"/>
          <w:szCs w:val="28"/>
          <w:lang w:val="zh-CN" w:eastAsia="zh-CN" w:bidi="ar-SA"/>
          <w14:textFill>
            <w14:solidFill>
              <w14:schemeClr w14:val="tx1"/>
            </w14:solidFill>
          </w14:textFill>
        </w:rPr>
        <w:t>数据更新工程</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（1）数据调研</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根据业务模块开发需求，调研数据接入所需部门的数据源、数据种类、更新频率等，结合业务需求，进行后期数据更新录入设计。</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（2）数据梳理</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与所需接入的数据源所在主管部门及单位等进行沟通，获取数据资源材料，按设计要求完成数据梳理。</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（3）数据录入</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针对需要人工数据录入的模块，按照设计要求，完成各类数据的录入、核对。</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（4）数据定期更新</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按照设计的数据更新时间频率要求，完成数据更新。</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（5）数据集成同步</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把系统采集更新、人工手动录入的不同来源、格式、特点性质的数据进行统一集中，从而提供全面的数据服务。</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（6）数据整理归档</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将录入数据按照业务分类进行整理归档并分类，进行长期保存。</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（7）数据链路维护</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检查数据链路畅通情况，发现数据断路时能够检查数据断路原因，进行链路修复。</w:t>
      </w:r>
    </w:p>
    <w:p>
      <w:pPr>
        <w:keepNext/>
        <w:keepLines/>
        <w:numPr>
          <w:ilvl w:val="2"/>
          <w:numId w:val="3"/>
        </w:numPr>
        <w:tabs>
          <w:tab w:val="left" w:pos="567"/>
        </w:tabs>
        <w:spacing w:before="312" w:beforeLines="100" w:after="156" w:afterLines="50"/>
        <w:outlineLvl w:val="2"/>
        <w:rPr>
          <w:rFonts w:ascii="Times New Roman" w:hAnsi="Times New Roman" w:eastAsia="Times New Roman" w:cs="Times New Roman"/>
          <w:b/>
          <w:bCs/>
          <w:color w:val="000000" w:themeColor="text1"/>
          <w:kern w:val="2"/>
          <w:sz w:val="30"/>
          <w:szCs w:val="30"/>
          <w:lang w:val="zh-CN"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30"/>
          <w:szCs w:val="30"/>
          <w:lang w:val="zh-CN" w:eastAsia="zh-CN" w:bidi="ar-SA"/>
          <w14:textFill>
            <w14:solidFill>
              <w14:schemeClr w14:val="tx1"/>
            </w14:solidFill>
          </w14:textFill>
        </w:rPr>
        <w:t>完善交通运行监测平台</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在萧山一期项目建设基础上，对运行监测平台UI展示进行升级，并绘制多张“交通一张图”，丰富完善交通运行监测平台，为行业综合治理增能提效。</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全面升级交通运行监测平台UI展示界面，支持以灵活的方式将一张图上展示的数据项目进行位置排列、布局更换，使管理者能够更加快速、便捷地统览关注的交通运行情况、相关数据指标。</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（1）“活动保障一张图</w:t>
      </w:r>
      <w:r>
        <w:rPr>
          <w:rFonts w:ascii="Times New Roman" w:hAnsi="Times New Roman" w:eastAsia="宋体" w:cs="Times New Roman"/>
          <w:color w:val="000000" w:themeColor="text1"/>
          <w:kern w:val="2"/>
          <w:szCs w:val="20"/>
          <w14:textFill>
            <w14:solidFill>
              <w14:schemeClr w14:val="tx1"/>
            </w14:solidFill>
          </w14:textFill>
        </w:rPr>
        <w:t>”</w:t>
      </w:r>
      <w:r>
        <w:rPr>
          <w:rFonts w:hint="eastAsia" w:ascii="Times New Roman" w:hAnsi="Times New Roman" w:eastAsia="宋体" w:cs="Times New Roman"/>
          <w:color w:val="000000" w:themeColor="text1"/>
          <w:kern w:val="2"/>
          <w:szCs w:val="20"/>
          <w14:textFill>
            <w14:solidFill>
              <w14:schemeClr w14:val="tx1"/>
            </w14:solidFill>
          </w14:textFill>
        </w:rPr>
        <w:t>；</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w:t>
      </w:r>
      <w:r>
        <w:rPr>
          <w:rFonts w:ascii="Times New Roman" w:hAnsi="Times New Roman" w:eastAsia="宋体" w:cs="Times New Roman"/>
          <w:color w:val="000000" w:themeColor="text1"/>
          <w:kern w:val="2"/>
          <w:szCs w:val="20"/>
          <w14:textFill>
            <w14:solidFill>
              <w14:schemeClr w14:val="tx1"/>
            </w14:solidFill>
          </w14:textFill>
        </w:rPr>
        <w:t>2</w:t>
      </w:r>
      <w:r>
        <w:rPr>
          <w:rFonts w:hint="eastAsia" w:ascii="Times New Roman" w:hAnsi="Times New Roman" w:eastAsia="宋体" w:cs="Times New Roman"/>
          <w:color w:val="000000" w:themeColor="text1"/>
          <w:kern w:val="2"/>
          <w:szCs w:val="20"/>
          <w14:textFill>
            <w14:solidFill>
              <w14:schemeClr w14:val="tx1"/>
            </w14:solidFill>
          </w14:textFill>
        </w:rPr>
        <w:t>）“防疫转运一张图</w:t>
      </w:r>
      <w:r>
        <w:rPr>
          <w:rFonts w:ascii="Times New Roman" w:hAnsi="Times New Roman" w:eastAsia="宋体" w:cs="Times New Roman"/>
          <w:color w:val="000000" w:themeColor="text1"/>
          <w:kern w:val="2"/>
          <w:szCs w:val="20"/>
          <w14:textFill>
            <w14:solidFill>
              <w14:schemeClr w14:val="tx1"/>
            </w14:solidFill>
          </w14:textFill>
        </w:rPr>
        <w:t>”</w:t>
      </w:r>
      <w:r>
        <w:rPr>
          <w:rFonts w:hint="eastAsia" w:ascii="Times New Roman" w:hAnsi="Times New Roman" w:eastAsia="宋体" w:cs="Times New Roman"/>
          <w:color w:val="000000" w:themeColor="text1"/>
          <w:kern w:val="2"/>
          <w:szCs w:val="20"/>
          <w14:textFill>
            <w14:solidFill>
              <w14:schemeClr w14:val="tx1"/>
            </w14:solidFill>
          </w14:textFill>
        </w:rPr>
        <w:t>；</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w:t>
      </w:r>
      <w:r>
        <w:rPr>
          <w:rFonts w:ascii="Times New Roman" w:hAnsi="Times New Roman" w:eastAsia="宋体" w:cs="Times New Roman"/>
          <w:color w:val="000000" w:themeColor="text1"/>
          <w:kern w:val="2"/>
          <w:szCs w:val="20"/>
          <w14:textFill>
            <w14:solidFill>
              <w14:schemeClr w14:val="tx1"/>
            </w14:solidFill>
          </w14:textFill>
        </w:rPr>
        <w:t>3</w:t>
      </w:r>
      <w:r>
        <w:rPr>
          <w:rFonts w:hint="eastAsia" w:ascii="Times New Roman" w:hAnsi="Times New Roman" w:eastAsia="宋体" w:cs="Times New Roman"/>
          <w:color w:val="000000" w:themeColor="text1"/>
          <w:kern w:val="2"/>
          <w:szCs w:val="20"/>
          <w14:textFill>
            <w14:solidFill>
              <w14:schemeClr w14:val="tx1"/>
            </w14:solidFill>
          </w14:textFill>
        </w:rPr>
        <w:t>）“数字打非一张图</w:t>
      </w:r>
      <w:r>
        <w:rPr>
          <w:rFonts w:ascii="Times New Roman" w:hAnsi="Times New Roman" w:eastAsia="宋体" w:cs="Times New Roman"/>
          <w:color w:val="000000" w:themeColor="text1"/>
          <w:kern w:val="2"/>
          <w:szCs w:val="20"/>
          <w14:textFill>
            <w14:solidFill>
              <w14:schemeClr w14:val="tx1"/>
            </w14:solidFill>
          </w14:textFill>
        </w:rPr>
        <w:t>”</w:t>
      </w:r>
      <w:r>
        <w:rPr>
          <w:rFonts w:hint="eastAsia" w:ascii="Times New Roman" w:hAnsi="Times New Roman" w:eastAsia="宋体" w:cs="Times New Roman"/>
          <w:color w:val="000000" w:themeColor="text1"/>
          <w:kern w:val="2"/>
          <w:szCs w:val="20"/>
          <w14:textFill>
            <w14:solidFill>
              <w14:schemeClr w14:val="tx1"/>
            </w14:solidFill>
          </w14:textFill>
        </w:rPr>
        <w:t>；</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w:t>
      </w:r>
      <w:r>
        <w:rPr>
          <w:rFonts w:ascii="Times New Roman" w:hAnsi="Times New Roman" w:eastAsia="宋体" w:cs="Times New Roman"/>
          <w:color w:val="000000" w:themeColor="text1"/>
          <w:kern w:val="2"/>
          <w:szCs w:val="20"/>
          <w14:textFill>
            <w14:solidFill>
              <w14:schemeClr w14:val="tx1"/>
            </w14:solidFill>
          </w14:textFill>
        </w:rPr>
        <w:t>4</w:t>
      </w:r>
      <w:r>
        <w:rPr>
          <w:rFonts w:hint="eastAsia" w:ascii="Times New Roman" w:hAnsi="Times New Roman" w:eastAsia="宋体" w:cs="Times New Roman"/>
          <w:color w:val="000000" w:themeColor="text1"/>
          <w:kern w:val="2"/>
          <w:szCs w:val="20"/>
          <w14:textFill>
            <w14:solidFill>
              <w14:schemeClr w14:val="tx1"/>
            </w14:solidFill>
          </w14:textFill>
        </w:rPr>
        <w:t>）“非现治超一张图</w:t>
      </w:r>
      <w:r>
        <w:rPr>
          <w:rFonts w:ascii="Times New Roman" w:hAnsi="Times New Roman" w:eastAsia="宋体" w:cs="Times New Roman"/>
          <w:color w:val="000000" w:themeColor="text1"/>
          <w:kern w:val="2"/>
          <w:szCs w:val="20"/>
          <w14:textFill>
            <w14:solidFill>
              <w14:schemeClr w14:val="tx1"/>
            </w14:solidFill>
          </w14:textFill>
        </w:rPr>
        <w:t>”</w:t>
      </w:r>
      <w:r>
        <w:rPr>
          <w:rFonts w:hint="eastAsia" w:ascii="Times New Roman" w:hAnsi="Times New Roman" w:eastAsia="宋体" w:cs="Times New Roman"/>
          <w:color w:val="000000" w:themeColor="text1"/>
          <w:kern w:val="2"/>
          <w:szCs w:val="20"/>
          <w14:textFill>
            <w14:solidFill>
              <w14:schemeClr w14:val="tx1"/>
            </w14:solidFill>
          </w14:textFill>
        </w:rPr>
        <w:t>。</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※投标人需根据对本项目的理解，</w:t>
      </w:r>
      <w:r>
        <w:rPr>
          <w:rFonts w:hint="eastAsia" w:ascii="Times New Roman" w:hAnsi="Times New Roman" w:eastAsia="宋体" w:cs="Times New Roman"/>
          <w:color w:val="000000" w:themeColor="text1"/>
          <w:kern w:val="2"/>
          <w:szCs w:val="20"/>
          <w14:textFill>
            <w14:solidFill>
              <w14:schemeClr w14:val="tx1"/>
            </w14:solidFill>
          </w14:textFill>
        </w:rPr>
        <w:t>1）提供</w:t>
      </w:r>
      <w:r>
        <w:rPr>
          <w:rFonts w:hint="eastAsia" w:ascii="Times New Roman" w:hAnsi="Times New Roman" w:eastAsia="宋体" w:cs="Times New Roman"/>
          <w:color w:val="000000" w:themeColor="text1"/>
          <w:kern w:val="2"/>
          <w:szCs w:val="20"/>
          <w:lang w:val="zh-CN"/>
          <w14:textFill>
            <w14:solidFill>
              <w14:schemeClr w14:val="tx1"/>
            </w14:solidFill>
          </w14:textFill>
        </w:rPr>
        <w:t>本项目的数据库表详细设计，包括防疫转运主题表设计、数字打非主题表设计、大型活动主题表设计、应急指挥主题表设计等；</w:t>
      </w:r>
      <w:r>
        <w:rPr>
          <w:rFonts w:hint="eastAsia" w:ascii="Times New Roman" w:hAnsi="Times New Roman" w:eastAsia="宋体" w:cs="Times New Roman"/>
          <w:color w:val="000000" w:themeColor="text1"/>
          <w:kern w:val="2"/>
          <w:szCs w:val="20"/>
          <w14:textFill>
            <w14:solidFill>
              <w14:schemeClr w14:val="tx1"/>
            </w14:solidFill>
          </w14:textFill>
        </w:rPr>
        <w:t>2）提供上述一张图的展示内容及展示指标项的设计。</w:t>
      </w:r>
    </w:p>
    <w:p>
      <w:pPr>
        <w:keepNext/>
        <w:keepLines/>
        <w:numPr>
          <w:ilvl w:val="2"/>
          <w:numId w:val="3"/>
        </w:numPr>
        <w:tabs>
          <w:tab w:val="left" w:pos="567"/>
        </w:tabs>
        <w:spacing w:before="312" w:beforeLines="100" w:after="156" w:afterLines="50"/>
        <w:outlineLvl w:val="2"/>
        <w:rPr>
          <w:rFonts w:ascii="Times New Roman" w:hAnsi="Times New Roman" w:eastAsia="Times New Roman" w:cs="Times New Roman"/>
          <w:b/>
          <w:bCs/>
          <w:color w:val="000000" w:themeColor="text1"/>
          <w:kern w:val="2"/>
          <w:sz w:val="30"/>
          <w:szCs w:val="30"/>
          <w:lang w:val="zh-CN" w:eastAsia="zh-CN" w:bidi="ar-SA"/>
          <w14:textFill>
            <w14:solidFill>
              <w14:schemeClr w14:val="tx1"/>
            </w14:solidFill>
          </w14:textFill>
        </w:rPr>
      </w:pPr>
      <w:r>
        <w:rPr>
          <w:rFonts w:hint="eastAsia" w:ascii="宋体" w:hAnsi="宋体" w:eastAsia="宋体" w:cs="宋体"/>
          <w:b/>
          <w:bCs/>
          <w:color w:val="000000" w:themeColor="text1"/>
          <w:kern w:val="2"/>
          <w:sz w:val="30"/>
          <w:szCs w:val="30"/>
          <w:lang w:val="zh-CN" w:eastAsia="zh-CN" w:bidi="ar-SA"/>
          <w14:textFill>
            <w14:solidFill>
              <w14:schemeClr w14:val="tx1"/>
            </w14:solidFill>
          </w14:textFill>
        </w:rPr>
        <w:t>数字化改革门户对接</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需按照数字化改革要求，将一期已建平台进行升级改造，并将本期项目相关应用场景、界面同步对接至浙政钉、浙里办两门户；数据资源目录对接至城市大脑萧山平台。</w:t>
      </w:r>
    </w:p>
    <w:p>
      <w:pPr>
        <w:keepNext/>
        <w:keepLines/>
        <w:numPr>
          <w:ilvl w:val="2"/>
          <w:numId w:val="3"/>
        </w:numPr>
        <w:tabs>
          <w:tab w:val="left" w:pos="567"/>
        </w:tabs>
        <w:spacing w:before="312" w:beforeLines="100" w:after="156" w:afterLines="50"/>
        <w:outlineLvl w:val="2"/>
        <w:rPr>
          <w:rFonts w:ascii="Times New Roman" w:hAnsi="Times New Roman" w:eastAsia="Times New Roman" w:cs="Times New Roman"/>
          <w:b/>
          <w:bCs/>
          <w:color w:val="000000" w:themeColor="text1"/>
          <w:kern w:val="2"/>
          <w:sz w:val="30"/>
          <w:szCs w:val="30"/>
          <w:lang w:val="zh-CN" w:eastAsia="zh-CN" w:bidi="ar-SA"/>
          <w14:textFill>
            <w14:solidFill>
              <w14:schemeClr w14:val="tx1"/>
            </w14:solidFill>
          </w14:textFill>
        </w:rPr>
      </w:pPr>
      <w:r>
        <w:rPr>
          <w:rFonts w:hint="eastAsia" w:ascii="宋体" w:hAnsi="宋体" w:eastAsia="宋体" w:cs="宋体"/>
          <w:b/>
          <w:bCs/>
          <w:color w:val="000000" w:themeColor="text1"/>
          <w:kern w:val="2"/>
          <w:sz w:val="30"/>
          <w:szCs w:val="30"/>
          <w:lang w:val="zh-CN" w:eastAsia="zh-CN" w:bidi="ar-SA"/>
          <w14:textFill>
            <w14:solidFill>
              <w14:schemeClr w14:val="tx1"/>
            </w14:solidFill>
          </w14:textFill>
        </w:rPr>
        <w:t>应急指挥系统升级改造</w:t>
      </w:r>
    </w:p>
    <w:p>
      <w:pPr>
        <w:keepNext/>
        <w:keepLines/>
        <w:numPr>
          <w:ilvl w:val="3"/>
          <w:numId w:val="3"/>
        </w:numPr>
        <w:tabs>
          <w:tab w:val="left" w:pos="735"/>
        </w:tabs>
        <w:spacing w:before="312" w:beforeLines="100" w:after="156" w:afterLines="50"/>
        <w:outlineLvl w:val="3"/>
        <w:rPr>
          <w:rFonts w:ascii="Times New Roman" w:hAnsi="Times New Roman" w:eastAsia="Times New Roman" w:cs="Times New Roman"/>
          <w:b/>
          <w:bCs/>
          <w:color w:val="000000" w:themeColor="text1"/>
          <w:kern w:val="2"/>
          <w:sz w:val="28"/>
          <w:szCs w:val="28"/>
          <w:lang w:val="zh-CN" w:eastAsia="zh-CN" w:bidi="ar-SA"/>
          <w14:textFill>
            <w14:solidFill>
              <w14:schemeClr w14:val="tx1"/>
            </w14:solidFill>
          </w14:textFill>
        </w:rPr>
      </w:pPr>
      <w:r>
        <w:rPr>
          <w:rFonts w:hint="eastAsia" w:ascii="宋体" w:hAnsi="宋体" w:eastAsia="宋体" w:cs="宋体"/>
          <w:b/>
          <w:bCs/>
          <w:color w:val="000000" w:themeColor="text1"/>
          <w:kern w:val="2"/>
          <w:sz w:val="28"/>
          <w:szCs w:val="28"/>
          <w:lang w:val="zh-CN" w:eastAsia="zh-CN" w:bidi="ar-SA"/>
          <w14:textFill>
            <w14:solidFill>
              <w14:schemeClr w14:val="tx1"/>
            </w14:solidFill>
          </w14:textFill>
        </w:rPr>
        <w:t>应急指挥装备数据接入</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需接入交通运输系统的执法和应急抢险等相关装备的视频、定位等数据信息，将相关设备的实时动态情况及相关指标进行实时展示。</w:t>
      </w:r>
    </w:p>
    <w:p>
      <w:pPr>
        <w:keepNext/>
        <w:keepLines/>
        <w:numPr>
          <w:ilvl w:val="3"/>
          <w:numId w:val="3"/>
        </w:numPr>
        <w:tabs>
          <w:tab w:val="left" w:pos="735"/>
        </w:tabs>
        <w:spacing w:before="312" w:beforeLines="100" w:after="156" w:afterLines="50"/>
        <w:outlineLvl w:val="3"/>
        <w:rPr>
          <w:rFonts w:ascii="Times New Roman" w:hAnsi="Times New Roman" w:eastAsia="Times New Roman" w:cs="Times New Roman"/>
          <w:b/>
          <w:bCs/>
          <w:color w:val="000000" w:themeColor="text1"/>
          <w:kern w:val="2"/>
          <w:sz w:val="28"/>
          <w:szCs w:val="28"/>
          <w:lang w:val="zh-CN" w:eastAsia="zh-CN" w:bidi="ar-SA"/>
          <w14:textFill>
            <w14:solidFill>
              <w14:schemeClr w14:val="tx1"/>
            </w14:solidFill>
          </w14:textFill>
        </w:rPr>
      </w:pPr>
      <w:r>
        <w:rPr>
          <w:rFonts w:hint="eastAsia" w:ascii="宋体" w:hAnsi="宋体" w:eastAsia="宋体" w:cs="宋体"/>
          <w:b/>
          <w:bCs/>
          <w:color w:val="000000" w:themeColor="text1"/>
          <w:kern w:val="2"/>
          <w:sz w:val="28"/>
          <w:szCs w:val="28"/>
          <w:lang w:val="zh-CN" w:eastAsia="zh-CN" w:bidi="ar-SA"/>
          <w14:textFill>
            <w14:solidFill>
              <w14:schemeClr w14:val="tx1"/>
            </w14:solidFill>
          </w14:textFill>
        </w:rPr>
        <w:t>应急指挥可视化大屏升级</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14:textFill>
            <w14:solidFill>
              <w14:schemeClr w14:val="tx1"/>
            </w14:solidFill>
          </w14:textFill>
        </w:rPr>
        <w:t>要求</w:t>
      </w:r>
      <w:r>
        <w:rPr>
          <w:rFonts w:hint="eastAsia" w:ascii="Times New Roman" w:hAnsi="Times New Roman" w:eastAsia="宋体" w:cs="Times New Roman"/>
          <w:color w:val="000000" w:themeColor="text1"/>
          <w:kern w:val="2"/>
          <w:szCs w:val="20"/>
          <w:lang w:val="zh-CN"/>
          <w14:textFill>
            <w14:solidFill>
              <w14:schemeClr w14:val="tx1"/>
            </w14:solidFill>
          </w14:textFill>
        </w:rPr>
        <w:t>对现有应急指挥可视化大屏进行升级改造，接入易积水点位、非法站外组客等本次新建的外场感知设备数据，并能在应急指挥可视化大屏，基于GIS地图对相关视频图像进行实时预览。可选取日常重点关注的视频点位，在大屏进行固定展示；在拖动电子地图时，实现对当前界面可预览的视频点位的同步刷新、点选查看。支持对所需展示的固定视频点位及所有视频点位进行选取、编辑；</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接入萧山区AI视频解析平台对本项目易积水外场点位的视频图像分析告警信息，如AI视频解析平台回传提示有道路积水告警时，将预警信息在应急指挥大屏进行展示，并推送告警信息至相应的公路养护部门人员。</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接入台风、雷电、暴雨等异常天气告警信息，在大屏进行实时滚动展示；接入应急指挥移动执法设备，在大屏端实现对相关设备资源的调度、对移动端应急任务派发、处置、反馈情况的实时查看，赋能移动应急指挥。</w:t>
      </w:r>
    </w:p>
    <w:p>
      <w:pPr>
        <w:keepNext/>
        <w:keepLines/>
        <w:numPr>
          <w:ilvl w:val="3"/>
          <w:numId w:val="3"/>
        </w:numPr>
        <w:tabs>
          <w:tab w:val="left" w:pos="735"/>
        </w:tabs>
        <w:spacing w:before="312" w:beforeLines="100" w:after="156" w:afterLines="50"/>
        <w:outlineLvl w:val="3"/>
        <w:rPr>
          <w:rFonts w:ascii="Times New Roman" w:hAnsi="Times New Roman" w:eastAsia="Times New Roman" w:cs="Times New Roman"/>
          <w:b/>
          <w:bCs/>
          <w:color w:val="000000" w:themeColor="text1"/>
          <w:kern w:val="2"/>
          <w:sz w:val="28"/>
          <w:szCs w:val="28"/>
          <w:lang w:val="zh-CN" w:eastAsia="zh-CN" w:bidi="ar-SA"/>
          <w14:textFill>
            <w14:solidFill>
              <w14:schemeClr w14:val="tx1"/>
            </w14:solidFill>
          </w14:textFill>
        </w:rPr>
      </w:pPr>
      <w:r>
        <w:rPr>
          <w:rFonts w:hint="eastAsia" w:ascii="宋体" w:hAnsi="宋体" w:eastAsia="宋体" w:cs="宋体"/>
          <w:b/>
          <w:bCs/>
          <w:color w:val="000000" w:themeColor="text1"/>
          <w:kern w:val="2"/>
          <w:sz w:val="28"/>
          <w:szCs w:val="28"/>
          <w:lang w:val="zh-CN" w:eastAsia="zh-CN" w:bidi="ar-SA"/>
          <w14:textFill>
            <w14:solidFill>
              <w14:schemeClr w14:val="tx1"/>
            </w14:solidFill>
          </w14:textFill>
        </w:rPr>
        <w:t>移动端应急事件上报、派发</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应急事件发生时，现场人员可通过移动端进行事件上报、权限内的任务转单派发，相关事件操作能够与中心端应急指挥平台进行实时互通，实现第一时间便捷启动应急事件。</w:t>
      </w:r>
    </w:p>
    <w:p>
      <w:pPr>
        <w:keepNext/>
        <w:keepLines/>
        <w:numPr>
          <w:ilvl w:val="3"/>
          <w:numId w:val="3"/>
        </w:numPr>
        <w:tabs>
          <w:tab w:val="left" w:pos="735"/>
        </w:tabs>
        <w:spacing w:before="312" w:beforeLines="100" w:after="156" w:afterLines="50"/>
        <w:outlineLvl w:val="3"/>
        <w:rPr>
          <w:rFonts w:ascii="Times New Roman" w:hAnsi="Times New Roman" w:eastAsia="Times New Roman" w:cs="Times New Roman"/>
          <w:b/>
          <w:bCs/>
          <w:color w:val="000000" w:themeColor="text1"/>
          <w:kern w:val="2"/>
          <w:sz w:val="28"/>
          <w:szCs w:val="28"/>
          <w:lang w:val="zh-CN" w:eastAsia="zh-CN" w:bidi="ar-SA"/>
          <w14:textFill>
            <w14:solidFill>
              <w14:schemeClr w14:val="tx1"/>
            </w14:solidFill>
          </w14:textFill>
        </w:rPr>
      </w:pPr>
      <w:r>
        <w:rPr>
          <w:rFonts w:hint="eastAsia" w:ascii="宋体" w:hAnsi="宋体" w:eastAsia="宋体" w:cs="宋体"/>
          <w:b/>
          <w:bCs/>
          <w:color w:val="000000" w:themeColor="text1"/>
          <w:kern w:val="2"/>
          <w:sz w:val="28"/>
          <w:szCs w:val="28"/>
          <w:lang w:val="zh-CN" w:eastAsia="zh-CN" w:bidi="ar-SA"/>
          <w14:textFill>
            <w14:solidFill>
              <w14:schemeClr w14:val="tx1"/>
            </w14:solidFill>
          </w14:textFill>
        </w:rPr>
        <w:t>移动端现场签到、事件处置</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为应急处置人员提供到应急事件点500米范围内签到处理的功能。能够通过应急指挥移动端，进入相应的应急事件处置任务，通过上传文字、照片、视频等方式进行相关材料回传、现场情况汇报，应急指挥中心平台将同步展示现场汇报情况。</w:t>
      </w:r>
    </w:p>
    <w:p>
      <w:pPr>
        <w:keepNext/>
        <w:keepLines/>
        <w:numPr>
          <w:ilvl w:val="3"/>
          <w:numId w:val="3"/>
        </w:numPr>
        <w:tabs>
          <w:tab w:val="left" w:pos="735"/>
        </w:tabs>
        <w:spacing w:before="312" w:beforeLines="100" w:after="156" w:afterLines="50"/>
        <w:outlineLvl w:val="3"/>
        <w:rPr>
          <w:rFonts w:ascii="Times New Roman" w:hAnsi="Times New Roman" w:eastAsia="Times New Roman" w:cs="Times New Roman"/>
          <w:b/>
          <w:bCs/>
          <w:color w:val="000000" w:themeColor="text1"/>
          <w:kern w:val="2"/>
          <w:sz w:val="28"/>
          <w:szCs w:val="28"/>
          <w:lang w:val="zh-CN" w:eastAsia="zh-CN" w:bidi="ar-SA"/>
          <w14:textFill>
            <w14:solidFill>
              <w14:schemeClr w14:val="tx1"/>
            </w14:solidFill>
          </w14:textFill>
        </w:rPr>
      </w:pPr>
      <w:r>
        <w:rPr>
          <w:rFonts w:hint="eastAsia" w:ascii="宋体" w:hAnsi="宋体" w:eastAsia="宋体" w:cs="宋体"/>
          <w:b/>
          <w:bCs/>
          <w:color w:val="000000" w:themeColor="text1"/>
          <w:kern w:val="2"/>
          <w:sz w:val="28"/>
          <w:szCs w:val="28"/>
          <w:lang w:val="zh-CN" w:eastAsia="zh-CN" w:bidi="ar-SA"/>
          <w14:textFill>
            <w14:solidFill>
              <w14:schemeClr w14:val="tx1"/>
            </w14:solidFill>
          </w14:textFill>
        </w:rPr>
        <w:t>移动端应急力量实时查看</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为应急人员提供移动端查看应急任务的相关人员位置、应急资源位置等信息的功能，点击应急资源位置，显示该位置上的所有应急资源信息，包括可用情况、数量等，能够联动中心端，进行相应应急力量的调度。</w:t>
      </w:r>
    </w:p>
    <w:p>
      <w:pPr>
        <w:keepNext/>
        <w:keepLines/>
        <w:numPr>
          <w:ilvl w:val="3"/>
          <w:numId w:val="3"/>
        </w:numPr>
        <w:tabs>
          <w:tab w:val="left" w:pos="735"/>
        </w:tabs>
        <w:spacing w:before="312" w:beforeLines="100" w:after="156" w:afterLines="50"/>
        <w:outlineLvl w:val="3"/>
        <w:rPr>
          <w:rFonts w:ascii="Times New Roman" w:hAnsi="Times New Roman" w:eastAsia="Times New Roman" w:cs="Times New Roman"/>
          <w:b/>
          <w:bCs/>
          <w:color w:val="000000" w:themeColor="text1"/>
          <w:kern w:val="2"/>
          <w:sz w:val="28"/>
          <w:szCs w:val="28"/>
          <w:lang w:val="zh-CN" w:eastAsia="zh-CN" w:bidi="ar-SA"/>
          <w14:textFill>
            <w14:solidFill>
              <w14:schemeClr w14:val="tx1"/>
            </w14:solidFill>
          </w14:textFill>
        </w:rPr>
      </w:pPr>
      <w:r>
        <w:rPr>
          <w:rFonts w:hint="eastAsia" w:ascii="宋体" w:hAnsi="宋体" w:eastAsia="宋体" w:cs="宋体"/>
          <w:b/>
          <w:bCs/>
          <w:color w:val="000000" w:themeColor="text1"/>
          <w:kern w:val="2"/>
          <w:sz w:val="28"/>
          <w:szCs w:val="28"/>
          <w:lang w:val="zh-CN" w:eastAsia="zh-CN" w:bidi="ar-SA"/>
          <w14:textFill>
            <w14:solidFill>
              <w14:schemeClr w14:val="tx1"/>
            </w14:solidFill>
          </w14:textFill>
        </w:rPr>
        <w:t>移动端应急事件完结反馈</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为应急人员在应急任务处置完成后，提供移动端上传应急事件损失情况、救援人员、队伍调度情况、设备及物资的消耗情况的功能，实现对应急事件的处置总结。</w:t>
      </w:r>
    </w:p>
    <w:p>
      <w:pPr>
        <w:keepNext/>
        <w:keepLines/>
        <w:numPr>
          <w:ilvl w:val="1"/>
          <w:numId w:val="3"/>
        </w:numPr>
        <w:spacing w:before="312" w:beforeLines="100" w:after="156" w:afterLines="50"/>
        <w:ind w:left="0"/>
        <w:outlineLvl w:val="1"/>
        <w:rPr>
          <w:rFonts w:ascii="Times New Roman" w:hAnsi="Times New Roman" w:eastAsia="宋体" w:cs="Times New Roman"/>
          <w:b/>
          <w:bCs/>
          <w:color w:val="000000" w:themeColor="text1"/>
          <w:kern w:val="2"/>
          <w:sz w:val="32"/>
          <w:szCs w:val="32"/>
          <w:lang w:val="zh-CN"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32"/>
          <w:szCs w:val="32"/>
          <w:lang w:val="zh-CN" w:eastAsia="zh-CN" w:bidi="ar-SA"/>
          <w14:textFill>
            <w14:solidFill>
              <w14:schemeClr w14:val="tx1"/>
            </w14:solidFill>
          </w14:textFill>
        </w:rPr>
        <w:t>与其他系统间的接口及数据交互</w:t>
      </w:r>
    </w:p>
    <w:p>
      <w:pPr>
        <w:keepNext/>
        <w:keepLines/>
        <w:numPr>
          <w:ilvl w:val="2"/>
          <w:numId w:val="3"/>
        </w:numPr>
        <w:tabs>
          <w:tab w:val="left" w:pos="567"/>
        </w:tabs>
        <w:spacing w:before="312" w:beforeLines="100" w:after="156" w:afterLines="50"/>
        <w:outlineLvl w:val="2"/>
        <w:rPr>
          <w:rFonts w:ascii="宋体" w:hAnsi="宋体" w:eastAsia="宋体" w:cs="宋体"/>
          <w:b/>
          <w:bCs/>
          <w:color w:val="000000" w:themeColor="text1"/>
          <w:kern w:val="2"/>
          <w:sz w:val="30"/>
          <w:szCs w:val="30"/>
          <w:lang w:val="zh-CN" w:eastAsia="zh-CN" w:bidi="ar-SA"/>
          <w14:textFill>
            <w14:solidFill>
              <w14:schemeClr w14:val="tx1"/>
            </w14:solidFill>
          </w14:textFill>
        </w:rPr>
      </w:pPr>
      <w:r>
        <w:rPr>
          <w:rFonts w:hint="eastAsia" w:ascii="宋体" w:hAnsi="宋体" w:eastAsia="宋体" w:cs="宋体"/>
          <w:b/>
          <w:bCs/>
          <w:color w:val="000000" w:themeColor="text1"/>
          <w:kern w:val="2"/>
          <w:sz w:val="30"/>
          <w:szCs w:val="30"/>
          <w:lang w:val="zh-CN" w:eastAsia="zh-CN" w:bidi="ar-SA"/>
          <w14:textFill>
            <w14:solidFill>
              <w14:schemeClr w14:val="tx1"/>
            </w14:solidFill>
          </w14:textFill>
        </w:rPr>
        <w:t>与萧山城市大脑平台对接</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萧山区综合交通信息指挥中心二期项目需与区政府城市大脑·萧山平台完成对接，实现萧山区交通数据资源在城市大脑·萧山平台数据中心资源库的接入、处理、建库、交换与共享，同时，利用萧山区一体化智能化公共数据平台提供计算资源、存储资源、网络资源和信息化安全资源，节省智慧交通数据中心相关设备建设和维护成本，并加快建设进度。</w:t>
      </w:r>
    </w:p>
    <w:p>
      <w:pPr>
        <w:keepNext/>
        <w:keepLines/>
        <w:numPr>
          <w:ilvl w:val="2"/>
          <w:numId w:val="3"/>
        </w:numPr>
        <w:tabs>
          <w:tab w:val="left" w:pos="567"/>
        </w:tabs>
        <w:spacing w:before="312" w:beforeLines="100" w:after="156" w:afterLines="50"/>
        <w:outlineLvl w:val="2"/>
        <w:rPr>
          <w:rFonts w:ascii="宋体" w:hAnsi="宋体" w:eastAsia="宋体" w:cs="宋体"/>
          <w:b/>
          <w:bCs/>
          <w:color w:val="000000" w:themeColor="text1"/>
          <w:kern w:val="2"/>
          <w:sz w:val="30"/>
          <w:szCs w:val="30"/>
          <w:lang w:val="zh-CN" w:eastAsia="zh-CN" w:bidi="ar-SA"/>
          <w14:textFill>
            <w14:solidFill>
              <w14:schemeClr w14:val="tx1"/>
            </w14:solidFill>
          </w14:textFill>
        </w:rPr>
      </w:pPr>
      <w:r>
        <w:rPr>
          <w:rFonts w:hint="eastAsia" w:ascii="宋体" w:hAnsi="宋体" w:eastAsia="宋体" w:cs="宋体"/>
          <w:b/>
          <w:bCs/>
          <w:color w:val="000000" w:themeColor="text1"/>
          <w:kern w:val="2"/>
          <w:sz w:val="30"/>
          <w:szCs w:val="30"/>
          <w:lang w:val="zh-CN" w:eastAsia="zh-CN" w:bidi="ar-SA"/>
          <w14:textFill>
            <w14:solidFill>
              <w14:schemeClr w14:val="tx1"/>
            </w14:solidFill>
          </w14:textFill>
        </w:rPr>
        <w:t>复用萧山一体化智能化公共平台组件</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※投标人须根据对本次项目的理解，1）详细阐述本项目与城市大脑·萧山平台的对接设计；2）详细阐述本项目对萧山区一体化智能化公共平台组件的复用设计，包括对接内容、对接方式、对接系统等。</w:t>
      </w:r>
    </w:p>
    <w:p>
      <w:pPr>
        <w:keepNext/>
        <w:keepLines/>
        <w:numPr>
          <w:ilvl w:val="2"/>
          <w:numId w:val="3"/>
        </w:numPr>
        <w:tabs>
          <w:tab w:val="left" w:pos="567"/>
        </w:tabs>
        <w:spacing w:before="312" w:beforeLines="100" w:after="156" w:afterLines="50"/>
        <w:outlineLvl w:val="2"/>
        <w:rPr>
          <w:rFonts w:ascii="宋体" w:hAnsi="宋体" w:eastAsia="宋体" w:cs="宋体"/>
          <w:b/>
          <w:bCs/>
          <w:color w:val="000000" w:themeColor="text1"/>
          <w:kern w:val="2"/>
          <w:sz w:val="30"/>
          <w:szCs w:val="30"/>
          <w:lang w:val="zh-CN" w:eastAsia="zh-CN" w:bidi="ar-SA"/>
          <w14:textFill>
            <w14:solidFill>
              <w14:schemeClr w14:val="tx1"/>
            </w14:solidFill>
          </w14:textFill>
        </w:rPr>
      </w:pPr>
      <w:r>
        <w:rPr>
          <w:rFonts w:hint="eastAsia" w:ascii="宋体" w:hAnsi="宋体" w:eastAsia="宋体" w:cs="宋体"/>
          <w:b/>
          <w:bCs/>
          <w:color w:val="000000" w:themeColor="text1"/>
          <w:kern w:val="2"/>
          <w:sz w:val="30"/>
          <w:szCs w:val="30"/>
          <w:lang w:val="zh-CN" w:eastAsia="zh-CN" w:bidi="ar-SA"/>
          <w14:textFill>
            <w14:solidFill>
              <w14:schemeClr w14:val="tx1"/>
            </w14:solidFill>
          </w14:textFill>
        </w:rPr>
        <w:t>复用</w:t>
      </w:r>
      <w:r>
        <w:rPr>
          <w:rFonts w:ascii="Times New Roman" w:hAnsi="Times New Roman" w:eastAsia="Times New Roman" w:cs="Times New Roman"/>
          <w:b/>
          <w:bCs/>
          <w:color w:val="000000" w:themeColor="text1"/>
          <w:kern w:val="2"/>
          <w:sz w:val="30"/>
          <w:szCs w:val="30"/>
          <w:lang w:val="zh-CN" w:eastAsia="zh-CN" w:bidi="ar-SA"/>
          <w14:textFill>
            <w14:solidFill>
              <w14:schemeClr w14:val="tx1"/>
            </w14:solidFill>
          </w14:textFill>
        </w:rPr>
        <w:t>“</w:t>
      </w:r>
      <w:r>
        <w:rPr>
          <w:rFonts w:hint="eastAsia" w:ascii="宋体" w:hAnsi="宋体" w:eastAsia="宋体" w:cs="宋体"/>
          <w:b/>
          <w:bCs/>
          <w:color w:val="000000" w:themeColor="text1"/>
          <w:kern w:val="2"/>
          <w:sz w:val="30"/>
          <w:szCs w:val="30"/>
          <w:lang w:val="zh-CN" w:eastAsia="zh-CN" w:bidi="ar-SA"/>
          <w14:textFill>
            <w14:solidFill>
              <w14:schemeClr w14:val="tx1"/>
            </w14:solidFill>
          </w14:textFill>
        </w:rPr>
        <w:t>时空一张图</w:t>
      </w:r>
      <w:r>
        <w:rPr>
          <w:rFonts w:ascii="Times New Roman" w:hAnsi="Times New Roman" w:eastAsia="Times New Roman" w:cs="Times New Roman"/>
          <w:b/>
          <w:bCs/>
          <w:color w:val="000000" w:themeColor="text1"/>
          <w:kern w:val="2"/>
          <w:sz w:val="30"/>
          <w:szCs w:val="30"/>
          <w:lang w:val="zh-CN" w:eastAsia="zh-CN" w:bidi="ar-SA"/>
          <w14:textFill>
            <w14:solidFill>
              <w14:schemeClr w14:val="tx1"/>
            </w14:solidFill>
          </w14:textFill>
        </w:rPr>
        <w:t>”</w:t>
      </w:r>
      <w:r>
        <w:rPr>
          <w:rFonts w:hint="eastAsia" w:ascii="宋体" w:hAnsi="宋体" w:eastAsia="宋体" w:cs="宋体"/>
          <w:b/>
          <w:bCs/>
          <w:color w:val="000000" w:themeColor="text1"/>
          <w:kern w:val="2"/>
          <w:sz w:val="30"/>
          <w:szCs w:val="30"/>
          <w:lang w:val="zh-CN" w:eastAsia="zh-CN" w:bidi="ar-SA"/>
          <w14:textFill>
            <w14:solidFill>
              <w14:schemeClr w14:val="tx1"/>
            </w14:solidFill>
          </w14:textFill>
        </w:rPr>
        <w:t>工具</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需遵循萧山时空一张图框架要求，复用“萧山时空一张图”工具，将本次新建视频点位上图；将非现场治超执法点位上图；将防疫转运隔离酒店、车辆等要素上图，形成视频资源点位图层。</w:t>
      </w:r>
    </w:p>
    <w:p>
      <w:pPr>
        <w:keepNext/>
        <w:keepLines/>
        <w:numPr>
          <w:ilvl w:val="2"/>
          <w:numId w:val="3"/>
        </w:numPr>
        <w:tabs>
          <w:tab w:val="left" w:pos="567"/>
        </w:tabs>
        <w:spacing w:before="312" w:beforeLines="100" w:after="156" w:afterLines="50"/>
        <w:outlineLvl w:val="2"/>
        <w:rPr>
          <w:rFonts w:ascii="宋体" w:hAnsi="宋体" w:eastAsia="宋体" w:cs="宋体"/>
          <w:b/>
          <w:bCs/>
          <w:color w:val="000000" w:themeColor="text1"/>
          <w:kern w:val="2"/>
          <w:sz w:val="30"/>
          <w:szCs w:val="30"/>
          <w:lang w:val="zh-CN" w:eastAsia="zh-CN" w:bidi="ar-SA"/>
          <w14:textFill>
            <w14:solidFill>
              <w14:schemeClr w14:val="tx1"/>
            </w14:solidFill>
          </w14:textFill>
        </w:rPr>
      </w:pPr>
      <w:r>
        <w:rPr>
          <w:rFonts w:hint="eastAsia" w:ascii="宋体" w:hAnsi="宋体" w:eastAsia="宋体" w:cs="宋体"/>
          <w:b/>
          <w:bCs/>
          <w:color w:val="000000" w:themeColor="text1"/>
          <w:kern w:val="2"/>
          <w:sz w:val="30"/>
          <w:szCs w:val="30"/>
          <w:lang w:val="zh-CN" w:eastAsia="zh-CN" w:bidi="ar-SA"/>
          <w14:textFill>
            <w14:solidFill>
              <w14:schemeClr w14:val="tx1"/>
            </w14:solidFill>
          </w14:textFill>
        </w:rPr>
        <w:t>与市交通局对接</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本期项目产生的数据资源，需通过与市交通局进行对接。</w:t>
      </w:r>
    </w:p>
    <w:p>
      <w:pPr>
        <w:keepNext/>
        <w:keepLines/>
        <w:numPr>
          <w:ilvl w:val="2"/>
          <w:numId w:val="3"/>
        </w:numPr>
        <w:tabs>
          <w:tab w:val="left" w:pos="567"/>
        </w:tabs>
        <w:spacing w:before="312" w:beforeLines="100" w:after="156" w:afterLines="50"/>
        <w:outlineLvl w:val="2"/>
        <w:rPr>
          <w:rFonts w:ascii="宋体" w:hAnsi="宋体" w:eastAsia="宋体" w:cs="宋体"/>
          <w:b/>
          <w:bCs/>
          <w:color w:val="000000" w:themeColor="text1"/>
          <w:kern w:val="2"/>
          <w:sz w:val="30"/>
          <w:szCs w:val="30"/>
          <w:lang w:val="zh-CN" w:eastAsia="zh-CN" w:bidi="ar-SA"/>
          <w14:textFill>
            <w14:solidFill>
              <w14:schemeClr w14:val="tx1"/>
            </w14:solidFill>
          </w14:textFill>
        </w:rPr>
      </w:pPr>
      <w:r>
        <w:rPr>
          <w:rFonts w:hint="eastAsia" w:ascii="宋体" w:hAnsi="宋体" w:eastAsia="宋体" w:cs="宋体"/>
          <w:b/>
          <w:bCs/>
          <w:color w:val="000000" w:themeColor="text1"/>
          <w:kern w:val="2"/>
          <w:sz w:val="30"/>
          <w:szCs w:val="30"/>
          <w:lang w:val="zh-CN" w:eastAsia="zh-CN" w:bidi="ar-SA"/>
          <w14:textFill>
            <w14:solidFill>
              <w14:schemeClr w14:val="tx1"/>
            </w14:solidFill>
          </w14:textFill>
        </w:rPr>
        <w:t>与本次项目外场设备对接</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需对接本项目建设的现有视频监控信息，能够查询、播放、回放现有视频监控。</w:t>
      </w:r>
    </w:p>
    <w:p>
      <w:pPr>
        <w:keepNext/>
        <w:keepLines/>
        <w:numPr>
          <w:ilvl w:val="2"/>
          <w:numId w:val="3"/>
        </w:numPr>
        <w:tabs>
          <w:tab w:val="left" w:pos="567"/>
        </w:tabs>
        <w:spacing w:before="312" w:beforeLines="100" w:after="156" w:afterLines="50"/>
        <w:outlineLvl w:val="2"/>
        <w:rPr>
          <w:rFonts w:ascii="宋体" w:hAnsi="宋体" w:eastAsia="宋体" w:cs="宋体"/>
          <w:b/>
          <w:bCs/>
          <w:color w:val="000000" w:themeColor="text1"/>
          <w:kern w:val="2"/>
          <w:sz w:val="30"/>
          <w:szCs w:val="30"/>
          <w:lang w:val="zh-CN" w:eastAsia="zh-CN" w:bidi="ar-SA"/>
          <w14:textFill>
            <w14:solidFill>
              <w14:schemeClr w14:val="tx1"/>
            </w14:solidFill>
          </w14:textFill>
        </w:rPr>
      </w:pPr>
      <w:r>
        <w:rPr>
          <w:rFonts w:hint="eastAsia" w:ascii="宋体" w:hAnsi="宋体" w:eastAsia="宋体" w:cs="宋体"/>
          <w:b/>
          <w:bCs/>
          <w:color w:val="000000" w:themeColor="text1"/>
          <w:kern w:val="2"/>
          <w:sz w:val="30"/>
          <w:szCs w:val="30"/>
          <w:lang w:val="zh-CN" w:eastAsia="zh-CN" w:bidi="ar-SA"/>
          <w14:textFill>
            <w14:solidFill>
              <w14:schemeClr w14:val="tx1"/>
            </w14:solidFill>
          </w14:textFill>
        </w:rPr>
        <w:t>本次项目外场设备数据与区视频共享平台对接</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要求将本项目建设的视频监控相关数据对接至萧山区视频共享平台。</w:t>
      </w:r>
    </w:p>
    <w:p>
      <w:pPr>
        <w:keepNext/>
        <w:keepLines/>
        <w:numPr>
          <w:ilvl w:val="1"/>
          <w:numId w:val="3"/>
        </w:numPr>
        <w:spacing w:before="312" w:beforeLines="100" w:after="156" w:afterLines="50"/>
        <w:ind w:left="0"/>
        <w:outlineLvl w:val="1"/>
        <w:rPr>
          <w:rFonts w:ascii="Times New Roman" w:hAnsi="Times New Roman" w:eastAsia="宋体" w:cs="Times New Roman"/>
          <w:b/>
          <w:bCs/>
          <w:color w:val="000000" w:themeColor="text1"/>
          <w:kern w:val="2"/>
          <w:sz w:val="32"/>
          <w:szCs w:val="32"/>
          <w:lang w:val="zh-CN"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32"/>
          <w:szCs w:val="32"/>
          <w:lang w:val="zh-CN" w:eastAsia="zh-CN" w:bidi="ar-SA"/>
          <w14:textFill>
            <w14:solidFill>
              <w14:schemeClr w14:val="tx1"/>
            </w14:solidFill>
          </w14:textFill>
        </w:rPr>
        <w:t>信息化基础设施升级改造建设</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对信息化基础设施进一步升级改造。主要包括新增防火墙、视频接入交换机、设备接入交换机、NVR及数字化智能工位等设备设施，支撑萧山区交通运输信息化建设，为指挥中心的运行提供硬件设施基础。具体设备详见采购清单-信息化基础设施升级改造建设清单。</w:t>
      </w:r>
    </w:p>
    <w:p>
      <w:pPr>
        <w:keepNext/>
        <w:keepLines/>
        <w:numPr>
          <w:ilvl w:val="1"/>
          <w:numId w:val="3"/>
        </w:numPr>
        <w:spacing w:before="312" w:beforeLines="100" w:after="156" w:afterLines="50"/>
        <w:ind w:left="0"/>
        <w:outlineLvl w:val="1"/>
        <w:rPr>
          <w:rFonts w:ascii="Times New Roman" w:hAnsi="Times New Roman" w:eastAsia="宋体" w:cs="Times New Roman"/>
          <w:b/>
          <w:bCs/>
          <w:color w:val="000000" w:themeColor="text1"/>
          <w:kern w:val="2"/>
          <w:sz w:val="32"/>
          <w:szCs w:val="32"/>
          <w:lang w:val="zh-CN" w:eastAsia="zh-CN" w:bidi="ar-SA"/>
          <w14:textFill>
            <w14:solidFill>
              <w14:schemeClr w14:val="tx1"/>
            </w14:solidFill>
          </w14:textFill>
        </w:rPr>
      </w:pPr>
      <w:r>
        <w:rPr>
          <w:rFonts w:hint="eastAsia" w:ascii="宋体" w:hAnsi="宋体" w:eastAsia="宋体" w:cs="宋体"/>
          <w:b/>
          <w:bCs/>
          <w:color w:val="000000" w:themeColor="text1"/>
          <w:kern w:val="2"/>
          <w:sz w:val="32"/>
          <w:szCs w:val="32"/>
          <w:lang w:val="zh-CN" w:eastAsia="zh-CN" w:bidi="ar-SA"/>
          <w14:textFill>
            <w14:solidFill>
              <w14:schemeClr w14:val="tx1"/>
            </w14:solidFill>
          </w14:textFill>
        </w:rPr>
        <w:t>物联感知外场建设</w:t>
      </w:r>
    </w:p>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r>
        <w:rPr>
          <w:rFonts w:hint="eastAsia" w:ascii="Times New Roman" w:hAnsi="Times New Roman" w:eastAsia="宋体" w:cs="Times New Roman"/>
          <w:color w:val="000000" w:themeColor="text1"/>
          <w:kern w:val="2"/>
          <w:szCs w:val="20"/>
          <w:lang w:val="zh-CN"/>
          <w14:textFill>
            <w14:solidFill>
              <w14:schemeClr w14:val="tx1"/>
            </w14:solidFill>
          </w14:textFill>
        </w:rPr>
        <w:t>本项目建设中涉及到物联感知设备，后期均需将按规范接入区物联感知系统。通过高清球机、非法组客治理球机、人员分析相机等外场感知设备的建设，实现外场视频监控等非现场技术手段，进一步加强对重点营运车辆、两客车辆等的动态监管，以及提升对大型活动客流疏散调度保障能力。具体设备详见采购清单-物联感知外场建设清单。</w:t>
      </w:r>
    </w:p>
    <w:p>
      <w:pPr>
        <w:widowControl/>
        <w:spacing w:after="0" w:line="240" w:lineRule="auto"/>
        <w:ind w:firstLine="0" w:firstLineChars="0"/>
        <w:jc w:val="left"/>
        <w:rPr>
          <w:rFonts w:ascii="Times New Roman" w:hAnsi="Times New Roman" w:eastAsia="宋体" w:cs="Times New Roman"/>
          <w:color w:val="000000" w:themeColor="text1"/>
          <w:kern w:val="2"/>
          <w:szCs w:val="20"/>
          <w:lang w:val="zh-CN"/>
          <w14:textFill>
            <w14:solidFill>
              <w14:schemeClr w14:val="tx1"/>
            </w14:solidFill>
          </w14:textFill>
        </w:rPr>
      </w:pPr>
      <w:r>
        <w:rPr>
          <w:rFonts w:ascii="Times New Roman" w:hAnsi="Times New Roman" w:eastAsia="宋体" w:cs="Times New Roman"/>
          <w:color w:val="000000" w:themeColor="text1"/>
          <w:kern w:val="2"/>
          <w:szCs w:val="20"/>
          <w:lang w:val="zh-CN"/>
          <w14:textFill>
            <w14:solidFill>
              <w14:schemeClr w14:val="tx1"/>
            </w14:solidFill>
          </w14:textFill>
        </w:rPr>
        <w:br w:type="page"/>
      </w:r>
    </w:p>
    <w:p>
      <w:pPr>
        <w:keepNext/>
        <w:keepLines/>
        <w:widowControl w:val="0"/>
        <w:numPr>
          <w:ilvl w:val="0"/>
          <w:numId w:val="3"/>
        </w:numPr>
        <w:tabs>
          <w:tab w:val="left" w:pos="0"/>
        </w:tabs>
        <w:spacing w:before="312" w:beforeLines="100" w:after="156" w:afterLines="50" w:line="360" w:lineRule="auto"/>
        <w:ind w:firstLine="200" w:firstLineChars="0"/>
        <w:jc w:val="left"/>
        <w:outlineLvl w:val="0"/>
        <w:rPr>
          <w:rFonts w:ascii="宋体" w:hAnsi="宋体" w:eastAsia="宋体" w:cs="Times New Roman"/>
          <w:b/>
          <w:bCs w:val="0"/>
          <w:color w:val="000000" w:themeColor="text1"/>
          <w:kern w:val="44"/>
          <w:sz w:val="32"/>
          <w:szCs w:val="44"/>
          <w:lang w:val="zh-CN" w:eastAsia="zh-CN" w:bidi="ar-SA"/>
          <w14:textFill>
            <w14:solidFill>
              <w14:schemeClr w14:val="tx1"/>
            </w14:solidFill>
          </w14:textFill>
        </w:rPr>
      </w:pPr>
      <w:r>
        <w:rPr>
          <w:rFonts w:hint="eastAsia" w:ascii="宋体" w:hAnsi="宋体" w:eastAsia="宋体" w:cs="Times New Roman"/>
          <w:b/>
          <w:bCs w:val="0"/>
          <w:color w:val="000000" w:themeColor="text1"/>
          <w:kern w:val="44"/>
          <w:sz w:val="32"/>
          <w:szCs w:val="44"/>
          <w:lang w:val="zh-CN" w:eastAsia="zh-CN" w:bidi="ar-SA"/>
          <w14:textFill>
            <w14:solidFill>
              <w14:schemeClr w14:val="tx1"/>
            </w14:solidFill>
          </w14:textFill>
        </w:rPr>
        <w:t>采购清单</w:t>
      </w:r>
    </w:p>
    <w:p>
      <w:pPr>
        <w:keepNext/>
        <w:keepLines/>
        <w:numPr>
          <w:ilvl w:val="1"/>
          <w:numId w:val="3"/>
        </w:numPr>
        <w:spacing w:before="312" w:beforeLines="100" w:after="156" w:afterLines="50"/>
        <w:ind w:left="0"/>
        <w:outlineLvl w:val="1"/>
        <w:rPr>
          <w:rFonts w:ascii="宋体" w:hAnsi="宋体" w:eastAsia="宋体" w:cs="宋体"/>
          <w:b/>
          <w:bCs/>
          <w:color w:val="000000" w:themeColor="text1"/>
          <w:kern w:val="2"/>
          <w:sz w:val="32"/>
          <w:szCs w:val="32"/>
          <w:lang w:val="zh-CN" w:eastAsia="zh-CN" w:bidi="ar-SA"/>
          <w14:textFill>
            <w14:solidFill>
              <w14:schemeClr w14:val="tx1"/>
            </w14:solidFill>
          </w14:textFill>
        </w:rPr>
      </w:pPr>
      <w:r>
        <w:rPr>
          <w:rFonts w:hint="eastAsia" w:ascii="宋体" w:hAnsi="宋体" w:eastAsia="宋体" w:cs="宋体"/>
          <w:b/>
          <w:bCs/>
          <w:color w:val="000000" w:themeColor="text1"/>
          <w:kern w:val="2"/>
          <w:sz w:val="32"/>
          <w:szCs w:val="32"/>
          <w:lang w:val="zh-CN" w:eastAsia="zh-CN" w:bidi="ar-SA"/>
          <w14:textFill>
            <w14:solidFill>
              <w14:schemeClr w14:val="tx1"/>
            </w14:solidFill>
          </w14:textFill>
        </w:rPr>
        <w:t>软件清单</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5"/>
        <w:gridCol w:w="1020"/>
        <w:gridCol w:w="1559"/>
        <w:gridCol w:w="4159"/>
        <w:gridCol w:w="489"/>
        <w:gridCol w:w="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noWrap/>
            <w:vAlign w:val="center"/>
          </w:tcPr>
          <w:p>
            <w:pPr>
              <w:widowControl/>
              <w:spacing w:after="0" w:line="276" w:lineRule="auto"/>
              <w:ind w:firstLine="0" w:firstLineChars="0"/>
              <w:jc w:val="center"/>
              <w:rPr>
                <w:rFonts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序号</w:t>
            </w:r>
          </w:p>
        </w:tc>
        <w:tc>
          <w:tcPr>
            <w:tcW w:w="2579" w:type="dxa"/>
            <w:gridSpan w:val="2"/>
            <w:noWrap/>
            <w:vAlign w:val="center"/>
          </w:tcPr>
          <w:p>
            <w:pPr>
              <w:widowControl/>
              <w:spacing w:after="0" w:line="276" w:lineRule="auto"/>
              <w:ind w:firstLine="0" w:firstLineChars="0"/>
              <w:jc w:val="both"/>
              <w:rPr>
                <w:rFonts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项目名称</w:t>
            </w:r>
          </w:p>
        </w:tc>
        <w:tc>
          <w:tcPr>
            <w:tcW w:w="4159" w:type="dxa"/>
            <w:noWrap/>
          </w:tcPr>
          <w:p>
            <w:pPr>
              <w:widowControl/>
              <w:spacing w:after="0" w:line="276" w:lineRule="auto"/>
              <w:ind w:firstLine="0" w:firstLineChars="0"/>
              <w:jc w:val="left"/>
              <w:rPr>
                <w:rFonts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功能描述</w:t>
            </w:r>
          </w:p>
        </w:tc>
        <w:tc>
          <w:tcPr>
            <w:tcW w:w="489" w:type="dxa"/>
            <w:noWrap/>
          </w:tcPr>
          <w:p>
            <w:pPr>
              <w:widowControl/>
              <w:spacing w:after="0" w:line="276" w:lineRule="auto"/>
              <w:ind w:firstLine="0" w:firstLineChars="0"/>
              <w:jc w:val="center"/>
              <w:rPr>
                <w:rFonts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数量</w:t>
            </w:r>
          </w:p>
        </w:tc>
        <w:tc>
          <w:tcPr>
            <w:tcW w:w="534" w:type="dxa"/>
            <w:noWrap/>
          </w:tcPr>
          <w:p>
            <w:pPr>
              <w:widowControl/>
              <w:spacing w:after="0" w:line="276" w:lineRule="auto"/>
              <w:ind w:firstLine="0" w:firstLineChars="0"/>
              <w:jc w:val="center"/>
              <w:rPr>
                <w:rFonts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96" w:type="dxa"/>
            <w:gridSpan w:val="6"/>
            <w:noWrap/>
            <w:vAlign w:val="center"/>
          </w:tcPr>
          <w:p>
            <w:pPr>
              <w:widowControl/>
              <w:spacing w:after="0" w:line="276" w:lineRule="auto"/>
              <w:ind w:firstLine="0" w:firstLineChars="0"/>
              <w:jc w:val="both"/>
              <w:rPr>
                <w:rFonts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1、数字化改革场景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restart"/>
            <w:noWrap/>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1020" w:type="dxa"/>
            <w:vMerge w:val="restart"/>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大型活动期间交通数字化组织保障</w:t>
            </w:r>
          </w:p>
        </w:tc>
        <w:tc>
          <w:tcPr>
            <w:tcW w:w="1559" w:type="dxa"/>
            <w:vMerge w:val="restart"/>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大型活动出行"早保障"</w:t>
            </w: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交通运输行业底数梳理</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大型活动场景要素管理</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交通运输隐患排查整治</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运力调度基础信息梳理</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交通出行评估模型</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restart"/>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大型活动态势“全掌握”</w:t>
            </w: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场馆周边交通动态分析</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客流动态分析</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交通态势专题监测</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交通态势异常告警</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公共出行运力调度</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区域交通管控</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restart"/>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大型活动复盘“再升级”</w:t>
            </w: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大型活动归档信息梳理</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大型活动管控效果评价</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事后专题分析报表</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restart"/>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大型活动畅行萧山</w:t>
            </w: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微信端服务同步迁移</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活动期间信息梳理</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交通管制信息发布</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信访投诉接入梳理</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咨询问题热力分析</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热点问题问答固化</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多维出行信息整合</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出行信息多端推送</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restart"/>
            <w:noWrap/>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w:t>
            </w:r>
          </w:p>
        </w:tc>
        <w:tc>
          <w:tcPr>
            <w:tcW w:w="1020" w:type="dxa"/>
            <w:vMerge w:val="restart"/>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交通转运“疫安行”</w:t>
            </w:r>
          </w:p>
        </w:tc>
        <w:tc>
          <w:tcPr>
            <w:tcW w:w="1559" w:type="dxa"/>
            <w:vMerge w:val="restart"/>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防疫转运一屏统览</w:t>
            </w: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转运车辆动态指标分析</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转运车辆动态轨迹绘制</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转运车辆实时视频接入</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被转运隔离人员动态指标分析</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大规模转运车队关联</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转运司机动态指标分析</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转运企业动态指标分析</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隔离酒店动态指标分析</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restart"/>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防疫基础信息梳理</w:t>
            </w: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防疫人员信息梳理</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隔离酒店信息梳理</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转运企业信息梳理</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转运车辆信息梳理</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转运司机信息梳理</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restart"/>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疫情防控精准转运</w:t>
            </w: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车辆派发调度建议模型</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司机派发建议调度模型</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转运要素管理</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转运任务单管理</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隔离转运单全程流转</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其它转运单全程流转</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规模转运单全程流转</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转运任务线上追踪</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转运任务完结</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restart"/>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疫情转运监测告警</w:t>
            </w: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企业接单异常监测模型 </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司机接单异常监测模型</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任务执行时长监测模型</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转运任务执行时长告警</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企业接单超期告警</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司机接单超期告警</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restart"/>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防疫转运浙政钉端</w:t>
            </w: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转运任务单新增</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转运信息填报</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转运任务派发</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转运任务追踪</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转运任务办结</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转运任务单接收</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转运任务执行回传</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转运任务完结</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司机接单提醒</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restart"/>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防疫信息研判分析</w:t>
            </w: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防疫信息融合研判模型</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转运任务分析</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转运车辆分析</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转运司机分析</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转运运输企业分析</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被转运人员隔离情况分析</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restart"/>
            <w:noWrap/>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3</w:t>
            </w:r>
          </w:p>
        </w:tc>
        <w:tc>
          <w:tcPr>
            <w:tcW w:w="1020" w:type="dxa"/>
            <w:vMerge w:val="restart"/>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非法营运靶向数治</w:t>
            </w:r>
          </w:p>
        </w:tc>
        <w:tc>
          <w:tcPr>
            <w:tcW w:w="1559" w:type="dxa"/>
            <w:vMerge w:val="restart"/>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两客在线云诊</w:t>
            </w: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非法上客行为识别</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违法两客车辆研判</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违法车辆信息推送</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restart"/>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车辆精准布控</w:t>
            </w: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布控策略制定</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黑名单车辆轨迹研判分析</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待布控车辆监测推送</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车辆布控核查处置</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restart"/>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出行全局研判</w:t>
            </w: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黑名单过车区域排行</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车辆过车次数排行</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车辆出行热力图分布</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黑名单过车卡口排行</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黑名单过车时间分析</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restart"/>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打非移动执法</w:t>
            </w: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非法营运车辆预警</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非法营运车辆追踪</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执法音视频管理</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执法稽查</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96" w:type="dxa"/>
            <w:gridSpan w:val="6"/>
            <w:noWrap/>
            <w:vAlign w:val="center"/>
          </w:tcPr>
          <w:p>
            <w:pPr>
              <w:widowControl/>
              <w:spacing w:after="0" w:line="276" w:lineRule="auto"/>
              <w:ind w:firstLine="0" w:firstLineChars="0"/>
              <w:jc w:val="both"/>
              <w:rPr>
                <w:rFonts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2、完善基础平台建设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restart"/>
            <w:noWrap/>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1020" w:type="dxa"/>
            <w:vMerge w:val="restart"/>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完善数据枢纽</w:t>
            </w:r>
          </w:p>
        </w:tc>
        <w:tc>
          <w:tcPr>
            <w:tcW w:w="1559" w:type="dxa"/>
            <w:vMerge w:val="restart"/>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数据接入</w:t>
            </w:r>
          </w:p>
        </w:tc>
        <w:tc>
          <w:tcPr>
            <w:tcW w:w="4159" w:type="dxa"/>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数据接入服务</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noWrap/>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互联网客流数据接入</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noWrap/>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互联网路况数据接入</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restart"/>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数据更新工程</w:t>
            </w: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数据调研</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数据梳理</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数据录入</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数据定期更新</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数据集成同步</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数据整理归档</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1559"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4159" w:type="dxa"/>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数据链路维护</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restart"/>
            <w:noWrap/>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w:t>
            </w:r>
          </w:p>
        </w:tc>
        <w:tc>
          <w:tcPr>
            <w:tcW w:w="1020" w:type="dxa"/>
            <w:vMerge w:val="restart"/>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完善交通运行监测平台</w:t>
            </w:r>
          </w:p>
        </w:tc>
        <w:tc>
          <w:tcPr>
            <w:tcW w:w="5718" w:type="dxa"/>
            <w:gridSpan w:val="2"/>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防疫转运一张图</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5718" w:type="dxa"/>
            <w:gridSpan w:val="2"/>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数字打非一张图</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5718" w:type="dxa"/>
            <w:gridSpan w:val="2"/>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活动保障一张图</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5718" w:type="dxa"/>
            <w:gridSpan w:val="2"/>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非现治超一张图</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5718" w:type="dxa"/>
            <w:gridSpan w:val="2"/>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UI升级</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noWrap/>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3</w:t>
            </w:r>
          </w:p>
        </w:tc>
        <w:tc>
          <w:tcPr>
            <w:tcW w:w="6738" w:type="dxa"/>
            <w:gridSpan w:val="3"/>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数字化改革门户对接</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restart"/>
            <w:noWrap/>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4</w:t>
            </w:r>
          </w:p>
        </w:tc>
        <w:tc>
          <w:tcPr>
            <w:tcW w:w="1020" w:type="dxa"/>
            <w:vMerge w:val="restart"/>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应急指挥系统升级改造</w:t>
            </w:r>
          </w:p>
        </w:tc>
        <w:tc>
          <w:tcPr>
            <w:tcW w:w="5718" w:type="dxa"/>
            <w:gridSpan w:val="2"/>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应急指挥装备数据接入</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5718" w:type="dxa"/>
            <w:gridSpan w:val="2"/>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应急指挥可视化大屏升级</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5718" w:type="dxa"/>
            <w:gridSpan w:val="2"/>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移动端应急事件上报、派发</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5718" w:type="dxa"/>
            <w:gridSpan w:val="2"/>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移动端现场签到、事件处置</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5718" w:type="dxa"/>
            <w:gridSpan w:val="2"/>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移动端应急力量实时查看</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Merge w:val="continue"/>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p>
        </w:tc>
        <w:tc>
          <w:tcPr>
            <w:tcW w:w="1020" w:type="dxa"/>
            <w:vMerge w:val="continue"/>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p>
        </w:tc>
        <w:tc>
          <w:tcPr>
            <w:tcW w:w="5718" w:type="dxa"/>
            <w:gridSpan w:val="2"/>
            <w:noWrap/>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移动端应急事件完结反馈</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96" w:type="dxa"/>
            <w:gridSpan w:val="6"/>
            <w:vAlign w:val="center"/>
          </w:tcPr>
          <w:p>
            <w:pPr>
              <w:widowControl/>
              <w:spacing w:after="0" w:line="276" w:lineRule="auto"/>
              <w:ind w:firstLine="0" w:firstLineChars="0"/>
              <w:jc w:val="both"/>
              <w:rPr>
                <w:rFonts w:ascii="宋体" w:hAnsi="宋体" w:eastAsia="宋体" w:cs="宋体"/>
                <w:b/>
                <w:bCs/>
                <w:color w:val="000000" w:themeColor="text1"/>
                <w:kern w:val="0"/>
                <w:sz w:val="22"/>
                <w:szCs w:val="22"/>
                <w14:textFill>
                  <w14:solidFill>
                    <w14:schemeClr w14:val="tx1"/>
                  </w14:solidFill>
                </w14:textFill>
              </w:rPr>
            </w:pPr>
            <w:r>
              <w:rPr>
                <w:rFonts w:ascii="宋体" w:hAnsi="宋体" w:eastAsia="宋体" w:cs="宋体"/>
                <w:b/>
                <w:bCs/>
                <w:color w:val="000000" w:themeColor="text1"/>
                <w:kern w:val="0"/>
                <w:sz w:val="22"/>
                <w:szCs w:val="22"/>
                <w14:textFill>
                  <w14:solidFill>
                    <w14:schemeClr w14:val="tx1"/>
                  </w14:solidFill>
                </w14:textFill>
              </w:rPr>
              <w:t>3</w:t>
            </w:r>
            <w:r>
              <w:rPr>
                <w:rFonts w:hint="eastAsia" w:ascii="宋体" w:hAnsi="宋体" w:eastAsia="宋体" w:cs="宋体"/>
                <w:b/>
                <w:bCs/>
                <w:color w:val="000000" w:themeColor="text1"/>
                <w:kern w:val="0"/>
                <w:sz w:val="22"/>
                <w:szCs w:val="22"/>
                <w14:textFill>
                  <w14:solidFill>
                    <w14:schemeClr w14:val="tx1"/>
                  </w14:solidFill>
                </w14:textFill>
              </w:rPr>
              <w:t>、与其他系统间的接口及数据交互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6738" w:type="dxa"/>
            <w:gridSpan w:val="3"/>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与萧山区城市大脑平台对接</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w:t>
            </w:r>
          </w:p>
        </w:tc>
        <w:tc>
          <w:tcPr>
            <w:tcW w:w="6738" w:type="dxa"/>
            <w:gridSpan w:val="3"/>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复用萧山区一体化智能化公共平台组件</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3</w:t>
            </w:r>
          </w:p>
        </w:tc>
        <w:tc>
          <w:tcPr>
            <w:tcW w:w="6738" w:type="dxa"/>
            <w:gridSpan w:val="3"/>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复用“时空一张图”工具</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4</w:t>
            </w:r>
          </w:p>
        </w:tc>
        <w:tc>
          <w:tcPr>
            <w:tcW w:w="6738" w:type="dxa"/>
            <w:gridSpan w:val="3"/>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与市交通运输局对接</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ascii="宋体" w:hAnsi="宋体" w:eastAsia="宋体" w:cs="宋体"/>
                <w:color w:val="000000" w:themeColor="text1"/>
                <w:kern w:val="0"/>
                <w:sz w:val="22"/>
                <w:szCs w:val="22"/>
                <w14:textFill>
                  <w14:solidFill>
                    <w14:schemeClr w14:val="tx1"/>
                  </w14:solidFill>
                </w14:textFill>
              </w:rPr>
              <w:t>5</w:t>
            </w:r>
          </w:p>
        </w:tc>
        <w:tc>
          <w:tcPr>
            <w:tcW w:w="6738" w:type="dxa"/>
            <w:gridSpan w:val="3"/>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与本次项目外场设备对接</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5" w:type="dxa"/>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6</w:t>
            </w:r>
          </w:p>
        </w:tc>
        <w:tc>
          <w:tcPr>
            <w:tcW w:w="6738" w:type="dxa"/>
            <w:gridSpan w:val="3"/>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本次项目外场设备数据与区视频共享平台对接</w:t>
            </w:r>
          </w:p>
        </w:tc>
        <w:tc>
          <w:tcPr>
            <w:tcW w:w="489"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534" w:type="dxa"/>
            <w:noWrap/>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项</w:t>
            </w:r>
          </w:p>
        </w:tc>
      </w:tr>
    </w:tbl>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p>
    <w:p>
      <w:pPr>
        <w:keepNext/>
        <w:keepLines/>
        <w:numPr>
          <w:ilvl w:val="1"/>
          <w:numId w:val="3"/>
        </w:numPr>
        <w:spacing w:before="312" w:beforeLines="100" w:after="156" w:afterLines="50"/>
        <w:ind w:left="0"/>
        <w:outlineLvl w:val="1"/>
        <w:rPr>
          <w:rFonts w:ascii="Times New Roman" w:hAnsi="Times New Roman" w:eastAsia="宋体" w:cs="Times New Roman"/>
          <w:b/>
          <w:bCs/>
          <w:color w:val="000000" w:themeColor="text1"/>
          <w:kern w:val="2"/>
          <w:sz w:val="32"/>
          <w:szCs w:val="32"/>
          <w:lang w:val="zh-CN" w:eastAsia="zh-CN" w:bidi="ar-SA"/>
          <w14:textFill>
            <w14:solidFill>
              <w14:schemeClr w14:val="tx1"/>
            </w14:solidFill>
          </w14:textFill>
        </w:rPr>
      </w:pPr>
      <w:r>
        <w:rPr>
          <w:rFonts w:hint="eastAsia" w:ascii="宋体" w:hAnsi="宋体" w:eastAsia="宋体" w:cs="宋体"/>
          <w:b/>
          <w:bCs/>
          <w:color w:val="000000" w:themeColor="text1"/>
          <w:kern w:val="2"/>
          <w:sz w:val="32"/>
          <w:szCs w:val="32"/>
          <w:lang w:val="zh-CN" w:eastAsia="zh-CN" w:bidi="ar-SA"/>
          <w14:textFill>
            <w14:solidFill>
              <w14:schemeClr w14:val="tx1"/>
            </w14:solidFill>
          </w14:textFill>
        </w:rPr>
        <w:t>信息化基础设施升级改造建设清单</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851"/>
        <w:gridCol w:w="5244"/>
        <w:gridCol w:w="709"/>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4" w:type="dxa"/>
            <w:noWrap/>
            <w:vAlign w:val="center"/>
          </w:tcPr>
          <w:p>
            <w:pPr>
              <w:widowControl w:val="0"/>
              <w:spacing w:after="0" w:line="276" w:lineRule="auto"/>
              <w:ind w:firstLine="0" w:firstLineChars="0"/>
              <w:jc w:val="center"/>
              <w:rPr>
                <w:rFonts w:ascii="Times New Roman" w:hAnsi="Times New Roman" w:eastAsia="宋体" w:cs="Times New Roman"/>
                <w:b/>
                <w:bCs/>
                <w:color w:val="000000" w:themeColor="text1"/>
                <w:kern w:val="2"/>
                <w:sz w:val="22"/>
                <w:szCs w:val="22"/>
                <w14:textFill>
                  <w14:solidFill>
                    <w14:schemeClr w14:val="tx1"/>
                  </w14:solidFill>
                </w14:textFill>
              </w:rPr>
            </w:pPr>
            <w:r>
              <w:rPr>
                <w:rFonts w:hint="eastAsia" w:ascii="Times New Roman" w:hAnsi="Times New Roman" w:eastAsia="宋体" w:cs="Times New Roman"/>
                <w:b/>
                <w:bCs/>
                <w:color w:val="000000" w:themeColor="text1"/>
                <w:kern w:val="2"/>
                <w:sz w:val="22"/>
                <w:szCs w:val="22"/>
                <w14:textFill>
                  <w14:solidFill>
                    <w14:schemeClr w14:val="tx1"/>
                  </w14:solidFill>
                </w14:textFill>
              </w:rPr>
              <w:t>序号</w:t>
            </w:r>
          </w:p>
        </w:tc>
        <w:tc>
          <w:tcPr>
            <w:tcW w:w="851" w:type="dxa"/>
            <w:noWrap/>
            <w:vAlign w:val="center"/>
          </w:tcPr>
          <w:p>
            <w:pPr>
              <w:widowControl w:val="0"/>
              <w:spacing w:after="0" w:line="276" w:lineRule="auto"/>
              <w:ind w:firstLine="0" w:firstLineChars="0"/>
              <w:jc w:val="center"/>
              <w:rPr>
                <w:rFonts w:ascii="Times New Roman" w:hAnsi="Times New Roman" w:eastAsia="宋体" w:cs="Times New Roman"/>
                <w:b/>
                <w:bCs/>
                <w:color w:val="000000" w:themeColor="text1"/>
                <w:kern w:val="2"/>
                <w:sz w:val="22"/>
                <w:szCs w:val="22"/>
                <w14:textFill>
                  <w14:solidFill>
                    <w14:schemeClr w14:val="tx1"/>
                  </w14:solidFill>
                </w14:textFill>
              </w:rPr>
            </w:pPr>
            <w:r>
              <w:rPr>
                <w:rFonts w:hint="eastAsia" w:ascii="Times New Roman" w:hAnsi="Times New Roman" w:eastAsia="宋体" w:cs="Times New Roman"/>
                <w:b/>
                <w:bCs/>
                <w:color w:val="000000" w:themeColor="text1"/>
                <w:kern w:val="2"/>
                <w:sz w:val="22"/>
                <w:szCs w:val="22"/>
                <w14:textFill>
                  <w14:solidFill>
                    <w14:schemeClr w14:val="tx1"/>
                  </w14:solidFill>
                </w14:textFill>
              </w:rPr>
              <w:t>名称</w:t>
            </w:r>
          </w:p>
        </w:tc>
        <w:tc>
          <w:tcPr>
            <w:tcW w:w="5244" w:type="dxa"/>
            <w:vAlign w:val="center"/>
          </w:tcPr>
          <w:p>
            <w:pPr>
              <w:widowControl w:val="0"/>
              <w:spacing w:after="0" w:line="276" w:lineRule="auto"/>
              <w:ind w:firstLine="0" w:firstLineChars="0"/>
              <w:jc w:val="both"/>
              <w:rPr>
                <w:rFonts w:ascii="Times New Roman" w:hAnsi="Times New Roman" w:eastAsia="宋体" w:cs="Times New Roman"/>
                <w:b/>
                <w:bCs/>
                <w:color w:val="000000" w:themeColor="text1"/>
                <w:kern w:val="2"/>
                <w:sz w:val="22"/>
                <w:szCs w:val="22"/>
                <w14:textFill>
                  <w14:solidFill>
                    <w14:schemeClr w14:val="tx1"/>
                  </w14:solidFill>
                </w14:textFill>
              </w:rPr>
            </w:pPr>
            <w:r>
              <w:rPr>
                <w:rFonts w:hint="eastAsia" w:ascii="Times New Roman" w:hAnsi="Times New Roman" w:eastAsia="宋体" w:cs="Times New Roman"/>
                <w:b/>
                <w:bCs/>
                <w:color w:val="000000" w:themeColor="text1"/>
                <w:kern w:val="2"/>
                <w:sz w:val="22"/>
                <w:szCs w:val="22"/>
                <w14:textFill>
                  <w14:solidFill>
                    <w14:schemeClr w14:val="tx1"/>
                  </w14:solidFill>
                </w14:textFill>
              </w:rPr>
              <w:t>参数</w:t>
            </w:r>
          </w:p>
        </w:tc>
        <w:tc>
          <w:tcPr>
            <w:tcW w:w="709" w:type="dxa"/>
            <w:noWrap/>
            <w:vAlign w:val="center"/>
          </w:tcPr>
          <w:p>
            <w:pPr>
              <w:widowControl w:val="0"/>
              <w:spacing w:after="0" w:line="276" w:lineRule="auto"/>
              <w:ind w:firstLine="0" w:firstLineChars="0"/>
              <w:jc w:val="center"/>
              <w:rPr>
                <w:rFonts w:ascii="Times New Roman" w:hAnsi="Times New Roman" w:eastAsia="宋体" w:cs="Times New Roman"/>
                <w:b/>
                <w:bCs/>
                <w:color w:val="000000" w:themeColor="text1"/>
                <w:kern w:val="2"/>
                <w:sz w:val="22"/>
                <w:szCs w:val="22"/>
                <w14:textFill>
                  <w14:solidFill>
                    <w14:schemeClr w14:val="tx1"/>
                  </w14:solidFill>
                </w14:textFill>
              </w:rPr>
            </w:pPr>
            <w:r>
              <w:rPr>
                <w:rFonts w:hint="eastAsia" w:ascii="Times New Roman" w:hAnsi="Times New Roman" w:eastAsia="宋体" w:cs="Times New Roman"/>
                <w:b/>
                <w:bCs/>
                <w:color w:val="000000" w:themeColor="text1"/>
                <w:kern w:val="2"/>
                <w:sz w:val="22"/>
                <w:szCs w:val="22"/>
                <w14:textFill>
                  <w14:solidFill>
                    <w14:schemeClr w14:val="tx1"/>
                  </w14:solidFill>
                </w14:textFill>
              </w:rPr>
              <w:t>数量</w:t>
            </w:r>
          </w:p>
        </w:tc>
        <w:tc>
          <w:tcPr>
            <w:tcW w:w="788" w:type="dxa"/>
            <w:noWrap/>
            <w:vAlign w:val="center"/>
          </w:tcPr>
          <w:p>
            <w:pPr>
              <w:widowControl w:val="0"/>
              <w:spacing w:after="0" w:line="276" w:lineRule="auto"/>
              <w:ind w:firstLine="0" w:firstLineChars="0"/>
              <w:jc w:val="center"/>
              <w:rPr>
                <w:rFonts w:ascii="Times New Roman" w:hAnsi="Times New Roman" w:eastAsia="宋体" w:cs="Times New Roman"/>
                <w:b/>
                <w:bCs/>
                <w:color w:val="000000" w:themeColor="text1"/>
                <w:kern w:val="2"/>
                <w:sz w:val="22"/>
                <w:szCs w:val="22"/>
                <w14:textFill>
                  <w14:solidFill>
                    <w14:schemeClr w14:val="tx1"/>
                  </w14:solidFill>
                </w14:textFill>
              </w:rPr>
            </w:pPr>
            <w:r>
              <w:rPr>
                <w:rFonts w:hint="eastAsia" w:ascii="Times New Roman" w:hAnsi="Times New Roman" w:eastAsia="宋体" w:cs="Times New Roman"/>
                <w:b/>
                <w:bCs/>
                <w:color w:val="000000" w:themeColor="text1"/>
                <w:kern w:val="2"/>
                <w:sz w:val="22"/>
                <w:szCs w:val="22"/>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4" w:type="dxa"/>
            <w:noWrap/>
            <w:vAlign w:val="center"/>
          </w:tcPr>
          <w:p>
            <w:pPr>
              <w:widowControl w:val="0"/>
              <w:spacing w:after="0" w:line="276" w:lineRule="auto"/>
              <w:ind w:firstLine="0" w:firstLineChars="0"/>
              <w:jc w:val="center"/>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1</w:t>
            </w:r>
          </w:p>
        </w:tc>
        <w:tc>
          <w:tcPr>
            <w:tcW w:w="851" w:type="dxa"/>
            <w:noWrap/>
            <w:vAlign w:val="center"/>
          </w:tcPr>
          <w:p>
            <w:pPr>
              <w:widowControl w:val="0"/>
              <w:spacing w:after="0" w:line="276" w:lineRule="auto"/>
              <w:ind w:firstLine="0" w:firstLineChars="0"/>
              <w:jc w:val="center"/>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数字化智能工位1</w:t>
            </w:r>
          </w:p>
        </w:tc>
        <w:tc>
          <w:tcPr>
            <w:tcW w:w="5244" w:type="dxa"/>
            <w:vAlign w:val="center"/>
          </w:tcPr>
          <w:p>
            <w:pPr>
              <w:widowControl w:val="0"/>
              <w:spacing w:after="0" w:line="276" w:lineRule="auto"/>
              <w:ind w:firstLine="0" w:firstLineChars="0"/>
              <w:jc w:val="both"/>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集成工位操作台、座椅及数字化智能办公设施</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尺寸：W7200*D800*H1015</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台面、侧面采用25mm厚的三聚氰胺板，表面平整</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主框架采用2.0mm厚度的SPCC冷扎钢板，</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控制台内设有短捷顺畅的线缆管理系统，且电源、讯号线分开管理，</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抽拉式静音滑轮键盘托盆，导轨采用不锈钢材质，</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头枕、椅背、椅座均为优质网布；黑色进口新料</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尼龙加纤维塑胶头背座框架及椅脚；PP腰枕，PU扶手垫；进口85mm气压棒,65mmPU滑轮。头枕可高度及角度可调；一杆式多段锁定底盘，人性化后仰弹力调整；椅背可高低调整,自动弹性腰枕；座垫可高低调整，2D扶手可高低升降，扶手面旋转角度，静音滑轮。</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CPU:主频不低于2.5GHz，核心数不低于8；</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内存：不少于16G</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硬盘：固态256G+机械1T 7200rpm SATA 3.5英寸</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显卡：独立4G或以上</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显示器：49英寸 带鱼屏32:9高宽比 1800R曲率</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主板：ATX主板</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电源：500W以上</w:t>
            </w:r>
          </w:p>
        </w:tc>
        <w:tc>
          <w:tcPr>
            <w:tcW w:w="709" w:type="dxa"/>
            <w:noWrap/>
            <w:vAlign w:val="center"/>
          </w:tcPr>
          <w:p>
            <w:pPr>
              <w:widowControl w:val="0"/>
              <w:spacing w:after="0" w:line="276" w:lineRule="auto"/>
              <w:ind w:firstLine="0" w:firstLineChars="0"/>
              <w:jc w:val="center"/>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5</w:t>
            </w:r>
          </w:p>
        </w:tc>
        <w:tc>
          <w:tcPr>
            <w:tcW w:w="788" w:type="dxa"/>
            <w:noWrap/>
            <w:vAlign w:val="center"/>
          </w:tcPr>
          <w:p>
            <w:pPr>
              <w:widowControl w:val="0"/>
              <w:spacing w:after="0" w:line="276" w:lineRule="auto"/>
              <w:ind w:firstLine="0" w:firstLineChars="0"/>
              <w:jc w:val="center"/>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4" w:type="dxa"/>
            <w:noWrap/>
            <w:vAlign w:val="center"/>
          </w:tcPr>
          <w:p>
            <w:pPr>
              <w:widowControl w:val="0"/>
              <w:spacing w:after="0" w:line="276" w:lineRule="auto"/>
              <w:ind w:firstLine="0" w:firstLineChars="0"/>
              <w:jc w:val="center"/>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2</w:t>
            </w:r>
          </w:p>
        </w:tc>
        <w:tc>
          <w:tcPr>
            <w:tcW w:w="851" w:type="dxa"/>
            <w:vAlign w:val="center"/>
          </w:tcPr>
          <w:p>
            <w:pPr>
              <w:widowControl w:val="0"/>
              <w:spacing w:after="0" w:line="276" w:lineRule="auto"/>
              <w:ind w:firstLine="0" w:firstLineChars="0"/>
              <w:jc w:val="center"/>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数字化智能工位2</w:t>
            </w:r>
          </w:p>
        </w:tc>
        <w:tc>
          <w:tcPr>
            <w:tcW w:w="5244" w:type="dxa"/>
            <w:vAlign w:val="center"/>
          </w:tcPr>
          <w:p>
            <w:pPr>
              <w:widowControl w:val="0"/>
              <w:spacing w:after="0" w:line="276" w:lineRule="auto"/>
              <w:ind w:firstLine="0" w:firstLineChars="0"/>
              <w:jc w:val="both"/>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集成工位操作台、座椅及数字化智能办公设施</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尺寸：W7200*D800*H1015</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台面、侧面采用25mm厚的三聚氰胺板，表面平整</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主框架采用2.0mm厚度的SPCC冷扎钢板，控制台内设有短捷顺畅的线缆管理系统，且电源、讯号线分开管理，抽拉式静音滑轮键盘托盆，导轨采用不锈钢材质，头枕、椅背、椅座均为优质网布；黑色进口新料</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尼龙加纤维塑胶头背座框架及椅脚； PP腰枕，PU扶手垫；进口85mm气压棒,65mmPU滑轮。头枕可高度及角度可调；一杆式多段锁定底盘，人性化后仰弹力调整；椅背可高低调整,自动弹性腰枕；座垫可高低调整，2D扶手可高低升降，扶手面旋转角度，静音滑轮。</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CPU:主频不低于2.5GHz，核心数不低于8；</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内存：不少于16G</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硬盘：固态256G+机械1T 7200rpm SATA 3.5英寸</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显卡：独立12G或以上</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 xml:space="preserve">显示器：49英寸 带鱼屏32:9高宽比 1800R曲率          </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主板：ATX主板</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电源：500W以上</w:t>
            </w:r>
          </w:p>
        </w:tc>
        <w:tc>
          <w:tcPr>
            <w:tcW w:w="709" w:type="dxa"/>
            <w:vAlign w:val="center"/>
          </w:tcPr>
          <w:p>
            <w:pPr>
              <w:widowControl w:val="0"/>
              <w:spacing w:after="0" w:line="276" w:lineRule="auto"/>
              <w:ind w:firstLine="0" w:firstLineChars="0"/>
              <w:jc w:val="center"/>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1</w:t>
            </w:r>
          </w:p>
        </w:tc>
        <w:tc>
          <w:tcPr>
            <w:tcW w:w="788" w:type="dxa"/>
            <w:noWrap/>
            <w:vAlign w:val="center"/>
          </w:tcPr>
          <w:p>
            <w:pPr>
              <w:widowControl w:val="0"/>
              <w:spacing w:after="0" w:line="276" w:lineRule="auto"/>
              <w:ind w:firstLine="0" w:firstLineChars="0"/>
              <w:jc w:val="center"/>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4" w:type="dxa"/>
            <w:noWrap/>
            <w:vAlign w:val="center"/>
          </w:tcPr>
          <w:p>
            <w:pPr>
              <w:widowControl w:val="0"/>
              <w:spacing w:after="0" w:line="276" w:lineRule="auto"/>
              <w:ind w:firstLine="0" w:firstLineChars="0"/>
              <w:jc w:val="center"/>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3</w:t>
            </w:r>
          </w:p>
        </w:tc>
        <w:tc>
          <w:tcPr>
            <w:tcW w:w="851" w:type="dxa"/>
            <w:vAlign w:val="center"/>
          </w:tcPr>
          <w:p>
            <w:pPr>
              <w:widowControl w:val="0"/>
              <w:spacing w:after="0" w:line="276" w:lineRule="auto"/>
              <w:ind w:firstLine="0" w:firstLineChars="0"/>
              <w:jc w:val="center"/>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设备接入交换机</w:t>
            </w:r>
          </w:p>
        </w:tc>
        <w:tc>
          <w:tcPr>
            <w:tcW w:w="5244" w:type="dxa"/>
            <w:vAlign w:val="center"/>
          </w:tcPr>
          <w:p>
            <w:pPr>
              <w:widowControl w:val="0"/>
              <w:spacing w:after="0" w:line="276" w:lineRule="auto"/>
              <w:ind w:firstLine="0" w:firstLineChars="0"/>
              <w:jc w:val="both"/>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包转发率：108Mpps；交换容量：336Gbps；端口：24个10/100/1000Base-T以太网端口，4个万兆SFP+；</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MAC特性：支持MAC地址自动学习和老化、支持静态、动态、黑洞MAC表项、支持源MAC地址过滤；</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VLAN特性：支持4K个VLAN、支持Guest VLAN、Voice VLAN</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支持GVRP协议、支持MUX VLAN功能、支持基于MAC/协议/IP子网/策、端口的VLAN、支持1:1和N:1 VLAN Mapping功能；IP路由 静态路由、RIP、RIPng协议；</w:t>
            </w:r>
          </w:p>
        </w:tc>
        <w:tc>
          <w:tcPr>
            <w:tcW w:w="709" w:type="dxa"/>
            <w:vAlign w:val="center"/>
          </w:tcPr>
          <w:p>
            <w:pPr>
              <w:widowControl w:val="0"/>
              <w:spacing w:after="0" w:line="276" w:lineRule="auto"/>
              <w:ind w:firstLine="0" w:firstLineChars="0"/>
              <w:jc w:val="center"/>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2</w:t>
            </w:r>
          </w:p>
        </w:tc>
        <w:tc>
          <w:tcPr>
            <w:tcW w:w="788" w:type="dxa"/>
            <w:noWrap/>
            <w:vAlign w:val="center"/>
          </w:tcPr>
          <w:p>
            <w:pPr>
              <w:widowControl w:val="0"/>
              <w:spacing w:after="0" w:line="276" w:lineRule="auto"/>
              <w:ind w:firstLine="0" w:firstLineChars="0"/>
              <w:jc w:val="center"/>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4" w:type="dxa"/>
            <w:noWrap/>
            <w:vAlign w:val="center"/>
          </w:tcPr>
          <w:p>
            <w:pPr>
              <w:widowControl w:val="0"/>
              <w:spacing w:after="0" w:line="276" w:lineRule="auto"/>
              <w:ind w:firstLine="0" w:firstLineChars="0"/>
              <w:jc w:val="center"/>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4</w:t>
            </w:r>
          </w:p>
        </w:tc>
        <w:tc>
          <w:tcPr>
            <w:tcW w:w="851" w:type="dxa"/>
            <w:noWrap/>
            <w:vAlign w:val="center"/>
          </w:tcPr>
          <w:p>
            <w:pPr>
              <w:widowControl w:val="0"/>
              <w:spacing w:after="0" w:line="276" w:lineRule="auto"/>
              <w:ind w:firstLine="0" w:firstLineChars="0"/>
              <w:jc w:val="center"/>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视频接入交换机</w:t>
            </w:r>
          </w:p>
        </w:tc>
        <w:tc>
          <w:tcPr>
            <w:tcW w:w="5244" w:type="dxa"/>
            <w:vAlign w:val="center"/>
          </w:tcPr>
          <w:p>
            <w:pPr>
              <w:widowControl w:val="0"/>
              <w:spacing w:after="0" w:line="276" w:lineRule="auto"/>
              <w:ind w:firstLine="0" w:firstLineChars="0"/>
              <w:jc w:val="both"/>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包转发率：264Mpps；交换容量：758Gbps；</w:t>
            </w:r>
          </w:p>
          <w:p>
            <w:pPr>
              <w:widowControl w:val="0"/>
              <w:spacing w:after="0" w:line="276" w:lineRule="auto"/>
              <w:ind w:firstLine="0" w:firstLineChars="0"/>
              <w:jc w:val="both"/>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端口：48个10/100/1000BASE-T以太网端口，4个万兆SFP+；VxLAN特性：支持VxLAN二层网关、三层网关、支持集中式网关，分布式网关、支持BGP-EVPN、支持通过Netconf进行配置；</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无线业务：支持管理1K AP、支持AP接入控制、AP域管理和AP配置模板管理、支持射频管理、统一静态配置和集中动态管理、支持WLAN基本业务、QoS、安全和用户管理、支持CAPWAP、Tag/终端定位、频谱分析；SVF极简运维：支持作为Parent管理接入交换机和AP、支持2层AS架构、支持与第三方厂商混合组网管理；</w:t>
            </w:r>
          </w:p>
        </w:tc>
        <w:tc>
          <w:tcPr>
            <w:tcW w:w="709" w:type="dxa"/>
            <w:noWrap/>
            <w:vAlign w:val="center"/>
          </w:tcPr>
          <w:p>
            <w:pPr>
              <w:widowControl w:val="0"/>
              <w:spacing w:after="0" w:line="276" w:lineRule="auto"/>
              <w:ind w:firstLine="0" w:firstLineChars="0"/>
              <w:jc w:val="center"/>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1</w:t>
            </w:r>
          </w:p>
        </w:tc>
        <w:tc>
          <w:tcPr>
            <w:tcW w:w="788" w:type="dxa"/>
            <w:noWrap/>
            <w:vAlign w:val="center"/>
          </w:tcPr>
          <w:p>
            <w:pPr>
              <w:widowControl w:val="0"/>
              <w:spacing w:after="0" w:line="276" w:lineRule="auto"/>
              <w:ind w:firstLine="0" w:firstLineChars="0"/>
              <w:jc w:val="center"/>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4" w:type="dxa"/>
            <w:noWrap/>
            <w:vAlign w:val="center"/>
          </w:tcPr>
          <w:p>
            <w:pPr>
              <w:widowControl w:val="0"/>
              <w:spacing w:after="0" w:line="276" w:lineRule="auto"/>
              <w:ind w:firstLine="0" w:firstLineChars="0"/>
              <w:jc w:val="center"/>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5</w:t>
            </w:r>
          </w:p>
        </w:tc>
        <w:tc>
          <w:tcPr>
            <w:tcW w:w="851" w:type="dxa"/>
            <w:noWrap/>
            <w:vAlign w:val="center"/>
          </w:tcPr>
          <w:p>
            <w:pPr>
              <w:widowControl w:val="0"/>
              <w:spacing w:after="0" w:line="276" w:lineRule="auto"/>
              <w:ind w:firstLine="0" w:firstLineChars="0"/>
              <w:jc w:val="center"/>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千兆光纤模块</w:t>
            </w:r>
          </w:p>
        </w:tc>
        <w:tc>
          <w:tcPr>
            <w:tcW w:w="5244" w:type="dxa"/>
            <w:vAlign w:val="center"/>
          </w:tcPr>
          <w:p>
            <w:pPr>
              <w:widowControl w:val="0"/>
              <w:spacing w:after="0" w:line="276" w:lineRule="auto"/>
              <w:ind w:firstLine="0" w:firstLineChars="0"/>
              <w:jc w:val="both"/>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千兆光模块</w:t>
            </w:r>
          </w:p>
        </w:tc>
        <w:tc>
          <w:tcPr>
            <w:tcW w:w="709" w:type="dxa"/>
            <w:noWrap/>
            <w:vAlign w:val="center"/>
          </w:tcPr>
          <w:p>
            <w:pPr>
              <w:widowControl w:val="0"/>
              <w:spacing w:after="0" w:line="276" w:lineRule="auto"/>
              <w:ind w:firstLine="0" w:firstLineChars="0"/>
              <w:jc w:val="center"/>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6</w:t>
            </w:r>
          </w:p>
        </w:tc>
        <w:tc>
          <w:tcPr>
            <w:tcW w:w="788" w:type="dxa"/>
            <w:noWrap/>
            <w:vAlign w:val="center"/>
          </w:tcPr>
          <w:p>
            <w:pPr>
              <w:widowControl w:val="0"/>
              <w:spacing w:after="0" w:line="276" w:lineRule="auto"/>
              <w:ind w:firstLine="0" w:firstLineChars="0"/>
              <w:jc w:val="center"/>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4" w:type="dxa"/>
            <w:noWrap/>
            <w:vAlign w:val="center"/>
          </w:tcPr>
          <w:p>
            <w:pPr>
              <w:widowControl w:val="0"/>
              <w:spacing w:after="0" w:line="276" w:lineRule="auto"/>
              <w:ind w:firstLine="0" w:firstLineChars="0"/>
              <w:jc w:val="center"/>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6</w:t>
            </w:r>
          </w:p>
        </w:tc>
        <w:tc>
          <w:tcPr>
            <w:tcW w:w="851" w:type="dxa"/>
            <w:noWrap/>
            <w:vAlign w:val="center"/>
          </w:tcPr>
          <w:p>
            <w:pPr>
              <w:widowControl w:val="0"/>
              <w:spacing w:after="0" w:line="276" w:lineRule="auto"/>
              <w:ind w:firstLine="0" w:firstLineChars="0"/>
              <w:jc w:val="center"/>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防火墙</w:t>
            </w:r>
          </w:p>
        </w:tc>
        <w:tc>
          <w:tcPr>
            <w:tcW w:w="5244" w:type="dxa"/>
            <w:vAlign w:val="center"/>
          </w:tcPr>
          <w:p>
            <w:pPr>
              <w:widowControl w:val="0"/>
              <w:spacing w:after="0" w:line="276" w:lineRule="auto"/>
              <w:ind w:firstLine="0" w:firstLineChars="0"/>
              <w:jc w:val="both"/>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2U上架设备，双冗余电源；64G SSD；</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配备10个千兆电口，6个SFP插槽，4个万兆SFP+插槽，1个接口扩展插槽；</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吞吐量20Gbps，应用层吞吐量5.5Gbps，800万并发连接，15万条新建链接/秒；</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具有网络适配、网络管理、网络访问控制、链路负载均衡、视频安全防护、会话管理、IPSEC VPN、抗拒绝服务管理、主动防御、流量控制、认证安全、统计报表。</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提供三年免费软件维护升级服务，三年硬件维修服务。</w:t>
            </w:r>
          </w:p>
        </w:tc>
        <w:tc>
          <w:tcPr>
            <w:tcW w:w="709" w:type="dxa"/>
            <w:noWrap/>
            <w:vAlign w:val="center"/>
          </w:tcPr>
          <w:p>
            <w:pPr>
              <w:widowControl w:val="0"/>
              <w:spacing w:after="0" w:line="276" w:lineRule="auto"/>
              <w:ind w:firstLine="0" w:firstLineChars="0"/>
              <w:jc w:val="center"/>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1</w:t>
            </w:r>
          </w:p>
        </w:tc>
        <w:tc>
          <w:tcPr>
            <w:tcW w:w="788" w:type="dxa"/>
            <w:noWrap/>
            <w:vAlign w:val="center"/>
          </w:tcPr>
          <w:p>
            <w:pPr>
              <w:widowControl w:val="0"/>
              <w:spacing w:after="0" w:line="276" w:lineRule="auto"/>
              <w:ind w:firstLine="0" w:firstLineChars="0"/>
              <w:jc w:val="center"/>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4" w:type="dxa"/>
            <w:noWrap/>
            <w:vAlign w:val="center"/>
          </w:tcPr>
          <w:p>
            <w:pPr>
              <w:widowControl w:val="0"/>
              <w:spacing w:after="0" w:line="276" w:lineRule="auto"/>
              <w:ind w:firstLine="0" w:firstLineChars="0"/>
              <w:jc w:val="center"/>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7</w:t>
            </w:r>
          </w:p>
        </w:tc>
        <w:tc>
          <w:tcPr>
            <w:tcW w:w="851" w:type="dxa"/>
            <w:noWrap/>
            <w:vAlign w:val="center"/>
          </w:tcPr>
          <w:p>
            <w:pPr>
              <w:widowControl w:val="0"/>
              <w:spacing w:after="0" w:line="276" w:lineRule="auto"/>
              <w:ind w:firstLine="0" w:firstLineChars="0"/>
              <w:jc w:val="center"/>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NVR</w:t>
            </w:r>
          </w:p>
        </w:tc>
        <w:tc>
          <w:tcPr>
            <w:tcW w:w="5244" w:type="dxa"/>
            <w:vAlign w:val="center"/>
          </w:tcPr>
          <w:p>
            <w:pPr>
              <w:widowControl w:val="0"/>
              <w:spacing w:after="0" w:line="276" w:lineRule="auto"/>
              <w:ind w:firstLine="0" w:firstLineChars="0"/>
              <w:jc w:val="both"/>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3U标准机架式</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2个HDMI，2个VGA,HDMI+VGA组内同源</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16盘位，配置不少于8个8T硬盘</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2个千兆网口</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2个USB2.0接口、1个USB3.0接口</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1个eSATA接口</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报警IO：16进8出</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支持RAID0、1、5、10，支持全局热备盘</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软件性能：</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输入带宽：320M</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64路H.264、H.265混合接入</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最大支持16×1080P解码</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支持H.265、H.264解码</w:t>
            </w:r>
            <w:r>
              <w:rPr>
                <w:rFonts w:hint="eastAsia" w:ascii="Times New Roman" w:hAnsi="Times New Roman" w:eastAsia="宋体" w:cs="Times New Roman"/>
                <w:color w:val="000000" w:themeColor="text1"/>
                <w:kern w:val="2"/>
                <w:sz w:val="22"/>
                <w:szCs w:val="22"/>
                <w14:textFill>
                  <w14:solidFill>
                    <w14:schemeClr w14:val="tx1"/>
                  </w14:solidFill>
                </w14:textFill>
              </w:rPr>
              <w:br w:type="textWrapping"/>
            </w:r>
            <w:r>
              <w:rPr>
                <w:rFonts w:hint="eastAsia" w:ascii="Times New Roman" w:hAnsi="Times New Roman" w:eastAsia="宋体" w:cs="Times New Roman"/>
                <w:color w:val="000000" w:themeColor="text1"/>
                <w:kern w:val="2"/>
                <w:sz w:val="22"/>
                <w:szCs w:val="22"/>
                <w14:textFill>
                  <w14:solidFill>
                    <w14:schemeClr w14:val="tx1"/>
                  </w14:solidFill>
                </w14:textFill>
              </w:rPr>
              <w:t>Smart 2.0/整机热备/ANR/智能检索/智能回放/车牌检索/人脸检索/热度图/客流量统计/分时段回放/超高倍速回放/双系统备份</w:t>
            </w:r>
          </w:p>
        </w:tc>
        <w:tc>
          <w:tcPr>
            <w:tcW w:w="709" w:type="dxa"/>
            <w:noWrap/>
            <w:vAlign w:val="center"/>
          </w:tcPr>
          <w:p>
            <w:pPr>
              <w:widowControl w:val="0"/>
              <w:spacing w:after="0" w:line="276" w:lineRule="auto"/>
              <w:ind w:firstLine="0" w:firstLineChars="0"/>
              <w:jc w:val="center"/>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1</w:t>
            </w:r>
          </w:p>
        </w:tc>
        <w:tc>
          <w:tcPr>
            <w:tcW w:w="788" w:type="dxa"/>
            <w:noWrap/>
            <w:vAlign w:val="center"/>
          </w:tcPr>
          <w:p>
            <w:pPr>
              <w:widowControl w:val="0"/>
              <w:spacing w:after="0" w:line="276" w:lineRule="auto"/>
              <w:ind w:firstLine="0" w:firstLineChars="0"/>
              <w:jc w:val="center"/>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4" w:type="dxa"/>
            <w:noWrap/>
            <w:vAlign w:val="center"/>
          </w:tcPr>
          <w:p>
            <w:pPr>
              <w:widowControl w:val="0"/>
              <w:spacing w:after="0" w:line="276" w:lineRule="auto"/>
              <w:ind w:firstLine="0" w:firstLineChars="0"/>
              <w:jc w:val="center"/>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8</w:t>
            </w:r>
          </w:p>
        </w:tc>
        <w:tc>
          <w:tcPr>
            <w:tcW w:w="851" w:type="dxa"/>
            <w:vAlign w:val="center"/>
          </w:tcPr>
          <w:p>
            <w:pPr>
              <w:widowControl w:val="0"/>
              <w:spacing w:after="0" w:line="276" w:lineRule="auto"/>
              <w:ind w:firstLine="0" w:firstLineChars="0"/>
              <w:jc w:val="center"/>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应急指挥智能终端1</w:t>
            </w:r>
          </w:p>
        </w:tc>
        <w:tc>
          <w:tcPr>
            <w:tcW w:w="5244" w:type="dxa"/>
            <w:vAlign w:val="center"/>
          </w:tcPr>
          <w:p>
            <w:pPr>
              <w:widowControl w:val="0"/>
              <w:spacing w:after="0" w:line="276" w:lineRule="auto"/>
              <w:ind w:firstLine="0" w:firstLineChars="0"/>
              <w:jc w:val="both"/>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支持部署应急指挥移动端系统，与应急指挥平台中心端进行无缝对接，实现任务派发上报、消息互联互通、现场情况资料回传等功能。5G全网通；</w:t>
            </w:r>
          </w:p>
          <w:p>
            <w:pPr>
              <w:widowControl w:val="0"/>
              <w:spacing w:after="0" w:line="276" w:lineRule="auto"/>
              <w:ind w:firstLine="0" w:firstLineChars="0"/>
              <w:jc w:val="both"/>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运行内存不少于8G；</w:t>
            </w:r>
          </w:p>
          <w:p>
            <w:pPr>
              <w:widowControl w:val="0"/>
              <w:spacing w:after="0" w:line="276" w:lineRule="auto"/>
              <w:ind w:firstLine="0" w:firstLineChars="0"/>
              <w:jc w:val="both"/>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机身内存不少于256GB；CPU8核；双卡双待；</w:t>
            </w:r>
          </w:p>
          <w:p>
            <w:pPr>
              <w:widowControl w:val="0"/>
              <w:spacing w:after="0" w:line="276" w:lineRule="auto"/>
              <w:ind w:firstLine="0" w:firstLineChars="0"/>
              <w:jc w:val="both"/>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GPS：支持 GPS (L1 + L5 双频) / AGPS / GLONASS/ 北斗 (B1I + B1C + B2a 三频) / GALILEO (E1 + E5a 双频) / QZSS (L1 + L5 双频) / NavIC</w:t>
            </w:r>
          </w:p>
        </w:tc>
        <w:tc>
          <w:tcPr>
            <w:tcW w:w="709" w:type="dxa"/>
            <w:vAlign w:val="center"/>
          </w:tcPr>
          <w:p>
            <w:pPr>
              <w:widowControl w:val="0"/>
              <w:spacing w:after="0" w:line="276" w:lineRule="auto"/>
              <w:ind w:firstLine="0" w:firstLineChars="0"/>
              <w:jc w:val="center"/>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6</w:t>
            </w:r>
          </w:p>
        </w:tc>
        <w:tc>
          <w:tcPr>
            <w:tcW w:w="788" w:type="dxa"/>
            <w:noWrap/>
            <w:vAlign w:val="center"/>
          </w:tcPr>
          <w:p>
            <w:pPr>
              <w:widowControl w:val="0"/>
              <w:spacing w:after="0" w:line="276" w:lineRule="auto"/>
              <w:ind w:firstLine="0" w:firstLineChars="0"/>
              <w:jc w:val="center"/>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4" w:type="dxa"/>
            <w:noWrap/>
            <w:vAlign w:val="center"/>
          </w:tcPr>
          <w:p>
            <w:pPr>
              <w:widowControl w:val="0"/>
              <w:spacing w:after="0" w:line="276" w:lineRule="auto"/>
              <w:ind w:firstLine="0" w:firstLineChars="0"/>
              <w:jc w:val="center"/>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9</w:t>
            </w:r>
          </w:p>
        </w:tc>
        <w:tc>
          <w:tcPr>
            <w:tcW w:w="851" w:type="dxa"/>
            <w:vAlign w:val="center"/>
          </w:tcPr>
          <w:p>
            <w:pPr>
              <w:widowControl w:val="0"/>
              <w:spacing w:after="0" w:line="276" w:lineRule="auto"/>
              <w:ind w:firstLine="0" w:firstLineChars="0"/>
              <w:jc w:val="center"/>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应急指挥智能终端2</w:t>
            </w:r>
          </w:p>
        </w:tc>
        <w:tc>
          <w:tcPr>
            <w:tcW w:w="5244" w:type="dxa"/>
            <w:vAlign w:val="center"/>
          </w:tcPr>
          <w:p>
            <w:pPr>
              <w:widowControl w:val="0"/>
              <w:spacing w:after="0" w:line="276" w:lineRule="auto"/>
              <w:ind w:firstLine="0" w:firstLineChars="0"/>
              <w:jc w:val="both"/>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支持部署应急指挥移动端系统，与应急指挥平台中心端进行无缝对接，实现任务派发上报、消息互联互通、现场情况资料查看等功能。运行内存不少于8G；机身内存不少于256GB；CPU:不少于8核，超大核主频不低于2.84GHz，AI性能不低于26TOPS；屏幕不小于11英寸;电池容量不少于8000mAh;Wi-Fi工作频段:2.4GHz&amp;5GHz。含手写笔一支、磁吸键盘一副。</w:t>
            </w:r>
          </w:p>
        </w:tc>
        <w:tc>
          <w:tcPr>
            <w:tcW w:w="709" w:type="dxa"/>
            <w:vAlign w:val="center"/>
          </w:tcPr>
          <w:p>
            <w:pPr>
              <w:widowControl w:val="0"/>
              <w:spacing w:after="0" w:line="276" w:lineRule="auto"/>
              <w:ind w:firstLine="0" w:firstLineChars="0"/>
              <w:jc w:val="center"/>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4</w:t>
            </w:r>
          </w:p>
        </w:tc>
        <w:tc>
          <w:tcPr>
            <w:tcW w:w="788" w:type="dxa"/>
            <w:noWrap/>
            <w:vAlign w:val="center"/>
          </w:tcPr>
          <w:p>
            <w:pPr>
              <w:widowControl w:val="0"/>
              <w:spacing w:after="0" w:line="276" w:lineRule="auto"/>
              <w:ind w:firstLine="0" w:firstLineChars="0"/>
              <w:jc w:val="center"/>
              <w:rPr>
                <w:rFonts w:ascii="Times New Roman" w:hAnsi="Times New Roman" w:eastAsia="宋体" w:cs="Times New Roman"/>
                <w:color w:val="000000" w:themeColor="text1"/>
                <w:kern w:val="2"/>
                <w:sz w:val="22"/>
                <w:szCs w:val="22"/>
                <w14:textFill>
                  <w14:solidFill>
                    <w14:schemeClr w14:val="tx1"/>
                  </w14:solidFill>
                </w14:textFill>
              </w:rPr>
            </w:pPr>
            <w:r>
              <w:rPr>
                <w:rFonts w:hint="eastAsia" w:ascii="Times New Roman" w:hAnsi="Times New Roman" w:eastAsia="宋体" w:cs="Times New Roman"/>
                <w:color w:val="000000" w:themeColor="text1"/>
                <w:kern w:val="2"/>
                <w:sz w:val="22"/>
                <w:szCs w:val="22"/>
                <w14:textFill>
                  <w14:solidFill>
                    <w14:schemeClr w14:val="tx1"/>
                  </w14:solidFill>
                </w14:textFill>
              </w:rPr>
              <w:t>套</w:t>
            </w:r>
          </w:p>
        </w:tc>
      </w:tr>
    </w:tbl>
    <w:p>
      <w:pPr>
        <w:widowControl w:val="0"/>
        <w:spacing w:after="0" w:line="360" w:lineRule="auto"/>
        <w:ind w:firstLine="480" w:firstLineChars="200"/>
        <w:jc w:val="both"/>
        <w:rPr>
          <w:rFonts w:ascii="Times New Roman" w:hAnsi="Times New Roman" w:eastAsia="宋体" w:cs="Times New Roman"/>
          <w:color w:val="000000" w:themeColor="text1"/>
          <w:kern w:val="2"/>
          <w:szCs w:val="20"/>
          <w14:textFill>
            <w14:solidFill>
              <w14:schemeClr w14:val="tx1"/>
            </w14:solidFill>
          </w14:textFill>
        </w:rPr>
      </w:pPr>
    </w:p>
    <w:p>
      <w:pPr>
        <w:keepNext/>
        <w:keepLines/>
        <w:numPr>
          <w:ilvl w:val="1"/>
          <w:numId w:val="3"/>
        </w:numPr>
        <w:spacing w:before="312" w:beforeLines="100" w:after="156" w:afterLines="50"/>
        <w:ind w:left="0"/>
        <w:outlineLvl w:val="1"/>
        <w:rPr>
          <w:rFonts w:ascii="Times New Roman" w:hAnsi="Times New Roman" w:eastAsia="宋体" w:cs="Times New Roman"/>
          <w:b/>
          <w:bCs/>
          <w:color w:val="000000" w:themeColor="text1"/>
          <w:kern w:val="2"/>
          <w:sz w:val="32"/>
          <w:szCs w:val="32"/>
          <w:lang w:val="zh-CN" w:eastAsia="zh-CN" w:bidi="ar-SA"/>
          <w14:textFill>
            <w14:solidFill>
              <w14:schemeClr w14:val="tx1"/>
            </w14:solidFill>
          </w14:textFill>
        </w:rPr>
      </w:pPr>
      <w:r>
        <w:rPr>
          <w:rFonts w:hint="eastAsia" w:ascii="宋体" w:hAnsi="宋体" w:eastAsia="宋体" w:cs="宋体"/>
          <w:b/>
          <w:bCs/>
          <w:color w:val="000000" w:themeColor="text1"/>
          <w:kern w:val="2"/>
          <w:sz w:val="32"/>
          <w:szCs w:val="32"/>
          <w:lang w:val="zh-CN" w:eastAsia="zh-CN" w:bidi="ar-SA"/>
          <w14:textFill>
            <w14:solidFill>
              <w14:schemeClr w14:val="tx1"/>
            </w14:solidFill>
          </w14:textFill>
        </w:rPr>
        <w:t>物联感知外场建设清单</w:t>
      </w:r>
    </w:p>
    <w:tbl>
      <w:tblPr>
        <w:tblStyle w:val="25"/>
        <w:tblW w:w="0" w:type="auto"/>
        <w:tblInd w:w="0" w:type="dxa"/>
        <w:tblLayout w:type="autofit"/>
        <w:tblCellMar>
          <w:top w:w="0" w:type="dxa"/>
          <w:left w:w="108" w:type="dxa"/>
          <w:bottom w:w="0" w:type="dxa"/>
          <w:right w:w="108" w:type="dxa"/>
        </w:tblCellMar>
      </w:tblPr>
      <w:tblGrid>
        <w:gridCol w:w="437"/>
        <w:gridCol w:w="834"/>
        <w:gridCol w:w="4820"/>
        <w:gridCol w:w="850"/>
        <w:gridCol w:w="711"/>
        <w:gridCol w:w="644"/>
      </w:tblGrid>
      <w:tr>
        <w:tblPrEx>
          <w:tblCellMar>
            <w:top w:w="0" w:type="dxa"/>
            <w:left w:w="108" w:type="dxa"/>
            <w:bottom w:w="0" w:type="dxa"/>
            <w:right w:w="108" w:type="dxa"/>
          </w:tblCellMar>
        </w:tblPrEx>
        <w:trPr>
          <w:trHeight w:val="20" w:hRule="atLeast"/>
        </w:trPr>
        <w:tc>
          <w:tcPr>
            <w:tcW w:w="4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76" w:lineRule="auto"/>
              <w:ind w:firstLine="0" w:firstLineChars="0"/>
              <w:jc w:val="center"/>
              <w:rPr>
                <w:rFonts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序号</w:t>
            </w:r>
          </w:p>
        </w:tc>
        <w:tc>
          <w:tcPr>
            <w:tcW w:w="834" w:type="dxa"/>
            <w:tcBorders>
              <w:top w:val="single" w:color="auto" w:sz="4" w:space="0"/>
              <w:left w:val="nil"/>
              <w:bottom w:val="single" w:color="auto" w:sz="4" w:space="0"/>
              <w:right w:val="single" w:color="auto" w:sz="4" w:space="0"/>
            </w:tcBorders>
            <w:shd w:val="clear" w:color="auto" w:fill="auto"/>
            <w:noWrap/>
            <w:vAlign w:val="center"/>
          </w:tcPr>
          <w:p>
            <w:pPr>
              <w:widowControl/>
              <w:spacing w:after="0" w:line="276" w:lineRule="auto"/>
              <w:ind w:firstLine="0" w:firstLineChars="0"/>
              <w:jc w:val="center"/>
              <w:rPr>
                <w:rFonts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名称</w:t>
            </w:r>
          </w:p>
        </w:tc>
        <w:tc>
          <w:tcPr>
            <w:tcW w:w="4820" w:type="dxa"/>
            <w:tcBorders>
              <w:top w:val="single" w:color="auto" w:sz="4" w:space="0"/>
              <w:left w:val="nil"/>
              <w:bottom w:val="single" w:color="auto" w:sz="4" w:space="0"/>
              <w:right w:val="single" w:color="auto" w:sz="4" w:space="0"/>
            </w:tcBorders>
            <w:shd w:val="clear" w:color="auto" w:fill="auto"/>
            <w:vAlign w:val="center"/>
          </w:tcPr>
          <w:p>
            <w:pPr>
              <w:widowControl/>
              <w:spacing w:after="0" w:line="276" w:lineRule="auto"/>
              <w:ind w:firstLine="0" w:firstLineChars="0"/>
              <w:jc w:val="both"/>
              <w:rPr>
                <w:rFonts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参数</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spacing w:after="0" w:line="276" w:lineRule="auto"/>
              <w:ind w:firstLine="0" w:firstLineChars="0"/>
              <w:jc w:val="center"/>
              <w:rPr>
                <w:rFonts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数量</w:t>
            </w:r>
          </w:p>
        </w:tc>
        <w:tc>
          <w:tcPr>
            <w:tcW w:w="711" w:type="dxa"/>
            <w:tcBorders>
              <w:top w:val="single" w:color="auto" w:sz="4" w:space="0"/>
              <w:left w:val="nil"/>
              <w:bottom w:val="single" w:color="auto" w:sz="4" w:space="0"/>
              <w:right w:val="single" w:color="auto" w:sz="4" w:space="0"/>
            </w:tcBorders>
            <w:shd w:val="clear" w:color="auto" w:fill="auto"/>
            <w:noWrap/>
            <w:vAlign w:val="center"/>
          </w:tcPr>
          <w:p>
            <w:pPr>
              <w:widowControl/>
              <w:spacing w:after="0" w:line="276" w:lineRule="auto"/>
              <w:ind w:firstLine="0" w:firstLineChars="0"/>
              <w:jc w:val="center"/>
              <w:rPr>
                <w:rFonts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单位</w:t>
            </w:r>
          </w:p>
        </w:tc>
        <w:tc>
          <w:tcPr>
            <w:tcW w:w="644" w:type="dxa"/>
            <w:tcBorders>
              <w:top w:val="single" w:color="auto" w:sz="4" w:space="0"/>
              <w:left w:val="nil"/>
              <w:bottom w:val="single" w:color="auto" w:sz="4" w:space="0"/>
              <w:right w:val="single" w:color="auto" w:sz="4" w:space="0"/>
            </w:tcBorders>
            <w:vAlign w:val="center"/>
          </w:tcPr>
          <w:p>
            <w:pPr>
              <w:widowControl/>
              <w:spacing w:after="0" w:line="276" w:lineRule="auto"/>
              <w:ind w:firstLine="0" w:firstLineChars="0"/>
              <w:jc w:val="center"/>
              <w:rPr>
                <w:rFonts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备注</w:t>
            </w:r>
          </w:p>
        </w:tc>
      </w:tr>
      <w:tr>
        <w:tblPrEx>
          <w:tblCellMar>
            <w:top w:w="0" w:type="dxa"/>
            <w:left w:w="108" w:type="dxa"/>
            <w:bottom w:w="0" w:type="dxa"/>
            <w:right w:w="108" w:type="dxa"/>
          </w:tblCellMar>
        </w:tblPrEx>
        <w:trPr>
          <w:trHeight w:val="20"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w:t>
            </w:r>
          </w:p>
        </w:tc>
        <w:tc>
          <w:tcPr>
            <w:tcW w:w="834" w:type="dxa"/>
            <w:tcBorders>
              <w:top w:val="single" w:color="auto" w:sz="4" w:space="0"/>
              <w:left w:val="nil"/>
              <w:bottom w:val="single" w:color="auto" w:sz="4" w:space="0"/>
              <w:right w:val="single" w:color="auto" w:sz="4" w:space="0"/>
            </w:tcBorders>
            <w:shd w:val="clear" w:color="auto" w:fill="auto"/>
            <w:noWrap/>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高清球机</w:t>
            </w:r>
          </w:p>
        </w:tc>
        <w:tc>
          <w:tcPr>
            <w:tcW w:w="4820" w:type="dxa"/>
            <w:tcBorders>
              <w:top w:val="nil"/>
              <w:left w:val="nil"/>
              <w:bottom w:val="single" w:color="auto" w:sz="4" w:space="0"/>
              <w:right w:val="single" w:color="auto" w:sz="4" w:space="0"/>
            </w:tcBorders>
            <w:shd w:val="clear" w:color="auto" w:fill="auto"/>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支持区域入侵侦测，越界侦测，进入区域侦测和离开区域侦等智能侦测并联动跟踪</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传感器类型: 1/2.8＂progressive scan CMOS</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最低照度: 彩色：0.005 Lux @（F1.6，AGC ON）；黑白：0.001 Lux @（F1.6，AGC ON）；0 Lux with IR</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宽动态: 120 dB超宽动态</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焦距: 4.8 mm~110 mm，23倍光学变倍 ，视场角: 57.6°~2.7°（广角~望远）</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主码流帧率分辨率: 50 Hz：25 fps（1920 × 1080）; 60 Hz：30 fps（1920 × 1080）</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视频压缩标准: H.265，H.264，MJPEG</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网络存储: NAS（NFS，SMB/CIFS）</w:t>
            </w:r>
          </w:p>
        </w:tc>
        <w:tc>
          <w:tcPr>
            <w:tcW w:w="850" w:type="dxa"/>
            <w:tcBorders>
              <w:top w:val="nil"/>
              <w:left w:val="nil"/>
              <w:bottom w:val="single" w:color="auto" w:sz="4" w:space="0"/>
              <w:right w:val="single" w:color="auto" w:sz="4" w:space="0"/>
            </w:tcBorders>
            <w:shd w:val="clear" w:color="auto" w:fill="auto"/>
            <w:noWrap/>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38</w:t>
            </w:r>
          </w:p>
        </w:tc>
        <w:tc>
          <w:tcPr>
            <w:tcW w:w="711" w:type="dxa"/>
            <w:tcBorders>
              <w:top w:val="nil"/>
              <w:left w:val="nil"/>
              <w:bottom w:val="single" w:color="auto" w:sz="4" w:space="0"/>
              <w:right w:val="single" w:color="auto" w:sz="4" w:space="0"/>
            </w:tcBorders>
            <w:shd w:val="clear" w:color="auto" w:fill="auto"/>
            <w:noWrap/>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套</w:t>
            </w:r>
          </w:p>
        </w:tc>
        <w:tc>
          <w:tcPr>
            <w:tcW w:w="644" w:type="dxa"/>
            <w:tcBorders>
              <w:top w:val="nil"/>
              <w:left w:val="nil"/>
              <w:bottom w:val="single" w:color="auto" w:sz="4" w:space="0"/>
              <w:right w:val="single" w:color="auto" w:sz="4" w:space="0"/>
            </w:tcBorders>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租赁三年</w:t>
            </w:r>
          </w:p>
        </w:tc>
      </w:tr>
      <w:tr>
        <w:tblPrEx>
          <w:tblCellMar>
            <w:top w:w="0" w:type="dxa"/>
            <w:left w:w="108" w:type="dxa"/>
            <w:bottom w:w="0" w:type="dxa"/>
            <w:right w:w="108" w:type="dxa"/>
          </w:tblCellMar>
        </w:tblPrEx>
        <w:trPr>
          <w:trHeight w:val="20"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w:t>
            </w:r>
          </w:p>
        </w:tc>
        <w:tc>
          <w:tcPr>
            <w:tcW w:w="834" w:type="dxa"/>
            <w:tcBorders>
              <w:top w:val="single" w:color="auto" w:sz="4" w:space="0"/>
              <w:left w:val="nil"/>
              <w:bottom w:val="single" w:color="auto" w:sz="4" w:space="0"/>
              <w:right w:val="single" w:color="auto" w:sz="4" w:space="0"/>
            </w:tcBorders>
            <w:shd w:val="clear" w:color="auto" w:fill="auto"/>
            <w:noWrap/>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非法组客治理球机</w:t>
            </w:r>
          </w:p>
        </w:tc>
        <w:tc>
          <w:tcPr>
            <w:tcW w:w="4820" w:type="dxa"/>
            <w:tcBorders>
              <w:top w:val="nil"/>
              <w:left w:val="nil"/>
              <w:bottom w:val="single" w:color="auto" w:sz="4" w:space="0"/>
              <w:right w:val="single" w:color="auto" w:sz="4" w:space="0"/>
            </w:tcBorders>
            <w:shd w:val="clear" w:color="auto" w:fill="auto"/>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标准版 400万+400万交通枪球一体机，采用一体化设计，由2镜头相机与2颗高性能GPU模块组成，聚合多种专为复杂场景设计的深度学习算法，实现违章取证抓拍、交通事件检测、交通数据采集、车辆检测多种智能功能，并支持车辆全结构化枪机和球机通道同时支持违章取证、交通事件检测、交通数据采集、车辆检测功能，且两个通道可同时开启</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a）违章取证：球机通道支持违停、逆行、压线、变道、机占非、掉头六种违章事件检测；枪机通道支持逆行、压线、变道、机占非、掉头五种违章事件检测</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b）交通事件检测：球机通道支持抛洒物检测、行人检测、拥堵检测、路障检测、施工检测、交通事故检测、浓雾检测；枪机通道支持抛洒物检测、行人检测、停车检测、拥堵检测、路障检测、施工检测、交通事故检测、浓雾检测</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c）交通数据采集：支持车流量、车道平均速度、车头时距、车头间距、车道时间占有率、车道空间占有率信息采集</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车辆检测：支持过车抓拍，进行牌识，并对车辆进行全结构化分析球机通道</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 xml:space="preserve">主码流帧率分辨率: 50Hz: 25fps（2560×1440）；60Hz: 30fps（2560×1440）   </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视频压缩标准: H.265,H.264,MJPEG</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网络存储: NAS (NFS, SMB/ CIFS), ANR</w:t>
            </w:r>
          </w:p>
        </w:tc>
        <w:tc>
          <w:tcPr>
            <w:tcW w:w="850" w:type="dxa"/>
            <w:tcBorders>
              <w:top w:val="nil"/>
              <w:left w:val="nil"/>
              <w:bottom w:val="single" w:color="auto" w:sz="4" w:space="0"/>
              <w:right w:val="single" w:color="auto" w:sz="4" w:space="0"/>
            </w:tcBorders>
            <w:shd w:val="clear" w:color="auto" w:fill="auto"/>
            <w:noWrap/>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9</w:t>
            </w:r>
          </w:p>
        </w:tc>
        <w:tc>
          <w:tcPr>
            <w:tcW w:w="711" w:type="dxa"/>
            <w:tcBorders>
              <w:top w:val="nil"/>
              <w:left w:val="nil"/>
              <w:bottom w:val="single" w:color="auto" w:sz="4" w:space="0"/>
              <w:right w:val="single" w:color="auto" w:sz="4" w:space="0"/>
            </w:tcBorders>
            <w:shd w:val="clear" w:color="auto" w:fill="auto"/>
            <w:noWrap/>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套</w:t>
            </w:r>
          </w:p>
        </w:tc>
        <w:tc>
          <w:tcPr>
            <w:tcW w:w="644" w:type="dxa"/>
            <w:tcBorders>
              <w:top w:val="nil"/>
              <w:left w:val="nil"/>
              <w:bottom w:val="single" w:color="auto" w:sz="4" w:space="0"/>
              <w:right w:val="single" w:color="auto" w:sz="4" w:space="0"/>
            </w:tcBorders>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租赁三年</w:t>
            </w:r>
          </w:p>
        </w:tc>
      </w:tr>
      <w:tr>
        <w:tblPrEx>
          <w:tblCellMar>
            <w:top w:w="0" w:type="dxa"/>
            <w:left w:w="108" w:type="dxa"/>
            <w:bottom w:w="0" w:type="dxa"/>
            <w:right w:w="108" w:type="dxa"/>
          </w:tblCellMar>
        </w:tblPrEx>
        <w:trPr>
          <w:trHeight w:val="20"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3</w:t>
            </w:r>
          </w:p>
        </w:tc>
        <w:tc>
          <w:tcPr>
            <w:tcW w:w="834" w:type="dxa"/>
            <w:tcBorders>
              <w:top w:val="single" w:color="auto" w:sz="4" w:space="0"/>
              <w:left w:val="nil"/>
              <w:bottom w:val="single" w:color="auto" w:sz="4" w:space="0"/>
              <w:right w:val="single" w:color="000000" w:sz="4" w:space="0"/>
            </w:tcBorders>
            <w:shd w:val="clear" w:color="auto" w:fill="auto"/>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智能人员统计网络摄像机</w:t>
            </w:r>
          </w:p>
        </w:tc>
        <w:tc>
          <w:tcPr>
            <w:tcW w:w="4820" w:type="dxa"/>
            <w:tcBorders>
              <w:top w:val="nil"/>
              <w:left w:val="nil"/>
              <w:bottom w:val="single" w:color="auto" w:sz="4" w:space="0"/>
              <w:right w:val="single" w:color="auto" w:sz="4" w:space="0"/>
            </w:tcBorders>
            <w:shd w:val="clear" w:color="auto" w:fill="auto"/>
            <w:vAlign w:val="center"/>
          </w:tcPr>
          <w:p>
            <w:pPr>
              <w:widowControl/>
              <w:spacing w:after="0" w:line="276" w:lineRule="auto"/>
              <w:ind w:firstLine="0" w:firstLineChars="0"/>
              <w:jc w:val="both"/>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以海量图片及视频资源为路基，实现对客流统计、区域关注度、人员密度等功能的准确统计。</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传感器类型 1/1.8" Progressive Scan CMOS</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最低照度 彩色：0.0005 Lux @（F1.2，AGC ON），0 Lux with Light；黑白：0.0001 Lux @（F1.2，AGC ON），0 Lux with IR</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宽动态 120 dB</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焦距＆视场角 2.8~12 mm：99.6°~39.8°，垂直视场角：52.3°~22.4°，对角视场角：119.9°~45.7°</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聚焦方式 自动、半自动、手动</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光圈类型 DC驱动</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最大光圈数 F1.2</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图像相关：支持2560 × 1440 @30 fps实时帧率，图像更流畅；支持透雾，并具有多种白平衡模式，适合各种场景需求</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系统功能：支持开放型网络视频接口、ISAPI、GB/T28181、E-HOME和ISUP协议接入；支持同时20路取流；内置MicroSD/MicroSDHC/MicroSDXC插槽，最大支持256 GB；支持10 M/100 M自适应网口；</w:t>
            </w:r>
          </w:p>
        </w:tc>
        <w:tc>
          <w:tcPr>
            <w:tcW w:w="850" w:type="dxa"/>
            <w:tcBorders>
              <w:top w:val="nil"/>
              <w:left w:val="nil"/>
              <w:bottom w:val="single" w:color="auto" w:sz="4" w:space="0"/>
              <w:right w:val="single" w:color="auto" w:sz="4" w:space="0"/>
            </w:tcBorders>
            <w:shd w:val="clear" w:color="auto" w:fill="auto"/>
            <w:noWrap/>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8</w:t>
            </w:r>
          </w:p>
        </w:tc>
        <w:tc>
          <w:tcPr>
            <w:tcW w:w="711" w:type="dxa"/>
            <w:tcBorders>
              <w:top w:val="nil"/>
              <w:left w:val="nil"/>
              <w:bottom w:val="single" w:color="auto" w:sz="4" w:space="0"/>
              <w:right w:val="single" w:color="auto" w:sz="4" w:space="0"/>
            </w:tcBorders>
            <w:shd w:val="clear" w:color="auto" w:fill="auto"/>
            <w:noWrap/>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套</w:t>
            </w:r>
          </w:p>
        </w:tc>
        <w:tc>
          <w:tcPr>
            <w:tcW w:w="644" w:type="dxa"/>
            <w:tcBorders>
              <w:top w:val="nil"/>
              <w:left w:val="nil"/>
              <w:bottom w:val="single" w:color="auto" w:sz="4" w:space="0"/>
              <w:right w:val="single" w:color="auto" w:sz="4" w:space="0"/>
            </w:tcBorders>
            <w:vAlign w:val="center"/>
          </w:tcPr>
          <w:p>
            <w:pPr>
              <w:widowControl/>
              <w:spacing w:after="0" w:line="276" w:lineRule="auto"/>
              <w:ind w:firstLine="0" w:firstLineChars="0"/>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租赁三年</w:t>
            </w:r>
          </w:p>
        </w:tc>
      </w:tr>
    </w:tbl>
    <w:p>
      <w:pPr>
        <w:keepNext/>
        <w:keepLines/>
        <w:numPr>
          <w:ilvl w:val="1"/>
          <w:numId w:val="3"/>
        </w:numPr>
        <w:spacing w:before="312" w:beforeLines="100" w:after="156" w:afterLines="50"/>
        <w:ind w:left="0"/>
        <w:outlineLvl w:val="1"/>
        <w:rPr>
          <w:rFonts w:ascii="宋体" w:hAnsi="宋体" w:eastAsia="宋体" w:cs="宋体"/>
          <w:b/>
          <w:bCs/>
          <w:color w:val="000000" w:themeColor="text1"/>
          <w:kern w:val="2"/>
          <w:sz w:val="32"/>
          <w:szCs w:val="32"/>
          <w:lang w:val="zh-CN" w:eastAsia="zh-CN" w:bidi="ar-SA"/>
          <w14:textFill>
            <w14:solidFill>
              <w14:schemeClr w14:val="tx1"/>
            </w14:solidFill>
          </w14:textFill>
        </w:rPr>
      </w:pPr>
      <w:r>
        <w:rPr>
          <w:rFonts w:hint="eastAsia" w:ascii="宋体" w:hAnsi="宋体" w:eastAsia="宋体" w:cs="宋体"/>
          <w:b/>
          <w:bCs/>
          <w:color w:val="000000" w:themeColor="text1"/>
          <w:kern w:val="2"/>
          <w:sz w:val="32"/>
          <w:szCs w:val="32"/>
          <w:lang w:val="zh-CN" w:eastAsia="zh-CN" w:bidi="ar-SA"/>
          <w14:textFill>
            <w14:solidFill>
              <w14:schemeClr w14:val="tx1"/>
            </w14:solidFill>
          </w14:textFill>
        </w:rPr>
        <w:t>第三方软件测评需求清单</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1305"/>
        <w:gridCol w:w="4791"/>
        <w:gridCol w:w="725"/>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pct"/>
            <w:vAlign w:val="center"/>
          </w:tcPr>
          <w:p>
            <w:pPr>
              <w:widowControl/>
              <w:spacing w:after="0" w:line="276" w:lineRule="auto"/>
              <w:ind w:firstLine="0" w:firstLineChars="0"/>
              <w:jc w:val="center"/>
              <w:rPr>
                <w:rFonts w:ascii="宋体" w:hAnsi="宋体" w:eastAsia="宋体" w:cs="宋体"/>
                <w:b/>
                <w:bCs/>
                <w:color w:val="000000" w:themeColor="text1"/>
                <w:kern w:val="0"/>
                <w:szCs w:val="24"/>
                <w14:textFill>
                  <w14:solidFill>
                    <w14:schemeClr w14:val="tx1"/>
                  </w14:solidFill>
                </w14:textFill>
              </w:rPr>
            </w:pPr>
            <w:r>
              <w:rPr>
                <w:rFonts w:hint="eastAsia" w:ascii="宋体" w:hAnsi="宋体" w:eastAsia="宋体" w:cs="宋体"/>
                <w:b/>
                <w:bCs/>
                <w:color w:val="000000" w:themeColor="text1"/>
                <w:kern w:val="0"/>
                <w:szCs w:val="24"/>
                <w14:textFill>
                  <w14:solidFill>
                    <w14:schemeClr w14:val="tx1"/>
                  </w14:solidFill>
                </w14:textFill>
              </w:rPr>
              <w:t>序号</w:t>
            </w:r>
          </w:p>
        </w:tc>
        <w:tc>
          <w:tcPr>
            <w:tcW w:w="768" w:type="pct"/>
            <w:vAlign w:val="center"/>
          </w:tcPr>
          <w:p>
            <w:pPr>
              <w:widowControl/>
              <w:spacing w:after="0" w:line="276" w:lineRule="auto"/>
              <w:ind w:firstLine="0" w:firstLineChars="0"/>
              <w:jc w:val="center"/>
              <w:rPr>
                <w:rFonts w:ascii="宋体" w:hAnsi="宋体" w:eastAsia="宋体" w:cs="宋体"/>
                <w:b/>
                <w:bCs/>
                <w:color w:val="000000" w:themeColor="text1"/>
                <w:kern w:val="0"/>
                <w:szCs w:val="24"/>
                <w14:textFill>
                  <w14:solidFill>
                    <w14:schemeClr w14:val="tx1"/>
                  </w14:solidFill>
                </w14:textFill>
              </w:rPr>
            </w:pPr>
            <w:r>
              <w:rPr>
                <w:rFonts w:hint="eastAsia" w:ascii="宋体" w:hAnsi="宋体" w:eastAsia="宋体" w:cs="宋体"/>
                <w:b/>
                <w:bCs/>
                <w:color w:val="000000" w:themeColor="text1"/>
                <w:kern w:val="0"/>
                <w:szCs w:val="24"/>
                <w14:textFill>
                  <w14:solidFill>
                    <w14:schemeClr w14:val="tx1"/>
                  </w14:solidFill>
                </w14:textFill>
              </w:rPr>
              <w:t>项目名称</w:t>
            </w:r>
          </w:p>
        </w:tc>
        <w:tc>
          <w:tcPr>
            <w:tcW w:w="2820" w:type="pct"/>
            <w:vAlign w:val="center"/>
          </w:tcPr>
          <w:p>
            <w:pPr>
              <w:widowControl/>
              <w:spacing w:after="0" w:line="276" w:lineRule="auto"/>
              <w:ind w:firstLine="0" w:firstLineChars="0"/>
              <w:jc w:val="center"/>
              <w:rPr>
                <w:rFonts w:ascii="宋体" w:hAnsi="宋体" w:eastAsia="宋体" w:cs="宋体"/>
                <w:b/>
                <w:bCs/>
                <w:color w:val="000000" w:themeColor="text1"/>
                <w:kern w:val="0"/>
                <w:szCs w:val="24"/>
                <w14:textFill>
                  <w14:solidFill>
                    <w14:schemeClr w14:val="tx1"/>
                  </w14:solidFill>
                </w14:textFill>
              </w:rPr>
            </w:pPr>
            <w:r>
              <w:rPr>
                <w:rFonts w:hint="eastAsia" w:ascii="宋体" w:hAnsi="宋体" w:eastAsia="宋体" w:cs="宋体"/>
                <w:b/>
                <w:bCs/>
                <w:color w:val="000000" w:themeColor="text1"/>
                <w:kern w:val="0"/>
                <w:szCs w:val="24"/>
                <w14:textFill>
                  <w14:solidFill>
                    <w14:schemeClr w14:val="tx1"/>
                  </w14:solidFill>
                </w14:textFill>
              </w:rPr>
              <w:t>参数</w:t>
            </w:r>
          </w:p>
        </w:tc>
        <w:tc>
          <w:tcPr>
            <w:tcW w:w="427" w:type="pct"/>
            <w:vAlign w:val="center"/>
          </w:tcPr>
          <w:p>
            <w:pPr>
              <w:widowControl/>
              <w:spacing w:after="0" w:line="276" w:lineRule="auto"/>
              <w:ind w:firstLine="0" w:firstLineChars="0"/>
              <w:jc w:val="center"/>
              <w:rPr>
                <w:rFonts w:ascii="宋体" w:hAnsi="宋体" w:eastAsia="宋体" w:cs="宋体"/>
                <w:b/>
                <w:bCs/>
                <w:color w:val="000000" w:themeColor="text1"/>
                <w:kern w:val="0"/>
                <w:szCs w:val="24"/>
                <w14:textFill>
                  <w14:solidFill>
                    <w14:schemeClr w14:val="tx1"/>
                  </w14:solidFill>
                </w14:textFill>
              </w:rPr>
            </w:pPr>
            <w:r>
              <w:rPr>
                <w:rFonts w:hint="eastAsia" w:ascii="宋体" w:hAnsi="宋体" w:eastAsia="宋体" w:cs="宋体"/>
                <w:b/>
                <w:bCs/>
                <w:color w:val="000000" w:themeColor="text1"/>
                <w:kern w:val="0"/>
                <w:szCs w:val="24"/>
                <w14:textFill>
                  <w14:solidFill>
                    <w14:schemeClr w14:val="tx1"/>
                  </w14:solidFill>
                </w14:textFill>
              </w:rPr>
              <w:t>单位</w:t>
            </w:r>
          </w:p>
        </w:tc>
        <w:tc>
          <w:tcPr>
            <w:tcW w:w="560" w:type="pct"/>
            <w:vAlign w:val="center"/>
          </w:tcPr>
          <w:p>
            <w:pPr>
              <w:widowControl/>
              <w:spacing w:after="0" w:line="276" w:lineRule="auto"/>
              <w:ind w:firstLine="0" w:firstLineChars="0"/>
              <w:jc w:val="center"/>
              <w:rPr>
                <w:rFonts w:ascii="宋体" w:hAnsi="宋体" w:eastAsia="宋体" w:cs="宋体"/>
                <w:b/>
                <w:bCs/>
                <w:color w:val="000000" w:themeColor="text1"/>
                <w:kern w:val="0"/>
                <w:szCs w:val="24"/>
                <w14:textFill>
                  <w14:solidFill>
                    <w14:schemeClr w14:val="tx1"/>
                  </w14:solidFill>
                </w14:textFill>
              </w:rPr>
            </w:pPr>
            <w:r>
              <w:rPr>
                <w:rFonts w:hint="eastAsia" w:ascii="宋体" w:hAnsi="宋体" w:eastAsia="宋体" w:cs="宋体"/>
                <w:b/>
                <w:bCs/>
                <w:color w:val="000000" w:themeColor="text1"/>
                <w:kern w:val="0"/>
                <w:szCs w:val="24"/>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pct"/>
            <w:vAlign w:val="center"/>
          </w:tcPr>
          <w:p>
            <w:pPr>
              <w:widowControl w:val="0"/>
              <w:spacing w:after="0" w:line="276" w:lineRule="auto"/>
              <w:ind w:firstLine="0" w:firstLineChars="0"/>
              <w:jc w:val="center"/>
              <w:rPr>
                <w:rFonts w:ascii="宋体" w:hAnsi="宋体" w:eastAsia="宋体" w:cs="Times New Roman"/>
                <w:color w:val="000000" w:themeColor="text1"/>
                <w:kern w:val="2"/>
                <w:szCs w:val="24"/>
                <w14:textFill>
                  <w14:solidFill>
                    <w14:schemeClr w14:val="tx1"/>
                  </w14:solidFill>
                </w14:textFill>
              </w:rPr>
            </w:pPr>
            <w:r>
              <w:rPr>
                <w:rFonts w:hint="eastAsia" w:ascii="宋体" w:hAnsi="宋体" w:eastAsia="宋体" w:cs="Times New Roman"/>
                <w:color w:val="000000" w:themeColor="text1"/>
                <w:kern w:val="2"/>
                <w:szCs w:val="24"/>
                <w14:textFill>
                  <w14:solidFill>
                    <w14:schemeClr w14:val="tx1"/>
                  </w14:solidFill>
                </w14:textFill>
              </w:rPr>
              <w:t>1</w:t>
            </w:r>
          </w:p>
        </w:tc>
        <w:tc>
          <w:tcPr>
            <w:tcW w:w="768" w:type="pct"/>
            <w:vAlign w:val="center"/>
          </w:tcPr>
          <w:p>
            <w:pPr>
              <w:widowControl w:val="0"/>
              <w:spacing w:after="0" w:line="276" w:lineRule="auto"/>
              <w:ind w:firstLine="0" w:firstLineChars="0"/>
              <w:jc w:val="center"/>
              <w:rPr>
                <w:rFonts w:ascii="宋体" w:hAnsi="宋体" w:eastAsia="宋体" w:cs="Times New Roman"/>
                <w:color w:val="000000" w:themeColor="text1"/>
                <w:kern w:val="2"/>
                <w:szCs w:val="24"/>
                <w14:textFill>
                  <w14:solidFill>
                    <w14:schemeClr w14:val="tx1"/>
                  </w14:solidFill>
                </w14:textFill>
              </w:rPr>
            </w:pPr>
            <w:r>
              <w:rPr>
                <w:rFonts w:hint="eastAsia" w:ascii="宋体" w:hAnsi="宋体" w:eastAsia="宋体" w:cs="Times New Roman"/>
                <w:color w:val="000000" w:themeColor="text1"/>
                <w:kern w:val="2"/>
                <w:szCs w:val="24"/>
                <w14:textFill>
                  <w14:solidFill>
                    <w14:schemeClr w14:val="tx1"/>
                  </w14:solidFill>
                </w14:textFill>
              </w:rPr>
              <w:t>第三方软件评测</w:t>
            </w:r>
          </w:p>
        </w:tc>
        <w:tc>
          <w:tcPr>
            <w:tcW w:w="2820" w:type="pct"/>
            <w:vAlign w:val="center"/>
          </w:tcPr>
          <w:p>
            <w:pPr>
              <w:widowControl w:val="0"/>
              <w:spacing w:after="0" w:line="276" w:lineRule="auto"/>
              <w:ind w:firstLine="0" w:firstLineChars="0"/>
              <w:jc w:val="center"/>
              <w:rPr>
                <w:rFonts w:ascii="宋体" w:hAnsi="宋体" w:eastAsia="宋体" w:cs="Times New Roman"/>
                <w:color w:val="000000" w:themeColor="text1"/>
                <w:kern w:val="2"/>
                <w:szCs w:val="24"/>
                <w14:textFill>
                  <w14:solidFill>
                    <w14:schemeClr w14:val="tx1"/>
                  </w14:solidFill>
                </w14:textFill>
              </w:rPr>
            </w:pPr>
            <w:r>
              <w:rPr>
                <w:rFonts w:hint="eastAsia" w:ascii="宋体" w:hAnsi="宋体" w:eastAsia="宋体" w:cs="Times New Roman"/>
                <w:color w:val="000000" w:themeColor="text1"/>
                <w:kern w:val="2"/>
                <w:szCs w:val="24"/>
                <w14:textFill>
                  <w14:solidFill>
                    <w14:schemeClr w14:val="tx1"/>
                  </w14:solidFill>
                </w14:textFill>
              </w:rPr>
              <w:t>检测项目：软件质量要求（功能性、可靠性、易用性、性能效率、信息安全性）、接地安全</w:t>
            </w:r>
          </w:p>
        </w:tc>
        <w:tc>
          <w:tcPr>
            <w:tcW w:w="427" w:type="pct"/>
            <w:vAlign w:val="center"/>
          </w:tcPr>
          <w:p>
            <w:pPr>
              <w:widowControl w:val="0"/>
              <w:spacing w:after="0" w:line="276" w:lineRule="auto"/>
              <w:ind w:firstLine="0" w:firstLineChars="0"/>
              <w:jc w:val="center"/>
              <w:rPr>
                <w:rFonts w:ascii="宋体" w:hAnsi="宋体" w:eastAsia="宋体" w:cs="Times New Roman"/>
                <w:color w:val="000000" w:themeColor="text1"/>
                <w:kern w:val="2"/>
                <w:szCs w:val="24"/>
                <w14:textFill>
                  <w14:solidFill>
                    <w14:schemeClr w14:val="tx1"/>
                  </w14:solidFill>
                </w14:textFill>
              </w:rPr>
            </w:pPr>
            <w:r>
              <w:rPr>
                <w:rFonts w:hint="eastAsia" w:ascii="宋体" w:hAnsi="宋体" w:eastAsia="宋体" w:cs="Times New Roman"/>
                <w:color w:val="000000" w:themeColor="text1"/>
                <w:kern w:val="2"/>
                <w:szCs w:val="24"/>
                <w14:textFill>
                  <w14:solidFill>
                    <w14:schemeClr w14:val="tx1"/>
                  </w14:solidFill>
                </w14:textFill>
              </w:rPr>
              <w:t>项</w:t>
            </w:r>
          </w:p>
        </w:tc>
        <w:tc>
          <w:tcPr>
            <w:tcW w:w="560" w:type="pct"/>
            <w:vAlign w:val="center"/>
          </w:tcPr>
          <w:p>
            <w:pPr>
              <w:widowControl w:val="0"/>
              <w:spacing w:after="0" w:line="276" w:lineRule="auto"/>
              <w:ind w:firstLine="0" w:firstLineChars="0"/>
              <w:jc w:val="center"/>
              <w:rPr>
                <w:rFonts w:ascii="宋体" w:hAnsi="宋体" w:eastAsia="宋体" w:cs="Times New Roman"/>
                <w:color w:val="000000" w:themeColor="text1"/>
                <w:kern w:val="2"/>
                <w:szCs w:val="24"/>
                <w14:textFill>
                  <w14:solidFill>
                    <w14:schemeClr w14:val="tx1"/>
                  </w14:solidFill>
                </w14:textFill>
              </w:rPr>
            </w:pPr>
            <w:r>
              <w:rPr>
                <w:rFonts w:hint="eastAsia" w:ascii="宋体" w:hAnsi="宋体" w:eastAsia="宋体" w:cs="Times New Roman"/>
                <w:color w:val="000000" w:themeColor="text1"/>
                <w:kern w:val="2"/>
                <w:szCs w:val="24"/>
                <w14:textFill>
                  <w14:solidFill>
                    <w14:schemeClr w14:val="tx1"/>
                  </w14:solidFill>
                </w14:textFill>
              </w:rPr>
              <w:t>1</w:t>
            </w:r>
          </w:p>
        </w:tc>
      </w:tr>
    </w:tbl>
    <w:p>
      <w:pPr>
        <w:keepNext/>
        <w:keepLines/>
        <w:numPr>
          <w:ilvl w:val="1"/>
          <w:numId w:val="3"/>
        </w:numPr>
        <w:spacing w:before="312" w:beforeLines="100" w:after="156" w:afterLines="50"/>
        <w:ind w:left="0"/>
        <w:outlineLvl w:val="1"/>
        <w:rPr>
          <w:rFonts w:ascii="宋体" w:hAnsi="宋体" w:eastAsia="宋体" w:cs="宋体"/>
          <w:b/>
          <w:bCs/>
          <w:color w:val="000000" w:themeColor="text1"/>
          <w:kern w:val="2"/>
          <w:sz w:val="32"/>
          <w:szCs w:val="32"/>
          <w:lang w:val="zh-CN" w:eastAsia="zh-CN" w:bidi="ar-SA"/>
          <w14:textFill>
            <w14:solidFill>
              <w14:schemeClr w14:val="tx1"/>
            </w14:solidFill>
          </w14:textFill>
        </w:rPr>
      </w:pPr>
      <w:r>
        <w:rPr>
          <w:rFonts w:hint="eastAsia" w:ascii="宋体" w:hAnsi="宋体" w:eastAsia="宋体" w:cs="宋体"/>
          <w:b/>
          <w:bCs/>
          <w:color w:val="000000" w:themeColor="text1"/>
          <w:kern w:val="2"/>
          <w:sz w:val="32"/>
          <w:szCs w:val="32"/>
          <w:lang w:val="zh-CN" w:eastAsia="zh-CN" w:bidi="ar-SA"/>
          <w14:textFill>
            <w14:solidFill>
              <w14:schemeClr w14:val="tx1"/>
            </w14:solidFill>
          </w14:textFill>
        </w:rPr>
        <w:t>二级等保测评需求清单</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
        <w:gridCol w:w="1731"/>
        <w:gridCol w:w="4208"/>
        <w:gridCol w:w="726"/>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17" w:type="pct"/>
            <w:vAlign w:val="center"/>
          </w:tcPr>
          <w:p>
            <w:pPr>
              <w:widowControl/>
              <w:spacing w:after="0" w:line="276" w:lineRule="auto"/>
              <w:ind w:firstLine="0" w:firstLineChars="0"/>
              <w:jc w:val="center"/>
              <w:rPr>
                <w:rFonts w:ascii="宋体" w:hAnsi="宋体" w:eastAsia="宋体" w:cs="宋体"/>
                <w:b/>
                <w:bCs/>
                <w:color w:val="000000" w:themeColor="text1"/>
                <w:kern w:val="0"/>
                <w:szCs w:val="24"/>
                <w14:textFill>
                  <w14:solidFill>
                    <w14:schemeClr w14:val="tx1"/>
                  </w14:solidFill>
                </w14:textFill>
              </w:rPr>
            </w:pPr>
            <w:r>
              <w:rPr>
                <w:rFonts w:hint="eastAsia" w:ascii="宋体" w:hAnsi="宋体" w:eastAsia="宋体" w:cs="宋体"/>
                <w:b/>
                <w:bCs/>
                <w:color w:val="000000" w:themeColor="text1"/>
                <w:kern w:val="0"/>
                <w:szCs w:val="24"/>
                <w14:textFill>
                  <w14:solidFill>
                    <w14:schemeClr w14:val="tx1"/>
                  </w14:solidFill>
                </w14:textFill>
              </w:rPr>
              <w:t>序号</w:t>
            </w:r>
          </w:p>
        </w:tc>
        <w:tc>
          <w:tcPr>
            <w:tcW w:w="1019" w:type="pct"/>
            <w:vAlign w:val="center"/>
          </w:tcPr>
          <w:p>
            <w:pPr>
              <w:widowControl/>
              <w:spacing w:after="0" w:line="276" w:lineRule="auto"/>
              <w:ind w:firstLine="0" w:firstLineChars="0"/>
              <w:jc w:val="center"/>
              <w:rPr>
                <w:rFonts w:ascii="宋体" w:hAnsi="宋体" w:eastAsia="宋体" w:cs="宋体"/>
                <w:b/>
                <w:bCs/>
                <w:color w:val="000000" w:themeColor="text1"/>
                <w:kern w:val="0"/>
                <w:szCs w:val="24"/>
                <w14:textFill>
                  <w14:solidFill>
                    <w14:schemeClr w14:val="tx1"/>
                  </w14:solidFill>
                </w14:textFill>
              </w:rPr>
            </w:pPr>
            <w:r>
              <w:rPr>
                <w:rFonts w:hint="eastAsia" w:ascii="宋体" w:hAnsi="宋体" w:eastAsia="宋体" w:cs="宋体"/>
                <w:b/>
                <w:bCs/>
                <w:color w:val="000000" w:themeColor="text1"/>
                <w:kern w:val="0"/>
                <w:szCs w:val="24"/>
                <w14:textFill>
                  <w14:solidFill>
                    <w14:schemeClr w14:val="tx1"/>
                  </w14:solidFill>
                </w14:textFill>
              </w:rPr>
              <w:t>项目名称</w:t>
            </w:r>
          </w:p>
        </w:tc>
        <w:tc>
          <w:tcPr>
            <w:tcW w:w="2477" w:type="pct"/>
            <w:vAlign w:val="center"/>
          </w:tcPr>
          <w:p>
            <w:pPr>
              <w:widowControl/>
              <w:spacing w:after="0" w:line="276" w:lineRule="auto"/>
              <w:ind w:firstLine="0" w:firstLineChars="0"/>
              <w:jc w:val="center"/>
              <w:rPr>
                <w:rFonts w:ascii="宋体" w:hAnsi="宋体" w:eastAsia="宋体" w:cs="宋体"/>
                <w:b/>
                <w:bCs/>
                <w:color w:val="000000" w:themeColor="text1"/>
                <w:kern w:val="0"/>
                <w:szCs w:val="24"/>
                <w14:textFill>
                  <w14:solidFill>
                    <w14:schemeClr w14:val="tx1"/>
                  </w14:solidFill>
                </w14:textFill>
              </w:rPr>
            </w:pPr>
            <w:r>
              <w:rPr>
                <w:rFonts w:hint="eastAsia" w:ascii="宋体" w:hAnsi="宋体" w:eastAsia="宋体" w:cs="宋体"/>
                <w:b/>
                <w:bCs/>
                <w:color w:val="000000" w:themeColor="text1"/>
                <w:kern w:val="0"/>
                <w:szCs w:val="24"/>
                <w14:textFill>
                  <w14:solidFill>
                    <w14:schemeClr w14:val="tx1"/>
                  </w14:solidFill>
                </w14:textFill>
              </w:rPr>
              <w:t>参数</w:t>
            </w:r>
          </w:p>
        </w:tc>
        <w:tc>
          <w:tcPr>
            <w:tcW w:w="427" w:type="pct"/>
            <w:vAlign w:val="center"/>
          </w:tcPr>
          <w:p>
            <w:pPr>
              <w:widowControl/>
              <w:spacing w:after="0" w:line="276" w:lineRule="auto"/>
              <w:ind w:firstLine="0" w:firstLineChars="0"/>
              <w:jc w:val="center"/>
              <w:rPr>
                <w:rFonts w:ascii="宋体" w:hAnsi="宋体" w:eastAsia="宋体" w:cs="宋体"/>
                <w:b/>
                <w:bCs/>
                <w:color w:val="000000" w:themeColor="text1"/>
                <w:kern w:val="0"/>
                <w:szCs w:val="24"/>
                <w14:textFill>
                  <w14:solidFill>
                    <w14:schemeClr w14:val="tx1"/>
                  </w14:solidFill>
                </w14:textFill>
              </w:rPr>
            </w:pPr>
            <w:r>
              <w:rPr>
                <w:rFonts w:hint="eastAsia" w:ascii="宋体" w:hAnsi="宋体" w:eastAsia="宋体" w:cs="宋体"/>
                <w:b/>
                <w:bCs/>
                <w:color w:val="000000" w:themeColor="text1"/>
                <w:kern w:val="0"/>
                <w:szCs w:val="24"/>
                <w14:textFill>
                  <w14:solidFill>
                    <w14:schemeClr w14:val="tx1"/>
                  </w14:solidFill>
                </w14:textFill>
              </w:rPr>
              <w:t>单位</w:t>
            </w:r>
          </w:p>
        </w:tc>
        <w:tc>
          <w:tcPr>
            <w:tcW w:w="560" w:type="pct"/>
            <w:vAlign w:val="center"/>
          </w:tcPr>
          <w:p>
            <w:pPr>
              <w:widowControl/>
              <w:spacing w:after="0" w:line="276" w:lineRule="auto"/>
              <w:ind w:firstLine="0" w:firstLineChars="0"/>
              <w:jc w:val="center"/>
              <w:rPr>
                <w:rFonts w:ascii="宋体" w:hAnsi="宋体" w:eastAsia="宋体" w:cs="宋体"/>
                <w:b/>
                <w:bCs/>
                <w:color w:val="000000" w:themeColor="text1"/>
                <w:kern w:val="0"/>
                <w:szCs w:val="24"/>
                <w14:textFill>
                  <w14:solidFill>
                    <w14:schemeClr w14:val="tx1"/>
                  </w14:solidFill>
                </w14:textFill>
              </w:rPr>
            </w:pPr>
            <w:r>
              <w:rPr>
                <w:rFonts w:hint="eastAsia" w:ascii="宋体" w:hAnsi="宋体" w:eastAsia="宋体" w:cs="宋体"/>
                <w:b/>
                <w:bCs/>
                <w:color w:val="000000" w:themeColor="text1"/>
                <w:kern w:val="0"/>
                <w:szCs w:val="24"/>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17" w:type="pct"/>
            <w:vAlign w:val="center"/>
          </w:tcPr>
          <w:p>
            <w:pPr>
              <w:widowControl w:val="0"/>
              <w:spacing w:after="0" w:line="276" w:lineRule="auto"/>
              <w:ind w:firstLine="0" w:firstLineChars="0"/>
              <w:jc w:val="center"/>
              <w:rPr>
                <w:rFonts w:ascii="宋体" w:hAnsi="宋体" w:eastAsia="宋体" w:cs="Times New Roman"/>
                <w:color w:val="000000" w:themeColor="text1"/>
                <w:kern w:val="2"/>
                <w:szCs w:val="24"/>
                <w14:textFill>
                  <w14:solidFill>
                    <w14:schemeClr w14:val="tx1"/>
                  </w14:solidFill>
                </w14:textFill>
              </w:rPr>
            </w:pPr>
            <w:r>
              <w:rPr>
                <w:rFonts w:hint="eastAsia" w:ascii="宋体" w:hAnsi="宋体" w:eastAsia="宋体" w:cs="Times New Roman"/>
                <w:color w:val="000000" w:themeColor="text1"/>
                <w:kern w:val="2"/>
                <w:szCs w:val="24"/>
                <w14:textFill>
                  <w14:solidFill>
                    <w14:schemeClr w14:val="tx1"/>
                  </w14:solidFill>
                </w14:textFill>
              </w:rPr>
              <w:t>1</w:t>
            </w:r>
          </w:p>
        </w:tc>
        <w:tc>
          <w:tcPr>
            <w:tcW w:w="1019" w:type="pct"/>
            <w:vAlign w:val="center"/>
          </w:tcPr>
          <w:p>
            <w:pPr>
              <w:widowControl w:val="0"/>
              <w:spacing w:after="0" w:line="276" w:lineRule="auto"/>
              <w:ind w:firstLine="0" w:firstLineChars="0"/>
              <w:jc w:val="center"/>
              <w:rPr>
                <w:rFonts w:ascii="宋体" w:hAnsi="宋体" w:eastAsia="宋体" w:cs="Times New Roman"/>
                <w:color w:val="000000" w:themeColor="text1"/>
                <w:kern w:val="2"/>
                <w:szCs w:val="24"/>
                <w14:textFill>
                  <w14:solidFill>
                    <w14:schemeClr w14:val="tx1"/>
                  </w14:solidFill>
                </w14:textFill>
              </w:rPr>
            </w:pPr>
            <w:r>
              <w:rPr>
                <w:rFonts w:hint="eastAsia" w:ascii="宋体" w:hAnsi="宋体" w:eastAsia="宋体" w:cs="Times New Roman"/>
                <w:color w:val="000000" w:themeColor="text1"/>
                <w:kern w:val="2"/>
                <w:szCs w:val="24"/>
                <w14:textFill>
                  <w14:solidFill>
                    <w14:schemeClr w14:val="tx1"/>
                  </w14:solidFill>
                </w14:textFill>
              </w:rPr>
              <w:t>二级等保测评</w:t>
            </w:r>
          </w:p>
        </w:tc>
        <w:tc>
          <w:tcPr>
            <w:tcW w:w="2477" w:type="pct"/>
            <w:vAlign w:val="center"/>
          </w:tcPr>
          <w:p>
            <w:pPr>
              <w:widowControl w:val="0"/>
              <w:spacing w:after="0" w:line="276" w:lineRule="auto"/>
              <w:ind w:firstLine="0" w:firstLineChars="0"/>
              <w:jc w:val="center"/>
              <w:rPr>
                <w:rFonts w:ascii="宋体" w:hAnsi="宋体" w:eastAsia="宋体" w:cs="Times New Roman"/>
                <w:color w:val="000000" w:themeColor="text1"/>
                <w:kern w:val="2"/>
                <w:szCs w:val="24"/>
                <w14:textFill>
                  <w14:solidFill>
                    <w14:schemeClr w14:val="tx1"/>
                  </w14:solidFill>
                </w14:textFill>
              </w:rPr>
            </w:pPr>
            <w:r>
              <w:rPr>
                <w:rFonts w:hint="eastAsia" w:ascii="宋体" w:hAnsi="宋体" w:eastAsia="宋体" w:cs="Times New Roman"/>
                <w:color w:val="000000" w:themeColor="text1"/>
                <w:kern w:val="2"/>
                <w:szCs w:val="24"/>
                <w14:textFill>
                  <w14:solidFill>
                    <w14:schemeClr w14:val="tx1"/>
                  </w14:solidFill>
                </w14:textFill>
              </w:rPr>
              <w:t>需提供一次二级等保测评</w:t>
            </w:r>
          </w:p>
        </w:tc>
        <w:tc>
          <w:tcPr>
            <w:tcW w:w="427" w:type="pct"/>
            <w:vAlign w:val="center"/>
          </w:tcPr>
          <w:p>
            <w:pPr>
              <w:widowControl w:val="0"/>
              <w:spacing w:after="0" w:line="276" w:lineRule="auto"/>
              <w:ind w:firstLine="0" w:firstLineChars="0"/>
              <w:jc w:val="center"/>
              <w:rPr>
                <w:rFonts w:ascii="宋体" w:hAnsi="宋体" w:eastAsia="宋体" w:cs="Times New Roman"/>
                <w:color w:val="000000" w:themeColor="text1"/>
                <w:kern w:val="2"/>
                <w:szCs w:val="24"/>
                <w14:textFill>
                  <w14:solidFill>
                    <w14:schemeClr w14:val="tx1"/>
                  </w14:solidFill>
                </w14:textFill>
              </w:rPr>
            </w:pPr>
            <w:r>
              <w:rPr>
                <w:rFonts w:hint="eastAsia" w:ascii="宋体" w:hAnsi="宋体" w:eastAsia="宋体" w:cs="Times New Roman"/>
                <w:color w:val="000000" w:themeColor="text1"/>
                <w:kern w:val="2"/>
                <w:szCs w:val="24"/>
                <w14:textFill>
                  <w14:solidFill>
                    <w14:schemeClr w14:val="tx1"/>
                  </w14:solidFill>
                </w14:textFill>
              </w:rPr>
              <w:t>项</w:t>
            </w:r>
          </w:p>
        </w:tc>
        <w:tc>
          <w:tcPr>
            <w:tcW w:w="560" w:type="pct"/>
            <w:vAlign w:val="center"/>
          </w:tcPr>
          <w:p>
            <w:pPr>
              <w:widowControl w:val="0"/>
              <w:spacing w:after="0" w:line="276" w:lineRule="auto"/>
              <w:ind w:firstLine="0" w:firstLineChars="0"/>
              <w:jc w:val="center"/>
              <w:rPr>
                <w:rFonts w:ascii="宋体" w:hAnsi="宋体" w:eastAsia="宋体" w:cs="Times New Roman"/>
                <w:color w:val="000000" w:themeColor="text1"/>
                <w:kern w:val="2"/>
                <w:szCs w:val="24"/>
                <w14:textFill>
                  <w14:solidFill>
                    <w14:schemeClr w14:val="tx1"/>
                  </w14:solidFill>
                </w14:textFill>
              </w:rPr>
            </w:pPr>
            <w:r>
              <w:rPr>
                <w:rFonts w:hint="eastAsia" w:ascii="宋体" w:hAnsi="宋体" w:eastAsia="宋体" w:cs="Times New Roman"/>
                <w:color w:val="000000" w:themeColor="text1"/>
                <w:kern w:val="2"/>
                <w:szCs w:val="24"/>
                <w14:textFill>
                  <w14:solidFill>
                    <w14:schemeClr w14:val="tx1"/>
                  </w14:solidFill>
                </w14:textFill>
              </w:rPr>
              <w:t>1</w:t>
            </w:r>
          </w:p>
        </w:tc>
      </w:tr>
    </w:tbl>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p>
    <w:p>
      <w:pPr>
        <w:keepNext/>
        <w:keepLines/>
        <w:numPr>
          <w:ilvl w:val="1"/>
          <w:numId w:val="3"/>
        </w:numPr>
        <w:spacing w:before="312" w:beforeLines="100" w:after="156" w:afterLines="50"/>
        <w:ind w:left="0"/>
        <w:outlineLvl w:val="1"/>
        <w:rPr>
          <w:rFonts w:ascii="宋体" w:hAnsi="宋体" w:eastAsia="宋体" w:cs="宋体"/>
          <w:b/>
          <w:bCs/>
          <w:color w:val="000000" w:themeColor="text1"/>
          <w:kern w:val="2"/>
          <w:sz w:val="32"/>
          <w:szCs w:val="32"/>
          <w:lang w:val="zh-CN" w:eastAsia="zh-CN" w:bidi="ar-SA"/>
          <w14:textFill>
            <w14:solidFill>
              <w14:schemeClr w14:val="tx1"/>
            </w14:solidFill>
          </w14:textFill>
        </w:rPr>
      </w:pPr>
      <w:r>
        <w:rPr>
          <w:rFonts w:hint="eastAsia" w:ascii="宋体" w:hAnsi="宋体" w:eastAsia="宋体" w:cs="宋体"/>
          <w:b/>
          <w:bCs/>
          <w:color w:val="000000" w:themeColor="text1"/>
          <w:kern w:val="2"/>
          <w:sz w:val="32"/>
          <w:szCs w:val="32"/>
          <w:lang w:val="zh-CN" w:eastAsia="zh-CN" w:bidi="ar-SA"/>
          <w14:textFill>
            <w14:solidFill>
              <w14:schemeClr w14:val="tx1"/>
            </w14:solidFill>
          </w14:textFill>
        </w:rPr>
        <w:t>项目建设其他需求清单</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
        <w:gridCol w:w="1425"/>
        <w:gridCol w:w="4514"/>
        <w:gridCol w:w="726"/>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 w:type="pct"/>
            <w:vAlign w:val="center"/>
          </w:tcPr>
          <w:p>
            <w:pPr>
              <w:widowControl/>
              <w:spacing w:after="0" w:line="276" w:lineRule="auto"/>
              <w:ind w:firstLine="0" w:firstLineChars="0"/>
              <w:jc w:val="center"/>
              <w:rPr>
                <w:rFonts w:ascii="宋体" w:hAnsi="宋体" w:eastAsia="宋体" w:cs="宋体"/>
                <w:b/>
                <w:bCs/>
                <w:color w:val="000000" w:themeColor="text1"/>
                <w:kern w:val="0"/>
                <w:szCs w:val="24"/>
                <w14:textFill>
                  <w14:solidFill>
                    <w14:schemeClr w14:val="tx1"/>
                  </w14:solidFill>
                </w14:textFill>
              </w:rPr>
            </w:pPr>
            <w:r>
              <w:rPr>
                <w:rFonts w:hint="eastAsia" w:ascii="宋体" w:hAnsi="宋体" w:eastAsia="宋体" w:cs="宋体"/>
                <w:b/>
                <w:bCs/>
                <w:color w:val="000000" w:themeColor="text1"/>
                <w:kern w:val="0"/>
                <w:szCs w:val="24"/>
                <w14:textFill>
                  <w14:solidFill>
                    <w14:schemeClr w14:val="tx1"/>
                  </w14:solidFill>
                </w14:textFill>
              </w:rPr>
              <w:t>序号</w:t>
            </w:r>
          </w:p>
        </w:tc>
        <w:tc>
          <w:tcPr>
            <w:tcW w:w="839" w:type="pct"/>
            <w:vAlign w:val="center"/>
          </w:tcPr>
          <w:p>
            <w:pPr>
              <w:widowControl/>
              <w:spacing w:after="0" w:line="276" w:lineRule="auto"/>
              <w:ind w:firstLine="0" w:firstLineChars="0"/>
              <w:jc w:val="center"/>
              <w:rPr>
                <w:rFonts w:ascii="宋体" w:hAnsi="宋体" w:eastAsia="宋体" w:cs="宋体"/>
                <w:b/>
                <w:bCs/>
                <w:color w:val="000000" w:themeColor="text1"/>
                <w:kern w:val="0"/>
                <w:szCs w:val="24"/>
                <w14:textFill>
                  <w14:solidFill>
                    <w14:schemeClr w14:val="tx1"/>
                  </w14:solidFill>
                </w14:textFill>
              </w:rPr>
            </w:pPr>
            <w:r>
              <w:rPr>
                <w:rFonts w:hint="eastAsia" w:ascii="宋体" w:hAnsi="宋体" w:eastAsia="宋体" w:cs="宋体"/>
                <w:b/>
                <w:bCs/>
                <w:color w:val="000000" w:themeColor="text1"/>
                <w:kern w:val="0"/>
                <w:szCs w:val="24"/>
                <w14:textFill>
                  <w14:solidFill>
                    <w14:schemeClr w14:val="tx1"/>
                  </w14:solidFill>
                </w14:textFill>
              </w:rPr>
              <w:t>项目名称</w:t>
            </w:r>
          </w:p>
        </w:tc>
        <w:tc>
          <w:tcPr>
            <w:tcW w:w="2657" w:type="pct"/>
            <w:vAlign w:val="center"/>
          </w:tcPr>
          <w:p>
            <w:pPr>
              <w:widowControl/>
              <w:spacing w:after="0" w:line="276" w:lineRule="auto"/>
              <w:ind w:firstLine="0" w:firstLineChars="0"/>
              <w:jc w:val="center"/>
              <w:rPr>
                <w:rFonts w:ascii="宋体" w:hAnsi="宋体" w:eastAsia="宋体" w:cs="宋体"/>
                <w:b/>
                <w:bCs/>
                <w:color w:val="000000" w:themeColor="text1"/>
                <w:kern w:val="0"/>
                <w:szCs w:val="24"/>
                <w14:textFill>
                  <w14:solidFill>
                    <w14:schemeClr w14:val="tx1"/>
                  </w14:solidFill>
                </w14:textFill>
              </w:rPr>
            </w:pPr>
            <w:r>
              <w:rPr>
                <w:rFonts w:hint="eastAsia" w:ascii="宋体" w:hAnsi="宋体" w:eastAsia="宋体" w:cs="宋体"/>
                <w:b/>
                <w:bCs/>
                <w:color w:val="000000" w:themeColor="text1"/>
                <w:kern w:val="0"/>
                <w:szCs w:val="24"/>
                <w14:textFill>
                  <w14:solidFill>
                    <w14:schemeClr w14:val="tx1"/>
                  </w14:solidFill>
                </w14:textFill>
              </w:rPr>
              <w:t>参数</w:t>
            </w:r>
          </w:p>
        </w:tc>
        <w:tc>
          <w:tcPr>
            <w:tcW w:w="427" w:type="pct"/>
            <w:vAlign w:val="center"/>
          </w:tcPr>
          <w:p>
            <w:pPr>
              <w:widowControl/>
              <w:spacing w:after="0" w:line="276" w:lineRule="auto"/>
              <w:ind w:firstLine="0" w:firstLineChars="0"/>
              <w:jc w:val="center"/>
              <w:rPr>
                <w:rFonts w:ascii="宋体" w:hAnsi="宋体" w:eastAsia="宋体" w:cs="宋体"/>
                <w:b/>
                <w:bCs/>
                <w:color w:val="000000" w:themeColor="text1"/>
                <w:kern w:val="0"/>
                <w:szCs w:val="24"/>
                <w14:textFill>
                  <w14:solidFill>
                    <w14:schemeClr w14:val="tx1"/>
                  </w14:solidFill>
                </w14:textFill>
              </w:rPr>
            </w:pPr>
            <w:r>
              <w:rPr>
                <w:rFonts w:hint="eastAsia" w:ascii="宋体" w:hAnsi="宋体" w:eastAsia="宋体" w:cs="宋体"/>
                <w:b/>
                <w:bCs/>
                <w:color w:val="000000" w:themeColor="text1"/>
                <w:kern w:val="0"/>
                <w:szCs w:val="24"/>
                <w14:textFill>
                  <w14:solidFill>
                    <w14:schemeClr w14:val="tx1"/>
                  </w14:solidFill>
                </w14:textFill>
              </w:rPr>
              <w:t>单位</w:t>
            </w:r>
          </w:p>
        </w:tc>
        <w:tc>
          <w:tcPr>
            <w:tcW w:w="560" w:type="pct"/>
            <w:vAlign w:val="center"/>
          </w:tcPr>
          <w:p>
            <w:pPr>
              <w:widowControl/>
              <w:spacing w:after="0" w:line="276" w:lineRule="auto"/>
              <w:ind w:firstLine="0" w:firstLineChars="0"/>
              <w:jc w:val="center"/>
              <w:rPr>
                <w:rFonts w:ascii="宋体" w:hAnsi="宋体" w:eastAsia="宋体" w:cs="宋体"/>
                <w:b/>
                <w:bCs/>
                <w:color w:val="000000" w:themeColor="text1"/>
                <w:kern w:val="0"/>
                <w:szCs w:val="24"/>
                <w14:textFill>
                  <w14:solidFill>
                    <w14:schemeClr w14:val="tx1"/>
                  </w14:solidFill>
                </w14:textFill>
              </w:rPr>
            </w:pPr>
            <w:r>
              <w:rPr>
                <w:rFonts w:hint="eastAsia" w:ascii="宋体" w:hAnsi="宋体" w:eastAsia="宋体" w:cs="宋体"/>
                <w:b/>
                <w:bCs/>
                <w:color w:val="000000" w:themeColor="text1"/>
                <w:kern w:val="0"/>
                <w:szCs w:val="24"/>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 w:type="pct"/>
            <w:vAlign w:val="center"/>
          </w:tcPr>
          <w:p>
            <w:pPr>
              <w:widowControl w:val="0"/>
              <w:spacing w:after="0" w:line="276" w:lineRule="auto"/>
              <w:ind w:firstLine="0" w:firstLineChars="0"/>
              <w:jc w:val="center"/>
              <w:rPr>
                <w:rFonts w:ascii="宋体" w:hAnsi="宋体" w:eastAsia="宋体" w:cs="Times New Roman"/>
                <w:color w:val="000000" w:themeColor="text1"/>
                <w:kern w:val="2"/>
                <w:szCs w:val="24"/>
                <w14:textFill>
                  <w14:solidFill>
                    <w14:schemeClr w14:val="tx1"/>
                  </w14:solidFill>
                </w14:textFill>
              </w:rPr>
            </w:pPr>
            <w:r>
              <w:rPr>
                <w:rFonts w:hint="eastAsia" w:ascii="宋体" w:hAnsi="宋体" w:eastAsia="宋体" w:cs="Times New Roman"/>
                <w:color w:val="000000" w:themeColor="text1"/>
                <w:kern w:val="2"/>
                <w:szCs w:val="24"/>
                <w14:textFill>
                  <w14:solidFill>
                    <w14:schemeClr w14:val="tx1"/>
                  </w14:solidFill>
                </w14:textFill>
              </w:rPr>
              <w:t>1</w:t>
            </w:r>
          </w:p>
        </w:tc>
        <w:tc>
          <w:tcPr>
            <w:tcW w:w="839" w:type="pct"/>
            <w:vAlign w:val="center"/>
          </w:tcPr>
          <w:p>
            <w:pPr>
              <w:widowControl w:val="0"/>
              <w:spacing w:after="0" w:line="276" w:lineRule="auto"/>
              <w:ind w:firstLine="0" w:firstLineChars="0"/>
              <w:jc w:val="center"/>
              <w:rPr>
                <w:rFonts w:ascii="宋体" w:hAnsi="宋体" w:eastAsia="宋体" w:cs="Times New Roman"/>
                <w:color w:val="000000" w:themeColor="text1"/>
                <w:kern w:val="2"/>
                <w:szCs w:val="24"/>
                <w14:textFill>
                  <w14:solidFill>
                    <w14:schemeClr w14:val="tx1"/>
                  </w14:solidFill>
                </w14:textFill>
              </w:rPr>
            </w:pPr>
            <w:r>
              <w:rPr>
                <w:rFonts w:hint="eastAsia" w:ascii="宋体" w:hAnsi="宋体" w:eastAsia="宋体" w:cs="Times New Roman"/>
                <w:color w:val="000000" w:themeColor="text1"/>
                <w:kern w:val="2"/>
                <w:szCs w:val="24"/>
                <w14:textFill>
                  <w14:solidFill>
                    <w14:schemeClr w14:val="tx1"/>
                  </w14:solidFill>
                </w14:textFill>
              </w:rPr>
              <w:t>流量卡</w:t>
            </w:r>
          </w:p>
        </w:tc>
        <w:tc>
          <w:tcPr>
            <w:tcW w:w="2657" w:type="pct"/>
            <w:vAlign w:val="center"/>
          </w:tcPr>
          <w:p>
            <w:pPr>
              <w:widowControl w:val="0"/>
              <w:spacing w:after="0" w:line="276" w:lineRule="auto"/>
              <w:ind w:firstLine="0" w:firstLineChars="0"/>
              <w:jc w:val="center"/>
              <w:rPr>
                <w:rFonts w:ascii="宋体" w:hAnsi="宋体" w:eastAsia="宋体" w:cs="Times New Roman"/>
                <w:color w:val="000000" w:themeColor="text1"/>
                <w:kern w:val="2"/>
                <w:szCs w:val="24"/>
                <w14:textFill>
                  <w14:solidFill>
                    <w14:schemeClr w14:val="tx1"/>
                  </w14:solidFill>
                </w14:textFill>
              </w:rPr>
            </w:pPr>
            <w:r>
              <w:rPr>
                <w:rFonts w:hint="eastAsia" w:ascii="宋体" w:hAnsi="宋体" w:eastAsia="宋体" w:cs="Times New Roman"/>
                <w:color w:val="000000" w:themeColor="text1"/>
                <w:kern w:val="2"/>
                <w:szCs w:val="24"/>
                <w14:textFill>
                  <w14:solidFill>
                    <w14:schemeClr w14:val="tx1"/>
                  </w14:solidFill>
                </w14:textFill>
              </w:rPr>
              <w:t>30G流量+500分钟通话，6张流量卡，提供三年服务</w:t>
            </w:r>
          </w:p>
        </w:tc>
        <w:tc>
          <w:tcPr>
            <w:tcW w:w="427" w:type="pct"/>
            <w:vAlign w:val="center"/>
          </w:tcPr>
          <w:p>
            <w:pPr>
              <w:widowControl w:val="0"/>
              <w:spacing w:after="0" w:line="276" w:lineRule="auto"/>
              <w:ind w:firstLine="0" w:firstLineChars="0"/>
              <w:jc w:val="center"/>
              <w:rPr>
                <w:rFonts w:ascii="宋体" w:hAnsi="宋体" w:eastAsia="宋体" w:cs="Times New Roman"/>
                <w:color w:val="000000" w:themeColor="text1"/>
                <w:kern w:val="2"/>
                <w:szCs w:val="24"/>
                <w14:textFill>
                  <w14:solidFill>
                    <w14:schemeClr w14:val="tx1"/>
                  </w14:solidFill>
                </w14:textFill>
              </w:rPr>
            </w:pPr>
            <w:r>
              <w:rPr>
                <w:rFonts w:hint="eastAsia" w:ascii="宋体" w:hAnsi="宋体" w:eastAsia="宋体" w:cs="Times New Roman"/>
                <w:color w:val="000000" w:themeColor="text1"/>
                <w:kern w:val="2"/>
                <w:szCs w:val="24"/>
                <w14:textFill>
                  <w14:solidFill>
                    <w14:schemeClr w14:val="tx1"/>
                  </w14:solidFill>
                </w14:textFill>
              </w:rPr>
              <w:t>项</w:t>
            </w:r>
          </w:p>
        </w:tc>
        <w:tc>
          <w:tcPr>
            <w:tcW w:w="560" w:type="pct"/>
            <w:vAlign w:val="center"/>
          </w:tcPr>
          <w:p>
            <w:pPr>
              <w:widowControl w:val="0"/>
              <w:spacing w:after="0" w:line="276" w:lineRule="auto"/>
              <w:ind w:firstLine="0" w:firstLineChars="0"/>
              <w:jc w:val="center"/>
              <w:rPr>
                <w:rFonts w:ascii="宋体" w:hAnsi="宋体" w:eastAsia="宋体" w:cs="Times New Roman"/>
                <w:color w:val="000000" w:themeColor="text1"/>
                <w:kern w:val="2"/>
                <w:szCs w:val="24"/>
                <w14:textFill>
                  <w14:solidFill>
                    <w14:schemeClr w14:val="tx1"/>
                  </w14:solidFill>
                </w14:textFill>
              </w:rPr>
            </w:pPr>
            <w:r>
              <w:rPr>
                <w:rFonts w:hint="eastAsia" w:ascii="宋体" w:hAnsi="宋体" w:eastAsia="宋体" w:cs="Times New Roman"/>
                <w:color w:val="000000" w:themeColor="text1"/>
                <w:kern w:val="2"/>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17" w:type="pct"/>
            <w:vAlign w:val="center"/>
          </w:tcPr>
          <w:p>
            <w:pPr>
              <w:widowControl w:val="0"/>
              <w:spacing w:after="0" w:line="276" w:lineRule="auto"/>
              <w:ind w:firstLine="0" w:firstLineChars="0"/>
              <w:jc w:val="center"/>
              <w:rPr>
                <w:rFonts w:ascii="宋体" w:hAnsi="宋体" w:eastAsia="宋体" w:cs="Times New Roman"/>
                <w:color w:val="000000" w:themeColor="text1"/>
                <w:kern w:val="2"/>
                <w:szCs w:val="24"/>
                <w14:textFill>
                  <w14:solidFill>
                    <w14:schemeClr w14:val="tx1"/>
                  </w14:solidFill>
                </w14:textFill>
              </w:rPr>
            </w:pPr>
            <w:r>
              <w:rPr>
                <w:rFonts w:hint="eastAsia" w:ascii="宋体" w:hAnsi="宋体" w:eastAsia="宋体" w:cs="Times New Roman"/>
                <w:color w:val="000000" w:themeColor="text1"/>
                <w:kern w:val="2"/>
                <w:szCs w:val="24"/>
                <w14:textFill>
                  <w14:solidFill>
                    <w14:schemeClr w14:val="tx1"/>
                  </w14:solidFill>
                </w14:textFill>
              </w:rPr>
              <w:t>2</w:t>
            </w:r>
          </w:p>
        </w:tc>
        <w:tc>
          <w:tcPr>
            <w:tcW w:w="839" w:type="pct"/>
            <w:vAlign w:val="center"/>
          </w:tcPr>
          <w:p>
            <w:pPr>
              <w:widowControl w:val="0"/>
              <w:spacing w:after="0" w:line="276" w:lineRule="auto"/>
              <w:ind w:firstLine="0" w:firstLineChars="0"/>
              <w:jc w:val="center"/>
              <w:rPr>
                <w:rFonts w:ascii="宋体" w:hAnsi="宋体" w:eastAsia="宋体" w:cs="Times New Roman"/>
                <w:color w:val="000000" w:themeColor="text1"/>
                <w:kern w:val="2"/>
                <w:szCs w:val="24"/>
                <w14:textFill>
                  <w14:solidFill>
                    <w14:schemeClr w14:val="tx1"/>
                  </w14:solidFill>
                </w14:textFill>
              </w:rPr>
            </w:pPr>
            <w:r>
              <w:rPr>
                <w:rFonts w:hint="eastAsia" w:ascii="宋体" w:hAnsi="宋体" w:eastAsia="宋体" w:cs="Times New Roman"/>
                <w:color w:val="000000" w:themeColor="text1"/>
                <w:kern w:val="2"/>
                <w:szCs w:val="24"/>
                <w14:textFill>
                  <w14:solidFill>
                    <w14:schemeClr w14:val="tx1"/>
                  </w14:solidFill>
                </w14:textFill>
              </w:rPr>
              <w:t>数据对接</w:t>
            </w:r>
          </w:p>
        </w:tc>
        <w:tc>
          <w:tcPr>
            <w:tcW w:w="2657" w:type="pct"/>
            <w:vAlign w:val="center"/>
          </w:tcPr>
          <w:p>
            <w:pPr>
              <w:widowControl w:val="0"/>
              <w:spacing w:after="0" w:line="276" w:lineRule="auto"/>
              <w:ind w:firstLine="0" w:firstLineChars="0"/>
              <w:jc w:val="center"/>
              <w:rPr>
                <w:rFonts w:ascii="宋体" w:hAnsi="宋体" w:eastAsia="宋体" w:cs="Times New Roman"/>
                <w:color w:val="000000" w:themeColor="text1"/>
                <w:kern w:val="2"/>
                <w:szCs w:val="24"/>
                <w14:textFill>
                  <w14:solidFill>
                    <w14:schemeClr w14:val="tx1"/>
                  </w14:solidFill>
                </w14:textFill>
              </w:rPr>
            </w:pPr>
            <w:r>
              <w:rPr>
                <w:rFonts w:hint="eastAsia" w:ascii="宋体" w:hAnsi="宋体" w:eastAsia="宋体" w:cs="Times New Roman"/>
                <w:color w:val="000000" w:themeColor="text1"/>
                <w:kern w:val="2"/>
                <w:szCs w:val="24"/>
                <w14:textFill>
                  <w14:solidFill>
                    <w14:schemeClr w14:val="tx1"/>
                  </w14:solidFill>
                </w14:textFill>
              </w:rPr>
              <w:t>包括对接治超数据、高速ETC过车数据及铁路、民航、地铁售票统计数据。</w:t>
            </w:r>
          </w:p>
        </w:tc>
        <w:tc>
          <w:tcPr>
            <w:tcW w:w="427" w:type="pct"/>
            <w:vAlign w:val="center"/>
          </w:tcPr>
          <w:p>
            <w:pPr>
              <w:widowControl w:val="0"/>
              <w:spacing w:after="0" w:line="276" w:lineRule="auto"/>
              <w:ind w:firstLine="0" w:firstLineChars="0"/>
              <w:jc w:val="center"/>
              <w:rPr>
                <w:rFonts w:ascii="宋体" w:hAnsi="宋体" w:eastAsia="宋体" w:cs="Times New Roman"/>
                <w:color w:val="000000" w:themeColor="text1"/>
                <w:kern w:val="2"/>
                <w:szCs w:val="24"/>
                <w14:textFill>
                  <w14:solidFill>
                    <w14:schemeClr w14:val="tx1"/>
                  </w14:solidFill>
                </w14:textFill>
              </w:rPr>
            </w:pPr>
            <w:r>
              <w:rPr>
                <w:rFonts w:hint="eastAsia" w:ascii="宋体" w:hAnsi="宋体" w:eastAsia="宋体" w:cs="Times New Roman"/>
                <w:color w:val="000000" w:themeColor="text1"/>
                <w:kern w:val="2"/>
                <w:szCs w:val="24"/>
                <w14:textFill>
                  <w14:solidFill>
                    <w14:schemeClr w14:val="tx1"/>
                  </w14:solidFill>
                </w14:textFill>
              </w:rPr>
              <w:t>项</w:t>
            </w:r>
          </w:p>
        </w:tc>
        <w:tc>
          <w:tcPr>
            <w:tcW w:w="560" w:type="pct"/>
            <w:vAlign w:val="center"/>
          </w:tcPr>
          <w:p>
            <w:pPr>
              <w:widowControl w:val="0"/>
              <w:spacing w:after="0" w:line="276" w:lineRule="auto"/>
              <w:ind w:firstLine="0" w:firstLineChars="0"/>
              <w:jc w:val="center"/>
              <w:rPr>
                <w:rFonts w:ascii="宋体" w:hAnsi="宋体" w:eastAsia="宋体" w:cs="Times New Roman"/>
                <w:color w:val="000000" w:themeColor="text1"/>
                <w:kern w:val="2"/>
                <w:szCs w:val="24"/>
                <w14:textFill>
                  <w14:solidFill>
                    <w14:schemeClr w14:val="tx1"/>
                  </w14:solidFill>
                </w14:textFill>
              </w:rPr>
            </w:pPr>
            <w:r>
              <w:rPr>
                <w:rFonts w:hint="eastAsia" w:ascii="宋体" w:hAnsi="宋体" w:eastAsia="宋体" w:cs="Times New Roman"/>
                <w:color w:val="000000" w:themeColor="text1"/>
                <w:kern w:val="2"/>
                <w:szCs w:val="24"/>
                <w14:textFill>
                  <w14:solidFill>
                    <w14:schemeClr w14:val="tx1"/>
                  </w14:solidFill>
                </w14:textFill>
              </w:rPr>
              <w:t>1</w:t>
            </w:r>
          </w:p>
        </w:tc>
      </w:tr>
    </w:tbl>
    <w:p>
      <w:pPr>
        <w:widowControl w:val="0"/>
        <w:spacing w:after="0" w:line="360" w:lineRule="auto"/>
        <w:ind w:firstLine="480" w:firstLineChars="200"/>
        <w:jc w:val="both"/>
        <w:rPr>
          <w:rFonts w:ascii="Times New Roman" w:hAnsi="Times New Roman" w:eastAsia="宋体" w:cs="Times New Roman"/>
          <w:color w:val="000000" w:themeColor="text1"/>
          <w:kern w:val="2"/>
          <w:szCs w:val="20"/>
          <w:lang w:val="zh-CN"/>
          <w14:textFill>
            <w14:solidFill>
              <w14:schemeClr w14:val="tx1"/>
            </w14:solidFill>
          </w14:textFill>
        </w:rPr>
      </w:pPr>
    </w:p>
    <w:p>
      <w:pPr>
        <w:keepNext/>
        <w:keepLines/>
        <w:widowControl w:val="0"/>
        <w:numPr>
          <w:ilvl w:val="0"/>
          <w:numId w:val="3"/>
        </w:numPr>
        <w:tabs>
          <w:tab w:val="left" w:pos="0"/>
        </w:tabs>
        <w:spacing w:before="312" w:beforeLines="100" w:after="156" w:afterLines="50" w:line="360" w:lineRule="auto"/>
        <w:ind w:firstLine="200" w:firstLineChars="0"/>
        <w:jc w:val="left"/>
        <w:outlineLvl w:val="0"/>
        <w:rPr>
          <w:rFonts w:ascii="宋体" w:hAnsi="宋体" w:eastAsia="宋体" w:cs="Times New Roman"/>
          <w:b/>
          <w:bCs w:val="0"/>
          <w:color w:val="000000" w:themeColor="text1"/>
          <w:kern w:val="44"/>
          <w:sz w:val="32"/>
          <w:szCs w:val="44"/>
          <w:lang w:val="zh-CN" w:eastAsia="zh-CN" w:bidi="ar-SA"/>
          <w14:textFill>
            <w14:solidFill>
              <w14:schemeClr w14:val="tx1"/>
            </w14:solidFill>
          </w14:textFill>
        </w:rPr>
      </w:pPr>
      <w:r>
        <w:rPr>
          <w:rFonts w:hint="eastAsia" w:ascii="宋体" w:hAnsi="宋体" w:eastAsia="宋体" w:cs="Times New Roman"/>
          <w:b/>
          <w:bCs w:val="0"/>
          <w:color w:val="000000" w:themeColor="text1"/>
          <w:kern w:val="44"/>
          <w:sz w:val="32"/>
          <w:szCs w:val="44"/>
          <w:lang w:val="zh-CN" w:eastAsia="zh-CN" w:bidi="ar-SA"/>
          <w14:textFill>
            <w14:solidFill>
              <w14:schemeClr w14:val="tx1"/>
            </w14:solidFill>
          </w14:textFill>
        </w:rPr>
        <w:t>其他要求</w:t>
      </w:r>
    </w:p>
    <w:p>
      <w:pPr>
        <w:keepNext/>
        <w:keepLines/>
        <w:numPr>
          <w:ilvl w:val="1"/>
          <w:numId w:val="3"/>
        </w:numPr>
        <w:spacing w:before="312" w:beforeLines="100" w:after="156" w:afterLines="50"/>
        <w:ind w:left="0"/>
        <w:outlineLvl w:val="1"/>
        <w:rPr>
          <w:rFonts w:ascii="宋体" w:hAnsi="宋体" w:eastAsia="宋体" w:cs="Times New Roman"/>
          <w:b/>
          <w:bCs/>
          <w:color w:val="000000" w:themeColor="text1"/>
          <w:kern w:val="2"/>
          <w:sz w:val="32"/>
          <w:szCs w:val="32"/>
          <w:lang w:val="zh-CN" w:eastAsia="zh-CN" w:bidi="ar-SA"/>
          <w14:textFill>
            <w14:solidFill>
              <w14:schemeClr w14:val="tx1"/>
            </w14:solidFill>
          </w14:textFill>
        </w:rPr>
      </w:pPr>
      <w:r>
        <w:rPr>
          <w:rFonts w:hint="eastAsia" w:ascii="宋体" w:hAnsi="宋体" w:eastAsia="宋体" w:cs="宋体"/>
          <w:b/>
          <w:bCs/>
          <w:color w:val="000000" w:themeColor="text1"/>
          <w:kern w:val="2"/>
          <w:sz w:val="32"/>
          <w:szCs w:val="32"/>
          <w:lang w:val="zh-CN" w:eastAsia="zh-CN" w:bidi="ar-SA"/>
          <w14:textFill>
            <w14:solidFill>
              <w14:schemeClr w14:val="tx1"/>
            </w14:solidFill>
          </w14:textFill>
        </w:rPr>
        <w:t>项目工期要求</w:t>
      </w:r>
    </w:p>
    <w:p>
      <w:pPr>
        <w:widowControl w:val="0"/>
        <w:spacing w:after="0" w:line="360" w:lineRule="auto"/>
        <w:ind w:firstLine="480" w:firstLineChars="200"/>
        <w:jc w:val="both"/>
        <w:rPr>
          <w:rFonts w:ascii="宋体" w:hAnsi="宋体" w:eastAsia="宋体" w:cs="Times New Roman"/>
          <w:color w:val="000000" w:themeColor="text1"/>
          <w:kern w:val="2"/>
          <w:szCs w:val="20"/>
          <w:lang w:val="zh-CN"/>
          <w14:textFill>
            <w14:solidFill>
              <w14:schemeClr w14:val="tx1"/>
            </w14:solidFill>
          </w14:textFill>
        </w:rPr>
      </w:pPr>
      <w:r>
        <w:rPr>
          <w:rFonts w:hint="eastAsia" w:ascii="宋体" w:hAnsi="宋体" w:eastAsia="宋体" w:cs="Times New Roman"/>
          <w:color w:val="000000" w:themeColor="text1"/>
          <w:kern w:val="2"/>
          <w:szCs w:val="20"/>
          <w:lang w:val="zh-CN"/>
          <w14:textFill>
            <w14:solidFill>
              <w14:schemeClr w14:val="tx1"/>
            </w14:solidFill>
          </w14:textFill>
        </w:rPr>
        <w:t>本期项目实施工期为</w:t>
      </w:r>
      <w:r>
        <w:rPr>
          <w:rFonts w:ascii="宋体" w:hAnsi="宋体" w:eastAsia="宋体" w:cs="Times New Roman"/>
          <w:color w:val="000000" w:themeColor="text1"/>
          <w:kern w:val="2"/>
          <w:szCs w:val="20"/>
          <w:lang w:val="zh-CN"/>
          <w14:textFill>
            <w14:solidFill>
              <w14:schemeClr w14:val="tx1"/>
            </w14:solidFill>
          </w14:textFill>
        </w:rPr>
        <w:t>9</w:t>
      </w:r>
      <w:r>
        <w:rPr>
          <w:rFonts w:hint="eastAsia" w:ascii="宋体" w:hAnsi="宋体" w:eastAsia="宋体" w:cs="Times New Roman"/>
          <w:color w:val="000000" w:themeColor="text1"/>
          <w:kern w:val="2"/>
          <w:szCs w:val="20"/>
          <w:lang w:val="zh-CN"/>
          <w14:textFill>
            <w14:solidFill>
              <w14:schemeClr w14:val="tx1"/>
            </w14:solidFill>
          </w14:textFill>
        </w:rPr>
        <w:t>个月。</w:t>
      </w:r>
    </w:p>
    <w:p>
      <w:pPr>
        <w:keepNext/>
        <w:keepLines/>
        <w:numPr>
          <w:ilvl w:val="1"/>
          <w:numId w:val="3"/>
        </w:numPr>
        <w:spacing w:before="312" w:beforeLines="100" w:after="156" w:afterLines="50"/>
        <w:ind w:left="0"/>
        <w:outlineLvl w:val="1"/>
        <w:rPr>
          <w:rFonts w:ascii="宋体" w:hAnsi="宋体" w:eastAsia="宋体" w:cs="Times New Roman"/>
          <w:b/>
          <w:bCs/>
          <w:color w:val="000000" w:themeColor="text1"/>
          <w:kern w:val="2"/>
          <w:sz w:val="32"/>
          <w:szCs w:val="32"/>
          <w:lang w:val="zh-CN" w:eastAsia="zh-CN" w:bidi="ar-SA"/>
          <w14:textFill>
            <w14:solidFill>
              <w14:schemeClr w14:val="tx1"/>
            </w14:solidFill>
          </w14:textFill>
        </w:rPr>
      </w:pPr>
      <w:r>
        <w:rPr>
          <w:rFonts w:hint="eastAsia" w:ascii="宋体" w:hAnsi="宋体" w:eastAsia="宋体" w:cs="宋体"/>
          <w:b/>
          <w:bCs/>
          <w:color w:val="000000" w:themeColor="text1"/>
          <w:kern w:val="2"/>
          <w:sz w:val="32"/>
          <w:szCs w:val="32"/>
          <w:lang w:val="zh-CN" w:eastAsia="zh-CN" w:bidi="ar-SA"/>
          <w14:textFill>
            <w14:solidFill>
              <w14:schemeClr w14:val="tx1"/>
            </w14:solidFill>
          </w14:textFill>
        </w:rPr>
        <w:t>运维保障期限要求</w:t>
      </w:r>
    </w:p>
    <w:p>
      <w:pPr>
        <w:widowControl w:val="0"/>
        <w:spacing w:after="0" w:line="360" w:lineRule="auto"/>
        <w:ind w:firstLine="480" w:firstLineChars="200"/>
        <w:jc w:val="both"/>
        <w:rPr>
          <w:rFonts w:ascii="宋体" w:hAnsi="宋体" w:eastAsia="宋体" w:cs="Times New Roman"/>
          <w:color w:val="000000" w:themeColor="text1"/>
          <w:kern w:val="2"/>
          <w:szCs w:val="20"/>
          <w:lang w:val="zh-CN"/>
          <w14:textFill>
            <w14:solidFill>
              <w14:schemeClr w14:val="tx1"/>
            </w14:solidFill>
          </w14:textFill>
        </w:rPr>
      </w:pPr>
      <w:r>
        <w:rPr>
          <w:rFonts w:hint="eastAsia" w:ascii="宋体" w:hAnsi="宋体" w:eastAsia="宋体" w:cs="Times New Roman"/>
          <w:color w:val="000000" w:themeColor="text1"/>
          <w:kern w:val="2"/>
          <w:szCs w:val="20"/>
          <w:lang w:val="zh-CN"/>
          <w14:textFill>
            <w14:solidFill>
              <w14:schemeClr w14:val="tx1"/>
            </w14:solidFill>
          </w14:textFill>
        </w:rPr>
        <w:t>运维保障期限：软件3年、硬件3年。以终验合格之日起计算。</w:t>
      </w:r>
    </w:p>
    <w:p>
      <w:pPr>
        <w:keepNext/>
        <w:keepLines/>
        <w:numPr>
          <w:ilvl w:val="1"/>
          <w:numId w:val="3"/>
        </w:numPr>
        <w:spacing w:before="312" w:beforeLines="100" w:after="156" w:afterLines="50"/>
        <w:ind w:left="0"/>
        <w:outlineLvl w:val="1"/>
        <w:rPr>
          <w:rFonts w:ascii="宋体" w:hAnsi="宋体" w:eastAsia="宋体" w:cs="Times New Roman"/>
          <w:b/>
          <w:bCs/>
          <w:color w:val="000000" w:themeColor="text1"/>
          <w:kern w:val="2"/>
          <w:sz w:val="32"/>
          <w:szCs w:val="32"/>
          <w:lang w:val="zh-CN" w:eastAsia="zh-CN" w:bidi="ar-SA"/>
          <w14:textFill>
            <w14:solidFill>
              <w14:schemeClr w14:val="tx1"/>
            </w14:solidFill>
          </w14:textFill>
        </w:rPr>
      </w:pPr>
      <w:r>
        <w:rPr>
          <w:rFonts w:hint="eastAsia" w:ascii="宋体" w:hAnsi="宋体" w:eastAsia="宋体" w:cs="Times New Roman"/>
          <w:b/>
          <w:bCs/>
          <w:color w:val="000000" w:themeColor="text1"/>
          <w:kern w:val="2"/>
          <w:sz w:val="32"/>
          <w:szCs w:val="32"/>
          <w:lang w:val="en-US" w:eastAsia="zh-CN" w:bidi="ar-SA"/>
          <w14:textFill>
            <w14:solidFill>
              <w14:schemeClr w14:val="tx1"/>
            </w14:solidFill>
          </w14:textFill>
        </w:rPr>
        <w:t>验收方式</w:t>
      </w:r>
    </w:p>
    <w:p>
      <w:pPr>
        <w:widowControl w:val="0"/>
        <w:spacing w:after="0" w:line="360" w:lineRule="auto"/>
        <w:ind w:firstLine="480" w:firstLineChars="200"/>
        <w:jc w:val="both"/>
        <w:rPr>
          <w:rFonts w:ascii="宋体" w:hAnsi="宋体" w:eastAsia="宋体" w:cs="Times New Roman"/>
          <w:color w:val="000000" w:themeColor="text1"/>
          <w:kern w:val="2"/>
          <w:szCs w:val="20"/>
          <w:lang w:val="zh-CN"/>
          <w14:textFill>
            <w14:solidFill>
              <w14:schemeClr w14:val="tx1"/>
            </w14:solidFill>
          </w14:textFill>
        </w:rPr>
      </w:pPr>
      <w:r>
        <w:rPr>
          <w:rFonts w:hint="eastAsia" w:ascii="宋体" w:hAnsi="宋体" w:eastAsia="宋体" w:cs="Times New Roman"/>
          <w:color w:val="000000" w:themeColor="text1"/>
          <w:kern w:val="2"/>
          <w:szCs w:val="20"/>
          <w:lang w:val="zh-CN"/>
          <w14:textFill>
            <w14:solidFill>
              <w14:schemeClr w14:val="tx1"/>
            </w14:solidFill>
          </w14:textFill>
        </w:rPr>
        <w:t>按照国家相关质量标准、技术规范要求、合同规定的验收标准及招、投标文件的要求，招标方组织相关部门、人员进行验收。</w:t>
      </w:r>
    </w:p>
    <w:p>
      <w:pPr>
        <w:keepNext/>
        <w:keepLines/>
        <w:numPr>
          <w:ilvl w:val="1"/>
          <w:numId w:val="3"/>
        </w:numPr>
        <w:spacing w:before="312" w:beforeLines="100" w:after="156" w:afterLines="50"/>
        <w:ind w:left="0"/>
        <w:outlineLvl w:val="1"/>
        <w:rPr>
          <w:rFonts w:ascii="宋体" w:hAnsi="宋体" w:eastAsia="宋体" w:cs="Times New Roman"/>
          <w:b/>
          <w:bCs/>
          <w:color w:val="000000" w:themeColor="text1"/>
          <w:kern w:val="2"/>
          <w:sz w:val="32"/>
          <w:szCs w:val="32"/>
          <w:lang w:val="zh-CN" w:eastAsia="zh-CN" w:bidi="ar-SA"/>
          <w14:textFill>
            <w14:solidFill>
              <w14:schemeClr w14:val="tx1"/>
            </w14:solidFill>
          </w14:textFill>
        </w:rPr>
      </w:pPr>
      <w:r>
        <w:rPr>
          <w:rFonts w:hint="eastAsia" w:ascii="宋体" w:hAnsi="宋体" w:eastAsia="宋体" w:cs="Times New Roman"/>
          <w:b/>
          <w:bCs/>
          <w:color w:val="000000" w:themeColor="text1"/>
          <w:kern w:val="2"/>
          <w:sz w:val="32"/>
          <w:szCs w:val="32"/>
          <w:lang w:val="en-US" w:eastAsia="zh-CN" w:bidi="ar-SA"/>
          <w14:textFill>
            <w14:solidFill>
              <w14:schemeClr w14:val="tx1"/>
            </w14:solidFill>
          </w14:textFill>
        </w:rPr>
        <w:t>保密义务</w:t>
      </w:r>
    </w:p>
    <w:p>
      <w:pPr>
        <w:widowControl w:val="0"/>
        <w:spacing w:after="0" w:line="360" w:lineRule="auto"/>
        <w:ind w:firstLine="480" w:firstLineChars="200"/>
        <w:jc w:val="both"/>
        <w:rPr>
          <w:rFonts w:ascii="宋体" w:hAnsi="宋体" w:eastAsia="宋体" w:cs="Times New Roman"/>
          <w:color w:val="000000" w:themeColor="text1"/>
          <w:kern w:val="2"/>
          <w:szCs w:val="20"/>
          <w:lang w:val="zh-CN"/>
          <w14:textFill>
            <w14:solidFill>
              <w14:schemeClr w14:val="tx1"/>
            </w14:solidFill>
          </w14:textFill>
        </w:rPr>
      </w:pPr>
      <w:r>
        <w:rPr>
          <w:rFonts w:hint="eastAsia" w:ascii="宋体" w:hAnsi="宋体" w:eastAsia="宋体" w:cs="Times New Roman"/>
          <w:color w:val="000000" w:themeColor="text1"/>
          <w:kern w:val="2"/>
          <w:szCs w:val="20"/>
          <w:lang w:val="zh-CN"/>
          <w14:textFill>
            <w14:solidFill>
              <w14:schemeClr w14:val="tx1"/>
            </w14:solidFill>
          </w14:textFill>
        </w:rPr>
        <w:t>（1）双方应严格保守在合作过程中所了解的对方的商业及技术机密，否则应对由此造成的损失承担赔偿。</w:t>
      </w:r>
    </w:p>
    <w:p>
      <w:pPr>
        <w:widowControl w:val="0"/>
        <w:spacing w:after="0" w:line="360" w:lineRule="auto"/>
        <w:ind w:firstLine="480" w:firstLineChars="200"/>
        <w:jc w:val="both"/>
        <w:rPr>
          <w:rFonts w:ascii="宋体" w:hAnsi="宋体" w:eastAsia="宋体" w:cs="Times New Roman"/>
          <w:color w:val="000000" w:themeColor="text1"/>
          <w:kern w:val="2"/>
          <w:szCs w:val="20"/>
          <w:lang w:val="zh-CN"/>
          <w14:textFill>
            <w14:solidFill>
              <w14:schemeClr w14:val="tx1"/>
            </w14:solidFill>
          </w14:textFill>
        </w:rPr>
      </w:pPr>
      <w:r>
        <w:rPr>
          <w:rFonts w:hint="eastAsia" w:ascii="宋体" w:hAnsi="宋体" w:eastAsia="宋体" w:cs="Times New Roman"/>
          <w:color w:val="000000" w:themeColor="text1"/>
          <w:kern w:val="2"/>
          <w:szCs w:val="20"/>
          <w:lang w:val="zh-CN"/>
          <w14:textFill>
            <w14:solidFill>
              <w14:schemeClr w14:val="tx1"/>
            </w14:solidFill>
          </w14:textFill>
        </w:rPr>
        <w:t>（2）中标人应严格遵循招标人各项安全保密制度，所有信息数据迁移、处理等过程中严禁私自复制、传输，完成建设任务后，中标人使用的用户信息等敏感数据必须物理清除。</w:t>
      </w:r>
    </w:p>
    <w:p>
      <w:pPr>
        <w:keepNext/>
        <w:keepLines/>
        <w:numPr>
          <w:ilvl w:val="1"/>
          <w:numId w:val="3"/>
        </w:numPr>
        <w:spacing w:before="312" w:beforeLines="100" w:after="156" w:afterLines="50"/>
        <w:ind w:left="0"/>
        <w:outlineLvl w:val="1"/>
        <w:rPr>
          <w:rFonts w:ascii="宋体" w:hAnsi="宋体" w:eastAsia="宋体" w:cs="Times New Roman"/>
          <w:b/>
          <w:bCs/>
          <w:color w:val="000000" w:themeColor="text1"/>
          <w:kern w:val="2"/>
          <w:sz w:val="32"/>
          <w:szCs w:val="32"/>
          <w:lang w:val="zh-CN" w:eastAsia="zh-CN" w:bidi="ar-SA"/>
          <w14:textFill>
            <w14:solidFill>
              <w14:schemeClr w14:val="tx1"/>
            </w14:solidFill>
          </w14:textFill>
        </w:rPr>
      </w:pPr>
      <w:r>
        <w:rPr>
          <w:rFonts w:hint="eastAsia" w:ascii="宋体" w:hAnsi="宋体" w:eastAsia="宋体" w:cs="Times New Roman"/>
          <w:b/>
          <w:bCs/>
          <w:color w:val="000000" w:themeColor="text1"/>
          <w:kern w:val="2"/>
          <w:sz w:val="32"/>
          <w:szCs w:val="32"/>
          <w:lang w:val="en-US" w:eastAsia="zh-CN" w:bidi="ar-SA"/>
          <w14:textFill>
            <w14:solidFill>
              <w14:schemeClr w14:val="tx1"/>
            </w14:solidFill>
          </w14:textFill>
        </w:rPr>
        <w:t>人员培训</w:t>
      </w:r>
    </w:p>
    <w:p>
      <w:pPr>
        <w:widowControl w:val="0"/>
        <w:spacing w:after="0" w:line="360" w:lineRule="auto"/>
        <w:ind w:firstLine="480" w:firstLineChars="200"/>
        <w:jc w:val="both"/>
        <w:rPr>
          <w:rFonts w:ascii="宋体" w:hAnsi="宋体" w:eastAsia="宋体" w:cs="Times New Roman"/>
          <w:color w:val="000000" w:themeColor="text1"/>
          <w:kern w:val="2"/>
          <w:szCs w:val="20"/>
          <w:lang w:val="zh-CN"/>
          <w14:textFill>
            <w14:solidFill>
              <w14:schemeClr w14:val="tx1"/>
            </w14:solidFill>
          </w14:textFill>
        </w:rPr>
      </w:pPr>
      <w:r>
        <w:rPr>
          <w:rFonts w:hint="eastAsia" w:ascii="宋体" w:hAnsi="宋体" w:eastAsia="宋体" w:cs="Times New Roman"/>
          <w:color w:val="000000" w:themeColor="text1"/>
          <w:kern w:val="2"/>
          <w:szCs w:val="20"/>
          <w:lang w:val="zh-CN"/>
          <w14:textFill>
            <w14:solidFill>
              <w14:schemeClr w14:val="tx1"/>
            </w14:solidFill>
          </w14:textFill>
        </w:rPr>
        <w:t>（</w:t>
      </w:r>
      <w:r>
        <w:rPr>
          <w:rFonts w:hint="eastAsia" w:ascii="宋体" w:hAnsi="宋体" w:eastAsia="宋体" w:cs="Times New Roman"/>
          <w:color w:val="000000" w:themeColor="text1"/>
          <w:kern w:val="2"/>
          <w:szCs w:val="20"/>
          <w14:textFill>
            <w14:solidFill>
              <w14:schemeClr w14:val="tx1"/>
            </w14:solidFill>
          </w14:textFill>
        </w:rPr>
        <w:t>1）</w:t>
      </w:r>
      <w:r>
        <w:rPr>
          <w:rFonts w:hint="eastAsia" w:ascii="宋体" w:hAnsi="宋体" w:eastAsia="宋体" w:cs="Times New Roman"/>
          <w:color w:val="000000" w:themeColor="text1"/>
          <w:kern w:val="2"/>
          <w:szCs w:val="20"/>
          <w:lang w:val="zh-CN"/>
          <w14:textFill>
            <w14:solidFill>
              <w14:schemeClr w14:val="tx1"/>
            </w14:solidFill>
          </w14:textFill>
        </w:rPr>
        <w:t>培训工作是整个系统得以正常运行的关键，除了对普通业务人员的专项培训以外，应对系统维护人员进行系统维护的培训。</w:t>
      </w:r>
    </w:p>
    <w:p>
      <w:pPr>
        <w:widowControl w:val="0"/>
        <w:spacing w:after="0" w:line="360" w:lineRule="auto"/>
        <w:ind w:firstLine="480" w:firstLineChars="200"/>
        <w:jc w:val="both"/>
        <w:rPr>
          <w:rFonts w:ascii="宋体" w:hAnsi="宋体" w:eastAsia="宋体" w:cs="Times New Roman"/>
          <w:color w:val="000000" w:themeColor="text1"/>
          <w:kern w:val="2"/>
          <w:szCs w:val="20"/>
          <w:lang w:val="zh-CN"/>
          <w14:textFill>
            <w14:solidFill>
              <w14:schemeClr w14:val="tx1"/>
            </w14:solidFill>
          </w14:textFill>
        </w:rPr>
      </w:pPr>
      <w:r>
        <w:rPr>
          <w:rFonts w:hint="eastAsia" w:ascii="宋体" w:hAnsi="宋体" w:eastAsia="宋体" w:cs="Times New Roman"/>
          <w:color w:val="000000" w:themeColor="text1"/>
          <w:kern w:val="2"/>
          <w:szCs w:val="20"/>
          <w:lang w:val="zh-CN"/>
          <w14:textFill>
            <w14:solidFill>
              <w14:schemeClr w14:val="tx1"/>
            </w14:solidFill>
          </w14:textFill>
        </w:rPr>
        <w:t>（</w:t>
      </w:r>
      <w:r>
        <w:rPr>
          <w:rFonts w:hint="eastAsia" w:ascii="宋体" w:hAnsi="宋体" w:eastAsia="宋体" w:cs="Times New Roman"/>
          <w:color w:val="000000" w:themeColor="text1"/>
          <w:kern w:val="2"/>
          <w:szCs w:val="20"/>
          <w14:textFill>
            <w14:solidFill>
              <w14:schemeClr w14:val="tx1"/>
            </w14:solidFill>
          </w14:textFill>
        </w:rPr>
        <w:t>2）</w:t>
      </w:r>
      <w:r>
        <w:rPr>
          <w:rFonts w:hint="eastAsia" w:ascii="宋体" w:hAnsi="宋体" w:eastAsia="宋体" w:cs="Times New Roman"/>
          <w:color w:val="000000" w:themeColor="text1"/>
          <w:kern w:val="2"/>
          <w:szCs w:val="20"/>
          <w:lang w:val="zh-CN"/>
          <w14:textFill>
            <w14:solidFill>
              <w14:schemeClr w14:val="tx1"/>
            </w14:solidFill>
          </w14:textFill>
        </w:rPr>
        <w:t>投标人应在</w:t>
      </w:r>
      <w:r>
        <w:rPr>
          <w:rFonts w:hint="eastAsia" w:ascii="宋体" w:hAnsi="宋体" w:eastAsia="宋体" w:cs="Times New Roman"/>
          <w:color w:val="000000" w:themeColor="text1"/>
          <w:kern w:val="2"/>
          <w:szCs w:val="20"/>
          <w14:textFill>
            <w14:solidFill>
              <w14:schemeClr w14:val="tx1"/>
            </w14:solidFill>
          </w14:textFill>
        </w:rPr>
        <w:t>相关平台部署、试运行完成后，提供操作手册，并提供现场操作培训，</w:t>
      </w:r>
      <w:r>
        <w:rPr>
          <w:rFonts w:hint="eastAsia" w:ascii="宋体" w:hAnsi="宋体" w:eastAsia="宋体" w:cs="Times New Roman"/>
          <w:color w:val="000000" w:themeColor="text1"/>
          <w:kern w:val="2"/>
          <w:szCs w:val="20"/>
          <w:lang w:val="zh-CN"/>
          <w14:textFill>
            <w14:solidFill>
              <w14:schemeClr w14:val="tx1"/>
            </w14:solidFill>
          </w14:textFill>
        </w:rPr>
        <w:t>技术培训的内容须包含软件的日常操作和管理维护。</w:t>
      </w:r>
    </w:p>
    <w:p>
      <w:pPr>
        <w:pStyle w:val="2"/>
        <w:rPr>
          <w:rFonts w:hint="eastAsia" w:ascii="宋体" w:hAnsi="宋体" w:eastAsia="宋体" w:cs="宋体"/>
          <w:b/>
          <w:bCs w:val="0"/>
          <w:color w:val="000000" w:themeColor="text1"/>
          <w:kern w:val="44"/>
          <w:sz w:val="32"/>
          <w:szCs w:val="44"/>
          <w:lang w:val="en-US" w:eastAsia="zh-CN" w:bidi="ar-SA"/>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widowControl w:val="0"/>
        <w:adjustRightInd/>
        <w:spacing w:after="0" w:line="440" w:lineRule="exact"/>
        <w:jc w:val="both"/>
        <w:rPr>
          <w:rFonts w:hint="eastAsia" w:ascii="宋体" w:hAnsi="宋体" w:eastAsia="宋体" w:cs="宋体"/>
          <w:color w:val="000000" w:themeColor="text1"/>
          <w:kern w:val="2"/>
          <w:sz w:val="24"/>
          <w14:textFill>
            <w14:solidFill>
              <w14:schemeClr w14:val="tx1"/>
            </w14:solidFill>
          </w14:textFill>
        </w:rPr>
      </w:pPr>
      <w:r>
        <w:rPr>
          <w:rFonts w:hint="eastAsia" w:ascii="宋体" w:hAnsi="宋体" w:eastAsia="宋体" w:cs="宋体"/>
          <w:b/>
          <w:bCs/>
          <w:color w:val="000000" w:themeColor="text1"/>
          <w:kern w:val="2"/>
          <w:sz w:val="32"/>
          <w:szCs w:val="32"/>
          <w:lang w:val="en-US" w:eastAsia="zh-CN" w:bidi="ar-SA"/>
          <w14:textFill>
            <w14:solidFill>
              <w14:schemeClr w14:val="tx1"/>
            </w14:solidFill>
          </w14:textFill>
        </w:rPr>
        <w:t xml:space="preserve"> 6.付款方式：</w:t>
      </w:r>
      <w:r>
        <w:rPr>
          <w:rFonts w:hint="eastAsia" w:ascii="宋体" w:hAnsi="宋体" w:eastAsia="宋体" w:cs="Times New Roman"/>
          <w:color w:val="000000" w:themeColor="text1"/>
          <w:kern w:val="2"/>
          <w:szCs w:val="20"/>
          <w:lang w:val="zh-CN"/>
          <w14:textFill>
            <w14:solidFill>
              <w14:schemeClr w14:val="tx1"/>
            </w14:solidFill>
          </w14:textFill>
        </w:rPr>
        <w:t>合同签订后15日内，采购方先行支付合同款的40%，项目顺利试运行支付合同款的50%，经采购方验收合格后，采购方一次性付清余款。</w:t>
      </w:r>
    </w:p>
    <w:p>
      <w:pPr>
        <w:pStyle w:val="13"/>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spacing w:line="5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w:t>
      </w:r>
    </w:p>
    <w:p>
      <w:pPr>
        <w:spacing w:line="5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1、除标注的参考品牌外，欢迎其它能满足本项目技术需求且性能与所注品牌相当的产品参与。</w:t>
      </w:r>
    </w:p>
    <w:p>
      <w:pPr>
        <w:spacing w:line="5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2、如有附图，仅作参考。</w:t>
      </w:r>
    </w:p>
    <w:p>
      <w:pPr>
        <w:spacing w:line="5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3、打▲内容为实质性要求，不允许有负偏离，否则将以涉及无效投标条款作无效投标。</w:t>
      </w:r>
    </w:p>
    <w:p>
      <w:pPr>
        <w:spacing w:line="50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4、中标人所提供的货物、服务须与投标承诺一致，不得以次充好、偷工减料，若在项目验收中发现有上述情况，将向有关部门举报，根据相关规定进行处理。</w:t>
      </w:r>
    </w:p>
    <w:p>
      <w:pPr>
        <w:rPr>
          <w:rFonts w:hint="eastAsia" w:ascii="宋体" w:hAnsi="宋体" w:eastAsia="宋体" w:cs="宋体"/>
          <w:color w:val="000000" w:themeColor="text1"/>
          <w14:textFill>
            <w14:solidFill>
              <w14:schemeClr w14:val="tx1"/>
            </w14:solidFill>
          </w14:textFill>
        </w:rPr>
      </w:pPr>
    </w:p>
    <w:p>
      <w:pPr>
        <w:spacing w:line="276"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3"/>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第四部分   </w:t>
      </w:r>
      <w:bookmarkStart w:id="5" w:name="_Toc184310288"/>
      <w:bookmarkEnd w:id="5"/>
      <w:bookmarkStart w:id="6" w:name="_Toc184308104"/>
      <w:bookmarkEnd w:id="6"/>
      <w:bookmarkStart w:id="7" w:name="_Toc184312132"/>
      <w:bookmarkEnd w:id="7"/>
      <w:bookmarkStart w:id="8" w:name="_Toc184310280"/>
      <w:bookmarkEnd w:id="8"/>
      <w:bookmarkStart w:id="9" w:name="_Toc184310317"/>
      <w:bookmarkEnd w:id="9"/>
      <w:bookmarkStart w:id="10" w:name="_Toc184314434"/>
      <w:bookmarkEnd w:id="10"/>
      <w:bookmarkStart w:id="11" w:name="_Toc184314461"/>
      <w:bookmarkEnd w:id="11"/>
      <w:bookmarkStart w:id="12" w:name="_Toc184310304"/>
      <w:bookmarkEnd w:id="12"/>
      <w:bookmarkStart w:id="13" w:name="_Toc184314454"/>
      <w:bookmarkEnd w:id="13"/>
      <w:bookmarkStart w:id="14" w:name="_Toc184313302"/>
      <w:bookmarkEnd w:id="14"/>
      <w:bookmarkStart w:id="15" w:name="_Toc184312129"/>
      <w:bookmarkEnd w:id="15"/>
      <w:bookmarkStart w:id="16" w:name="_Toc184314457"/>
      <w:bookmarkEnd w:id="16"/>
      <w:bookmarkStart w:id="17" w:name="_Toc184314419"/>
      <w:bookmarkEnd w:id="17"/>
      <w:bookmarkStart w:id="18" w:name="_Toc184313250"/>
      <w:bookmarkEnd w:id="18"/>
      <w:bookmarkStart w:id="19" w:name="_Toc184314425"/>
      <w:bookmarkEnd w:id="19"/>
      <w:bookmarkStart w:id="20" w:name="_Toc184314441"/>
      <w:bookmarkEnd w:id="20"/>
      <w:bookmarkStart w:id="21" w:name="_Toc184313242"/>
      <w:bookmarkEnd w:id="21"/>
      <w:bookmarkStart w:id="22" w:name="_Toc184308108"/>
      <w:bookmarkEnd w:id="22"/>
      <w:bookmarkStart w:id="23" w:name="_Toc184310313"/>
      <w:bookmarkEnd w:id="23"/>
      <w:bookmarkStart w:id="24" w:name="_Toc184314474"/>
      <w:bookmarkEnd w:id="24"/>
      <w:bookmarkStart w:id="25" w:name="_Toc184313278"/>
      <w:bookmarkEnd w:id="25"/>
      <w:bookmarkStart w:id="26" w:name="_Toc184313276"/>
      <w:bookmarkEnd w:id="26"/>
      <w:bookmarkStart w:id="27" w:name="_Toc184310319"/>
      <w:bookmarkEnd w:id="27"/>
      <w:bookmarkStart w:id="28" w:name="_Toc184308100"/>
      <w:bookmarkEnd w:id="28"/>
      <w:bookmarkStart w:id="29" w:name="_Toc184312108"/>
      <w:bookmarkEnd w:id="29"/>
      <w:bookmarkStart w:id="30" w:name="_Toc184314466"/>
      <w:bookmarkEnd w:id="30"/>
      <w:bookmarkStart w:id="31" w:name="_Toc184313291"/>
      <w:bookmarkEnd w:id="31"/>
      <w:bookmarkStart w:id="32" w:name="_Toc184310307"/>
      <w:bookmarkEnd w:id="32"/>
      <w:bookmarkStart w:id="33" w:name="_Toc184314431"/>
      <w:bookmarkEnd w:id="33"/>
      <w:bookmarkStart w:id="34" w:name="_Toc184308037"/>
      <w:bookmarkEnd w:id="34"/>
      <w:bookmarkStart w:id="35" w:name="_Toc184310294"/>
      <w:bookmarkEnd w:id="35"/>
      <w:bookmarkStart w:id="36" w:name="_Toc184312120"/>
      <w:bookmarkEnd w:id="36"/>
      <w:bookmarkStart w:id="37" w:name="_Toc184310337"/>
      <w:bookmarkEnd w:id="37"/>
      <w:bookmarkStart w:id="38" w:name="_Toc184308046"/>
      <w:bookmarkEnd w:id="38"/>
      <w:bookmarkStart w:id="39" w:name="_Toc184312097"/>
      <w:bookmarkEnd w:id="39"/>
      <w:bookmarkStart w:id="40" w:name="_Toc184312123"/>
      <w:bookmarkEnd w:id="40"/>
      <w:bookmarkStart w:id="41" w:name="_Toc184313307"/>
      <w:bookmarkEnd w:id="41"/>
      <w:bookmarkStart w:id="42" w:name="_Toc184308066"/>
      <w:bookmarkEnd w:id="42"/>
      <w:bookmarkStart w:id="43" w:name="_Toc184308103"/>
      <w:bookmarkEnd w:id="43"/>
      <w:bookmarkStart w:id="44" w:name="_Toc184308107"/>
      <w:bookmarkEnd w:id="44"/>
      <w:bookmarkStart w:id="45" w:name="_Toc184310335"/>
      <w:bookmarkEnd w:id="45"/>
      <w:bookmarkStart w:id="46" w:name="_Toc184314429"/>
      <w:bookmarkEnd w:id="46"/>
      <w:bookmarkStart w:id="47" w:name="_Toc184312105"/>
      <w:bookmarkEnd w:id="47"/>
      <w:bookmarkStart w:id="48" w:name="_Toc184308087"/>
      <w:bookmarkEnd w:id="48"/>
      <w:bookmarkStart w:id="49" w:name="_Toc184310316"/>
      <w:bookmarkEnd w:id="49"/>
      <w:bookmarkStart w:id="50" w:name="_Toc184308041"/>
      <w:bookmarkEnd w:id="50"/>
      <w:bookmarkStart w:id="51" w:name="_Toc184314413"/>
      <w:bookmarkEnd w:id="51"/>
      <w:bookmarkStart w:id="52" w:name="_Toc184310277"/>
      <w:bookmarkEnd w:id="52"/>
      <w:bookmarkStart w:id="53" w:name="_Toc184313238"/>
      <w:bookmarkEnd w:id="53"/>
      <w:bookmarkStart w:id="54" w:name="_Toc184310318"/>
      <w:bookmarkEnd w:id="54"/>
      <w:bookmarkStart w:id="55" w:name="_Toc184314450"/>
      <w:bookmarkEnd w:id="55"/>
      <w:bookmarkStart w:id="56" w:name="_Toc184314477"/>
      <w:bookmarkEnd w:id="56"/>
      <w:bookmarkStart w:id="57" w:name="_Toc184313284"/>
      <w:bookmarkEnd w:id="57"/>
      <w:bookmarkStart w:id="58" w:name="_Toc184313277"/>
      <w:bookmarkEnd w:id="58"/>
      <w:bookmarkStart w:id="59" w:name="_Toc184308082"/>
      <w:bookmarkEnd w:id="59"/>
      <w:bookmarkStart w:id="60" w:name="_Toc184312095"/>
      <w:bookmarkEnd w:id="60"/>
      <w:bookmarkStart w:id="61" w:name="_Toc184308074"/>
      <w:bookmarkEnd w:id="61"/>
      <w:bookmarkStart w:id="62" w:name="_Toc184313275"/>
      <w:bookmarkEnd w:id="62"/>
      <w:bookmarkStart w:id="63" w:name="_Toc184312104"/>
      <w:bookmarkEnd w:id="63"/>
      <w:bookmarkStart w:id="64" w:name="_Toc184312081"/>
      <w:bookmarkEnd w:id="64"/>
      <w:bookmarkStart w:id="65" w:name="_Toc184310287"/>
      <w:bookmarkEnd w:id="65"/>
      <w:bookmarkStart w:id="66" w:name="_Toc184312083"/>
      <w:bookmarkEnd w:id="66"/>
      <w:bookmarkStart w:id="67" w:name="_Toc184308053"/>
      <w:bookmarkEnd w:id="67"/>
      <w:bookmarkStart w:id="68" w:name="_Toc184310291"/>
      <w:bookmarkEnd w:id="68"/>
      <w:bookmarkStart w:id="69" w:name="_Toc184314444"/>
      <w:bookmarkEnd w:id="69"/>
      <w:bookmarkStart w:id="70" w:name="_Toc184310289"/>
      <w:bookmarkEnd w:id="70"/>
      <w:bookmarkStart w:id="71" w:name="_Toc184310303"/>
      <w:bookmarkEnd w:id="71"/>
      <w:bookmarkStart w:id="72" w:name="_Toc184312126"/>
      <w:bookmarkEnd w:id="72"/>
      <w:bookmarkStart w:id="73" w:name="_Toc184308057"/>
      <w:bookmarkEnd w:id="73"/>
      <w:bookmarkStart w:id="74" w:name="_Toc184308071"/>
      <w:bookmarkEnd w:id="74"/>
      <w:bookmarkStart w:id="75" w:name="_Toc184313259"/>
      <w:bookmarkEnd w:id="75"/>
      <w:bookmarkStart w:id="76" w:name="_Toc184314481"/>
      <w:bookmarkEnd w:id="76"/>
      <w:bookmarkStart w:id="77" w:name="_Toc184310343"/>
      <w:bookmarkEnd w:id="77"/>
      <w:bookmarkStart w:id="78" w:name="_Toc184312138"/>
      <w:bookmarkEnd w:id="78"/>
      <w:bookmarkStart w:id="79" w:name="_Toc184314449"/>
      <w:bookmarkEnd w:id="79"/>
      <w:bookmarkStart w:id="80" w:name="_Toc184308075"/>
      <w:bookmarkEnd w:id="80"/>
      <w:bookmarkStart w:id="81" w:name="_Toc184310311"/>
      <w:bookmarkEnd w:id="81"/>
      <w:bookmarkStart w:id="82" w:name="_Toc184310273"/>
      <w:bookmarkEnd w:id="82"/>
      <w:bookmarkStart w:id="83" w:name="_Toc184313263"/>
      <w:bookmarkEnd w:id="83"/>
      <w:bookmarkStart w:id="84" w:name="_Toc184313308"/>
      <w:bookmarkEnd w:id="84"/>
      <w:bookmarkStart w:id="85" w:name="_Toc184310309"/>
      <w:bookmarkEnd w:id="85"/>
      <w:bookmarkStart w:id="86" w:name="_Toc184310332"/>
      <w:bookmarkEnd w:id="86"/>
      <w:bookmarkStart w:id="87" w:name="_Toc184312101"/>
      <w:bookmarkEnd w:id="87"/>
      <w:bookmarkStart w:id="88" w:name="_Toc184310295"/>
      <w:bookmarkEnd w:id="88"/>
      <w:bookmarkStart w:id="89" w:name="_Toc184313282"/>
      <w:bookmarkEnd w:id="89"/>
      <w:bookmarkStart w:id="90" w:name="_Toc184308039"/>
      <w:bookmarkEnd w:id="90"/>
      <w:bookmarkStart w:id="91" w:name="_Toc184314446"/>
      <w:bookmarkEnd w:id="91"/>
      <w:bookmarkStart w:id="92" w:name="_Toc184310293"/>
      <w:bookmarkEnd w:id="92"/>
      <w:bookmarkStart w:id="93" w:name="_Toc184313298"/>
      <w:bookmarkEnd w:id="93"/>
      <w:bookmarkStart w:id="94" w:name="_Toc184308061"/>
      <w:bookmarkEnd w:id="94"/>
      <w:bookmarkStart w:id="95" w:name="_Toc184312106"/>
      <w:bookmarkEnd w:id="95"/>
      <w:bookmarkStart w:id="96" w:name="_Toc184312077"/>
      <w:bookmarkEnd w:id="96"/>
      <w:bookmarkStart w:id="97" w:name="_Toc184314451"/>
      <w:bookmarkEnd w:id="97"/>
      <w:bookmarkStart w:id="98" w:name="_Toc184312116"/>
      <w:bookmarkEnd w:id="98"/>
      <w:bookmarkStart w:id="99" w:name="_Toc184314426"/>
      <w:bookmarkEnd w:id="99"/>
      <w:bookmarkStart w:id="100" w:name="_Toc184312103"/>
      <w:bookmarkEnd w:id="100"/>
      <w:bookmarkStart w:id="101" w:name="_Toc184314445"/>
      <w:bookmarkEnd w:id="101"/>
      <w:bookmarkStart w:id="102" w:name="_Toc184308096"/>
      <w:bookmarkEnd w:id="102"/>
      <w:bookmarkStart w:id="103" w:name="_Toc184308062"/>
      <w:bookmarkEnd w:id="103"/>
      <w:bookmarkStart w:id="104" w:name="_Toc184312075"/>
      <w:bookmarkEnd w:id="104"/>
      <w:bookmarkStart w:id="105" w:name="_Toc184314420"/>
      <w:bookmarkEnd w:id="105"/>
      <w:bookmarkStart w:id="106" w:name="_Toc184310320"/>
      <w:bookmarkEnd w:id="106"/>
      <w:bookmarkStart w:id="107" w:name="_Toc184314439"/>
      <w:bookmarkEnd w:id="107"/>
      <w:bookmarkStart w:id="108" w:name="_Toc184314478"/>
      <w:bookmarkEnd w:id="108"/>
      <w:bookmarkStart w:id="109" w:name="_Toc184308095"/>
      <w:bookmarkEnd w:id="109"/>
      <w:bookmarkStart w:id="110" w:name="_Toc184310299"/>
      <w:bookmarkEnd w:id="110"/>
      <w:bookmarkStart w:id="111" w:name="_Toc184314447"/>
      <w:bookmarkEnd w:id="111"/>
      <w:bookmarkStart w:id="112" w:name="_Toc184313290"/>
      <w:bookmarkEnd w:id="112"/>
      <w:bookmarkStart w:id="113" w:name="_Toc184308092"/>
      <w:bookmarkEnd w:id="113"/>
      <w:bookmarkStart w:id="114" w:name="_Toc184312067"/>
      <w:bookmarkEnd w:id="114"/>
      <w:bookmarkStart w:id="115" w:name="_Toc184313286"/>
      <w:bookmarkEnd w:id="115"/>
      <w:bookmarkStart w:id="116" w:name="_Toc184314428"/>
      <w:bookmarkEnd w:id="116"/>
      <w:bookmarkStart w:id="117" w:name="_Toc184314482"/>
      <w:bookmarkEnd w:id="117"/>
      <w:bookmarkStart w:id="118" w:name="_Toc184312127"/>
      <w:bookmarkEnd w:id="118"/>
      <w:bookmarkStart w:id="119" w:name="_Toc184308044"/>
      <w:bookmarkEnd w:id="119"/>
      <w:bookmarkStart w:id="120" w:name="_Toc184310312"/>
      <w:bookmarkEnd w:id="120"/>
      <w:bookmarkStart w:id="121" w:name="_Toc184314412"/>
      <w:bookmarkEnd w:id="121"/>
      <w:bookmarkStart w:id="122" w:name="_Toc184312135"/>
      <w:bookmarkEnd w:id="122"/>
      <w:bookmarkStart w:id="123" w:name="_Toc184313287"/>
      <w:bookmarkEnd w:id="123"/>
      <w:bookmarkStart w:id="124" w:name="_Toc184308093"/>
      <w:bookmarkEnd w:id="124"/>
      <w:bookmarkStart w:id="125" w:name="_Toc184312113"/>
      <w:bookmarkEnd w:id="125"/>
      <w:bookmarkStart w:id="126" w:name="_Toc184308094"/>
      <w:bookmarkEnd w:id="126"/>
      <w:bookmarkStart w:id="127" w:name="_Toc184313301"/>
      <w:bookmarkEnd w:id="127"/>
      <w:bookmarkStart w:id="128" w:name="_Toc184314459"/>
      <w:bookmarkEnd w:id="128"/>
      <w:bookmarkStart w:id="129" w:name="_Toc184313246"/>
      <w:bookmarkEnd w:id="129"/>
      <w:bookmarkStart w:id="130" w:name="_Toc184312070"/>
      <w:bookmarkEnd w:id="130"/>
      <w:bookmarkStart w:id="131" w:name="_Toc184312139"/>
      <w:bookmarkEnd w:id="131"/>
      <w:bookmarkStart w:id="132" w:name="_Toc184313269"/>
      <w:bookmarkEnd w:id="132"/>
      <w:bookmarkStart w:id="133" w:name="_Toc184310322"/>
      <w:bookmarkEnd w:id="133"/>
      <w:bookmarkStart w:id="134" w:name="_Toc184312074"/>
      <w:bookmarkEnd w:id="134"/>
      <w:bookmarkStart w:id="135" w:name="_Toc184308069"/>
      <w:bookmarkEnd w:id="135"/>
      <w:bookmarkStart w:id="136" w:name="_Toc184308038"/>
      <w:bookmarkEnd w:id="136"/>
      <w:bookmarkStart w:id="137" w:name="_Toc184310279"/>
      <w:bookmarkEnd w:id="137"/>
      <w:bookmarkStart w:id="138" w:name="_Toc184314476"/>
      <w:bookmarkEnd w:id="138"/>
      <w:bookmarkStart w:id="139" w:name="_Toc184313304"/>
      <w:bookmarkEnd w:id="139"/>
      <w:bookmarkStart w:id="140" w:name="_Toc184313253"/>
      <w:bookmarkEnd w:id="140"/>
      <w:bookmarkStart w:id="141" w:name="_Toc184312068"/>
      <w:bookmarkEnd w:id="141"/>
      <w:bookmarkStart w:id="142" w:name="_Toc184312087"/>
      <w:bookmarkEnd w:id="142"/>
      <w:bookmarkStart w:id="143" w:name="_Toc184314442"/>
      <w:bookmarkEnd w:id="143"/>
      <w:bookmarkStart w:id="144" w:name="_Toc184312071"/>
      <w:bookmarkEnd w:id="144"/>
      <w:bookmarkStart w:id="145" w:name="_Toc184314416"/>
      <w:bookmarkEnd w:id="145"/>
      <w:bookmarkStart w:id="146" w:name="_Toc184312107"/>
      <w:bookmarkEnd w:id="146"/>
      <w:bookmarkStart w:id="147" w:name="_Toc184313300"/>
      <w:bookmarkEnd w:id="147"/>
      <w:bookmarkStart w:id="148" w:name="_Toc184312134"/>
      <w:bookmarkEnd w:id="148"/>
      <w:bookmarkStart w:id="149" w:name="_Toc184314468"/>
      <w:bookmarkEnd w:id="149"/>
      <w:bookmarkStart w:id="150" w:name="_Toc184312117"/>
      <w:bookmarkEnd w:id="150"/>
      <w:bookmarkStart w:id="151" w:name="_Toc184313262"/>
      <w:bookmarkEnd w:id="151"/>
      <w:bookmarkStart w:id="152" w:name="_Toc184308101"/>
      <w:bookmarkEnd w:id="152"/>
      <w:bookmarkStart w:id="153" w:name="_Toc184313299"/>
      <w:bookmarkEnd w:id="153"/>
      <w:bookmarkStart w:id="154" w:name="_Toc184312110"/>
      <w:bookmarkEnd w:id="154"/>
      <w:bookmarkStart w:id="155" w:name="_Toc184308054"/>
      <w:bookmarkEnd w:id="155"/>
      <w:bookmarkStart w:id="156" w:name="_Toc184312085"/>
      <w:bookmarkEnd w:id="156"/>
      <w:bookmarkStart w:id="157" w:name="_Toc184313261"/>
      <w:bookmarkEnd w:id="157"/>
      <w:bookmarkStart w:id="158" w:name="_Toc184314415"/>
      <w:bookmarkEnd w:id="158"/>
      <w:bookmarkStart w:id="159" w:name="_Toc184310306"/>
      <w:bookmarkEnd w:id="159"/>
      <w:bookmarkStart w:id="160" w:name="_Toc184308106"/>
      <w:bookmarkEnd w:id="160"/>
      <w:bookmarkStart w:id="161" w:name="_Toc184314421"/>
      <w:bookmarkEnd w:id="161"/>
      <w:bookmarkStart w:id="162" w:name="_Toc184312078"/>
      <w:bookmarkEnd w:id="162"/>
      <w:bookmarkStart w:id="163" w:name="_Toc184314424"/>
      <w:bookmarkEnd w:id="163"/>
      <w:bookmarkStart w:id="164" w:name="_Toc184310290"/>
      <w:bookmarkEnd w:id="164"/>
      <w:bookmarkStart w:id="165" w:name="_Toc184310301"/>
      <w:bookmarkEnd w:id="165"/>
      <w:bookmarkStart w:id="166" w:name="_Toc184310305"/>
      <w:bookmarkEnd w:id="166"/>
      <w:bookmarkStart w:id="167" w:name="_Toc184308056"/>
      <w:bookmarkEnd w:id="167"/>
      <w:bookmarkStart w:id="168" w:name="_Toc184308084"/>
      <w:bookmarkEnd w:id="168"/>
      <w:bookmarkStart w:id="169" w:name="_Toc184308098"/>
      <w:bookmarkEnd w:id="169"/>
      <w:bookmarkStart w:id="170" w:name="_Toc184312094"/>
      <w:bookmarkEnd w:id="170"/>
      <w:bookmarkStart w:id="171" w:name="_Toc184308063"/>
      <w:bookmarkEnd w:id="171"/>
      <w:bookmarkStart w:id="172" w:name="_Toc184308089"/>
      <w:bookmarkEnd w:id="172"/>
      <w:bookmarkStart w:id="173" w:name="_Toc184310275"/>
      <w:bookmarkEnd w:id="173"/>
      <w:bookmarkStart w:id="174" w:name="_Toc184313306"/>
      <w:bookmarkEnd w:id="174"/>
      <w:bookmarkStart w:id="175" w:name="_Toc184313297"/>
      <w:bookmarkEnd w:id="175"/>
      <w:bookmarkStart w:id="176" w:name="_Toc184314480"/>
      <w:bookmarkEnd w:id="176"/>
      <w:bookmarkStart w:id="177" w:name="_Toc184310315"/>
      <w:bookmarkEnd w:id="177"/>
      <w:bookmarkStart w:id="178" w:name="_Toc184308051"/>
      <w:bookmarkEnd w:id="178"/>
      <w:bookmarkStart w:id="179" w:name="_Toc184313281"/>
      <w:bookmarkEnd w:id="179"/>
      <w:bookmarkStart w:id="180" w:name="_Toc184308050"/>
      <w:bookmarkEnd w:id="180"/>
      <w:bookmarkStart w:id="181" w:name="_Toc184308042"/>
      <w:bookmarkEnd w:id="181"/>
      <w:bookmarkStart w:id="182" w:name="_Toc184310330"/>
      <w:bookmarkEnd w:id="182"/>
      <w:bookmarkStart w:id="183" w:name="_Toc184312130"/>
      <w:bookmarkEnd w:id="183"/>
      <w:bookmarkStart w:id="184" w:name="_Toc184310282"/>
      <w:bookmarkEnd w:id="184"/>
      <w:bookmarkStart w:id="185" w:name="_Toc184314464"/>
      <w:bookmarkEnd w:id="185"/>
      <w:bookmarkStart w:id="186" w:name="_Toc184313274"/>
      <w:bookmarkEnd w:id="186"/>
      <w:bookmarkStart w:id="187" w:name="_Toc184308086"/>
      <w:bookmarkEnd w:id="187"/>
      <w:bookmarkStart w:id="188" w:name="_Toc184313268"/>
      <w:bookmarkEnd w:id="188"/>
      <w:bookmarkStart w:id="189" w:name="_Toc184313257"/>
      <w:bookmarkEnd w:id="189"/>
      <w:bookmarkStart w:id="190" w:name="_Toc184310298"/>
      <w:bookmarkEnd w:id="190"/>
      <w:bookmarkStart w:id="191" w:name="_Toc184312124"/>
      <w:bookmarkEnd w:id="191"/>
      <w:bookmarkStart w:id="192" w:name="_Toc184314435"/>
      <w:bookmarkEnd w:id="192"/>
      <w:bookmarkStart w:id="193" w:name="_Toc184314452"/>
      <w:bookmarkEnd w:id="193"/>
      <w:bookmarkStart w:id="194" w:name="_Toc184314470"/>
      <w:bookmarkEnd w:id="194"/>
      <w:bookmarkStart w:id="195" w:name="_Toc184310327"/>
      <w:bookmarkEnd w:id="195"/>
      <w:bookmarkStart w:id="196" w:name="_Toc184308055"/>
      <w:bookmarkEnd w:id="196"/>
      <w:bookmarkStart w:id="197" w:name="_Toc184313310"/>
      <w:bookmarkEnd w:id="197"/>
      <w:bookmarkStart w:id="198" w:name="_Toc184312125"/>
      <w:bookmarkEnd w:id="198"/>
      <w:bookmarkStart w:id="199" w:name="_Toc184312084"/>
      <w:bookmarkEnd w:id="199"/>
      <w:bookmarkStart w:id="200" w:name="_Toc184312114"/>
      <w:bookmarkEnd w:id="200"/>
      <w:bookmarkStart w:id="201" w:name="_Toc184313243"/>
      <w:bookmarkEnd w:id="201"/>
      <w:bookmarkStart w:id="202" w:name="_Toc184312096"/>
      <w:bookmarkEnd w:id="202"/>
      <w:bookmarkStart w:id="203" w:name="_Toc184314455"/>
      <w:bookmarkEnd w:id="203"/>
      <w:bookmarkStart w:id="204" w:name="_Toc184312112"/>
      <w:bookmarkEnd w:id="204"/>
      <w:bookmarkStart w:id="205" w:name="_Toc184310321"/>
      <w:bookmarkEnd w:id="205"/>
      <w:bookmarkStart w:id="206" w:name="_Toc184314460"/>
      <w:bookmarkEnd w:id="206"/>
      <w:bookmarkStart w:id="207" w:name="_Toc184308065"/>
      <w:bookmarkEnd w:id="207"/>
      <w:bookmarkStart w:id="208" w:name="_Toc184313260"/>
      <w:bookmarkEnd w:id="208"/>
      <w:bookmarkStart w:id="209" w:name="_Toc184310274"/>
      <w:bookmarkEnd w:id="209"/>
      <w:bookmarkStart w:id="210" w:name="_Toc184314433"/>
      <w:bookmarkEnd w:id="210"/>
      <w:bookmarkStart w:id="211" w:name="_Toc184312072"/>
      <w:bookmarkEnd w:id="211"/>
      <w:bookmarkStart w:id="212" w:name="_Toc184308072"/>
      <w:bookmarkEnd w:id="212"/>
      <w:bookmarkStart w:id="213" w:name="_Toc184314475"/>
      <w:bookmarkEnd w:id="213"/>
      <w:bookmarkStart w:id="214" w:name="_Toc184314430"/>
      <w:bookmarkEnd w:id="214"/>
      <w:bookmarkStart w:id="215" w:name="_Toc184308067"/>
      <w:bookmarkEnd w:id="215"/>
      <w:bookmarkStart w:id="216" w:name="_Toc184312100"/>
      <w:bookmarkEnd w:id="216"/>
      <w:bookmarkStart w:id="217" w:name="_Toc184310333"/>
      <w:bookmarkEnd w:id="217"/>
      <w:bookmarkStart w:id="218" w:name="_Toc184313265"/>
      <w:bookmarkEnd w:id="218"/>
      <w:bookmarkStart w:id="219" w:name="_Toc184308068"/>
      <w:bookmarkEnd w:id="219"/>
      <w:bookmarkStart w:id="220" w:name="_Toc184312086"/>
      <w:bookmarkEnd w:id="220"/>
      <w:bookmarkStart w:id="221" w:name="_Toc184312089"/>
      <w:bookmarkEnd w:id="221"/>
      <w:bookmarkStart w:id="222" w:name="_Toc184312136"/>
      <w:bookmarkEnd w:id="222"/>
      <w:bookmarkStart w:id="223" w:name="_Toc184314417"/>
      <w:bookmarkEnd w:id="223"/>
      <w:bookmarkStart w:id="224" w:name="_Toc184310329"/>
      <w:bookmarkEnd w:id="224"/>
      <w:bookmarkStart w:id="225" w:name="_Toc184308076"/>
      <w:bookmarkEnd w:id="225"/>
      <w:bookmarkStart w:id="226" w:name="_Toc184313288"/>
      <w:bookmarkEnd w:id="226"/>
      <w:bookmarkStart w:id="227" w:name="_Toc184312115"/>
      <w:bookmarkEnd w:id="227"/>
      <w:bookmarkStart w:id="228" w:name="_Toc184314440"/>
      <w:bookmarkEnd w:id="228"/>
      <w:bookmarkStart w:id="229" w:name="_Toc184312122"/>
      <w:bookmarkEnd w:id="229"/>
      <w:bookmarkStart w:id="230" w:name="_Toc184312092"/>
      <w:bookmarkEnd w:id="230"/>
      <w:bookmarkStart w:id="231" w:name="_Toc184310323"/>
      <w:bookmarkEnd w:id="231"/>
      <w:bookmarkStart w:id="232" w:name="_Toc184314465"/>
      <w:bookmarkEnd w:id="232"/>
      <w:bookmarkStart w:id="233" w:name="_Toc184314479"/>
      <w:bookmarkEnd w:id="233"/>
      <w:bookmarkStart w:id="234" w:name="_Toc184310344"/>
      <w:bookmarkEnd w:id="234"/>
      <w:bookmarkStart w:id="235" w:name="_Toc184313309"/>
      <w:bookmarkEnd w:id="235"/>
      <w:bookmarkStart w:id="236" w:name="_Toc184308040"/>
      <w:bookmarkEnd w:id="236"/>
      <w:bookmarkStart w:id="237" w:name="_Toc184313272"/>
      <w:bookmarkEnd w:id="237"/>
      <w:bookmarkStart w:id="238" w:name="_Toc184312109"/>
      <w:bookmarkEnd w:id="238"/>
      <w:bookmarkStart w:id="239" w:name="_Toc184313245"/>
      <w:bookmarkEnd w:id="239"/>
      <w:bookmarkStart w:id="240" w:name="_Toc184314437"/>
      <w:bookmarkEnd w:id="240"/>
      <w:bookmarkStart w:id="241" w:name="_Toc184310334"/>
      <w:bookmarkEnd w:id="241"/>
      <w:bookmarkStart w:id="242" w:name="_Toc184308085"/>
      <w:bookmarkEnd w:id="242"/>
      <w:bookmarkStart w:id="243" w:name="_Toc184308083"/>
      <w:bookmarkEnd w:id="243"/>
      <w:bookmarkStart w:id="244" w:name="_Toc184312090"/>
      <w:bookmarkEnd w:id="244"/>
      <w:bookmarkStart w:id="245" w:name="_Toc184310331"/>
      <w:bookmarkEnd w:id="245"/>
      <w:bookmarkStart w:id="246" w:name="_Toc184308097"/>
      <w:bookmarkEnd w:id="246"/>
      <w:bookmarkStart w:id="247" w:name="_Toc184310296"/>
      <w:bookmarkEnd w:id="247"/>
      <w:bookmarkStart w:id="248" w:name="_Toc184310272"/>
      <w:bookmarkEnd w:id="248"/>
      <w:bookmarkStart w:id="249" w:name="_Toc184310284"/>
      <w:bookmarkEnd w:id="249"/>
      <w:bookmarkStart w:id="250" w:name="_Toc184313296"/>
      <w:bookmarkEnd w:id="250"/>
      <w:bookmarkStart w:id="251" w:name="_Toc184310328"/>
      <w:bookmarkEnd w:id="251"/>
      <w:bookmarkStart w:id="252" w:name="_Toc184313303"/>
      <w:bookmarkEnd w:id="252"/>
      <w:bookmarkStart w:id="253" w:name="_Toc184308047"/>
      <w:bookmarkEnd w:id="253"/>
      <w:bookmarkStart w:id="254" w:name="_Toc184314463"/>
      <w:bookmarkEnd w:id="254"/>
      <w:bookmarkStart w:id="255" w:name="_Toc184312137"/>
      <w:bookmarkEnd w:id="255"/>
      <w:bookmarkStart w:id="256" w:name="_Toc184310314"/>
      <w:bookmarkEnd w:id="256"/>
      <w:bookmarkStart w:id="257" w:name="_Toc184313244"/>
      <w:bookmarkEnd w:id="257"/>
      <w:bookmarkStart w:id="258" w:name="_Toc184308080"/>
      <w:bookmarkEnd w:id="258"/>
      <w:bookmarkStart w:id="259" w:name="_Toc184314418"/>
      <w:bookmarkEnd w:id="259"/>
      <w:bookmarkStart w:id="260" w:name="_Toc184310297"/>
      <w:bookmarkEnd w:id="260"/>
      <w:bookmarkStart w:id="261" w:name="_Toc184314414"/>
      <w:bookmarkEnd w:id="261"/>
      <w:bookmarkStart w:id="262" w:name="_Toc184310338"/>
      <w:bookmarkEnd w:id="262"/>
      <w:bookmarkStart w:id="263" w:name="_Toc184312093"/>
      <w:bookmarkEnd w:id="263"/>
      <w:bookmarkStart w:id="264" w:name="_Toc184308088"/>
      <w:bookmarkEnd w:id="264"/>
      <w:bookmarkStart w:id="265" w:name="_Toc184312076"/>
      <w:bookmarkEnd w:id="265"/>
      <w:bookmarkStart w:id="266" w:name="_Toc184313293"/>
      <w:bookmarkEnd w:id="266"/>
      <w:bookmarkStart w:id="267" w:name="_Toc184312082"/>
      <w:bookmarkEnd w:id="267"/>
      <w:bookmarkStart w:id="268" w:name="_Toc184312102"/>
      <w:bookmarkEnd w:id="268"/>
      <w:bookmarkStart w:id="269" w:name="_Toc184312080"/>
      <w:bookmarkEnd w:id="269"/>
      <w:bookmarkStart w:id="270" w:name="_Toc184310342"/>
      <w:bookmarkEnd w:id="270"/>
      <w:bookmarkStart w:id="271" w:name="_Toc184313279"/>
      <w:bookmarkEnd w:id="271"/>
      <w:bookmarkStart w:id="272" w:name="_Toc184308060"/>
      <w:bookmarkEnd w:id="272"/>
      <w:bookmarkStart w:id="273" w:name="_Toc184312111"/>
      <w:bookmarkEnd w:id="273"/>
      <w:bookmarkStart w:id="274" w:name="_Toc184310283"/>
      <w:bookmarkEnd w:id="274"/>
      <w:bookmarkStart w:id="275" w:name="_Toc184312073"/>
      <w:bookmarkEnd w:id="275"/>
      <w:bookmarkStart w:id="276" w:name="_Toc184313254"/>
      <w:bookmarkEnd w:id="276"/>
      <w:bookmarkStart w:id="277" w:name="_Toc184313285"/>
      <w:bookmarkEnd w:id="277"/>
      <w:bookmarkStart w:id="278" w:name="_Toc184310300"/>
      <w:bookmarkEnd w:id="278"/>
      <w:bookmarkStart w:id="279" w:name="_Toc184314472"/>
      <w:bookmarkEnd w:id="279"/>
      <w:bookmarkStart w:id="280" w:name="_Toc184313266"/>
      <w:bookmarkEnd w:id="280"/>
      <w:bookmarkStart w:id="281" w:name="_Toc184308059"/>
      <w:bookmarkEnd w:id="281"/>
      <w:bookmarkStart w:id="282" w:name="_Toc184310278"/>
      <w:bookmarkEnd w:id="282"/>
      <w:bookmarkStart w:id="283" w:name="_Toc184310310"/>
      <w:bookmarkEnd w:id="283"/>
      <w:bookmarkStart w:id="284" w:name="_Toc184314411"/>
      <w:bookmarkEnd w:id="284"/>
      <w:bookmarkStart w:id="285" w:name="_Toc184308079"/>
      <w:bookmarkEnd w:id="285"/>
      <w:bookmarkStart w:id="286" w:name="_Toc184308048"/>
      <w:bookmarkEnd w:id="286"/>
      <w:bookmarkStart w:id="287" w:name="_Toc184310339"/>
      <w:bookmarkEnd w:id="287"/>
      <w:bookmarkStart w:id="288" w:name="_Toc184313270"/>
      <w:bookmarkEnd w:id="288"/>
      <w:bookmarkStart w:id="289" w:name="_Toc184312091"/>
      <w:bookmarkEnd w:id="289"/>
      <w:bookmarkStart w:id="290" w:name="_Toc184313241"/>
      <w:bookmarkEnd w:id="290"/>
      <w:bookmarkStart w:id="291" w:name="_Toc184314410"/>
      <w:bookmarkEnd w:id="291"/>
      <w:bookmarkStart w:id="292" w:name="_Toc184313249"/>
      <w:bookmarkEnd w:id="292"/>
      <w:bookmarkStart w:id="293" w:name="_Toc184310286"/>
      <w:bookmarkEnd w:id="293"/>
      <w:bookmarkStart w:id="294" w:name="_Toc184308102"/>
      <w:bookmarkEnd w:id="294"/>
      <w:bookmarkStart w:id="295" w:name="_Toc184308043"/>
      <w:bookmarkEnd w:id="295"/>
      <w:bookmarkStart w:id="296" w:name="_Toc184314427"/>
      <w:bookmarkEnd w:id="296"/>
      <w:bookmarkStart w:id="297" w:name="_Toc184310340"/>
      <w:bookmarkEnd w:id="297"/>
      <w:bookmarkStart w:id="298" w:name="_Toc184308077"/>
      <w:bookmarkEnd w:id="298"/>
      <w:bookmarkStart w:id="299" w:name="_Toc184314473"/>
      <w:bookmarkEnd w:id="299"/>
      <w:bookmarkStart w:id="300" w:name="_Toc184313264"/>
      <w:bookmarkEnd w:id="300"/>
      <w:bookmarkStart w:id="301" w:name="_Toc184308105"/>
      <w:bookmarkEnd w:id="301"/>
      <w:bookmarkStart w:id="302" w:name="_Toc184308045"/>
      <w:bookmarkEnd w:id="302"/>
      <w:bookmarkStart w:id="303" w:name="_Toc184308081"/>
      <w:bookmarkEnd w:id="303"/>
      <w:bookmarkStart w:id="304" w:name="_Toc184308049"/>
      <w:bookmarkEnd w:id="304"/>
      <w:bookmarkStart w:id="305" w:name="_Toc184313239"/>
      <w:bookmarkEnd w:id="305"/>
      <w:bookmarkStart w:id="306" w:name="_Toc184312121"/>
      <w:bookmarkEnd w:id="306"/>
      <w:bookmarkStart w:id="307" w:name="_Toc184310308"/>
      <w:bookmarkEnd w:id="307"/>
      <w:bookmarkStart w:id="308" w:name="_Toc184313267"/>
      <w:bookmarkEnd w:id="308"/>
      <w:bookmarkStart w:id="309" w:name="_Toc184314462"/>
      <w:bookmarkEnd w:id="309"/>
      <w:bookmarkStart w:id="310" w:name="_Toc184312088"/>
      <w:bookmarkEnd w:id="310"/>
      <w:bookmarkStart w:id="311" w:name="_Toc184313248"/>
      <w:bookmarkEnd w:id="311"/>
      <w:bookmarkStart w:id="312" w:name="_Toc184308052"/>
      <w:bookmarkEnd w:id="312"/>
      <w:bookmarkStart w:id="313" w:name="_Toc184312133"/>
      <w:bookmarkEnd w:id="313"/>
      <w:bookmarkStart w:id="314" w:name="_Toc184314471"/>
      <w:bookmarkEnd w:id="314"/>
      <w:bookmarkStart w:id="315" w:name="_Toc184312131"/>
      <w:bookmarkEnd w:id="315"/>
      <w:bookmarkStart w:id="316" w:name="_Toc184314456"/>
      <w:bookmarkEnd w:id="316"/>
      <w:bookmarkStart w:id="317" w:name="_Toc184313280"/>
      <w:bookmarkEnd w:id="317"/>
      <w:bookmarkStart w:id="318" w:name="_Toc184308036"/>
      <w:bookmarkEnd w:id="318"/>
      <w:bookmarkStart w:id="319" w:name="_Toc184313252"/>
      <w:bookmarkEnd w:id="319"/>
      <w:bookmarkStart w:id="320" w:name="_Toc184314469"/>
      <w:bookmarkEnd w:id="320"/>
      <w:bookmarkStart w:id="321" w:name="_Toc184313251"/>
      <w:bookmarkEnd w:id="321"/>
      <w:bookmarkStart w:id="322" w:name="_Toc184310341"/>
      <w:bookmarkEnd w:id="322"/>
      <w:bookmarkStart w:id="323" w:name="_Toc184310336"/>
      <w:bookmarkEnd w:id="323"/>
      <w:bookmarkStart w:id="324" w:name="_Toc184310302"/>
      <w:bookmarkEnd w:id="324"/>
      <w:bookmarkStart w:id="325" w:name="_Toc184308090"/>
      <w:bookmarkEnd w:id="325"/>
      <w:bookmarkStart w:id="326" w:name="_Toc184310285"/>
      <w:bookmarkEnd w:id="326"/>
      <w:bookmarkStart w:id="327" w:name="_Toc184312099"/>
      <w:bookmarkEnd w:id="327"/>
      <w:bookmarkStart w:id="328" w:name="_Toc184313247"/>
      <w:bookmarkEnd w:id="328"/>
      <w:bookmarkStart w:id="329" w:name="_Toc184310324"/>
      <w:bookmarkEnd w:id="329"/>
      <w:bookmarkStart w:id="330" w:name="_Toc184313295"/>
      <w:bookmarkEnd w:id="330"/>
      <w:bookmarkStart w:id="331" w:name="_Toc184308064"/>
      <w:bookmarkEnd w:id="331"/>
      <w:bookmarkStart w:id="332" w:name="_Toc184314458"/>
      <w:bookmarkEnd w:id="332"/>
      <w:bookmarkStart w:id="333" w:name="_Toc184308091"/>
      <w:bookmarkEnd w:id="333"/>
      <w:bookmarkStart w:id="334" w:name="_Toc184314436"/>
      <w:bookmarkEnd w:id="334"/>
      <w:bookmarkStart w:id="335" w:name="_Toc184314453"/>
      <w:bookmarkEnd w:id="335"/>
      <w:bookmarkStart w:id="336" w:name="_Toc184314448"/>
      <w:bookmarkEnd w:id="336"/>
      <w:bookmarkStart w:id="337" w:name="_Toc184312118"/>
      <w:bookmarkEnd w:id="337"/>
      <w:bookmarkStart w:id="338" w:name="_Toc184313283"/>
      <w:bookmarkEnd w:id="338"/>
      <w:bookmarkStart w:id="339" w:name="_Toc184312069"/>
      <w:bookmarkEnd w:id="339"/>
      <w:bookmarkStart w:id="340" w:name="_Toc184313305"/>
      <w:bookmarkEnd w:id="340"/>
      <w:bookmarkStart w:id="341" w:name="_Toc184313271"/>
      <w:bookmarkEnd w:id="341"/>
      <w:bookmarkStart w:id="342" w:name="_Toc184314422"/>
      <w:bookmarkEnd w:id="342"/>
      <w:bookmarkStart w:id="343" w:name="_Toc184308073"/>
      <w:bookmarkEnd w:id="343"/>
      <w:bookmarkStart w:id="344" w:name="_Toc184313294"/>
      <w:bookmarkEnd w:id="344"/>
      <w:bookmarkStart w:id="345" w:name="_Toc184312119"/>
      <w:bookmarkEnd w:id="345"/>
      <w:bookmarkStart w:id="346" w:name="_Toc184313240"/>
      <w:bookmarkEnd w:id="346"/>
      <w:bookmarkStart w:id="347" w:name="_Toc184314423"/>
      <w:bookmarkEnd w:id="347"/>
      <w:bookmarkStart w:id="348" w:name="_Toc184310292"/>
      <w:bookmarkEnd w:id="348"/>
      <w:bookmarkStart w:id="349" w:name="_Toc184314443"/>
      <w:bookmarkEnd w:id="349"/>
      <w:bookmarkStart w:id="350" w:name="_Toc184312079"/>
      <w:bookmarkEnd w:id="350"/>
      <w:bookmarkStart w:id="351" w:name="_Toc184313256"/>
      <w:bookmarkEnd w:id="351"/>
      <w:bookmarkStart w:id="352" w:name="_Toc184313273"/>
      <w:bookmarkEnd w:id="352"/>
      <w:bookmarkStart w:id="353" w:name="_Toc184314438"/>
      <w:bookmarkEnd w:id="353"/>
      <w:bookmarkStart w:id="354" w:name="_Toc184308078"/>
      <w:bookmarkEnd w:id="354"/>
      <w:bookmarkStart w:id="355" w:name="_Toc184313255"/>
      <w:bookmarkEnd w:id="355"/>
      <w:bookmarkStart w:id="356" w:name="_Toc184308058"/>
      <w:bookmarkEnd w:id="356"/>
      <w:bookmarkStart w:id="357" w:name="_Toc184308070"/>
      <w:bookmarkEnd w:id="357"/>
      <w:bookmarkStart w:id="358" w:name="_Toc184313258"/>
      <w:bookmarkEnd w:id="358"/>
      <w:bookmarkStart w:id="359" w:name="_Toc184310325"/>
      <w:bookmarkEnd w:id="359"/>
      <w:bookmarkStart w:id="360" w:name="_Toc184314432"/>
      <w:bookmarkEnd w:id="360"/>
      <w:bookmarkStart w:id="361" w:name="_Toc184313289"/>
      <w:bookmarkEnd w:id="361"/>
      <w:bookmarkStart w:id="362" w:name="_Toc184310281"/>
      <w:bookmarkEnd w:id="362"/>
      <w:bookmarkStart w:id="363" w:name="_Toc184312128"/>
      <w:bookmarkEnd w:id="363"/>
      <w:bookmarkStart w:id="364" w:name="_Toc184310276"/>
      <w:bookmarkEnd w:id="364"/>
      <w:bookmarkStart w:id="365" w:name="_Toc184313292"/>
      <w:bookmarkEnd w:id="365"/>
      <w:bookmarkStart w:id="366" w:name="_Toc184312098"/>
      <w:bookmarkEnd w:id="366"/>
      <w:bookmarkStart w:id="367" w:name="_Toc184314467"/>
      <w:bookmarkEnd w:id="367"/>
      <w:bookmarkStart w:id="368" w:name="_Toc184308099"/>
      <w:bookmarkEnd w:id="368"/>
      <w:bookmarkStart w:id="369" w:name="_Toc184310326"/>
      <w:bookmarkEnd w:id="369"/>
      <w:r>
        <w:rPr>
          <w:rFonts w:hint="eastAsia" w:ascii="宋体" w:hAnsi="宋体" w:eastAsia="宋体" w:cs="宋体"/>
          <w:color w:val="000000" w:themeColor="text1"/>
          <w14:textFill>
            <w14:solidFill>
              <w14:schemeClr w14:val="tx1"/>
            </w14:solidFill>
          </w14:textFill>
        </w:rPr>
        <w:t>评标办法</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评标办法前附表</w:t>
      </w:r>
    </w:p>
    <w:p>
      <w:pPr>
        <w:numPr>
          <w:ilvl w:val="0"/>
          <w:numId w:val="4"/>
        </w:num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商务资信</w:t>
      </w:r>
      <w:r>
        <w:rPr>
          <w:rFonts w:hint="eastAsia" w:ascii="宋体" w:hAnsi="宋体" w:eastAsia="宋体" w:cs="宋体"/>
          <w:color w:val="000000" w:themeColor="text1"/>
          <w:lang w:val="en-US" w:eastAsia="zh-CN"/>
          <w14:textFill>
            <w14:solidFill>
              <w14:schemeClr w14:val="tx1"/>
            </w14:solidFill>
          </w14:textFill>
        </w:rPr>
        <w:t>及技术</w:t>
      </w:r>
    </w:p>
    <w:tbl>
      <w:tblPr>
        <w:tblStyle w:val="25"/>
        <w:tblW w:w="499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6"/>
        <w:gridCol w:w="1276"/>
        <w:gridCol w:w="5441"/>
        <w:gridCol w:w="11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65"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序号</w:t>
            </w:r>
          </w:p>
        </w:tc>
        <w:tc>
          <w:tcPr>
            <w:tcW w:w="395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评分内容和标准</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分值区间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6"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752"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资质证书</w:t>
            </w:r>
          </w:p>
        </w:tc>
        <w:tc>
          <w:tcPr>
            <w:tcW w:w="3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投标人具备有效期内的ISO20000（信息技术服务管理体系认证证书）、ISO27001（信息安全管理体系认证证书）、ISO9001（质量管理体系认证证书）、ISO45001（职业健康安全管理体系认证证书）、ISO14001（环境管理体系认证证书）、GB/T 29490-2013（知识产权管理体系认证证书），且以上六项证书认证范围均包括“智慧交通”相关内容。以上证书，满足要求的每个得0.5分，本项最多3分。须提供资质证书复印件或扫描件并加盖投标人公章。</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0-3分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752"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p>
        </w:tc>
        <w:tc>
          <w:tcPr>
            <w:tcW w:w="3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投标人具备CMMI软件成熟度模型能力认证证书，四级得1分，五级得2分，本项最多得2分。须提供证书复印件或扫描件并加盖投标人公章。</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1"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w:t>
            </w:r>
          </w:p>
        </w:tc>
        <w:tc>
          <w:tcPr>
            <w:tcW w:w="752"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p>
        </w:tc>
        <w:tc>
          <w:tcPr>
            <w:tcW w:w="3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投标人具备ITSS信息技术服务运行维护标准符合性成熟度二级证书得1分，一级证书得2分，本项最多得2分。须提供证书复印件或扫描件并加盖投标人公章。</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5"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w:t>
            </w:r>
          </w:p>
        </w:tc>
        <w:tc>
          <w:tcPr>
            <w:tcW w:w="752"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p>
        </w:tc>
        <w:tc>
          <w:tcPr>
            <w:tcW w:w="3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4"/>
                <w:szCs w:val="24"/>
                <w:u w:val="none"/>
                <w:lang w:val="en-US" w:eastAsia="zh-CN" w:bidi="ar"/>
                <w14:textFill>
                  <w14:solidFill>
                    <w14:schemeClr w14:val="tx1"/>
                  </w14:solidFill>
                </w14:textFill>
              </w:rPr>
              <w:t>投标人具备“智慧交通”类的软件著作权登记证书，且具有软件产品登记测试报告的，每满足一项得1分，本项最多得2分.须提供证书和测试报告复印件或扫描件并加盖投标人公章。</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4"/>
                <w:szCs w:val="24"/>
                <w:u w:val="none"/>
                <w:lang w:val="en-US" w:eastAsia="zh-CN" w:bidi="ar"/>
                <w14:textFill>
                  <w14:solidFill>
                    <w14:schemeClr w14:val="tx1"/>
                  </w14:solidFill>
                </w14:textFill>
              </w:rPr>
              <w:t>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w:t>
            </w:r>
          </w:p>
        </w:tc>
        <w:tc>
          <w:tcPr>
            <w:tcW w:w="752"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p>
        </w:tc>
        <w:tc>
          <w:tcPr>
            <w:tcW w:w="3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4"/>
                <w:szCs w:val="24"/>
                <w:u w:val="none"/>
                <w:lang w:val="en-US" w:eastAsia="zh-CN" w:bidi="ar"/>
                <w14:textFill>
                  <w14:solidFill>
                    <w14:schemeClr w14:val="tx1"/>
                  </w14:solidFill>
                </w14:textFill>
              </w:rPr>
              <w:t>投标人具备信息系统服务交付能力等级一级四星证书的得1分，一级五星证书的得2分，本项最多得2分。须提供证书复印件或扫描件并加盖投标人公章。</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4"/>
                <w:szCs w:val="24"/>
                <w:u w:val="none"/>
                <w:lang w:val="en-US" w:eastAsia="zh-CN" w:bidi="ar"/>
                <w14:textFill>
                  <w14:solidFill>
                    <w14:schemeClr w14:val="tx1"/>
                  </w14:solidFill>
                </w14:textFill>
              </w:rPr>
              <w:t>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7"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w:t>
            </w:r>
          </w:p>
        </w:tc>
        <w:tc>
          <w:tcPr>
            <w:tcW w:w="752"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p>
        </w:tc>
        <w:tc>
          <w:tcPr>
            <w:tcW w:w="3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4"/>
                <w:szCs w:val="24"/>
                <w:u w:val="none"/>
                <w:lang w:val="en-US" w:eastAsia="zh-CN" w:bidi="ar"/>
                <w14:textFill>
                  <w14:solidFill>
                    <w14:schemeClr w14:val="tx1"/>
                  </w14:solidFill>
                </w14:textFill>
              </w:rPr>
              <w:t>投标人具备信息系统建设和服务能力评估CS 3级证书的得1分，CS 4级及以上等级证书的得2分，本项最多得2分。须提供证书复印件或扫描件并加盖投标人公章。</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4"/>
                <w:szCs w:val="24"/>
                <w:u w:val="none"/>
                <w:lang w:val="en-US" w:eastAsia="zh-CN" w:bidi="ar"/>
                <w14:textFill>
                  <w14:solidFill>
                    <w14:schemeClr w14:val="tx1"/>
                  </w14:solidFill>
                </w14:textFill>
              </w:rPr>
              <w:t>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4"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w:t>
            </w:r>
          </w:p>
        </w:tc>
        <w:tc>
          <w:tcPr>
            <w:tcW w:w="752"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p>
        </w:tc>
        <w:tc>
          <w:tcPr>
            <w:tcW w:w="3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4"/>
                <w:szCs w:val="24"/>
                <w:u w:val="none"/>
                <w:lang w:val="en-US" w:eastAsia="zh-CN" w:bidi="ar"/>
                <w14:textFill>
                  <w14:solidFill>
                    <w14:schemeClr w14:val="tx1"/>
                  </w14:solidFill>
                </w14:textFill>
              </w:rPr>
              <w:t>投标人具备CCRC信息安全服务（软件安全开发）二级及以上资质的得2分，本项最多得2分。须提供证书复印件或扫描件并加盖投标人公章。</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val="0"/>
                <w:bCs w:val="0"/>
                <w:i w:val="0"/>
                <w:iCs w:val="0"/>
                <w:color w:val="000000" w:themeColor="text1"/>
                <w:kern w:val="0"/>
                <w:sz w:val="24"/>
                <w:szCs w:val="24"/>
                <w:u w:val="none"/>
                <w:lang w:val="en-US" w:eastAsia="zh-CN" w:bidi="ar"/>
                <w14:textFill>
                  <w14:solidFill>
                    <w14:schemeClr w14:val="tx1"/>
                  </w14:solidFill>
                </w14:textFill>
              </w:rPr>
              <w:t>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4"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w:t>
            </w:r>
          </w:p>
        </w:tc>
        <w:tc>
          <w:tcPr>
            <w:tcW w:w="7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业绩</w:t>
            </w:r>
          </w:p>
        </w:tc>
        <w:tc>
          <w:tcPr>
            <w:tcW w:w="3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2019年1月1日至今（以合同签订时间为准），企业具有类似项目（类似项目指智能交通或智慧交通信息化项目，其中软件平台开发部分占比超过项目合同金额的50%），每个得0.2分，最多得1分。本项最多得1分。须提供合同复印件或扫描件并加盖投标人公章。</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0-1分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3" w:hRule="atLeast"/>
        </w:trPr>
        <w:tc>
          <w:tcPr>
            <w:tcW w:w="357"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w:t>
            </w:r>
          </w:p>
        </w:tc>
        <w:tc>
          <w:tcPr>
            <w:tcW w:w="752"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根据对投标项目现状的理解程度进行综合评定</w:t>
            </w:r>
          </w:p>
        </w:tc>
        <w:tc>
          <w:tcPr>
            <w:tcW w:w="3207"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1.对指挥中心设备、布局、网络等现状情况的理解。理解分析合理到位的得5分，理解分析基本合理的得3分，理解分析</w:t>
            </w:r>
            <w:r>
              <w:rPr>
                <w:rFonts w:hint="eastAsia" w:ascii="宋体" w:hAnsi="宋体" w:eastAsia="宋体" w:cs="宋体"/>
                <w:color w:val="000000" w:themeColor="text1"/>
                <w:kern w:val="0"/>
                <w:szCs w:val="21"/>
                <w14:textFill>
                  <w14:solidFill>
                    <w14:schemeClr w14:val="tx1"/>
                  </w14:solidFill>
                </w14:textFill>
              </w:rPr>
              <w:t>存在不足的得1分</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t>
            </w:r>
            <w:r>
              <w:rPr>
                <w:rFonts w:hint="eastAsia" w:ascii="宋体" w:hAnsi="宋体" w:eastAsia="宋体" w:cs="宋体"/>
                <w:color w:val="000000" w:themeColor="text1"/>
                <w:kern w:val="0"/>
                <w:szCs w:val="21"/>
                <w14:textFill>
                  <w14:solidFill>
                    <w14:schemeClr w14:val="tx1"/>
                  </w14:solidFill>
                </w14:textFill>
              </w:rPr>
              <w:t>有明显缺陷或与采购需求完全不匹配的不得分</w:t>
            </w:r>
            <w:r>
              <w:rPr>
                <w:rFonts w:hint="eastAsia" w:ascii="宋体" w:hAnsi="宋体" w:eastAsia="宋体" w:cs="宋体"/>
                <w:color w:val="000000" w:themeColor="text1"/>
                <w:kern w:val="0"/>
                <w:szCs w:val="21"/>
                <w:lang w:val="en-US" w:eastAsia="zh-CN"/>
                <w14:textFill>
                  <w14:solidFill>
                    <w14:schemeClr w14:val="tx1"/>
                  </w14:solidFill>
                </w14:textFill>
              </w:rPr>
              <w:t>。</w:t>
            </w:r>
          </w:p>
        </w:tc>
        <w:tc>
          <w:tcPr>
            <w:tcW w:w="682"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357"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p>
        </w:tc>
        <w:tc>
          <w:tcPr>
            <w:tcW w:w="752"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p>
        </w:tc>
        <w:tc>
          <w:tcPr>
            <w:tcW w:w="3207"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2.对应用平台现状情况的理解。理解分析合理到位的得5分，理解分析基本合理的得3分，理解分析</w:t>
            </w:r>
            <w:r>
              <w:rPr>
                <w:rFonts w:hint="eastAsia" w:ascii="宋体" w:hAnsi="宋体" w:eastAsia="宋体" w:cs="宋体"/>
                <w:color w:val="000000" w:themeColor="text1"/>
                <w:kern w:val="0"/>
                <w:szCs w:val="21"/>
                <w14:textFill>
                  <w14:solidFill>
                    <w14:schemeClr w14:val="tx1"/>
                  </w14:solidFill>
                </w14:textFill>
              </w:rPr>
              <w:t>存在不足的得1分</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t>
            </w:r>
            <w:r>
              <w:rPr>
                <w:rFonts w:hint="eastAsia" w:ascii="宋体" w:hAnsi="宋体" w:eastAsia="宋体" w:cs="宋体"/>
                <w:color w:val="000000" w:themeColor="text1"/>
                <w:kern w:val="0"/>
                <w:szCs w:val="21"/>
                <w14:textFill>
                  <w14:solidFill>
                    <w14:schemeClr w14:val="tx1"/>
                  </w14:solidFill>
                </w14:textFill>
              </w:rPr>
              <w:t>有明显缺陷或与采购需求完全不匹配的不得分</w:t>
            </w:r>
            <w:r>
              <w:rPr>
                <w:rFonts w:hint="eastAsia" w:ascii="宋体" w:hAnsi="宋体" w:eastAsia="宋体" w:cs="宋体"/>
                <w:color w:val="000000" w:themeColor="text1"/>
                <w:kern w:val="0"/>
                <w:szCs w:val="21"/>
                <w:lang w:val="en-US" w:eastAsia="zh-CN"/>
                <w14:textFill>
                  <w14:solidFill>
                    <w14:schemeClr w14:val="tx1"/>
                  </w14:solidFill>
                </w14:textFill>
              </w:rPr>
              <w:t>。</w:t>
            </w:r>
          </w:p>
        </w:tc>
        <w:tc>
          <w:tcPr>
            <w:tcW w:w="682"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2"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u w:val="none"/>
                <w:lang w:val="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w:t>
            </w:r>
          </w:p>
        </w:tc>
        <w:tc>
          <w:tcPr>
            <w:tcW w:w="7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根据对本项目建设数据情况的理解程度进行综合评定</w:t>
            </w:r>
          </w:p>
        </w:tc>
        <w:tc>
          <w:tcPr>
            <w:tcW w:w="3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投标人根据萧山区交通运输局当前实际情况，结合项目招标文件，提供本项目建设的数据需求及建成后可共享的数据情况分析。数据需求科学全面、可共享的数据情况分析到位得5分，数据需求基本全面、可共享的数据情况分析深度一般得3分，分析</w:t>
            </w:r>
            <w:r>
              <w:rPr>
                <w:rFonts w:hint="eastAsia" w:ascii="宋体" w:hAnsi="宋体" w:eastAsia="宋体" w:cs="宋体"/>
                <w:color w:val="000000" w:themeColor="text1"/>
                <w:kern w:val="0"/>
                <w:szCs w:val="21"/>
                <w14:textFill>
                  <w14:solidFill>
                    <w14:schemeClr w14:val="tx1"/>
                  </w14:solidFill>
                </w14:textFill>
              </w:rPr>
              <w:t>存在不足的得1分</w:t>
            </w:r>
            <w:r>
              <w:rPr>
                <w:rFonts w:hint="eastAsia" w:ascii="宋体" w:hAnsi="宋体" w:eastAsia="宋体" w:cs="宋体"/>
                <w:color w:val="000000" w:themeColor="text1"/>
                <w:kern w:val="0"/>
                <w:szCs w:val="21"/>
                <w:lang w:eastAsia="zh-CN"/>
                <w14:textFill>
                  <w14:solidFill>
                    <w14:schemeClr w14:val="tx1"/>
                  </w14:solidFill>
                </w14:textFill>
              </w:rPr>
              <w:t>，</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未提供或分析不到位的</w:t>
            </w:r>
            <w:r>
              <w:rPr>
                <w:rFonts w:hint="eastAsia" w:ascii="宋体" w:hAnsi="宋体" w:eastAsia="宋体" w:cs="宋体"/>
                <w:color w:val="000000" w:themeColor="text1"/>
                <w:kern w:val="0"/>
                <w:szCs w:val="21"/>
                <w14:textFill>
                  <w14:solidFill>
                    <w14:schemeClr w14:val="tx1"/>
                  </w14:solidFill>
                </w14:textFill>
              </w:rPr>
              <w:t>不得分</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4"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u w:val="none"/>
                <w:lang w:val="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11</w:t>
            </w:r>
          </w:p>
        </w:tc>
        <w:tc>
          <w:tcPr>
            <w:tcW w:w="7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根据对本项目系统架构的优劣程度进行综合评定</w:t>
            </w:r>
          </w:p>
        </w:tc>
        <w:tc>
          <w:tcPr>
            <w:tcW w:w="3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结合项目招标文件，提供针对本项目的总体架构图、逻辑架构图、技术架构图、数据归集图和数据处理流程图。方案科学全面、满足采购需求得3分，方案基本全面、基本满足采购需求得1.5分，方案不全面、不满足采购需求得0分。</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0-3分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4" w:hRule="atLeast"/>
        </w:trPr>
        <w:tc>
          <w:tcPr>
            <w:tcW w:w="3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u w:val="none"/>
                <w:lang w:val="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12</w:t>
            </w:r>
          </w:p>
        </w:tc>
        <w:tc>
          <w:tcPr>
            <w:tcW w:w="7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根据对本项目应用系统设计的优劣程度进行综合评定</w:t>
            </w:r>
          </w:p>
        </w:tc>
        <w:tc>
          <w:tcPr>
            <w:tcW w:w="3207"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1.投标人根据实际情况，结合项目招标文件内容及建设需求，提供针对本项目“大型活动期间交通数字化组织保障” 的应用系统设计方案，必须包含针对该模块的业务流程、功能需求、数据需求和功能设计。技术实施路线清晰、功能模块建设方案科学全面、满足采购需求得2分，实施路线基本可行、方案基本全面、基本满足采购需求得1分，实施路线不明确、方案不全面、不满足采购需求得0分。</w:t>
            </w:r>
          </w:p>
        </w:tc>
        <w:tc>
          <w:tcPr>
            <w:tcW w:w="682"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trPr>
        <w:tc>
          <w:tcPr>
            <w:tcW w:w="3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207"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投标人根据实际情况，结合项目招标文件内容及建设需求，提供针对本项目“交通转运‘疫安行’”的应用系统设计方案，必须包含针对该模块的业务流程、功能需求、数据需求和功能设计。技术实施路线清晰、功能模块建设方案科学全面、预期视觉效果良好、满足采购需求得2分，实施路线基本可行、方案基本全面、预期视觉效果一般、基本满足采购需求得1分，实施路线不明确、方案不全面、不满足采购需求得0分。</w:t>
            </w:r>
          </w:p>
        </w:tc>
        <w:tc>
          <w:tcPr>
            <w:tcW w:w="682" w:type="pct"/>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3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3207"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投标人根据实际情况，结合项目招标文件内容及建设需求，提供针对本项目“非法营运靶向数治”的应用系统设计方案，必须包含针对该模块的业务流程、功能需求、数据需求和功能设计。技术实施路线清晰、功能模块建设方案科学全面、满足采购需求得2分，实施路线基本可行、方案基本全面、基本满足采购需求得1分，实施路线不明确、方案不全面、不满足采购需求得0分。</w:t>
            </w:r>
          </w:p>
        </w:tc>
        <w:tc>
          <w:tcPr>
            <w:tcW w:w="682" w:type="pct"/>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1"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u w:val="none"/>
                <w:lang w:val="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13</w:t>
            </w:r>
          </w:p>
        </w:tc>
        <w:tc>
          <w:tcPr>
            <w:tcW w:w="7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根据对本项目招标文件中※内容的响应情况进行综合评定</w:t>
            </w:r>
          </w:p>
        </w:tc>
        <w:tc>
          <w:tcPr>
            <w:tcW w:w="3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根据投标人针对招标文件中※内容的响应情况进行评分；方案清晰可行、满足采购需求得5分，方案基本可行、基本满足采购需求得3分，方案有明显缺陷、不满足采购需求得0分。</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3" w:hRule="atLeast"/>
        </w:trPr>
        <w:tc>
          <w:tcPr>
            <w:tcW w:w="357"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u w:val="none"/>
                <w:lang w:val="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14</w:t>
            </w:r>
          </w:p>
        </w:tc>
        <w:tc>
          <w:tcPr>
            <w:tcW w:w="752"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根据对本项目的对接方案进行综合评定</w:t>
            </w:r>
          </w:p>
        </w:tc>
        <w:tc>
          <w:tcPr>
            <w:tcW w:w="3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投标人详细提供本项目如何与萧山区综合交通信息指挥中心一期项目平台进行对接方案；方案清晰可行、满足采购需求得2分，方案基本可行、基本满足采购需求得1分，方案有明显缺陷、不满足采购需求得0分。</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57"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p>
        </w:tc>
        <w:tc>
          <w:tcPr>
            <w:tcW w:w="752"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p>
        </w:tc>
        <w:tc>
          <w:tcPr>
            <w:tcW w:w="3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2、投标人详细提供本项目如何与杭州市交通运输局现有平台进行对接方案；方案清晰可行、满足采购需求得2分，方案基本可行、基本满足采购需求得1分，方案有明显缺陷、不满足采购需求得0分。</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9" w:hRule="atLeast"/>
        </w:trPr>
        <w:tc>
          <w:tcPr>
            <w:tcW w:w="357"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p>
        </w:tc>
        <w:tc>
          <w:tcPr>
            <w:tcW w:w="752"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p>
        </w:tc>
        <w:tc>
          <w:tcPr>
            <w:tcW w:w="3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投标人详细提供本项目建设的应急指挥移动端如何与萧山区综合交通信息指挥中心一期项目建设的应急指挥系统进行对接方案；方案清晰可行、满足采购需求得2分，方案基本可行、基本满足采购需求得1分，方案有明显缺陷、不满足采购需求得0分。</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6" w:hRule="atLeast"/>
        </w:trPr>
        <w:tc>
          <w:tcPr>
            <w:tcW w:w="357"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p>
        </w:tc>
        <w:tc>
          <w:tcPr>
            <w:tcW w:w="752"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p>
        </w:tc>
        <w:tc>
          <w:tcPr>
            <w:tcW w:w="3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投标人详细提供本项目建设的“活动保障一张图”、“防疫转运一张图”、“数字打非一张图”、“非现治超一张图”等交通一张图如何与萧山区综合交通信息指挥中心一期项目建设的运行监测平台进行对接方案；方案清晰可行、满足采购需求得2分，方案基本可行、基本满足采购需求得1分，方案有明显缺陷、不满足采购需求得0分。</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u w:val="none"/>
                <w:lang w:val="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15</w:t>
            </w:r>
          </w:p>
        </w:tc>
        <w:tc>
          <w:tcPr>
            <w:tcW w:w="7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组织实施方案</w:t>
            </w:r>
          </w:p>
        </w:tc>
        <w:tc>
          <w:tcPr>
            <w:tcW w:w="3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投标人针对本项目实际情况提供详细的实施方案：包括项目组织、项目管理方案、项目进度方案、项目运行维护等。方案清晰可行、满足采购需求得2分，方案基本可行、基本满足采购需求得1分，方案有明显缺陷、不满足采购需求得0分。</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2"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u w:val="none"/>
                <w:lang w:val="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16</w:t>
            </w:r>
          </w:p>
        </w:tc>
        <w:tc>
          <w:tcPr>
            <w:tcW w:w="7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项目负责人及技术力量安排等</w:t>
            </w:r>
          </w:p>
        </w:tc>
        <w:tc>
          <w:tcPr>
            <w:tcW w:w="3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1、项目负责人：同时具备机电工程一级建造师、信息系统项目管理师及信息技术相关专业高级工程师的得2分，否则不得分；（如投标人为联合体，项目负责人须牵头单位派遣）</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2、项目技术负责人：同时具备智慧交通专业高级工程师职称和CCRC信息安全保障人员认证证书的得2分，否则不得分；（如投标人为联合体，技术负责人须牵头单位派遣）</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3、软件负责人：同时具备系统分析师和系统架构设计师的得2分，否则不得分；</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实施团队其他人员配备要求：不少于10人的实施团队（其中至少包含2名软件设计师、1名数据库系统工程师、1名网络工程师、1名软件评测师；其中至少5人获得智慧交通或智能交通中级及以上工程师证书）的得4分，否则不得分；</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color w:val="000000" w:themeColor="text1"/>
                <w:highlight w:val="none"/>
                <w:shd w:val="clear" w:color="auto" w:fill="auto"/>
                <w14:textFill>
                  <w14:solidFill>
                    <w14:schemeClr w14:val="tx1"/>
                  </w14:solidFill>
                </w14:textFill>
              </w:rPr>
              <w:t>上述</w:t>
            </w:r>
            <w:r>
              <w:rPr>
                <w:rFonts w:hint="eastAsia" w:ascii="宋体" w:hAnsi="宋体" w:eastAsia="宋体" w:cs="宋体"/>
                <w:color w:val="000000" w:themeColor="text1"/>
                <w:highlight w:val="none"/>
                <w:shd w:val="clear" w:color="auto" w:fill="auto"/>
                <w:lang w:val="en-US" w:eastAsia="zh-CN"/>
                <w14:textFill>
                  <w14:solidFill>
                    <w14:schemeClr w14:val="tx1"/>
                  </w14:solidFill>
                </w14:textFill>
              </w:rPr>
              <w:t>4</w:t>
            </w:r>
            <w:r>
              <w:rPr>
                <w:rFonts w:hint="eastAsia" w:ascii="宋体" w:hAnsi="宋体" w:eastAsia="宋体" w:cs="宋体"/>
                <w:color w:val="000000" w:themeColor="text1"/>
                <w:highlight w:val="none"/>
                <w:shd w:val="clear" w:color="auto" w:fill="auto"/>
                <w14:textFill>
                  <w14:solidFill>
                    <w14:schemeClr w14:val="tx1"/>
                  </w14:solidFill>
                </w14:textFill>
              </w:rPr>
              <w:t>项人员不重复计分，重复的按高分计取。</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注：所有拟派人员均应为本单位注册、在编人员，须提供相关证书和2022年7月至2022年10月连续以投标单位名义缴纳的个人社保证明的原件扫描件。</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0-10分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u w:val="none"/>
                <w:lang w:val="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17</w:t>
            </w:r>
          </w:p>
        </w:tc>
        <w:tc>
          <w:tcPr>
            <w:tcW w:w="7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培训方案</w:t>
            </w:r>
          </w:p>
        </w:tc>
        <w:tc>
          <w:tcPr>
            <w:tcW w:w="3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投标人针对本项目实际情况提供详细的培训方案：包括培训目标、培训内容、培训计划、培训管理、培训质量控制。内容完整，满足采购需求的得2分，方案齐全、内容基本完整、基本满足采购需求的得1分，方案未提供或不合理的得0分。</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u w:val="none"/>
                <w:lang w:val="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18</w:t>
            </w:r>
          </w:p>
        </w:tc>
        <w:tc>
          <w:tcPr>
            <w:tcW w:w="7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售后服务方案</w:t>
            </w:r>
          </w:p>
        </w:tc>
        <w:tc>
          <w:tcPr>
            <w:tcW w:w="3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投标人针对本项目实际情况提供详细的售后服务方案：包括故障修复服务、定期巡检服务、系统评估及优化服务和保修期外服务。内容完整，满足采购需求的得2分，方案齐全、内容基本完整、基本满足采购需求的得1分，方案未提供或不合理的得0分。</w:t>
            </w:r>
          </w:p>
        </w:tc>
        <w:tc>
          <w:tcPr>
            <w:tcW w:w="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0-2分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67" w:hRule="atLeast"/>
        </w:trPr>
        <w:tc>
          <w:tcPr>
            <w:tcW w:w="3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4"/>
                <w:szCs w:val="24"/>
                <w:u w:val="none"/>
                <w:lang w:val="en-US"/>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19</w:t>
            </w:r>
          </w:p>
        </w:tc>
        <w:tc>
          <w:tcPr>
            <w:tcW w:w="7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系统演示</w:t>
            </w: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注： 要求投标人用项目真实系统演示（演示不接受PPT、DEMO等演示）</w:t>
            </w:r>
          </w:p>
        </w:tc>
        <w:tc>
          <w:tcPr>
            <w:tcW w:w="3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1、疫情转运模块演示</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疫情转运基本信息管理：结合萧山疫情转运实际需求和流程，演示转运车辆管理、隔离点管理、转运人员管理、转运企业管理、转运司机管理、人员种类维护、疫情轮次管理。演示内容完整清晰、功能无漏项得2分；内容不完整，功能有漏项的，每缺一项扣0.5分，扣完为止；（0-2分）</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隔离转运单：结合萧山疫情转运实际需求和流程，演示隔离转运单的新增、卫健隔离酒店选择、交通转派企业、企业转派司机的流转功能；支持详情信息、流转信息、打卡记录查看功能；支持根据人员类别，姓名、镇街、隔离点等条件查询功能；支持批量上报、批量处理、直接完结、作废、回退、导出、紧急修改的操作功能。演示内容完整清晰、功能无漏项得2分；内容不完整，功能有漏项的，每缺一项扣0.5分，扣完为止；（0-2分）</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其它转运单：结合萧山疫情转运实际需求和流程，演示其它转运单的新增、交通转派企业、转派司机的流转功能；支持详情信息、流转信息、打卡记录查看功能；支持根据人员类别、姓名、镇街、上车点等条件进行查询功能；支持批量导入、导出、批量处理、回退、作废、紧急修改的功能。演示内容完整清晰、功能无漏项得2分；内容不完整，功能有漏项的，每缺一项扣0.5分，扣完为止；（0-2分）</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规模转运单：结合萧山疫情转运实际需求和流程，演示规模转运的上报、卫健酒店选择、分派企业、企业派车、确认到达酒店的流转功能；支持转运基本信息、流转日志、人员信息查看功能；支持人员全部导出，人员按车辆导出功能。演示内容完整清晰、功能无漏项得2分；内容不完整，功能有漏项的，每缺一项扣1分，扣完为止；（0-2分）</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精密智控分析：结合萧山疫情转运实际需求和流程，演示跟省精密智控数据比对功能，显示纳管总人数、纳管未上报人数、纳管已上报人数、已集中隔离未确认人数；显示转运单人数、未派房人数、未派企业人数、未派车人数、未上车人数、已上车人数、已送达人数；显示各镇街上报情况统计、各镇街平均处理时长。演示内容完整清晰、功能无漏项得2分；内容不完整，功能有漏项的，每缺一项扣1分，扣完为止；（0-2分）</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转运监测大屏：结合萧山疫情转运实际需求和流程，演示转运监测大屏功能，以萧山范围为中心，实时显示转运信息包括转运车辆统计、隔离酒店统计、司机转运任务单列表；实时显示萧山范围内被转运人员信息包括：转运人数、隔离转运、其它转运、密接已完成、次密已完成、卫健未派房、交通未派企业、企业未派车、未上车、已送达人数，转运单列表；并可根据日期对选择查司机转运任务单、转运单进行查询功能；并结合地图进行转运人员、酒店、车辆的图层控制，可在地图对车辆、人员、酒店进行搜索的功能。演示内容完整清晰、功能无漏项得2分；内容不完整，功能有漏项的，每缺一项扣0.5分，扣完为止；（0-2分）</w:t>
            </w:r>
          </w:p>
        </w:tc>
        <w:tc>
          <w:tcPr>
            <w:tcW w:w="6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0-21分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3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3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2、非法营运模块演示</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非法营运专题：演示实时展示萧山的黑名单过列表、展示区域黑名单过车次数排行卡口黑名单过车次数排行、黑名单过车统计、过车次数最多的车牌名单、黑名单处罚信息统计。演示内容完整清晰、功能无漏项得3分；内容不完整，功能有漏项的，每缺一项扣0.5分，扣完为止；（0-3分）</w:t>
            </w: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8" w:hRule="atLeast"/>
        </w:trPr>
        <w:tc>
          <w:tcPr>
            <w:tcW w:w="3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7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4"/>
                <w:szCs w:val="24"/>
                <w:u w:val="none"/>
                <w14:textFill>
                  <w14:solidFill>
                    <w14:schemeClr w14:val="tx1"/>
                  </w14:solidFill>
                </w14:textFill>
              </w:rPr>
            </w:pPr>
          </w:p>
        </w:tc>
        <w:tc>
          <w:tcPr>
            <w:tcW w:w="3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80" w:afterAutospacing="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3、移动端模块演示</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司机移动端任务单管理：演示任务单的待办任务、完成任务列表功能；支持任务单的接收、到达上车点打卡、乘客上车打卡/回退、到达下车点打卡、消杀流转功能；支持任务单详情查看、拨打电话、导航的功能；支持多个上车点和下车点的任务流转；演示内容完整清晰、功能无漏项得2分；内容不完整，功能有漏项的，每缺一项扣0.5分，扣完为止；（0-2分）</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规模转运单：演示规模转运单支持多辆车辆和司机的填报的功能；在填报时支持根据车辆和司机的查询功能；支持确认上车、手动录入、扫码录入、人员删除、完成上车的功能；支持扫健康码快速录入人员信息的功能。演示内容完整清晰、功能无漏项得2分；内容不完整，功能有漏项的，每缺一项扣0.5分，扣完为止；（0-2分）</w:t>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隔离转运单：演示隔离转运单的待办和已办列表功能；支持转运单的填报和批量转运功能；支持隔运单的退回、直接完结功能；支持根据人类类别、镇街、隔离酒店进行筛选的功能。演示内容完整清晰、功能无漏项得2分；内容不完整，功能有漏项的，每缺一项扣0.5分，扣完为止；（0-2分）</w:t>
            </w:r>
          </w:p>
        </w:tc>
        <w:tc>
          <w:tcPr>
            <w:tcW w:w="6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r>
    </w:tbl>
    <w:p>
      <w:pPr>
        <w:pStyle w:val="2"/>
        <w:numPr>
          <w:ilvl w:val="0"/>
          <w:numId w:val="0"/>
        </w:numPr>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spacing w:line="360" w:lineRule="auto"/>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价格分（</w:t>
      </w:r>
      <w:r>
        <w:rPr>
          <w:rFonts w:hint="eastAsia" w:ascii="宋体" w:hAnsi="宋体" w:eastAsia="宋体" w:cs="宋体"/>
          <w:b/>
          <w:color w:val="000000" w:themeColor="text1"/>
          <w:lang w:val="en-US" w:eastAsia="zh-CN"/>
          <w14:textFill>
            <w14:solidFill>
              <w14:schemeClr w14:val="tx1"/>
            </w14:solidFill>
          </w14:textFill>
        </w:rPr>
        <w:t>10</w:t>
      </w:r>
      <w:r>
        <w:rPr>
          <w:rFonts w:hint="eastAsia" w:ascii="宋体" w:hAnsi="宋体" w:eastAsia="宋体" w:cs="宋体"/>
          <w:b/>
          <w:color w:val="000000" w:themeColor="text1"/>
          <w14:textFill>
            <w14:solidFill>
              <w14:schemeClr w14:val="tx1"/>
            </w14:solidFill>
          </w14:textFill>
        </w:rPr>
        <w:t>分）</w:t>
      </w:r>
    </w:p>
    <w:tbl>
      <w:tblPr>
        <w:tblStyle w:val="26"/>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553"/>
        <w:gridCol w:w="1937"/>
        <w:gridCol w:w="6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709" w:type="dxa"/>
          </w:tcPr>
          <w:p>
            <w:pPr>
              <w:spacing w:after="0"/>
              <w:rPr>
                <w:rFonts w:hint="eastAsia" w:ascii="宋体" w:hAnsi="宋体" w:eastAsia="宋体" w:cs="宋体"/>
                <w:color w:val="000000" w:themeColor="text1"/>
                <w14:textFill>
                  <w14:solidFill>
                    <w14:schemeClr w14:val="tx1"/>
                  </w14:solidFill>
                </w14:textFill>
              </w:rPr>
            </w:pPr>
          </w:p>
          <w:p>
            <w:pPr>
              <w:spacing w:after="0"/>
              <w:rPr>
                <w:rFonts w:hint="eastAsia" w:ascii="宋体" w:hAnsi="宋体" w:eastAsia="宋体" w:cs="宋体"/>
                <w:color w:val="000000" w:themeColor="text1"/>
                <w14:textFill>
                  <w14:solidFill>
                    <w14:schemeClr w14:val="tx1"/>
                  </w14:solidFill>
                </w14:textFill>
              </w:rPr>
            </w:pPr>
          </w:p>
          <w:p>
            <w:pPr>
              <w:spacing w:after="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价格分</w:t>
            </w:r>
          </w:p>
        </w:tc>
        <w:tc>
          <w:tcPr>
            <w:tcW w:w="553" w:type="dxa"/>
            <w:vAlign w:val="center"/>
          </w:tcPr>
          <w:p>
            <w:pPr>
              <w:pStyle w:val="46"/>
              <w:numPr>
                <w:ilvl w:val="0"/>
                <w:numId w:val="5"/>
              </w:numPr>
              <w:spacing w:after="0"/>
              <w:jc w:val="center"/>
              <w:rPr>
                <w:rFonts w:hint="eastAsia" w:ascii="宋体" w:hAnsi="宋体" w:eastAsia="宋体" w:cs="宋体"/>
                <w:color w:val="000000" w:themeColor="text1"/>
                <w14:textFill>
                  <w14:solidFill>
                    <w14:schemeClr w14:val="tx1"/>
                  </w14:solidFill>
                </w14:textFill>
              </w:rPr>
            </w:pPr>
          </w:p>
        </w:tc>
        <w:tc>
          <w:tcPr>
            <w:tcW w:w="1937" w:type="dxa"/>
            <w:vAlign w:val="center"/>
          </w:tcPr>
          <w:p>
            <w:pPr>
              <w:spacing w:after="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价格权值=0.10</w:t>
            </w:r>
          </w:p>
        </w:tc>
        <w:tc>
          <w:tcPr>
            <w:tcW w:w="6142" w:type="dxa"/>
          </w:tcPr>
          <w:p>
            <w:pPr>
              <w:spacing w:after="0"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最低有效投标价格为评标基准价</w:t>
            </w:r>
          </w:p>
          <w:p>
            <w:pPr>
              <w:spacing w:after="0"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投标报价得分=(评标基准价／投标报价)×价格权值×100 </w:t>
            </w:r>
          </w:p>
          <w:p>
            <w:pPr>
              <w:spacing w:after="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（计算得分保留小数点后2位）</w:t>
            </w:r>
          </w:p>
        </w:tc>
      </w:tr>
    </w:tbl>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备注：</w:t>
      </w:r>
      <w:r>
        <w:rPr>
          <w:rFonts w:hint="eastAsia" w:ascii="宋体" w:hAnsi="宋体" w:eastAsia="宋体" w:cs="宋体"/>
          <w:color w:val="000000" w:themeColor="text1"/>
          <w14:textFill>
            <w14:solidFill>
              <w14:schemeClr w14:val="tx1"/>
            </w14:solidFill>
          </w14:textFill>
        </w:rPr>
        <w:t>1、评分条款中涉及的业绩、荣誉、人员、社保等分公司均有效。</w:t>
      </w:r>
    </w:p>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3、投标人编制投标文件（商务技术文件部分）时，建议按此目录（序号和内容）提供评标标准相应的商务技术资料。 </w:t>
      </w:r>
    </w:p>
    <w:p>
      <w:pPr>
        <w:rPr>
          <w:rFonts w:hint="eastAsia" w:ascii="宋体" w:hAnsi="宋体" w:eastAsia="宋体" w:cs="宋体"/>
          <w:color w:val="000000" w:themeColor="text1"/>
          <w14:textFill>
            <w14:solidFill>
              <w14:schemeClr w14:val="tx1"/>
            </w14:solidFill>
          </w14:textFill>
        </w:rPr>
      </w:pP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一、评标方法</w:t>
      </w:r>
    </w:p>
    <w:p>
      <w:pPr>
        <w:spacing w:line="360" w:lineRule="auto"/>
        <w:ind w:firstLine="472" w:firstLineChars="196"/>
        <w:rPr>
          <w:rFonts w:hint="eastAsia" w:ascii="宋体" w:hAnsi="宋体" w:eastAsia="宋体" w:cs="宋体"/>
          <w:color w:val="000000" w:themeColor="text1"/>
          <w14:textFill>
            <w14:solidFill>
              <w14:schemeClr w14:val="tx1"/>
            </w14:solidFill>
          </w14:textFill>
        </w:rPr>
      </w:pPr>
      <w:r>
        <w:rPr>
          <w:rStyle w:val="36"/>
          <w:rFonts w:hint="eastAsia" w:ascii="宋体" w:hAnsi="宋体" w:eastAsia="宋体" w:cs="宋体"/>
          <w:color w:val="000000" w:themeColor="text1"/>
          <w14:textFill>
            <w14:solidFill>
              <w14:schemeClr w14:val="tx1"/>
            </w14:solidFill>
          </w14:textFill>
        </w:rPr>
        <w:t>1.本项目采用综合评分法。</w:t>
      </w:r>
      <w:r>
        <w:rPr>
          <w:rFonts w:hint="eastAsia" w:ascii="宋体" w:hAnsi="宋体" w:eastAsia="宋体" w:cs="宋体"/>
          <w:color w:val="000000" w:themeColor="text1"/>
          <w14:textFill>
            <w14:solidFill>
              <w14:schemeClr w14:val="tx1"/>
            </w14:solidFill>
          </w14:textFill>
        </w:rPr>
        <w:t>综合评分法，是指投标文件满足招标文件全部实质性要求，且按照评审因素的量化指标评审得分最高的投标人为中标候选人的评标方法。</w:t>
      </w:r>
    </w:p>
    <w:p>
      <w:pPr>
        <w:pStyle w:val="4"/>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二、评标标准</w:t>
      </w:r>
    </w:p>
    <w:p>
      <w:pPr>
        <w:spacing w:line="360" w:lineRule="auto"/>
        <w:ind w:firstLine="472" w:firstLineChars="196"/>
        <w:rPr>
          <w:rFonts w:hint="eastAsia" w:ascii="宋体" w:hAnsi="宋体" w:eastAsia="宋体" w:cs="宋体"/>
          <w:b/>
          <w:color w:val="000000" w:themeColor="text1"/>
          <w14:textFill>
            <w14:solidFill>
              <w14:schemeClr w14:val="tx1"/>
            </w14:solidFill>
          </w14:textFill>
        </w:rPr>
      </w:pPr>
      <w:r>
        <w:rPr>
          <w:rStyle w:val="36"/>
          <w:rFonts w:hint="eastAsia" w:ascii="宋体" w:hAnsi="宋体" w:eastAsia="宋体" w:cs="宋体"/>
          <w:color w:val="000000" w:themeColor="text1"/>
          <w14:textFill>
            <w14:solidFill>
              <w14:schemeClr w14:val="tx1"/>
            </w14:solidFill>
          </w14:textFill>
        </w:rPr>
        <w:t>2. 评标标准：</w:t>
      </w:r>
      <w:r>
        <w:rPr>
          <w:rFonts w:hint="eastAsia" w:ascii="宋体" w:hAnsi="宋体" w:eastAsia="宋体" w:cs="宋体"/>
          <w:color w:val="000000" w:themeColor="text1"/>
          <w14:textFill>
            <w14:solidFill>
              <w14:schemeClr w14:val="tx1"/>
            </w14:solidFill>
          </w14:textFill>
        </w:rPr>
        <w:t>见评标办法前附表。</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三、评标程序</w:t>
      </w:r>
    </w:p>
    <w:p>
      <w:pPr>
        <w:spacing w:line="360" w:lineRule="auto"/>
        <w:ind w:firstLine="472" w:firstLineChars="196"/>
        <w:rPr>
          <w:rFonts w:hint="eastAsia" w:ascii="宋体" w:hAnsi="宋体" w:eastAsia="宋体" w:cs="宋体"/>
          <w:color w:val="000000" w:themeColor="text1"/>
          <w14:textFill>
            <w14:solidFill>
              <w14:schemeClr w14:val="tx1"/>
            </w14:solidFill>
          </w14:textFill>
        </w:rPr>
      </w:pPr>
      <w:r>
        <w:rPr>
          <w:rStyle w:val="36"/>
          <w:rFonts w:hint="eastAsia" w:ascii="宋体" w:hAnsi="宋体" w:eastAsia="宋体" w:cs="宋体"/>
          <w:color w:val="000000" w:themeColor="text1"/>
          <w14:textFill>
            <w14:solidFill>
              <w14:schemeClr w14:val="tx1"/>
            </w14:solidFill>
          </w14:textFill>
        </w:rPr>
        <w:t>3.1符合性审查。</w:t>
      </w:r>
      <w:r>
        <w:rPr>
          <w:rFonts w:hint="eastAsia" w:ascii="宋体" w:hAnsi="宋体" w:eastAsia="宋体" w:cs="宋体"/>
          <w:color w:val="000000" w:themeColor="text1"/>
          <w14:textFill>
            <w14:solidFill>
              <w14:schemeClr w14:val="tx1"/>
            </w14:solidFill>
          </w14:textFill>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color w:val="000000" w:themeColor="text1"/>
          <w14:textFill>
            <w14:solidFill>
              <w14:schemeClr w14:val="tx1"/>
            </w14:solidFill>
          </w14:textFill>
        </w:rPr>
      </w:pPr>
      <w:r>
        <w:rPr>
          <w:rStyle w:val="36"/>
          <w:rFonts w:hint="eastAsia" w:ascii="宋体" w:hAnsi="宋体" w:eastAsia="宋体" w:cs="宋体"/>
          <w:color w:val="000000" w:themeColor="text1"/>
          <w14:textFill>
            <w14:solidFill>
              <w14:schemeClr w14:val="tx1"/>
            </w14:solidFill>
          </w14:textFill>
        </w:rPr>
        <w:t>3.2 比较与评价。</w:t>
      </w:r>
      <w:r>
        <w:rPr>
          <w:rFonts w:hint="eastAsia" w:ascii="宋体" w:hAnsi="宋体" w:eastAsia="宋体" w:cs="宋体"/>
          <w:color w:val="000000" w:themeColor="text1"/>
          <w14:textFill>
            <w14:solidFill>
              <w14:schemeClr w14:val="tx1"/>
            </w14:solidFill>
          </w14:textFill>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color w:val="000000" w:themeColor="text1"/>
          <w14:textFill>
            <w14:solidFill>
              <w14:schemeClr w14:val="tx1"/>
            </w14:solidFill>
          </w14:textFill>
        </w:rPr>
      </w:pPr>
      <w:r>
        <w:rPr>
          <w:rStyle w:val="36"/>
          <w:rFonts w:hint="eastAsia" w:ascii="宋体" w:hAnsi="宋体" w:eastAsia="宋体" w:cs="宋体"/>
          <w:color w:val="000000" w:themeColor="text1"/>
          <w14:textFill>
            <w14:solidFill>
              <w14:schemeClr w14:val="tx1"/>
            </w14:solidFill>
          </w14:textFill>
        </w:rPr>
        <w:t>3.3汇总商务技术得分。</w:t>
      </w:r>
      <w:r>
        <w:rPr>
          <w:rFonts w:hint="eastAsia" w:ascii="宋体" w:hAnsi="宋体" w:eastAsia="宋体" w:cs="宋体"/>
          <w:color w:val="000000" w:themeColor="text1"/>
          <w14:textFill>
            <w14:solidFill>
              <w14:schemeClr w14:val="tx1"/>
            </w14:solidFill>
          </w14:textFill>
        </w:rPr>
        <w:t>评标委员会各成员应当独立对每个投标人的商务和技术文件进行评价，并汇总商务技术得分情况。</w:t>
      </w:r>
    </w:p>
    <w:p>
      <w:pPr>
        <w:pStyle w:val="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3.4报价评审。</w:t>
      </w:r>
    </w:p>
    <w:p>
      <w:pPr>
        <w:pStyle w:val="6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3.4.1投标文件报价出现前后不一致的，按照下列规定修正：</w:t>
      </w:r>
    </w:p>
    <w:p>
      <w:pPr>
        <w:pStyle w:val="6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3.4.1.1投标文件中开标一览表(报价表)内容与投标文件中相应内容不一致的，以开标一览表(报价表)为准;</w:t>
      </w:r>
    </w:p>
    <w:p>
      <w:pPr>
        <w:pStyle w:val="6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3.4.1.2大写金额和小写金额不一致的，以大写金额为准;</w:t>
      </w:r>
    </w:p>
    <w:p>
      <w:pPr>
        <w:pStyle w:val="6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3.4.1.3单价金额小数点或者百分比有明显错位的，以开标一览表的总价为准，并修改单价;</w:t>
      </w:r>
    </w:p>
    <w:p>
      <w:pPr>
        <w:pStyle w:val="6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3.4.1.4总价金额与按单价汇总金额不一致的，以单价金额计算结果为准。</w:t>
      </w:r>
    </w:p>
    <w:p>
      <w:pPr>
        <w:pStyle w:val="6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3.4.2投标文件出现不是唯一的、有选择性投标报价的，投标无效。</w:t>
      </w:r>
    </w:p>
    <w:p>
      <w:pPr>
        <w:snapToGrid w:val="0"/>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3.4.3投标报价超过招标文件中规定的预算金额或者最高限价的，投标无效。</w:t>
      </w:r>
    </w:p>
    <w:p>
      <w:pPr>
        <w:pStyle w:val="6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6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3.4.5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color w:val="000000" w:themeColor="text1"/>
          <w14:textFill>
            <w14:solidFill>
              <w14:schemeClr w14:val="tx1"/>
            </w14:solidFill>
          </w14:textFill>
        </w:rPr>
      </w:pPr>
      <w:r>
        <w:rPr>
          <w:rStyle w:val="36"/>
          <w:rFonts w:hint="eastAsia" w:ascii="宋体" w:hAnsi="宋体" w:eastAsia="宋体" w:cs="宋体"/>
          <w:color w:val="000000" w:themeColor="text1"/>
          <w14:textFill>
            <w14:solidFill>
              <w14:schemeClr w14:val="tx1"/>
            </w14:solidFill>
          </w14:textFill>
        </w:rPr>
        <w:t>3.5排序与推荐。</w:t>
      </w:r>
      <w:r>
        <w:rPr>
          <w:rFonts w:hint="eastAsia" w:ascii="宋体" w:hAnsi="宋体" w:eastAsia="宋体" w:cs="宋体"/>
          <w:color w:val="000000" w:themeColor="text1"/>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eastAsia="宋体" w:cs="宋体"/>
          <w:color w:val="000000" w:themeColor="text1"/>
          <w14:textFill>
            <w14:solidFill>
              <w14:schemeClr w14:val="tx1"/>
            </w14:solidFill>
          </w14:textFill>
        </w:rPr>
      </w:pPr>
      <w:r>
        <w:rPr>
          <w:rStyle w:val="36"/>
          <w:rFonts w:hint="eastAsia" w:ascii="宋体" w:hAnsi="宋体" w:eastAsia="宋体" w:cs="宋体"/>
          <w:color w:val="000000" w:themeColor="text1"/>
          <w14:textFill>
            <w14:solidFill>
              <w14:schemeClr w14:val="tx1"/>
            </w14:solidFill>
          </w14:textFill>
        </w:rPr>
        <w:t>3.6编写评标报告。</w:t>
      </w:r>
      <w:r>
        <w:rPr>
          <w:rFonts w:hint="eastAsia" w:ascii="宋体" w:hAnsi="宋体" w:eastAsia="宋体" w:cs="宋体"/>
          <w:color w:val="000000" w:themeColor="text1"/>
          <w14:textFill>
            <w14:solidFill>
              <w14:schemeClr w14:val="tx1"/>
            </w14:solidFill>
          </w14:textFill>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四、评标中的其他事项</w:t>
      </w:r>
    </w:p>
    <w:p>
      <w:pPr>
        <w:pStyle w:val="60"/>
        <w:rPr>
          <w:rFonts w:hint="eastAsia" w:ascii="宋体" w:hAnsi="宋体" w:eastAsia="宋体" w:cs="宋体"/>
          <w:color w:val="000000" w:themeColor="text1"/>
          <w14:textFill>
            <w14:solidFill>
              <w14:schemeClr w14:val="tx1"/>
            </w14:solidFill>
          </w14:textFill>
        </w:rPr>
      </w:pPr>
      <w:r>
        <w:rPr>
          <w:rStyle w:val="36"/>
          <w:rFonts w:hint="eastAsia" w:ascii="宋体" w:hAnsi="宋体" w:eastAsia="宋体" w:cs="宋体"/>
          <w:color w:val="000000" w:themeColor="text1"/>
          <w14:textFill>
            <w14:solidFill>
              <w14:schemeClr w14:val="tx1"/>
            </w14:solidFill>
          </w14:textFill>
        </w:rPr>
        <w:t>4.1投标人澄清、说明或者补正。</w:t>
      </w:r>
      <w:r>
        <w:rPr>
          <w:rFonts w:hint="eastAsia" w:ascii="宋体" w:hAnsi="宋体" w:eastAsia="宋体" w:cs="宋体"/>
          <w:color w:val="000000" w:themeColor="text1"/>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5"/>
        <w:spacing w:line="360" w:lineRule="auto"/>
        <w:ind w:left="1021" w:leftChars="226" w:hanging="479" w:firstLineChars="0"/>
        <w:rPr>
          <w:rFonts w:hint="eastAsia" w:ascii="宋体" w:hAnsi="宋体" w:eastAsia="宋体" w:cs="宋体"/>
          <w:color w:val="000000" w:themeColor="text1"/>
          <w:szCs w:val="21"/>
          <w14:textFill>
            <w14:solidFill>
              <w14:schemeClr w14:val="tx1"/>
            </w14:solidFill>
          </w14:textFill>
        </w:rPr>
      </w:pPr>
      <w:r>
        <w:rPr>
          <w:rStyle w:val="36"/>
          <w:rFonts w:hint="eastAsia" w:ascii="宋体" w:hAnsi="宋体" w:eastAsia="宋体" w:cs="宋体"/>
          <w:color w:val="000000" w:themeColor="text1"/>
          <w14:textFill>
            <w14:solidFill>
              <w14:schemeClr w14:val="tx1"/>
            </w14:solidFill>
          </w14:textFill>
        </w:rPr>
        <w:t>4.2投标无效。</w:t>
      </w:r>
      <w:r>
        <w:rPr>
          <w:rFonts w:hint="eastAsia" w:ascii="宋体" w:hAnsi="宋体" w:eastAsia="宋体" w:cs="宋体"/>
          <w:color w:val="000000" w:themeColor="text1"/>
          <w:szCs w:val="21"/>
          <w14:textFill>
            <w14:solidFill>
              <w14:schemeClr w14:val="tx1"/>
            </w14:solidFill>
          </w14:textFill>
        </w:rPr>
        <w:t>有下列情形之一的，投标无效：</w:t>
      </w:r>
    </w:p>
    <w:p>
      <w:pPr>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4.2.2投标文件未按照招标文件要求签署、盖章的；</w:t>
      </w:r>
    </w:p>
    <w:p>
      <w:pPr>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4.2.4投标文件含有采购人不能接受的附加条件的；</w:t>
      </w:r>
    </w:p>
    <w:p>
      <w:pPr>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4.2.5投标文件中承诺的投标有效期少于招标文件中载明的投标有效期的；</w:t>
      </w:r>
    </w:p>
    <w:p>
      <w:pPr>
        <w:snapToGrid w:val="0"/>
        <w:spacing w:line="360" w:lineRule="auto"/>
        <w:ind w:firstLine="120" w:firstLineChars="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4.2.6投标文件出现不是唯一的、有选择性投标报价的;</w:t>
      </w:r>
    </w:p>
    <w:p>
      <w:pPr>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4.2.7投标报价超过招标文件中规定的预算金额或者最高限价的;</w:t>
      </w:r>
    </w:p>
    <w:p>
      <w:pPr>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4.2.9投标人对根据修正原则修正后的报价不确认的；</w:t>
      </w:r>
    </w:p>
    <w:p>
      <w:pPr>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4.2.10投标人提供虚假材料投标的；</w:t>
      </w:r>
    </w:p>
    <w:p>
      <w:pPr>
        <w:spacing w:line="360" w:lineRule="auto"/>
        <w:ind w:firstLine="240" w:firstLineChars="1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4.2.12投标人仅提交备份投标文件，未在电子交易平台传输递交投标文件的，投标无效；</w:t>
      </w:r>
    </w:p>
    <w:p>
      <w:pPr>
        <w:ind w:firstLine="480" w:firstLineChars="200"/>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4.2.13 投标文件不满足招标文件的其它实质性要求的；</w:t>
      </w:r>
    </w:p>
    <w:p>
      <w:pPr>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4.2.14法律、法规、规章（适用本市的）及省级以上规范性文件（适用本市的）规定的其他无效情形。</w:t>
      </w:r>
    </w:p>
    <w:p>
      <w:pPr>
        <w:pStyle w:val="15"/>
        <w:snapToGrid w:val="0"/>
        <w:spacing w:line="360" w:lineRule="auto"/>
        <w:ind w:firstLine="472" w:firstLineChars="196"/>
        <w:rPr>
          <w:rFonts w:hint="eastAsia" w:ascii="宋体" w:hAnsi="宋体" w:eastAsia="宋体" w:cs="宋体"/>
          <w:color w:val="000000" w:themeColor="text1"/>
          <w14:textFill>
            <w14:solidFill>
              <w14:schemeClr w14:val="tx1"/>
            </w14:solidFill>
          </w14:textFill>
        </w:rPr>
      </w:pPr>
      <w:r>
        <w:rPr>
          <w:rStyle w:val="36"/>
          <w:rFonts w:hint="eastAsia" w:ascii="宋体" w:hAnsi="宋体" w:eastAsia="宋体" w:cs="宋体"/>
          <w:color w:val="000000" w:themeColor="text1"/>
          <w14:textFill>
            <w14:solidFill>
              <w14:schemeClr w14:val="tx1"/>
            </w14:solidFill>
          </w14:textFill>
        </w:rPr>
        <w:t>5.废标。</w:t>
      </w:r>
      <w:r>
        <w:rPr>
          <w:rFonts w:hint="eastAsia" w:ascii="宋体" w:hAnsi="宋体" w:eastAsia="宋体" w:cs="宋体"/>
          <w:color w:val="000000" w:themeColor="text1"/>
          <w14:textFill>
            <w14:solidFill>
              <w14:schemeClr w14:val="tx1"/>
            </w14:solidFill>
          </w14:textFill>
        </w:rPr>
        <w:t>根据《中华人民共和国政府采购法》第三十六条之规定，在采购中，出现下列情形之一的，应予废标：</w:t>
      </w:r>
    </w:p>
    <w:p>
      <w:pPr>
        <w:pStyle w:val="15"/>
        <w:snapToGrid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5.1符合专业条件的供应商或者对招标文件作实质响应的供应商不足3家的；</w:t>
      </w:r>
    </w:p>
    <w:p>
      <w:pPr>
        <w:pStyle w:val="15"/>
        <w:snapToGrid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5.2出现影响采购公正的违法、违规行为的；</w:t>
      </w:r>
    </w:p>
    <w:p>
      <w:pPr>
        <w:pStyle w:val="15"/>
        <w:snapToGrid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5.3投标人的报价均超过了采购预算，采购人不能支付的；</w:t>
      </w:r>
    </w:p>
    <w:p>
      <w:pPr>
        <w:pStyle w:val="15"/>
        <w:snapToGrid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5.4因重大变故，采购任务取消的。</w:t>
      </w:r>
    </w:p>
    <w:p>
      <w:pPr>
        <w:pStyle w:val="15"/>
        <w:snapToGrid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废标后，采购机构应当将废标理由通知所有投标人。</w:t>
      </w:r>
    </w:p>
    <w:p>
      <w:pPr>
        <w:pStyle w:val="15"/>
        <w:snapToGrid w:val="0"/>
        <w:spacing w:line="360" w:lineRule="auto"/>
        <w:ind w:firstLine="590" w:firstLineChars="245"/>
        <w:rPr>
          <w:rFonts w:hint="eastAsia" w:ascii="宋体" w:hAnsi="宋体" w:eastAsia="宋体" w:cs="宋体"/>
          <w:color w:val="000000" w:themeColor="text1"/>
          <w14:textFill>
            <w14:solidFill>
              <w14:schemeClr w14:val="tx1"/>
            </w14:solidFill>
          </w14:textFill>
        </w:rPr>
      </w:pPr>
      <w:r>
        <w:rPr>
          <w:rStyle w:val="36"/>
          <w:rFonts w:hint="eastAsia" w:ascii="宋体" w:hAnsi="宋体" w:eastAsia="宋体" w:cs="宋体"/>
          <w:color w:val="000000" w:themeColor="text1"/>
          <w14:textFill>
            <w14:solidFill>
              <w14:schemeClr w14:val="tx1"/>
            </w14:solidFill>
          </w14:textFill>
        </w:rPr>
        <w:t>6.修改招标文件，重新组织采购活动。</w:t>
      </w:r>
      <w:r>
        <w:rPr>
          <w:rFonts w:hint="eastAsia" w:ascii="宋体" w:hAnsi="宋体" w:eastAsia="宋体" w:cs="宋体"/>
          <w:color w:val="000000" w:themeColor="text1"/>
          <w14:textFill>
            <w14:solidFill>
              <w14:schemeClr w14:val="tx1"/>
            </w14:solidFill>
          </w14:textFill>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15"/>
        <w:snapToGrid w:val="0"/>
        <w:spacing w:line="360" w:lineRule="auto"/>
        <w:ind w:firstLine="590" w:firstLineChars="245"/>
        <w:rPr>
          <w:rFonts w:hint="eastAsia" w:ascii="宋体" w:hAnsi="宋体" w:eastAsia="宋体" w:cs="宋体"/>
          <w:color w:val="000000" w:themeColor="text1"/>
          <w14:textFill>
            <w14:solidFill>
              <w14:schemeClr w14:val="tx1"/>
            </w14:solidFill>
          </w14:textFill>
        </w:rPr>
      </w:pPr>
      <w:r>
        <w:rPr>
          <w:rStyle w:val="36"/>
          <w:rFonts w:hint="eastAsia" w:ascii="宋体" w:hAnsi="宋体" w:eastAsia="宋体" w:cs="宋体"/>
          <w:color w:val="000000" w:themeColor="text1"/>
          <w14:textFill>
            <w14:solidFill>
              <w14:schemeClr w14:val="tx1"/>
            </w14:solidFill>
          </w14:textFill>
        </w:rPr>
        <w:t>7.重新开展采购。</w:t>
      </w:r>
      <w:r>
        <w:rPr>
          <w:rFonts w:hint="eastAsia" w:ascii="宋体" w:hAnsi="宋体" w:eastAsia="宋体" w:cs="宋体"/>
          <w:color w:val="000000" w:themeColor="text1"/>
          <w14:textFill>
            <w14:solidFill>
              <w14:schemeClr w14:val="tx1"/>
            </w14:solidFill>
          </w14:textFill>
        </w:rPr>
        <w:t>有政府采购法第七十一条、第七十二条规定的违法行为之一，影响或者可能影响中标、成交结果的，依照下列规定处理：</w:t>
      </w:r>
    </w:p>
    <w:p>
      <w:pPr>
        <w:pStyle w:val="15"/>
        <w:snapToGrid w:val="0"/>
        <w:spacing w:line="360" w:lineRule="auto"/>
        <w:ind w:firstLine="600" w:firstLineChars="2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7.1未确定中标或者中标人的，终止本次政府采购活动，重新开展政府采购活动。</w:t>
      </w:r>
    </w:p>
    <w:p>
      <w:pPr>
        <w:pStyle w:val="15"/>
        <w:snapToGrid w:val="0"/>
        <w:spacing w:line="360" w:lineRule="auto"/>
        <w:ind w:firstLine="600" w:firstLineChars="2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15"/>
        <w:snapToGrid w:val="0"/>
        <w:spacing w:line="360" w:lineRule="auto"/>
        <w:ind w:firstLine="600" w:firstLineChars="2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7.3政府采购合同已签订但尚未履行的，撤销合同，从合格的中标或者成交候选人中另行确定中标或者中标人；没有合格的中标或者成交候选人的，重新开展政府采购活动。</w:t>
      </w:r>
    </w:p>
    <w:p>
      <w:pPr>
        <w:pStyle w:val="15"/>
        <w:snapToGrid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7.4政府采购合同已经履行，给采购人、供应商造成损失的，由责任人承担赔偿责任。</w:t>
      </w:r>
    </w:p>
    <w:p>
      <w:pPr>
        <w:pStyle w:val="15"/>
        <w:snapToGrid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7.5政府采购当事人有其他违反政府采购法</w:t>
      </w:r>
      <w:r>
        <w:rPr>
          <w:rFonts w:hint="eastAsia" w:ascii="宋体" w:hAnsi="宋体" w:eastAsia="宋体" w:cs="宋体"/>
          <w:color w:val="000000" w:themeColor="text1"/>
          <w:kern w:val="0"/>
          <w14:textFill>
            <w14:solidFill>
              <w14:schemeClr w14:val="tx1"/>
            </w14:solidFill>
          </w14:textFill>
        </w:rPr>
        <w:t>或者政府采购法实施条例等法律法规规定</w:t>
      </w:r>
      <w:r>
        <w:rPr>
          <w:rFonts w:hint="eastAsia" w:ascii="宋体" w:hAnsi="宋体" w:eastAsia="宋体" w:cs="宋体"/>
          <w:color w:val="000000" w:themeColor="text1"/>
          <w14:textFill>
            <w14:solidFill>
              <w14:schemeClr w14:val="tx1"/>
            </w14:solidFill>
          </w14:textFill>
        </w:rPr>
        <w:t>的行为，经改正后仍然影响或者可能影响中标、成交结果或者依法被认定为中标、成交无效的，依照7.1-7.4规定处理。</w:t>
      </w:r>
    </w:p>
    <w:p>
      <w:pPr>
        <w:spacing w:line="276" w:lineRule="auto"/>
        <w:rPr>
          <w:rFonts w:hint="eastAsia" w:ascii="宋体" w:hAnsi="宋体" w:eastAsia="宋体" w:cs="宋体"/>
          <w:b/>
          <w:smallCaps/>
          <w:color w:val="000000" w:themeColor="text1"/>
          <w:spacing w:val="5"/>
          <w:sz w:val="36"/>
          <w:szCs w:val="36"/>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3"/>
        <w:rPr>
          <w:rFonts w:hint="eastAsia" w:ascii="宋体" w:hAnsi="宋体" w:eastAsia="宋体" w:cs="宋体"/>
          <w:color w:val="000000" w:themeColor="text1"/>
          <w:kern w:val="2"/>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第五部分 拟签订的合同文本</w:t>
      </w:r>
    </w:p>
    <w:p>
      <w:pPr>
        <w:ind w:firstLine="720" w:firstLineChars="3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服务类合同建议可按照参考格式按照实际情况调整修改。</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货物类参考范本</w:t>
      </w:r>
    </w:p>
    <w:p>
      <w:pPr>
        <w:jc w:val="right"/>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合同编号：</w:t>
      </w:r>
      <w:r>
        <w:rPr>
          <w:rFonts w:hint="eastAsia" w:ascii="宋体" w:hAnsi="宋体" w:eastAsia="宋体" w:cs="宋体"/>
          <w:color w:val="000000" w:themeColor="text1"/>
          <w:u w:val="single"/>
          <w14:textFill>
            <w14:solidFill>
              <w14:schemeClr w14:val="tx1"/>
            </w14:solidFill>
          </w14:textFill>
        </w:rPr>
        <w:t xml:space="preserve">           </w:t>
      </w:r>
    </w:p>
    <w:p>
      <w:pPr>
        <w:pStyle w:val="15"/>
        <w:snapToGrid w:val="0"/>
        <w:spacing w:line="360" w:lineRule="auto"/>
        <w:rPr>
          <w:rFonts w:hint="eastAsia" w:ascii="宋体" w:hAnsi="宋体" w:eastAsia="宋体" w:cs="宋体"/>
          <w:color w:val="000000" w:themeColor="text1"/>
          <w14:textFill>
            <w14:solidFill>
              <w14:schemeClr w14:val="tx1"/>
            </w14:solidFill>
          </w14:textFill>
        </w:rPr>
      </w:pPr>
    </w:p>
    <w:p>
      <w:pPr>
        <w:spacing w:line="480" w:lineRule="auto"/>
        <w:jc w:val="center"/>
        <w:rPr>
          <w:rFonts w:hint="eastAsia" w:ascii="宋体" w:hAnsi="宋体" w:eastAsia="宋体" w:cs="宋体"/>
          <w:b/>
          <w:color w:val="000000" w:themeColor="text1"/>
          <w:sz w:val="36"/>
          <w:szCs w:val="36"/>
          <w14:textFill>
            <w14:solidFill>
              <w14:schemeClr w14:val="tx1"/>
            </w14:solidFill>
          </w14:textFill>
        </w:rPr>
      </w:pPr>
      <w:r>
        <w:rPr>
          <w:rFonts w:hint="eastAsia" w:ascii="宋体" w:hAnsi="宋体" w:eastAsia="宋体" w:cs="宋体"/>
          <w:b/>
          <w:color w:val="000000" w:themeColor="text1"/>
          <w:sz w:val="36"/>
          <w:szCs w:val="36"/>
          <w14:textFill>
            <w14:solidFill>
              <w14:schemeClr w14:val="tx1"/>
            </w14:solidFill>
          </w14:textFill>
        </w:rPr>
        <w:t>政府采购合同参考范本</w:t>
      </w:r>
    </w:p>
    <w:p>
      <w:pPr>
        <w:spacing w:line="480" w:lineRule="auto"/>
        <w:jc w:val="center"/>
        <w:rPr>
          <w:rFonts w:hint="eastAsia" w:ascii="宋体" w:hAnsi="宋体" w:eastAsia="宋体" w:cs="宋体"/>
          <w:b/>
          <w:color w:val="000000" w:themeColor="text1"/>
          <w:sz w:val="36"/>
          <w:szCs w:val="36"/>
          <w14:textFill>
            <w14:solidFill>
              <w14:schemeClr w14:val="tx1"/>
            </w14:solidFill>
          </w14:textFill>
        </w:rPr>
      </w:pPr>
      <w:r>
        <w:rPr>
          <w:rFonts w:hint="eastAsia" w:ascii="宋体" w:hAnsi="宋体" w:eastAsia="宋体" w:cs="宋体"/>
          <w:b/>
          <w:color w:val="000000" w:themeColor="text1"/>
          <w:sz w:val="36"/>
          <w:szCs w:val="36"/>
          <w14:textFill>
            <w14:solidFill>
              <w14:schemeClr w14:val="tx1"/>
            </w14:solidFill>
          </w14:textFill>
        </w:rPr>
        <w:t>（货物类）</w:t>
      </w:r>
    </w:p>
    <w:p>
      <w:pPr>
        <w:pStyle w:val="71"/>
        <w:ind w:left="480"/>
        <w:jc w:val="center"/>
        <w:rPr>
          <w:rFonts w:hint="eastAsia" w:ascii="宋体" w:hAnsi="宋体" w:eastAsia="宋体" w:cs="宋体"/>
          <w:color w:val="000000" w:themeColor="text1"/>
          <w:szCs w:val="24"/>
          <w14:textFill>
            <w14:solidFill>
              <w14:schemeClr w14:val="tx1"/>
            </w14:solidFill>
          </w14:textFill>
        </w:rPr>
      </w:pP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第一部分 合同书</w:t>
      </w:r>
    </w:p>
    <w:p>
      <w:pPr>
        <w:pStyle w:val="71"/>
        <w:ind w:left="480"/>
        <w:rPr>
          <w:rFonts w:hint="eastAsia" w:ascii="宋体" w:hAnsi="宋体" w:eastAsia="宋体" w:cs="宋体"/>
          <w:color w:val="000000" w:themeColor="text1"/>
          <w:szCs w:val="24"/>
          <w14:textFill>
            <w14:solidFill>
              <w14:schemeClr w14:val="tx1"/>
            </w14:solidFill>
          </w14:textFill>
        </w:rPr>
      </w:pPr>
    </w:p>
    <w:p>
      <w:pPr>
        <w:spacing w:before="120" w:line="22" w:lineRule="atLeast"/>
        <w:rPr>
          <w:rFonts w:hint="eastAsia" w:ascii="宋体" w:hAnsi="宋体" w:eastAsia="宋体" w:cs="宋体"/>
          <w:color w:val="000000" w:themeColor="text1"/>
          <w14:textFill>
            <w14:solidFill>
              <w14:schemeClr w14:val="tx1"/>
            </w14:solidFill>
          </w14:textFill>
        </w:rPr>
      </w:pPr>
    </w:p>
    <w:p>
      <w:pPr>
        <w:spacing w:before="120" w:line="22" w:lineRule="atLeast"/>
        <w:ind w:left="96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项目名称：</w:t>
      </w:r>
      <w:r>
        <w:rPr>
          <w:rFonts w:hint="eastAsia" w:ascii="宋体" w:hAnsi="宋体" w:eastAsia="宋体" w:cs="宋体"/>
          <w:color w:val="000000" w:themeColor="text1"/>
          <w:u w:val="single"/>
          <w14:textFill>
            <w14:solidFill>
              <w14:schemeClr w14:val="tx1"/>
            </w14:solidFill>
          </w14:textFill>
        </w:rPr>
        <w:t xml:space="preserve">                                   </w:t>
      </w:r>
    </w:p>
    <w:p>
      <w:pPr>
        <w:pStyle w:val="70"/>
        <w:spacing w:before="120" w:line="22" w:lineRule="atLeast"/>
        <w:rPr>
          <w:rFonts w:hint="eastAsia" w:ascii="宋体" w:hAnsi="宋体" w:eastAsia="宋体" w:cs="宋体"/>
          <w:color w:val="000000" w:themeColor="text1"/>
          <w:szCs w:val="24"/>
          <w14:textFill>
            <w14:solidFill>
              <w14:schemeClr w14:val="tx1"/>
            </w14:solidFill>
          </w14:textFill>
        </w:rPr>
      </w:pPr>
    </w:p>
    <w:p>
      <w:pPr>
        <w:pStyle w:val="70"/>
        <w:spacing w:before="120" w:line="22" w:lineRule="atLeast"/>
        <w:rPr>
          <w:rFonts w:hint="eastAsia" w:ascii="宋体" w:hAnsi="宋体" w:eastAsia="宋体" w:cs="宋体"/>
          <w:color w:val="000000" w:themeColor="text1"/>
          <w:szCs w:val="24"/>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spacing w:before="120" w:line="22" w:lineRule="atLeast"/>
        <w:ind w:left="96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甲方：</w:t>
      </w:r>
      <w:r>
        <w:rPr>
          <w:rFonts w:hint="eastAsia" w:ascii="宋体" w:hAnsi="宋体" w:eastAsia="宋体" w:cs="宋体"/>
          <w:color w:val="000000" w:themeColor="text1"/>
          <w:u w:val="single"/>
          <w14:textFill>
            <w14:solidFill>
              <w14:schemeClr w14:val="tx1"/>
            </w14:solidFill>
          </w14:textFill>
        </w:rPr>
        <w:t xml:space="preserve">                                       </w:t>
      </w:r>
    </w:p>
    <w:p>
      <w:pPr>
        <w:spacing w:before="120" w:line="22" w:lineRule="atLeast"/>
        <w:rPr>
          <w:rFonts w:hint="eastAsia" w:ascii="宋体" w:hAnsi="宋体" w:eastAsia="宋体" w:cs="宋体"/>
          <w:color w:val="000000" w:themeColor="text1"/>
          <w14:textFill>
            <w14:solidFill>
              <w14:schemeClr w14:val="tx1"/>
            </w14:solidFill>
          </w14:textFill>
        </w:rPr>
      </w:pPr>
    </w:p>
    <w:p>
      <w:pPr>
        <w:spacing w:before="120" w:line="22" w:lineRule="atLeast"/>
        <w:ind w:left="96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乙方：</w:t>
      </w:r>
      <w:r>
        <w:rPr>
          <w:rFonts w:hint="eastAsia" w:ascii="宋体" w:hAnsi="宋体" w:eastAsia="宋体" w:cs="宋体"/>
          <w:color w:val="000000" w:themeColor="text1"/>
          <w:u w:val="single"/>
          <w14:textFill>
            <w14:solidFill>
              <w14:schemeClr w14:val="tx1"/>
            </w14:solidFill>
          </w14:textFill>
        </w:rPr>
        <w:t xml:space="preserve">                                       </w:t>
      </w:r>
    </w:p>
    <w:p>
      <w:pPr>
        <w:spacing w:before="120" w:line="22" w:lineRule="atLeast"/>
        <w:rPr>
          <w:rFonts w:hint="eastAsia" w:ascii="宋体" w:hAnsi="宋体" w:eastAsia="宋体" w:cs="宋体"/>
          <w:color w:val="000000" w:themeColor="text1"/>
          <w14:textFill>
            <w14:solidFill>
              <w14:schemeClr w14:val="tx1"/>
            </w14:solidFill>
          </w14:textFill>
        </w:rPr>
      </w:pPr>
    </w:p>
    <w:p>
      <w:pPr>
        <w:spacing w:before="120" w:line="22" w:lineRule="atLeast"/>
        <w:ind w:firstLine="960" w:firstLineChars="4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签订地：</w:t>
      </w:r>
      <w:r>
        <w:rPr>
          <w:rFonts w:hint="eastAsia" w:ascii="宋体" w:hAnsi="宋体" w:eastAsia="宋体" w:cs="宋体"/>
          <w:color w:val="000000" w:themeColor="text1"/>
          <w:u w:val="single"/>
          <w14:textFill>
            <w14:solidFill>
              <w14:schemeClr w14:val="tx1"/>
            </w14:solidFill>
          </w14:textFill>
        </w:rPr>
        <w:t xml:space="preserve">                                     </w:t>
      </w:r>
    </w:p>
    <w:p>
      <w:pPr>
        <w:spacing w:before="120" w:line="22" w:lineRule="atLeast"/>
        <w:rPr>
          <w:rFonts w:hint="eastAsia" w:ascii="宋体" w:hAnsi="宋体" w:eastAsia="宋体" w:cs="宋体"/>
          <w:color w:val="000000" w:themeColor="text1"/>
          <w14:textFill>
            <w14:solidFill>
              <w14:schemeClr w14:val="tx1"/>
            </w14:solidFill>
          </w14:textFill>
        </w:rPr>
      </w:pPr>
    </w:p>
    <w:p>
      <w:pPr>
        <w:spacing w:before="120" w:line="22" w:lineRule="atLeast"/>
        <w:ind w:firstLine="960" w:firstLineChars="4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签订日期：</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年</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月</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日</w:t>
      </w:r>
    </w:p>
    <w:p>
      <w:pPr>
        <w:rPr>
          <w:rFonts w:hint="eastAsia" w:ascii="宋体" w:hAnsi="宋体" w:eastAsia="宋体" w:cs="宋体"/>
          <w:color w:val="000000" w:themeColor="text1"/>
          <w14:textFill>
            <w14:solidFill>
              <w14:schemeClr w14:val="tx1"/>
            </w14:solidFill>
          </w14:textFill>
        </w:rPr>
        <w:sectPr>
          <w:headerReference r:id="rId4" w:type="default"/>
          <w:footerReference r:id="rId5" w:type="default"/>
          <w:pgSz w:w="11907" w:h="16840"/>
          <w:pgMar w:top="1474" w:right="1814" w:bottom="1474" w:left="1814" w:header="851" w:footer="851" w:gutter="0"/>
          <w:cols w:space="720" w:num="1"/>
        </w:sectPr>
      </w:pP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u w:val="single"/>
          <w:lang w:val="zh-CN"/>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年</w:t>
      </w:r>
      <w:r>
        <w:rPr>
          <w:rFonts w:hint="eastAsia" w:ascii="宋体" w:hAnsi="宋体" w:eastAsia="宋体" w:cs="宋体"/>
          <w:color w:val="000000" w:themeColor="text1"/>
          <w:u w:val="single"/>
          <w:lang w:val="zh-CN"/>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月</w:t>
      </w:r>
      <w:r>
        <w:rPr>
          <w:rFonts w:hint="eastAsia" w:ascii="宋体" w:hAnsi="宋体" w:eastAsia="宋体" w:cs="宋体"/>
          <w:color w:val="000000" w:themeColor="text1"/>
          <w:u w:val="single"/>
          <w:lang w:val="zh-CN"/>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日</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u w:val="single"/>
          <w14:textFill>
            <w14:solidFill>
              <w14:schemeClr w14:val="tx1"/>
            </w14:solidFill>
          </w14:textFill>
        </w:rPr>
        <w:t xml:space="preserve">   （采购人）   </w:t>
      </w:r>
      <w:r>
        <w:rPr>
          <w:rFonts w:hint="eastAsia" w:ascii="宋体" w:hAnsi="宋体" w:eastAsia="宋体" w:cs="宋体"/>
          <w:color w:val="000000" w:themeColor="text1"/>
          <w14:textFill>
            <w14:solidFill>
              <w14:schemeClr w14:val="tx1"/>
            </w14:solidFill>
          </w14:textFill>
        </w:rPr>
        <w:t>以</w:t>
      </w:r>
      <w:r>
        <w:rPr>
          <w:rFonts w:hint="eastAsia" w:ascii="宋体" w:hAnsi="宋体" w:eastAsia="宋体" w:cs="宋体"/>
          <w:color w:val="000000" w:themeColor="text1"/>
          <w:u w:val="single"/>
          <w14:textFill>
            <w14:solidFill>
              <w14:schemeClr w14:val="tx1"/>
            </w14:solidFill>
          </w14:textFill>
        </w:rPr>
        <w:t xml:space="preserve">   （政府采购方式）  </w:t>
      </w:r>
      <w:r>
        <w:rPr>
          <w:rFonts w:hint="eastAsia" w:ascii="宋体" w:hAnsi="宋体" w:eastAsia="宋体" w:cs="宋体"/>
          <w:color w:val="000000" w:themeColor="text1"/>
          <w14:textFill>
            <w14:solidFill>
              <w14:schemeClr w14:val="tx1"/>
            </w14:solidFill>
          </w14:textFill>
        </w:rPr>
        <w:t>对</w:t>
      </w:r>
      <w:r>
        <w:rPr>
          <w:rFonts w:hint="eastAsia" w:ascii="宋体" w:hAnsi="宋体" w:eastAsia="宋体" w:cs="宋体"/>
          <w:color w:val="000000" w:themeColor="text1"/>
          <w:u w:val="single"/>
          <w14:textFill>
            <w14:solidFill>
              <w14:schemeClr w14:val="tx1"/>
            </w14:solidFill>
          </w14:textFill>
        </w:rPr>
        <w:t xml:space="preserve">   （同前页项目名称）   </w:t>
      </w:r>
      <w:r>
        <w:rPr>
          <w:rFonts w:hint="eastAsia" w:ascii="宋体" w:hAnsi="宋体" w:eastAsia="宋体" w:cs="宋体"/>
          <w:color w:val="000000" w:themeColor="text1"/>
          <w14:textFill>
            <w14:solidFill>
              <w14:schemeClr w14:val="tx1"/>
            </w14:solidFill>
          </w14:textFill>
        </w:rPr>
        <w:t>项目进行了采购。经</w:t>
      </w:r>
      <w:r>
        <w:rPr>
          <w:rFonts w:hint="eastAsia" w:ascii="宋体" w:hAnsi="宋体" w:eastAsia="宋体" w:cs="宋体"/>
          <w:color w:val="000000" w:themeColor="text1"/>
          <w:u w:val="single"/>
          <w14:textFill>
            <w14:solidFill>
              <w14:schemeClr w14:val="tx1"/>
            </w14:solidFill>
          </w14:textFill>
        </w:rPr>
        <w:t xml:space="preserve">   （相关评定主体名称）   </w:t>
      </w:r>
      <w:r>
        <w:rPr>
          <w:rFonts w:hint="eastAsia" w:ascii="宋体" w:hAnsi="宋体" w:eastAsia="宋体" w:cs="宋体"/>
          <w:color w:val="000000" w:themeColor="text1"/>
          <w14:textFill>
            <w14:solidFill>
              <w14:schemeClr w14:val="tx1"/>
            </w14:solidFill>
          </w14:textFill>
        </w:rPr>
        <w:t>评定，</w:t>
      </w:r>
      <w:r>
        <w:rPr>
          <w:rFonts w:hint="eastAsia" w:ascii="宋体" w:hAnsi="宋体" w:eastAsia="宋体" w:cs="宋体"/>
          <w:color w:val="000000" w:themeColor="text1"/>
          <w:u w:val="single"/>
          <w14:textFill>
            <w14:solidFill>
              <w14:schemeClr w14:val="tx1"/>
            </w14:solidFill>
          </w14:textFill>
        </w:rPr>
        <w:t xml:space="preserve">   （中标供应商名称）</w:t>
      </w:r>
      <w:r>
        <w:rPr>
          <w:rFonts w:hint="eastAsia" w:ascii="宋体" w:hAnsi="宋体" w:eastAsia="宋体" w:cs="宋体"/>
          <w:color w:val="000000" w:themeColor="text1"/>
          <w14:textFill>
            <w14:solidFill>
              <w14:schemeClr w14:val="tx1"/>
            </w14:solidFill>
          </w14:textFill>
        </w:rPr>
        <w:t>为该项目中标供应商。现于中标通知书发出之日起三十日内，按照采购文件确定的事项签订本合同。</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根据《中华人民共和国民法典》、《中华人民共和国政府采购法》等相关法律法规之规定，按照平等、自愿、公平、诚实信用和绿色的原则，经</w:t>
      </w:r>
      <w:r>
        <w:rPr>
          <w:rFonts w:hint="eastAsia" w:ascii="宋体" w:hAnsi="宋体" w:eastAsia="宋体" w:cs="宋体"/>
          <w:color w:val="000000" w:themeColor="text1"/>
          <w:u w:val="single"/>
          <w14:textFill>
            <w14:solidFill>
              <w14:schemeClr w14:val="tx1"/>
            </w14:solidFill>
          </w14:textFill>
        </w:rPr>
        <w:t xml:space="preserve">   （采购人）   </w:t>
      </w:r>
      <w:r>
        <w:rPr>
          <w:rFonts w:hint="eastAsia" w:ascii="宋体" w:hAnsi="宋体" w:eastAsia="宋体" w:cs="宋体"/>
          <w:color w:val="000000" w:themeColor="text1"/>
          <w:lang w:val="zh-CN"/>
          <w14:textFill>
            <w14:solidFill>
              <w14:schemeClr w14:val="tx1"/>
            </w14:solidFill>
          </w14:textFill>
        </w:rPr>
        <w:t>(以下简称：甲方)和</w:t>
      </w:r>
      <w:r>
        <w:rPr>
          <w:rFonts w:hint="eastAsia" w:ascii="宋体" w:hAnsi="宋体" w:eastAsia="宋体" w:cs="宋体"/>
          <w:color w:val="000000" w:themeColor="text1"/>
          <w:u w:val="single"/>
          <w14:textFill>
            <w14:solidFill>
              <w14:schemeClr w14:val="tx1"/>
            </w14:solidFill>
          </w14:textFill>
        </w:rPr>
        <w:t xml:space="preserve">   （中标供应商名称）   </w:t>
      </w:r>
      <w:r>
        <w:rPr>
          <w:rFonts w:hint="eastAsia" w:ascii="宋体" w:hAnsi="宋体" w:eastAsia="宋体" w:cs="宋体"/>
          <w:color w:val="000000" w:themeColor="text1"/>
          <w:lang w:val="zh-CN"/>
          <w14:textFill>
            <w14:solidFill>
              <w14:schemeClr w14:val="tx1"/>
            </w14:solidFill>
          </w14:textFill>
        </w:rPr>
        <w:t>(以下简称：乙方)协商一致，约定以下合同</w:t>
      </w:r>
      <w:r>
        <w:rPr>
          <w:rFonts w:hint="eastAsia" w:ascii="宋体" w:hAnsi="宋体" w:eastAsia="宋体" w:cs="宋体"/>
          <w:color w:val="000000" w:themeColor="text1"/>
          <w14:textFill>
            <w14:solidFill>
              <w14:schemeClr w14:val="tx1"/>
            </w14:solidFill>
          </w14:textFill>
        </w:rPr>
        <w:t>条款，以兹共同遵守、全面履行。</w:t>
      </w:r>
    </w:p>
    <w:p>
      <w:pPr>
        <w:pStyle w:val="5"/>
        <w:rPr>
          <w:rFonts w:hint="eastAsia" w:ascii="宋体" w:hAnsi="宋体" w:eastAsia="宋体" w:cs="宋体"/>
          <w:color w:val="000000" w:themeColor="text1"/>
          <w14:textFill>
            <w14:solidFill>
              <w14:schemeClr w14:val="tx1"/>
            </w14:solidFill>
          </w14:textFill>
        </w:rPr>
      </w:pPr>
      <w:bookmarkStart w:id="370" w:name="_Toc24059"/>
      <w:bookmarkStart w:id="371" w:name="_Toc2232"/>
      <w:bookmarkStart w:id="372" w:name="_Toc3029"/>
      <w:r>
        <w:rPr>
          <w:rFonts w:hint="eastAsia" w:ascii="宋体" w:hAnsi="宋体" w:eastAsia="宋体" w:cs="宋体"/>
          <w:color w:val="000000" w:themeColor="text1"/>
          <w14:textFill>
            <w14:solidFill>
              <w14:schemeClr w14:val="tx1"/>
            </w14:solidFill>
          </w14:textFill>
        </w:rPr>
        <w:t>1.1 合同组成部分</w:t>
      </w:r>
      <w:bookmarkEnd w:id="370"/>
      <w:bookmarkEnd w:id="371"/>
      <w:bookmarkEnd w:id="372"/>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1.1.1 本合同及其补充合同、变更协议；</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1.1.2 中标通知书；</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1.1.3 投标文件（含澄清或者说明文件）；</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1.1.4 招标文件（含澄清或者修改文件）；</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1.1.5 其他相关采购文件。</w:t>
      </w:r>
    </w:p>
    <w:p>
      <w:pPr>
        <w:pStyle w:val="5"/>
        <w:rPr>
          <w:rFonts w:hint="eastAsia" w:ascii="宋体" w:hAnsi="宋体" w:eastAsia="宋体" w:cs="宋体"/>
          <w:color w:val="000000" w:themeColor="text1"/>
          <w14:textFill>
            <w14:solidFill>
              <w14:schemeClr w14:val="tx1"/>
            </w14:solidFill>
          </w14:textFill>
        </w:rPr>
      </w:pPr>
      <w:bookmarkStart w:id="373" w:name="_Toc27126"/>
      <w:bookmarkStart w:id="374" w:name="_Toc21295"/>
      <w:bookmarkStart w:id="375" w:name="_Toc24300"/>
      <w:r>
        <w:rPr>
          <w:rFonts w:hint="eastAsia" w:ascii="宋体" w:hAnsi="宋体" w:eastAsia="宋体" w:cs="宋体"/>
          <w:color w:val="000000" w:themeColor="text1"/>
          <w14:textFill>
            <w14:solidFill>
              <w14:schemeClr w14:val="tx1"/>
            </w14:solidFill>
          </w14:textFill>
        </w:rPr>
        <w:t>1.2 货物</w:t>
      </w:r>
      <w:bookmarkEnd w:id="373"/>
      <w:bookmarkEnd w:id="374"/>
      <w:bookmarkEnd w:id="375"/>
    </w:p>
    <w:p>
      <w:pPr>
        <w:spacing w:line="560" w:lineRule="exact"/>
        <w:ind w:firstLine="480" w:firstLineChars="2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1.2.1 货物名称：</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w:t>
      </w:r>
    </w:p>
    <w:p>
      <w:pPr>
        <w:spacing w:line="560" w:lineRule="exact"/>
        <w:ind w:firstLine="480" w:firstLineChars="2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1.2.2 货物数量：</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1.2.3 货物质量：</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w:t>
      </w:r>
    </w:p>
    <w:p>
      <w:pPr>
        <w:pStyle w:val="5"/>
        <w:rPr>
          <w:rFonts w:hint="eastAsia" w:ascii="宋体" w:hAnsi="宋体" w:eastAsia="宋体" w:cs="宋体"/>
          <w:color w:val="000000" w:themeColor="text1"/>
          <w14:textFill>
            <w14:solidFill>
              <w14:schemeClr w14:val="tx1"/>
            </w14:solidFill>
          </w14:textFill>
        </w:rPr>
      </w:pPr>
      <w:bookmarkStart w:id="376" w:name="_Toc21551"/>
      <w:bookmarkStart w:id="377" w:name="_Toc21631"/>
      <w:bookmarkStart w:id="378" w:name="_Toc23292"/>
      <w:r>
        <w:rPr>
          <w:rFonts w:hint="eastAsia" w:ascii="宋体" w:hAnsi="宋体" w:eastAsia="宋体" w:cs="宋体"/>
          <w:color w:val="000000" w:themeColor="text1"/>
          <w14:textFill>
            <w14:solidFill>
              <w14:schemeClr w14:val="tx1"/>
            </w14:solidFill>
          </w14:textFill>
        </w:rPr>
        <w:t>1.3 价款</w:t>
      </w:r>
      <w:bookmarkEnd w:id="376"/>
      <w:bookmarkEnd w:id="377"/>
      <w:bookmarkEnd w:id="378"/>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本合同总价为：￥</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元（大写：</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元人民币）。</w:t>
      </w:r>
    </w:p>
    <w:p>
      <w:pPr>
        <w:spacing w:line="560" w:lineRule="exact"/>
        <w:ind w:firstLine="480" w:firstLineChars="2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分项价格：</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7"/>
              <w:spacing w:line="56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67"/>
              <w:spacing w:line="560" w:lineRule="exact"/>
              <w:ind w:firstLine="20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67"/>
              <w:spacing w:line="56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7"/>
              <w:spacing w:line="560" w:lineRule="exact"/>
              <w:ind w:firstLine="200"/>
              <w:jc w:val="center"/>
              <w:rPr>
                <w:rFonts w:hint="eastAsia" w:ascii="宋体" w:hAnsi="宋体" w:eastAsia="宋体" w:cs="宋体"/>
                <w:color w:val="000000" w:themeColor="text1"/>
                <w:sz w:val="24"/>
                <w:szCs w:val="24"/>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7"/>
              <w:spacing w:line="560" w:lineRule="exact"/>
              <w:ind w:firstLine="200"/>
              <w:jc w:val="center"/>
              <w:rPr>
                <w:rFonts w:hint="eastAsia" w:ascii="宋体" w:hAnsi="宋体" w:eastAsia="宋体" w:cs="宋体"/>
                <w:color w:val="000000" w:themeColor="text1"/>
                <w:sz w:val="24"/>
                <w:szCs w:val="24"/>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7"/>
              <w:spacing w:line="560" w:lineRule="exact"/>
              <w:ind w:firstLine="200"/>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7"/>
              <w:spacing w:line="560" w:lineRule="exact"/>
              <w:ind w:firstLine="200"/>
              <w:jc w:val="center"/>
              <w:rPr>
                <w:rFonts w:hint="eastAsia" w:ascii="宋体" w:hAnsi="宋体" w:eastAsia="宋体" w:cs="宋体"/>
                <w:color w:val="000000" w:themeColor="text1"/>
                <w:sz w:val="24"/>
                <w:szCs w:val="24"/>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7"/>
              <w:spacing w:line="560" w:lineRule="exact"/>
              <w:ind w:firstLine="200"/>
              <w:jc w:val="center"/>
              <w:rPr>
                <w:rFonts w:hint="eastAsia" w:ascii="宋体" w:hAnsi="宋体" w:eastAsia="宋体" w:cs="宋体"/>
                <w:color w:val="000000" w:themeColor="text1"/>
                <w:sz w:val="24"/>
                <w:szCs w:val="24"/>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7"/>
              <w:spacing w:line="560" w:lineRule="exact"/>
              <w:ind w:firstLine="200"/>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7"/>
              <w:spacing w:line="560" w:lineRule="exact"/>
              <w:ind w:firstLine="200"/>
              <w:jc w:val="center"/>
              <w:rPr>
                <w:rFonts w:hint="eastAsia" w:ascii="宋体" w:hAnsi="宋体" w:eastAsia="宋体" w:cs="宋体"/>
                <w:color w:val="000000" w:themeColor="text1"/>
                <w:sz w:val="24"/>
                <w:szCs w:val="24"/>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7"/>
              <w:spacing w:line="560" w:lineRule="exact"/>
              <w:ind w:firstLine="200"/>
              <w:jc w:val="center"/>
              <w:rPr>
                <w:rFonts w:hint="eastAsia" w:ascii="宋体" w:hAnsi="宋体" w:eastAsia="宋体" w:cs="宋体"/>
                <w:color w:val="000000" w:themeColor="text1"/>
                <w:sz w:val="24"/>
                <w:szCs w:val="24"/>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7"/>
              <w:spacing w:line="560" w:lineRule="exact"/>
              <w:ind w:firstLine="200"/>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7"/>
              <w:spacing w:line="560" w:lineRule="exact"/>
              <w:ind w:firstLine="200"/>
              <w:jc w:val="center"/>
              <w:rPr>
                <w:rFonts w:hint="eastAsia" w:ascii="宋体" w:hAnsi="宋体" w:eastAsia="宋体" w:cs="宋体"/>
                <w:color w:val="000000" w:themeColor="text1"/>
                <w:sz w:val="24"/>
                <w:szCs w:val="24"/>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7"/>
              <w:spacing w:line="560" w:lineRule="exact"/>
              <w:ind w:firstLine="200"/>
              <w:jc w:val="center"/>
              <w:rPr>
                <w:rFonts w:hint="eastAsia" w:ascii="宋体" w:hAnsi="宋体" w:eastAsia="宋体" w:cs="宋体"/>
                <w:color w:val="000000" w:themeColor="text1"/>
                <w:sz w:val="24"/>
                <w:szCs w:val="24"/>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7"/>
              <w:spacing w:line="560" w:lineRule="exact"/>
              <w:ind w:firstLine="200"/>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67"/>
              <w:spacing w:line="560" w:lineRule="exact"/>
              <w:ind w:firstLine="20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67"/>
              <w:spacing w:line="560" w:lineRule="exact"/>
              <w:ind w:firstLine="200"/>
              <w:jc w:val="center"/>
              <w:rPr>
                <w:rFonts w:hint="eastAsia" w:ascii="宋体" w:hAnsi="宋体" w:eastAsia="宋体" w:cs="宋体"/>
                <w:color w:val="000000" w:themeColor="text1"/>
                <w:sz w:val="24"/>
                <w:szCs w:val="24"/>
                <w14:textFill>
                  <w14:solidFill>
                    <w14:schemeClr w14:val="tx1"/>
                  </w14:solidFill>
                </w14:textFill>
              </w:rPr>
            </w:pPr>
          </w:p>
        </w:tc>
      </w:tr>
    </w:tbl>
    <w:p>
      <w:pPr>
        <w:pStyle w:val="5"/>
        <w:rPr>
          <w:rFonts w:hint="eastAsia" w:ascii="宋体" w:hAnsi="宋体" w:eastAsia="宋体" w:cs="宋体"/>
          <w:color w:val="000000" w:themeColor="text1"/>
          <w14:textFill>
            <w14:solidFill>
              <w14:schemeClr w14:val="tx1"/>
            </w14:solidFill>
          </w14:textFill>
        </w:rPr>
      </w:pPr>
      <w:bookmarkStart w:id="379" w:name="_Toc1814"/>
      <w:bookmarkStart w:id="380" w:name="_Toc22618"/>
      <w:bookmarkStart w:id="381" w:name="_Toc10340"/>
      <w:r>
        <w:rPr>
          <w:rFonts w:hint="eastAsia" w:ascii="宋体" w:hAnsi="宋体" w:eastAsia="宋体" w:cs="宋体"/>
          <w:color w:val="000000" w:themeColor="text1"/>
          <w14:textFill>
            <w14:solidFill>
              <w14:schemeClr w14:val="tx1"/>
            </w14:solidFill>
          </w14:textFill>
        </w:rPr>
        <w:t>1.4 付款</w:t>
      </w:r>
      <w:bookmarkEnd w:id="379"/>
      <w:bookmarkEnd w:id="380"/>
      <w:bookmarkEnd w:id="381"/>
      <w:r>
        <w:rPr>
          <w:rFonts w:hint="eastAsia" w:ascii="宋体" w:hAnsi="宋体" w:eastAsia="宋体" w:cs="宋体"/>
          <w:color w:val="000000" w:themeColor="text1"/>
          <w14:textFill>
            <w14:solidFill>
              <w14:schemeClr w14:val="tx1"/>
            </w14:solidFill>
          </w14:textFill>
        </w:rPr>
        <w:t>方式、时间和条件</w:t>
      </w:r>
    </w:p>
    <w:p>
      <w:pPr>
        <w:pStyle w:val="72"/>
        <w:spacing w:before="0" w:beforeAutospacing="0" w:after="0" w:afterAutospacing="0" w:line="360" w:lineRule="auto"/>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1.4.2甲方在政府采购合同中约定预付款，预付款比例为合同金额的30％,对中小企业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1.4.3甲方迟延支付乙方款项的，向乙方支付逾期利息。双方可以在合同专用条款中约定逾期利率，约定利率不得低于合同订立时1年期贷款市场报价利率；未作约定的，按照每日利率万分之五支付逾期利息。</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1.4.4资金支付的方式、时间和条件详见</w:t>
      </w:r>
      <w:r>
        <w:rPr>
          <w:rFonts w:hint="eastAsia" w:ascii="宋体" w:hAnsi="宋体" w:eastAsia="宋体" w:cs="宋体"/>
          <w:b/>
          <w:i/>
          <w:color w:val="000000" w:themeColor="text1"/>
          <w:u w:val="single"/>
          <w14:textFill>
            <w14:solidFill>
              <w14:schemeClr w14:val="tx1"/>
            </w14:solidFill>
          </w14:textFill>
        </w:rPr>
        <w:t>合同专用条款</w:t>
      </w:r>
      <w:r>
        <w:rPr>
          <w:rFonts w:hint="eastAsia" w:ascii="宋体" w:hAnsi="宋体" w:eastAsia="宋体" w:cs="宋体"/>
          <w:color w:val="000000" w:themeColor="text1"/>
          <w14:textFill>
            <w14:solidFill>
              <w14:schemeClr w14:val="tx1"/>
            </w14:solidFill>
          </w14:textFill>
        </w:rPr>
        <w:t>。</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pStyle w:val="5"/>
        <w:rPr>
          <w:rFonts w:hint="eastAsia" w:ascii="宋体" w:hAnsi="宋体" w:eastAsia="宋体" w:cs="宋体"/>
          <w:color w:val="000000" w:themeColor="text1"/>
          <w14:textFill>
            <w14:solidFill>
              <w14:schemeClr w14:val="tx1"/>
            </w14:solidFill>
          </w14:textFill>
        </w:rPr>
      </w:pPr>
      <w:bookmarkStart w:id="382" w:name="_Toc32071"/>
      <w:bookmarkStart w:id="383" w:name="_Toc2846"/>
      <w:bookmarkStart w:id="384" w:name="_Toc19304"/>
      <w:r>
        <w:rPr>
          <w:rFonts w:hint="eastAsia" w:ascii="宋体" w:hAnsi="宋体" w:eastAsia="宋体" w:cs="宋体"/>
          <w:color w:val="000000" w:themeColor="text1"/>
          <w14:textFill>
            <w14:solidFill>
              <w14:schemeClr w14:val="tx1"/>
            </w14:solidFill>
          </w14:textFill>
        </w:rPr>
        <w:t>1.5 货物交付期限、地点和方式</w:t>
      </w:r>
      <w:bookmarkEnd w:id="382"/>
      <w:bookmarkEnd w:id="383"/>
      <w:bookmarkEnd w:id="384"/>
    </w:p>
    <w:p>
      <w:pPr>
        <w:spacing w:line="560" w:lineRule="exact"/>
        <w:ind w:firstLine="480" w:firstLineChars="200"/>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1.5.1 交付期限：详见</w:t>
      </w:r>
      <w:r>
        <w:rPr>
          <w:rFonts w:hint="eastAsia" w:ascii="宋体" w:hAnsi="宋体" w:eastAsia="宋体" w:cs="宋体"/>
          <w:b/>
          <w:i/>
          <w:color w:val="000000" w:themeColor="text1"/>
          <w:u w:val="single"/>
          <w14:textFill>
            <w14:solidFill>
              <w14:schemeClr w14:val="tx1"/>
            </w14:solidFill>
          </w14:textFill>
        </w:rPr>
        <w:t>合同专用条款</w:t>
      </w:r>
      <w:r>
        <w:rPr>
          <w:rFonts w:hint="eastAsia" w:ascii="宋体" w:hAnsi="宋体" w:eastAsia="宋体" w:cs="宋体"/>
          <w:color w:val="000000" w:themeColor="text1"/>
          <w14:textFill>
            <w14:solidFill>
              <w14:schemeClr w14:val="tx1"/>
            </w14:solidFill>
          </w14:textFill>
        </w:rPr>
        <w:t>；</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1.5.2 交付地点：</w:t>
      </w:r>
      <w:r>
        <w:rPr>
          <w:rFonts w:hint="eastAsia" w:ascii="宋体" w:hAnsi="宋体" w:eastAsia="宋体" w:cs="宋体"/>
          <w:b/>
          <w:i/>
          <w:color w:val="000000" w:themeColor="text1"/>
          <w:u w:val="single"/>
          <w14:textFill>
            <w14:solidFill>
              <w14:schemeClr w14:val="tx1"/>
            </w14:solidFill>
          </w14:textFill>
        </w:rPr>
        <w:t>合同专用条款</w:t>
      </w:r>
      <w:r>
        <w:rPr>
          <w:rFonts w:hint="eastAsia" w:ascii="宋体" w:hAnsi="宋体" w:eastAsia="宋体" w:cs="宋体"/>
          <w:color w:val="000000" w:themeColor="text1"/>
          <w14:textFill>
            <w14:solidFill>
              <w14:schemeClr w14:val="tx1"/>
            </w14:solidFill>
          </w14:textFill>
        </w:rPr>
        <w:t>；</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1.5.3 交付方式：</w:t>
      </w:r>
      <w:r>
        <w:rPr>
          <w:rFonts w:hint="eastAsia" w:ascii="宋体" w:hAnsi="宋体" w:eastAsia="宋体" w:cs="宋体"/>
          <w:b/>
          <w:i/>
          <w:color w:val="000000" w:themeColor="text1"/>
          <w:u w:val="single"/>
          <w14:textFill>
            <w14:solidFill>
              <w14:schemeClr w14:val="tx1"/>
            </w14:solidFill>
          </w14:textFill>
        </w:rPr>
        <w:t>合同专用条款</w:t>
      </w:r>
      <w:r>
        <w:rPr>
          <w:rFonts w:hint="eastAsia" w:ascii="宋体" w:hAnsi="宋体" w:eastAsia="宋体" w:cs="宋体"/>
          <w:color w:val="000000" w:themeColor="text1"/>
          <w14:textFill>
            <w14:solidFill>
              <w14:schemeClr w14:val="tx1"/>
            </w14:solidFill>
          </w14:textFill>
        </w:rPr>
        <w:t>。</w:t>
      </w:r>
    </w:p>
    <w:p>
      <w:pPr>
        <w:pStyle w:val="5"/>
        <w:rPr>
          <w:rFonts w:hint="eastAsia" w:ascii="宋体" w:hAnsi="宋体" w:eastAsia="宋体" w:cs="宋体"/>
          <w:color w:val="000000" w:themeColor="text1"/>
          <w14:textFill>
            <w14:solidFill>
              <w14:schemeClr w14:val="tx1"/>
            </w14:solidFill>
          </w14:textFill>
        </w:rPr>
      </w:pPr>
      <w:bookmarkStart w:id="385" w:name="_Toc21423"/>
      <w:bookmarkStart w:id="386" w:name="_Toc19554"/>
      <w:bookmarkStart w:id="387" w:name="_Toc27250"/>
      <w:r>
        <w:rPr>
          <w:rFonts w:hint="eastAsia" w:ascii="宋体" w:hAnsi="宋体" w:eastAsia="宋体" w:cs="宋体"/>
          <w:color w:val="000000" w:themeColor="text1"/>
          <w14:textFill>
            <w14:solidFill>
              <w14:schemeClr w14:val="tx1"/>
            </w14:solidFill>
          </w14:textFill>
        </w:rPr>
        <w:t>1.6 违约责任</w:t>
      </w:r>
      <w:bookmarkEnd w:id="385"/>
      <w:bookmarkEnd w:id="386"/>
      <w:bookmarkEnd w:id="387"/>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1.6.1 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color w:val="000000" w:themeColor="text1"/>
          <w:u w:val="single"/>
          <w14:textFill>
            <w14:solidFill>
              <w14:schemeClr w14:val="tx1"/>
            </w14:solidFill>
          </w14:textFill>
        </w:rPr>
        <w:t xml:space="preserve">  0.05  </w:t>
      </w:r>
      <w:r>
        <w:rPr>
          <w:rFonts w:hint="eastAsia" w:ascii="宋体" w:hAnsi="宋体" w:eastAsia="宋体" w:cs="宋体"/>
          <w:color w:val="000000" w:themeColor="text1"/>
          <w14:textFill>
            <w14:solidFill>
              <w14:schemeClr w14:val="tx1"/>
            </w14:solidFill>
          </w14:textFill>
        </w:rPr>
        <w:t>%计算，最高限额为本合同总价的</w:t>
      </w:r>
      <w:r>
        <w:rPr>
          <w:rFonts w:hint="eastAsia" w:ascii="宋体" w:hAnsi="宋体" w:eastAsia="宋体" w:cs="宋体"/>
          <w:color w:val="000000" w:themeColor="text1"/>
          <w:u w:val="single"/>
          <w14:textFill>
            <w14:solidFill>
              <w14:schemeClr w14:val="tx1"/>
            </w14:solidFill>
          </w14:textFill>
        </w:rPr>
        <w:t xml:space="preserve"> 20  </w:t>
      </w:r>
      <w:r>
        <w:rPr>
          <w:rFonts w:hint="eastAsia" w:ascii="宋体" w:hAnsi="宋体" w:eastAsia="宋体" w:cs="宋体"/>
          <w:color w:val="000000" w:themeColor="text1"/>
          <w14:textFill>
            <w14:solidFill>
              <w14:schemeClr w14:val="tx1"/>
            </w14:solidFill>
          </w14:textFill>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1.6.2 除不可抗力外，如果甲方没有按照本合同约定的付款方式付款，那么乙方可要求甲方支付违约金，违约金按每迟延付款一日的应付而未付款的</w:t>
      </w:r>
      <w:r>
        <w:rPr>
          <w:rFonts w:hint="eastAsia" w:ascii="宋体" w:hAnsi="宋体" w:eastAsia="宋体" w:cs="宋体"/>
          <w:color w:val="000000" w:themeColor="text1"/>
          <w:u w:val="single"/>
          <w14:textFill>
            <w14:solidFill>
              <w14:schemeClr w14:val="tx1"/>
            </w14:solidFill>
          </w14:textFill>
        </w:rPr>
        <w:t xml:space="preserve">  0.05  </w:t>
      </w:r>
      <w:r>
        <w:rPr>
          <w:rFonts w:hint="eastAsia" w:ascii="宋体" w:hAnsi="宋体" w:eastAsia="宋体" w:cs="宋体"/>
          <w:color w:val="000000" w:themeColor="text1"/>
          <w14:textFill>
            <w14:solidFill>
              <w14:schemeClr w14:val="tx1"/>
            </w14:solidFill>
          </w14:textFill>
        </w:rPr>
        <w:t>%计算，最高限额为本合同总价的</w:t>
      </w:r>
      <w:r>
        <w:rPr>
          <w:rFonts w:hint="eastAsia" w:ascii="宋体" w:hAnsi="宋体" w:eastAsia="宋体" w:cs="宋体"/>
          <w:color w:val="000000" w:themeColor="text1"/>
          <w:u w:val="single"/>
          <w14:textFill>
            <w14:solidFill>
              <w14:schemeClr w14:val="tx1"/>
            </w14:solidFill>
          </w14:textFill>
        </w:rPr>
        <w:t xml:space="preserve">  20   </w:t>
      </w:r>
      <w:r>
        <w:rPr>
          <w:rFonts w:hint="eastAsia" w:ascii="宋体" w:hAnsi="宋体" w:eastAsia="宋体" w:cs="宋体"/>
          <w:color w:val="000000" w:themeColor="text1"/>
          <w14:textFill>
            <w14:solidFill>
              <w14:schemeClr w14:val="tx1"/>
            </w14:solidFill>
          </w14:textFill>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80" w:leftChars="-200" w:right="-480" w:rightChars="-200" w:firstLine="960" w:firstLineChars="4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1.6.7违约责任</w:t>
      </w:r>
      <w:r>
        <w:rPr>
          <w:rFonts w:hint="eastAsia" w:ascii="宋体" w:hAnsi="宋体" w:eastAsia="宋体" w:cs="宋体"/>
          <w:b/>
          <w:i/>
          <w:color w:val="000000" w:themeColor="text1"/>
          <w:u w:val="single"/>
          <w14:textFill>
            <w14:solidFill>
              <w14:schemeClr w14:val="tx1"/>
            </w14:solidFill>
          </w14:textFill>
        </w:rPr>
        <w:t>合同专用条款</w:t>
      </w:r>
      <w:r>
        <w:rPr>
          <w:rFonts w:hint="eastAsia" w:ascii="宋体" w:hAnsi="宋体" w:eastAsia="宋体" w:cs="宋体"/>
          <w:color w:val="000000" w:themeColor="text1"/>
          <w14:textFill>
            <w14:solidFill>
              <w14:schemeClr w14:val="tx1"/>
            </w14:solidFill>
          </w14:textFill>
        </w:rPr>
        <w:t>另有约定的，从其约定。</w:t>
      </w:r>
    </w:p>
    <w:p>
      <w:pPr>
        <w:pStyle w:val="5"/>
        <w:rPr>
          <w:rFonts w:hint="eastAsia" w:ascii="宋体" w:hAnsi="宋体" w:eastAsia="宋体" w:cs="宋体"/>
          <w:color w:val="000000" w:themeColor="text1"/>
          <w14:textFill>
            <w14:solidFill>
              <w14:schemeClr w14:val="tx1"/>
            </w14:solidFill>
          </w14:textFill>
        </w:rPr>
      </w:pPr>
      <w:bookmarkStart w:id="388" w:name="_Toc28375"/>
      <w:bookmarkStart w:id="389" w:name="_Toc16021"/>
      <w:bookmarkStart w:id="390" w:name="_Toc15583"/>
      <w:r>
        <w:rPr>
          <w:rFonts w:hint="eastAsia" w:ascii="宋体" w:hAnsi="宋体" w:eastAsia="宋体" w:cs="宋体"/>
          <w:color w:val="000000" w:themeColor="text1"/>
          <w14:textFill>
            <w14:solidFill>
              <w14:schemeClr w14:val="tx1"/>
            </w14:solidFill>
          </w14:textFill>
        </w:rPr>
        <w:t>1.7 合同争议的解决</w:t>
      </w:r>
      <w:bookmarkEnd w:id="388"/>
      <w:bookmarkEnd w:id="389"/>
      <w:bookmarkEnd w:id="390"/>
    </w:p>
    <w:p>
      <w:pPr>
        <w:spacing w:line="560" w:lineRule="exact"/>
        <w:ind w:left="-70" w:leftChars="-29" w:right="-480" w:rightChars="-200" w:firstLine="240" w:firstLineChars="1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本合同履行过程中发生的任何争议，双方当事人均可通过和解或者调解解决；不愿和解、调解或者和解、调解不成的，可以选择以下第</w:t>
      </w:r>
      <w:r>
        <w:rPr>
          <w:rFonts w:hint="eastAsia" w:ascii="宋体" w:hAnsi="宋体" w:eastAsia="宋体" w:cs="宋体"/>
          <w:b/>
          <w:i/>
          <w:color w:val="000000" w:themeColor="text1"/>
          <w:u w:val="single"/>
          <w14:textFill>
            <w14:solidFill>
              <w14:schemeClr w14:val="tx1"/>
            </w14:solidFill>
          </w14:textFill>
        </w:rPr>
        <w:t xml:space="preserve"> 合同专用条款  </w:t>
      </w:r>
      <w:r>
        <w:rPr>
          <w:rFonts w:hint="eastAsia" w:ascii="宋体" w:hAnsi="宋体" w:eastAsia="宋体" w:cs="宋体"/>
          <w:color w:val="000000" w:themeColor="text1"/>
          <w14:textFill>
            <w14:solidFill>
              <w14:schemeClr w14:val="tx1"/>
            </w14:solidFill>
          </w14:textFill>
        </w:rPr>
        <w:t>条款规定的方式解决：</w:t>
      </w:r>
    </w:p>
    <w:p>
      <w:pPr>
        <w:spacing w:line="560" w:lineRule="exact"/>
        <w:ind w:left="-480" w:leftChars="-200" w:right="-480" w:rightChars="-200" w:firstLine="600" w:firstLineChars="2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1.7.1 将争议提交</w:t>
      </w:r>
      <w:r>
        <w:rPr>
          <w:rFonts w:hint="eastAsia" w:ascii="宋体" w:hAnsi="宋体" w:eastAsia="宋体" w:cs="宋体"/>
          <w:b/>
          <w:i/>
          <w:color w:val="000000" w:themeColor="text1"/>
          <w:u w:val="single"/>
          <w14:textFill>
            <w14:solidFill>
              <w14:schemeClr w14:val="tx1"/>
            </w14:solidFill>
          </w14:textFill>
        </w:rPr>
        <w:t>合同专用条款</w:t>
      </w:r>
      <w:r>
        <w:rPr>
          <w:rFonts w:hint="eastAsia" w:ascii="宋体" w:hAnsi="宋体" w:eastAsia="宋体" w:cs="宋体"/>
          <w:color w:val="000000" w:themeColor="text1"/>
          <w14:textFill>
            <w14:solidFill>
              <w14:schemeClr w14:val="tx1"/>
            </w14:solidFill>
          </w14:textFill>
        </w:rPr>
        <w:t>仲裁委员会依申请仲裁时其现行有效的仲裁规则裁决；</w:t>
      </w:r>
    </w:p>
    <w:p>
      <w:pPr>
        <w:spacing w:line="560" w:lineRule="exact"/>
        <w:ind w:left="-480" w:leftChars="-200" w:right="-480" w:rightChars="-200" w:firstLine="600" w:firstLineChars="2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1.7.2 向</w:t>
      </w:r>
      <w:r>
        <w:rPr>
          <w:rFonts w:hint="eastAsia" w:ascii="宋体" w:hAnsi="宋体" w:eastAsia="宋体" w:cs="宋体"/>
          <w:b/>
          <w:i/>
          <w:color w:val="000000" w:themeColor="text1"/>
          <w:u w:val="single"/>
          <w14:textFill>
            <w14:solidFill>
              <w14:schemeClr w14:val="tx1"/>
            </w14:solidFill>
          </w14:textFill>
        </w:rPr>
        <w:t>合同专用条款</w:t>
      </w:r>
      <w:r>
        <w:rPr>
          <w:rFonts w:hint="eastAsia" w:ascii="宋体" w:hAnsi="宋体" w:eastAsia="宋体" w:cs="宋体"/>
          <w:color w:val="000000" w:themeColor="text1"/>
          <w14:textFill>
            <w14:solidFill>
              <w14:schemeClr w14:val="tx1"/>
            </w14:solidFill>
          </w14:textFill>
        </w:rPr>
        <w:t>人民法院起诉。</w:t>
      </w:r>
    </w:p>
    <w:p>
      <w:pPr>
        <w:pStyle w:val="5"/>
        <w:rPr>
          <w:rFonts w:hint="eastAsia" w:ascii="宋体" w:hAnsi="宋体" w:eastAsia="宋体" w:cs="宋体"/>
          <w:color w:val="000000" w:themeColor="text1"/>
          <w14:textFill>
            <w14:solidFill>
              <w14:schemeClr w14:val="tx1"/>
            </w14:solidFill>
          </w14:textFill>
        </w:rPr>
      </w:pPr>
      <w:bookmarkStart w:id="391" w:name="_Toc7245"/>
      <w:bookmarkStart w:id="392" w:name="_Toc15322"/>
      <w:bookmarkStart w:id="393" w:name="_Toc11173"/>
      <w:r>
        <w:rPr>
          <w:rFonts w:hint="eastAsia" w:ascii="宋体" w:hAnsi="宋体" w:eastAsia="宋体" w:cs="宋体"/>
          <w:color w:val="000000" w:themeColor="text1"/>
          <w14:textFill>
            <w14:solidFill>
              <w14:schemeClr w14:val="tx1"/>
            </w14:solidFill>
          </w14:textFill>
        </w:rPr>
        <w:t>1.8 合同生效</w:t>
      </w:r>
      <w:bookmarkEnd w:id="391"/>
      <w:bookmarkEnd w:id="392"/>
      <w:bookmarkEnd w:id="393"/>
    </w:p>
    <w:p>
      <w:pPr>
        <w:spacing w:line="560" w:lineRule="exact"/>
        <w:ind w:firstLine="480" w:firstLineChars="200"/>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本合同自双方当事人盖章或者签字时生效。</w:t>
      </w:r>
    </w:p>
    <w:p>
      <w:pPr>
        <w:autoSpaceDE w:val="0"/>
        <w:autoSpaceDN w:val="0"/>
        <w:spacing w:line="560" w:lineRule="exact"/>
        <w:rPr>
          <w:rFonts w:hint="eastAsia" w:ascii="宋体" w:hAnsi="宋体" w:eastAsia="宋体" w:cs="宋体"/>
          <w:color w:val="000000" w:themeColor="text1"/>
          <w:lang w:val="zh-CN"/>
          <w14:textFill>
            <w14:solidFill>
              <w14:schemeClr w14:val="tx1"/>
            </w14:solidFill>
          </w14:textFill>
        </w:rPr>
      </w:pPr>
    </w:p>
    <w:p>
      <w:pPr>
        <w:autoSpaceDE w:val="0"/>
        <w:autoSpaceDN w:val="0"/>
        <w:spacing w:line="560" w:lineRule="exact"/>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b/>
          <w:color w:val="000000" w:themeColor="text1"/>
          <w:lang w:val="zh-CN"/>
          <w14:textFill>
            <w14:solidFill>
              <w14:schemeClr w14:val="tx1"/>
            </w14:solidFill>
          </w14:textFill>
        </w:rPr>
        <w:t>甲方</w:t>
      </w:r>
      <w:r>
        <w:rPr>
          <w:rFonts w:hint="eastAsia" w:ascii="宋体" w:hAnsi="宋体" w:eastAsia="宋体" w:cs="宋体"/>
          <w:color w:val="000000" w:themeColor="text1"/>
          <w:lang w:val="zh-CN"/>
          <w14:textFill>
            <w14:solidFill>
              <w14:schemeClr w14:val="tx1"/>
            </w14:solidFill>
          </w14:textFill>
        </w:rPr>
        <w:t xml:space="preserve">：                             </w:t>
      </w:r>
      <w:r>
        <w:rPr>
          <w:rFonts w:hint="eastAsia" w:ascii="宋体" w:hAnsi="宋体" w:eastAsia="宋体" w:cs="宋体"/>
          <w:b/>
          <w:color w:val="000000" w:themeColor="text1"/>
          <w:lang w:val="zh-CN"/>
          <w14:textFill>
            <w14:solidFill>
              <w14:schemeClr w14:val="tx1"/>
            </w14:solidFill>
          </w14:textFill>
        </w:rPr>
        <w:t xml:space="preserve">      乙方</w:t>
      </w:r>
      <w:r>
        <w:rPr>
          <w:rFonts w:hint="eastAsia" w:ascii="宋体" w:hAnsi="宋体" w:eastAsia="宋体" w:cs="宋体"/>
          <w:color w:val="000000" w:themeColor="text1"/>
          <w:lang w:val="zh-CN"/>
          <w14:textFill>
            <w14:solidFill>
              <w14:schemeClr w14:val="tx1"/>
            </w14:solidFill>
          </w14:textFill>
        </w:rPr>
        <w:t>：</w:t>
      </w:r>
    </w:p>
    <w:p>
      <w:pPr>
        <w:autoSpaceDE w:val="0"/>
        <w:autoSpaceDN w:val="0"/>
        <w:spacing w:line="560" w:lineRule="exact"/>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统一社会信用代码：                        统一社会信用代码或身份证号码：</w:t>
      </w:r>
    </w:p>
    <w:p>
      <w:pPr>
        <w:autoSpaceDE w:val="0"/>
        <w:autoSpaceDN w:val="0"/>
        <w:spacing w:line="560" w:lineRule="exact"/>
        <w:rPr>
          <w:rFonts w:hint="eastAsia" w:ascii="宋体" w:hAnsi="宋体" w:eastAsia="宋体" w:cs="宋体"/>
          <w:color w:val="000000" w:themeColor="text1"/>
          <w:lang w:val="zh-CN"/>
          <w14:textFill>
            <w14:solidFill>
              <w14:schemeClr w14:val="tx1"/>
            </w14:solidFill>
          </w14:textFill>
        </w:rPr>
      </w:pPr>
    </w:p>
    <w:p>
      <w:pPr>
        <w:autoSpaceDE w:val="0"/>
        <w:autoSpaceDN w:val="0"/>
        <w:spacing w:line="560" w:lineRule="exact"/>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住所：                                   住所：</w:t>
      </w:r>
    </w:p>
    <w:p>
      <w:pPr>
        <w:autoSpaceDE w:val="0"/>
        <w:autoSpaceDN w:val="0"/>
        <w:spacing w:line="560" w:lineRule="exact"/>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法定代表人或                             法定代表人</w:t>
      </w:r>
    </w:p>
    <w:p>
      <w:pPr>
        <w:autoSpaceDE w:val="0"/>
        <w:autoSpaceDN w:val="0"/>
        <w:spacing w:line="560" w:lineRule="exact"/>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 xml:space="preserve">授权代表（签字）：                        或授权代表（签字）: </w:t>
      </w:r>
    </w:p>
    <w:p>
      <w:pPr>
        <w:autoSpaceDE w:val="0"/>
        <w:autoSpaceDN w:val="0"/>
        <w:spacing w:line="560" w:lineRule="exact"/>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联系人：                                 联系人：</w:t>
      </w:r>
    </w:p>
    <w:p>
      <w:pPr>
        <w:autoSpaceDE w:val="0"/>
        <w:autoSpaceDN w:val="0"/>
        <w:spacing w:line="560" w:lineRule="exact"/>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约定送达地址：                           约定送达地址：</w:t>
      </w:r>
    </w:p>
    <w:p>
      <w:pPr>
        <w:autoSpaceDE w:val="0"/>
        <w:autoSpaceDN w:val="0"/>
        <w:spacing w:line="560" w:lineRule="exact"/>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邮政编码：                               邮政编码：</w:t>
      </w:r>
    </w:p>
    <w:p>
      <w:pPr>
        <w:autoSpaceDE w:val="0"/>
        <w:autoSpaceDN w:val="0"/>
        <w:spacing w:line="560" w:lineRule="exact"/>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 xml:space="preserve">电话:                                    电话: </w:t>
      </w:r>
    </w:p>
    <w:p>
      <w:pPr>
        <w:autoSpaceDE w:val="0"/>
        <w:autoSpaceDN w:val="0"/>
        <w:spacing w:line="560" w:lineRule="exact"/>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传真:                                    传真:</w:t>
      </w:r>
    </w:p>
    <w:p>
      <w:pPr>
        <w:autoSpaceDE w:val="0"/>
        <w:autoSpaceDN w:val="0"/>
        <w:spacing w:line="56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电子邮箱：                               电子邮箱：</w:t>
      </w:r>
    </w:p>
    <w:p>
      <w:pPr>
        <w:autoSpaceDE w:val="0"/>
        <w:autoSpaceDN w:val="0"/>
        <w:spacing w:line="56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开户银行：                               开户银行： </w:t>
      </w:r>
    </w:p>
    <w:p>
      <w:pPr>
        <w:autoSpaceDE w:val="0"/>
        <w:autoSpaceDN w:val="0"/>
        <w:spacing w:line="56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开户名称：                               开户名称： </w:t>
      </w:r>
    </w:p>
    <w:p>
      <w:pPr>
        <w:autoSpaceDE w:val="0"/>
        <w:autoSpaceDN w:val="0"/>
        <w:spacing w:line="56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开户账号：</w:t>
      </w:r>
      <w:r>
        <w:rPr>
          <w:rFonts w:hint="eastAsia" w:ascii="宋体" w:hAnsi="宋体" w:eastAsia="宋体" w:cs="宋体"/>
          <w:color w:val="000000" w:themeColor="text1"/>
          <w:lang w:val="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开户账号：</w:t>
      </w:r>
    </w:p>
    <w:p>
      <w:pPr>
        <w:spacing w:line="560" w:lineRule="exact"/>
        <w:rPr>
          <w:rFonts w:hint="eastAsia" w:ascii="宋体" w:hAnsi="宋体" w:eastAsia="宋体" w:cs="宋体"/>
          <w:b/>
          <w:color w:val="000000" w:themeColor="text1"/>
          <w14:textFill>
            <w14:solidFill>
              <w14:schemeClr w14:val="tx1"/>
            </w14:solidFill>
          </w14:textFill>
        </w:rPr>
      </w:pPr>
      <w:bookmarkStart w:id="394" w:name="_Toc331685783"/>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第二部分 合同一般条款</w:t>
      </w:r>
      <w:bookmarkEnd w:id="394"/>
    </w:p>
    <w:p>
      <w:pPr>
        <w:pStyle w:val="5"/>
        <w:rPr>
          <w:rFonts w:hint="eastAsia" w:ascii="宋体" w:hAnsi="宋体" w:eastAsia="宋体" w:cs="宋体"/>
          <w:color w:val="000000" w:themeColor="text1"/>
          <w14:textFill>
            <w14:solidFill>
              <w14:schemeClr w14:val="tx1"/>
            </w14:solidFill>
          </w14:textFill>
        </w:rPr>
      </w:pPr>
      <w:bookmarkStart w:id="395" w:name="_Toc16917"/>
      <w:bookmarkStart w:id="396" w:name="_Ref467378404"/>
      <w:bookmarkStart w:id="397" w:name="_Toc259093669"/>
      <w:bookmarkStart w:id="398" w:name="_Ref467379205"/>
      <w:bookmarkStart w:id="399" w:name="_Toc19614"/>
      <w:bookmarkStart w:id="400" w:name="_Toc487900349"/>
      <w:bookmarkStart w:id="401" w:name="_Ref467379109"/>
      <w:bookmarkStart w:id="402" w:name="_Toc28763"/>
      <w:bookmarkStart w:id="403" w:name="_Ref467378463"/>
      <w:bookmarkStart w:id="404" w:name="_Ref467378499"/>
      <w:bookmarkStart w:id="405" w:name="_Ref467379225"/>
      <w:bookmarkStart w:id="406" w:name="_Ref467379214"/>
      <w:bookmarkStart w:id="407" w:name="_Ref467379195"/>
      <w:bookmarkStart w:id="408" w:name="_Toc279701240"/>
      <w:bookmarkStart w:id="409" w:name="_Ref467379101"/>
      <w:bookmarkStart w:id="410" w:name="_Ref467379094"/>
      <w:r>
        <w:rPr>
          <w:rFonts w:hint="eastAsia" w:ascii="宋体" w:hAnsi="宋体" w:eastAsia="宋体" w:cs="宋体"/>
          <w:color w:val="000000" w:themeColor="text1"/>
          <w14:textFill>
            <w14:solidFill>
              <w14:schemeClr w14:val="tx1"/>
            </w14:solidFill>
          </w14:textFill>
        </w:rPr>
        <w:t>2.1 定义</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本合同中的下列词语应按以下内容进行解释：</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2.1.1 “合同”系指采购人和中标供应商签订的载明双方当事人所达成的协议，并包括所有的附件、附录和构成合同的其他文件。</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2.1.2 “合同价”系指根据合同约定，中标供应商在完全履行合同义务后，采购人应支付给中标供应商的价格。</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bookmarkStart w:id="411" w:name="_Ref467378840"/>
      <w:r>
        <w:rPr>
          <w:rFonts w:hint="eastAsia" w:ascii="宋体" w:hAnsi="宋体" w:eastAsia="宋体" w:cs="宋体"/>
          <w:color w:val="000000" w:themeColor="text1"/>
          <w14:textFill>
            <w14:solidFill>
              <w14:schemeClr w14:val="tx1"/>
            </w14:solidFill>
          </w14:textFill>
        </w:rPr>
        <w:t>2.1.4 “甲方”系指与中标供应商签署合同的采购人</w:t>
      </w:r>
      <w:bookmarkEnd w:id="411"/>
      <w:r>
        <w:rPr>
          <w:rFonts w:hint="eastAsia" w:ascii="宋体" w:hAnsi="宋体" w:eastAsia="宋体" w:cs="宋体"/>
          <w:color w:val="000000" w:themeColor="text1"/>
          <w14:textFill>
            <w14:solidFill>
              <w14:schemeClr w14:val="tx1"/>
            </w14:solidFill>
          </w14:textFill>
        </w:rPr>
        <w:t>；采购人委托采购代理机构代表其与乙方签订合同的，采购人的授权委托书作为合同附件。</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bookmarkStart w:id="412" w:name="_Ref467379400"/>
      <w:r>
        <w:rPr>
          <w:rFonts w:hint="eastAsia" w:ascii="宋体" w:hAnsi="宋体" w:eastAsia="宋体" w:cs="宋体"/>
          <w:color w:val="000000" w:themeColor="text1"/>
          <w14:textFill>
            <w14:solidFill>
              <w14:schemeClr w14:val="tx1"/>
            </w14:solidFill>
          </w14:textFill>
        </w:rPr>
        <w:t>2.1.5 “乙方”系指根据合同约定交付货物的中标供应商</w:t>
      </w:r>
      <w:bookmarkEnd w:id="412"/>
      <w:r>
        <w:rPr>
          <w:rFonts w:hint="eastAsia" w:ascii="宋体" w:hAnsi="宋体" w:eastAsia="宋体" w:cs="宋体"/>
          <w:color w:val="000000" w:themeColor="text1"/>
          <w14:textFill>
            <w14:solidFill>
              <w14:schemeClr w14:val="tx1"/>
            </w14:solidFill>
          </w14:textFill>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bookmarkStart w:id="413" w:name="_Ref467379436"/>
      <w:r>
        <w:rPr>
          <w:rFonts w:hint="eastAsia" w:ascii="宋体" w:hAnsi="宋体" w:eastAsia="宋体" w:cs="宋体"/>
          <w:color w:val="000000" w:themeColor="text1"/>
          <w14:textFill>
            <w14:solidFill>
              <w14:schemeClr w14:val="tx1"/>
            </w14:solidFill>
          </w14:textFill>
        </w:rPr>
        <w:t>2.1.6 “现场”系指合同约定货物将要运至或者安装的地点。</w:t>
      </w:r>
      <w:bookmarkEnd w:id="413"/>
    </w:p>
    <w:p>
      <w:pPr>
        <w:pStyle w:val="5"/>
        <w:rPr>
          <w:rFonts w:hint="eastAsia" w:ascii="宋体" w:hAnsi="宋体" w:eastAsia="宋体" w:cs="宋体"/>
          <w:color w:val="000000" w:themeColor="text1"/>
          <w14:textFill>
            <w14:solidFill>
              <w14:schemeClr w14:val="tx1"/>
            </w14:solidFill>
          </w14:textFill>
        </w:rPr>
      </w:pPr>
      <w:bookmarkStart w:id="414" w:name="_Toc279701241"/>
      <w:bookmarkStart w:id="415" w:name="_Toc259093670"/>
      <w:bookmarkStart w:id="416" w:name="_Toc32504"/>
      <w:bookmarkStart w:id="417" w:name="_Toc487900350"/>
      <w:bookmarkStart w:id="418" w:name="_Toc13336"/>
      <w:bookmarkStart w:id="419" w:name="_Toc27635"/>
      <w:r>
        <w:rPr>
          <w:rFonts w:hint="eastAsia" w:ascii="宋体" w:hAnsi="宋体" w:eastAsia="宋体" w:cs="宋体"/>
          <w:color w:val="000000" w:themeColor="text1"/>
          <w14:textFill>
            <w14:solidFill>
              <w14:schemeClr w14:val="tx1"/>
            </w14:solidFill>
          </w14:textFill>
        </w:rPr>
        <w:t>2.2 技术规范</w:t>
      </w:r>
      <w:bookmarkEnd w:id="414"/>
      <w:bookmarkEnd w:id="415"/>
      <w:bookmarkEnd w:id="416"/>
      <w:bookmarkEnd w:id="417"/>
      <w:bookmarkEnd w:id="418"/>
      <w:bookmarkEnd w:id="419"/>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pStyle w:val="5"/>
        <w:rPr>
          <w:rFonts w:hint="eastAsia" w:ascii="宋体" w:hAnsi="宋体" w:eastAsia="宋体" w:cs="宋体"/>
          <w:color w:val="000000" w:themeColor="text1"/>
          <w14:textFill>
            <w14:solidFill>
              <w14:schemeClr w14:val="tx1"/>
            </w14:solidFill>
          </w14:textFill>
        </w:rPr>
      </w:pPr>
      <w:bookmarkStart w:id="420" w:name="_Toc279701242"/>
      <w:bookmarkStart w:id="421" w:name="_Toc9829"/>
      <w:bookmarkStart w:id="422" w:name="_Toc31634"/>
      <w:bookmarkStart w:id="423" w:name="_Toc487900351"/>
      <w:bookmarkStart w:id="424" w:name="_Toc27853"/>
      <w:bookmarkStart w:id="425" w:name="_Toc259093671"/>
      <w:r>
        <w:rPr>
          <w:rFonts w:hint="eastAsia" w:ascii="宋体" w:hAnsi="宋体" w:eastAsia="宋体" w:cs="宋体"/>
          <w:color w:val="000000" w:themeColor="text1"/>
          <w14:textFill>
            <w14:solidFill>
              <w14:schemeClr w14:val="tx1"/>
            </w14:solidFill>
          </w14:textFill>
        </w:rPr>
        <w:t>2.3 知识产权</w:t>
      </w:r>
      <w:bookmarkEnd w:id="420"/>
      <w:bookmarkEnd w:id="421"/>
      <w:bookmarkEnd w:id="422"/>
      <w:bookmarkEnd w:id="423"/>
      <w:bookmarkEnd w:id="424"/>
      <w:bookmarkEnd w:id="425"/>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2.3.2具有知识产权的计算机软件等货物的知识产权归属，详见</w:t>
      </w:r>
      <w:r>
        <w:rPr>
          <w:rFonts w:hint="eastAsia" w:ascii="宋体" w:hAnsi="宋体" w:eastAsia="宋体" w:cs="宋体"/>
          <w:b/>
          <w:i/>
          <w:color w:val="000000" w:themeColor="text1"/>
          <w:u w:val="single"/>
          <w14:textFill>
            <w14:solidFill>
              <w14:schemeClr w14:val="tx1"/>
            </w14:solidFill>
          </w14:textFill>
        </w:rPr>
        <w:t>合同专用条款</w:t>
      </w:r>
      <w:r>
        <w:rPr>
          <w:rFonts w:hint="eastAsia" w:ascii="宋体" w:hAnsi="宋体" w:eastAsia="宋体" w:cs="宋体"/>
          <w:color w:val="000000" w:themeColor="text1"/>
          <w14:textFill>
            <w14:solidFill>
              <w14:schemeClr w14:val="tx1"/>
            </w14:solidFill>
          </w14:textFill>
        </w:rPr>
        <w:t>。</w:t>
      </w:r>
    </w:p>
    <w:p>
      <w:pPr>
        <w:pStyle w:val="5"/>
        <w:rPr>
          <w:rFonts w:hint="eastAsia" w:ascii="宋体" w:hAnsi="宋体" w:eastAsia="宋体" w:cs="宋体"/>
          <w:color w:val="000000" w:themeColor="text1"/>
          <w14:textFill>
            <w14:solidFill>
              <w14:schemeClr w14:val="tx1"/>
            </w14:solidFill>
          </w14:textFill>
        </w:rPr>
      </w:pPr>
      <w:bookmarkStart w:id="426" w:name="_Toc4194"/>
      <w:bookmarkStart w:id="427" w:name="_Toc11932"/>
      <w:bookmarkStart w:id="428" w:name="_Toc29149"/>
      <w:r>
        <w:rPr>
          <w:rFonts w:hint="eastAsia" w:ascii="宋体" w:hAnsi="宋体" w:eastAsia="宋体" w:cs="宋体"/>
          <w:color w:val="000000" w:themeColor="text1"/>
          <w14:textFill>
            <w14:solidFill>
              <w14:schemeClr w14:val="tx1"/>
            </w14:solidFill>
          </w14:textFill>
        </w:rPr>
        <w:t>2.4 包装和装运</w:t>
      </w:r>
      <w:bookmarkEnd w:id="426"/>
      <w:bookmarkEnd w:id="427"/>
      <w:bookmarkEnd w:id="428"/>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2.4.1除</w:t>
      </w:r>
      <w:r>
        <w:rPr>
          <w:rFonts w:hint="eastAsia" w:ascii="宋体" w:hAnsi="宋体" w:eastAsia="宋体" w:cs="宋体"/>
          <w:b/>
          <w:i/>
          <w:color w:val="000000" w:themeColor="text1"/>
          <w:u w:val="single"/>
          <w14:textFill>
            <w14:solidFill>
              <w14:schemeClr w14:val="tx1"/>
            </w14:solidFill>
          </w14:textFill>
        </w:rPr>
        <w:t>合同专用条款</w:t>
      </w:r>
      <w:r>
        <w:rPr>
          <w:rFonts w:hint="eastAsia" w:ascii="宋体" w:hAnsi="宋体" w:eastAsia="宋体" w:cs="宋体"/>
          <w:color w:val="000000" w:themeColor="text1"/>
          <w14:textFill>
            <w14:solidFill>
              <w14:schemeClr w14:val="tx1"/>
            </w14:solidFill>
          </w14:textFill>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2.4.2 装运货物的要求和通知，详见</w:t>
      </w:r>
      <w:r>
        <w:rPr>
          <w:rFonts w:hint="eastAsia" w:ascii="宋体" w:hAnsi="宋体" w:eastAsia="宋体" w:cs="宋体"/>
          <w:b/>
          <w:i/>
          <w:color w:val="000000" w:themeColor="text1"/>
          <w:u w:val="single"/>
          <w14:textFill>
            <w14:solidFill>
              <w14:schemeClr w14:val="tx1"/>
            </w14:solidFill>
          </w14:textFill>
        </w:rPr>
        <w:t>合同专用条款</w:t>
      </w:r>
      <w:r>
        <w:rPr>
          <w:rFonts w:hint="eastAsia" w:ascii="宋体" w:hAnsi="宋体" w:eastAsia="宋体" w:cs="宋体"/>
          <w:color w:val="000000" w:themeColor="text1"/>
          <w14:textFill>
            <w14:solidFill>
              <w14:schemeClr w14:val="tx1"/>
            </w14:solidFill>
          </w14:textFill>
        </w:rPr>
        <w:t>。</w:t>
      </w:r>
    </w:p>
    <w:p>
      <w:pPr>
        <w:pStyle w:val="5"/>
        <w:rPr>
          <w:rFonts w:hint="eastAsia" w:ascii="宋体" w:hAnsi="宋体" w:eastAsia="宋体" w:cs="宋体"/>
          <w:color w:val="000000" w:themeColor="text1"/>
          <w14:textFill>
            <w14:solidFill>
              <w14:schemeClr w14:val="tx1"/>
            </w14:solidFill>
          </w14:textFill>
        </w:rPr>
      </w:pPr>
      <w:bookmarkStart w:id="429" w:name="_Toc259093674"/>
      <w:bookmarkStart w:id="430" w:name="_Ref467379527"/>
      <w:bookmarkStart w:id="431" w:name="_Ref467378541"/>
      <w:bookmarkStart w:id="432" w:name="_Ref467379542"/>
      <w:bookmarkStart w:id="433" w:name="_Toc279701245"/>
      <w:bookmarkStart w:id="434" w:name="_Toc487900354"/>
      <w:bookmarkStart w:id="435" w:name="_Ref467379536"/>
      <w:bookmarkStart w:id="436" w:name="_Ref467378591"/>
      <w:bookmarkStart w:id="437" w:name="_Toc19074"/>
      <w:bookmarkStart w:id="438" w:name="_Toc30272"/>
      <w:bookmarkStart w:id="439" w:name="_Toc26182"/>
      <w:r>
        <w:rPr>
          <w:rFonts w:hint="eastAsia" w:ascii="宋体" w:hAnsi="宋体" w:eastAsia="宋体" w:cs="宋体"/>
          <w:color w:val="000000" w:themeColor="text1"/>
          <w14:textFill>
            <w14:solidFill>
              <w14:schemeClr w14:val="tx1"/>
            </w14:solidFill>
          </w14:textFill>
        </w:rPr>
        <w:t>2.</w:t>
      </w:r>
      <w:bookmarkEnd w:id="429"/>
      <w:bookmarkEnd w:id="430"/>
      <w:bookmarkEnd w:id="431"/>
      <w:bookmarkEnd w:id="432"/>
      <w:bookmarkEnd w:id="433"/>
      <w:bookmarkEnd w:id="434"/>
      <w:bookmarkEnd w:id="435"/>
      <w:bookmarkEnd w:id="436"/>
      <w:r>
        <w:rPr>
          <w:rFonts w:hint="eastAsia" w:ascii="宋体" w:hAnsi="宋体" w:eastAsia="宋体" w:cs="宋体"/>
          <w:color w:val="000000" w:themeColor="text1"/>
          <w14:textFill>
            <w14:solidFill>
              <w14:schemeClr w14:val="tx1"/>
            </w14:solidFill>
          </w14:textFill>
        </w:rPr>
        <w:t>5 履约检查和问题反馈</w:t>
      </w:r>
      <w:bookmarkEnd w:id="437"/>
      <w:bookmarkEnd w:id="438"/>
      <w:bookmarkEnd w:id="439"/>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bookmarkStart w:id="440" w:name="_Ref467379657"/>
      <w:r>
        <w:rPr>
          <w:rFonts w:hint="eastAsia" w:ascii="宋体" w:hAnsi="宋体" w:eastAsia="宋体" w:cs="宋体"/>
          <w:color w:val="000000" w:themeColor="text1"/>
          <w14:textFill>
            <w14:solidFill>
              <w14:schemeClr w14:val="tx1"/>
            </w14:solidFill>
          </w14:textFill>
        </w:rPr>
        <w:t>2.5.1</w:t>
      </w:r>
      <w:bookmarkEnd w:id="440"/>
      <w:bookmarkStart w:id="441" w:name="_Toc186431854"/>
      <w:bookmarkStart w:id="442" w:name="_Ref467379807"/>
      <w:bookmarkStart w:id="443" w:name="_Ref467379793"/>
      <w:bookmarkStart w:id="444" w:name="_Toc487900357"/>
      <w:bookmarkStart w:id="445" w:name="_Toc259093676"/>
      <w:bookmarkStart w:id="446" w:name="_Toc279701247"/>
      <w:r>
        <w:rPr>
          <w:rFonts w:hint="eastAsia" w:ascii="宋体" w:hAnsi="宋体" w:eastAsia="宋体" w:cs="宋体"/>
          <w:color w:val="000000" w:themeColor="text1"/>
          <w14:textFill>
            <w14:solidFill>
              <w14:schemeClr w14:val="tx1"/>
            </w14:solidFill>
          </w14:textFill>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2.5.2 合同履行期间，甲方有权将履行过程中出现的问题反馈给乙方，双方当事人应以书面形式约定需要完善和改进的内容</w:t>
      </w:r>
      <w:bookmarkEnd w:id="441"/>
      <w:bookmarkStart w:id="447" w:name="_Toc186431855"/>
      <w:r>
        <w:rPr>
          <w:rFonts w:hint="eastAsia" w:ascii="宋体" w:hAnsi="宋体" w:eastAsia="宋体" w:cs="宋体"/>
          <w:color w:val="000000" w:themeColor="text1"/>
          <w14:textFill>
            <w14:solidFill>
              <w14:schemeClr w14:val="tx1"/>
            </w14:solidFill>
          </w14:textFill>
        </w:rPr>
        <w:t>。</w:t>
      </w:r>
    </w:p>
    <w:bookmarkEnd w:id="442"/>
    <w:bookmarkEnd w:id="443"/>
    <w:bookmarkEnd w:id="444"/>
    <w:bookmarkEnd w:id="445"/>
    <w:bookmarkEnd w:id="446"/>
    <w:bookmarkEnd w:id="447"/>
    <w:p>
      <w:pPr>
        <w:pStyle w:val="5"/>
        <w:rPr>
          <w:rFonts w:hint="eastAsia" w:ascii="宋体" w:hAnsi="宋体" w:eastAsia="宋体" w:cs="宋体"/>
          <w:color w:val="000000" w:themeColor="text1"/>
          <w14:textFill>
            <w14:solidFill>
              <w14:schemeClr w14:val="tx1"/>
            </w14:solidFill>
          </w14:textFill>
        </w:rPr>
      </w:pPr>
      <w:bookmarkStart w:id="448" w:name="_Ref467379863"/>
      <w:bookmarkStart w:id="449" w:name="_Ref467379923"/>
      <w:bookmarkStart w:id="450" w:name="_Toc487900358"/>
      <w:bookmarkStart w:id="451" w:name="_Ref467379852"/>
      <w:bookmarkStart w:id="452" w:name="_Toc279701248"/>
      <w:bookmarkStart w:id="453" w:name="_Toc259093677"/>
      <w:bookmarkStart w:id="454" w:name="_Toc774"/>
      <w:bookmarkStart w:id="455" w:name="_Toc16110"/>
      <w:bookmarkStart w:id="456" w:name="_Toc3225"/>
      <w:r>
        <w:rPr>
          <w:rFonts w:hint="eastAsia" w:ascii="宋体" w:hAnsi="宋体" w:eastAsia="宋体" w:cs="宋体"/>
          <w:color w:val="000000" w:themeColor="text1"/>
          <w14:textFill>
            <w14:solidFill>
              <w14:schemeClr w14:val="tx1"/>
            </w14:solidFill>
          </w14:textFill>
        </w:rPr>
        <w:t>2.6 技术资料</w:t>
      </w:r>
      <w:bookmarkEnd w:id="448"/>
      <w:bookmarkEnd w:id="449"/>
      <w:bookmarkEnd w:id="450"/>
      <w:bookmarkEnd w:id="451"/>
      <w:bookmarkEnd w:id="452"/>
      <w:bookmarkEnd w:id="453"/>
      <w:r>
        <w:rPr>
          <w:rFonts w:hint="eastAsia" w:ascii="宋体" w:hAnsi="宋体" w:eastAsia="宋体" w:cs="宋体"/>
          <w:color w:val="000000" w:themeColor="text1"/>
          <w14:textFill>
            <w14:solidFill>
              <w14:schemeClr w14:val="tx1"/>
            </w14:solidFill>
          </w14:textFill>
        </w:rPr>
        <w:t>和保密义务</w:t>
      </w:r>
      <w:bookmarkEnd w:id="454"/>
      <w:bookmarkEnd w:id="455"/>
      <w:bookmarkEnd w:id="456"/>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2.6.1 乙方有权依据合同约定和项目需要，向甲方了解有关情况，调阅有关资料等，甲方应予积极配合；</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2.6.2 乙方有义务妥善保管和保护由甲方提供的前款信息和资料等；</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pStyle w:val="5"/>
        <w:rPr>
          <w:rFonts w:hint="eastAsia" w:ascii="宋体" w:hAnsi="宋体" w:eastAsia="宋体" w:cs="宋体"/>
          <w:color w:val="000000" w:themeColor="text1"/>
          <w14:textFill>
            <w14:solidFill>
              <w14:schemeClr w14:val="tx1"/>
            </w14:solidFill>
          </w14:textFill>
        </w:rPr>
      </w:pPr>
      <w:bookmarkStart w:id="457" w:name="_Toc7860"/>
      <w:r>
        <w:rPr>
          <w:rFonts w:hint="eastAsia" w:ascii="宋体" w:hAnsi="宋体" w:eastAsia="宋体" w:cs="宋体"/>
          <w:color w:val="000000" w:themeColor="text1"/>
          <w14:textFill>
            <w14:solidFill>
              <w14:schemeClr w14:val="tx1"/>
            </w14:solidFill>
          </w14:textFill>
        </w:rPr>
        <w:t>2.7 质量保证</w:t>
      </w:r>
      <w:bookmarkEnd w:id="457"/>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2.7.1 乙方应建立和完善履行合同的内部质量保证体系，并提供相关内部规章制度给甲方，以便甲方进行监督检查；</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2.7.2 乙方应保证履行合同的人员数量和素质、软件和硬件设备的配置、场地、环境和设施等满足全面履行合同的要求，并应接受甲方的监督检查。</w:t>
      </w:r>
    </w:p>
    <w:p>
      <w:pPr>
        <w:pStyle w:val="5"/>
        <w:rPr>
          <w:rFonts w:hint="eastAsia" w:ascii="宋体" w:hAnsi="宋体" w:eastAsia="宋体" w:cs="宋体"/>
          <w:color w:val="000000" w:themeColor="text1"/>
          <w14:textFill>
            <w14:solidFill>
              <w14:schemeClr w14:val="tx1"/>
            </w14:solidFill>
          </w14:textFill>
        </w:rPr>
      </w:pPr>
      <w:bookmarkStart w:id="458" w:name="_Toc17244"/>
      <w:bookmarkStart w:id="459" w:name="_Toc259093681"/>
      <w:bookmarkStart w:id="460" w:name="_Toc279701252"/>
      <w:bookmarkStart w:id="461" w:name="_Toc487900362"/>
      <w:r>
        <w:rPr>
          <w:rFonts w:hint="eastAsia" w:ascii="宋体" w:hAnsi="宋体" w:eastAsia="宋体" w:cs="宋体"/>
          <w:color w:val="000000" w:themeColor="text1"/>
          <w14:textFill>
            <w14:solidFill>
              <w14:schemeClr w14:val="tx1"/>
            </w14:solidFill>
          </w14:textFill>
        </w:rPr>
        <w:t>2.8 货物的风险负担</w:t>
      </w:r>
      <w:bookmarkEnd w:id="458"/>
    </w:p>
    <w:p>
      <w:pPr>
        <w:spacing w:line="560" w:lineRule="exact"/>
        <w:ind w:firstLine="480" w:firstLineChars="200"/>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货物或者在途货物或者交付给第一承运人后的货物毁损、灭失的风险负担详见</w:t>
      </w:r>
      <w:r>
        <w:rPr>
          <w:rFonts w:hint="eastAsia" w:ascii="宋体" w:hAnsi="宋体" w:eastAsia="宋体" w:cs="宋体"/>
          <w:b/>
          <w:i/>
          <w:color w:val="000000" w:themeColor="text1"/>
          <w:u w:val="single"/>
          <w14:textFill>
            <w14:solidFill>
              <w14:schemeClr w14:val="tx1"/>
            </w14:solidFill>
          </w14:textFill>
        </w:rPr>
        <w:t>合同专用条款</w:t>
      </w:r>
      <w:r>
        <w:rPr>
          <w:rFonts w:hint="eastAsia" w:ascii="宋体" w:hAnsi="宋体" w:eastAsia="宋体" w:cs="宋体"/>
          <w:color w:val="000000" w:themeColor="text1"/>
          <w14:textFill>
            <w14:solidFill>
              <w14:schemeClr w14:val="tx1"/>
            </w14:solidFill>
          </w14:textFill>
        </w:rPr>
        <w:t>。</w:t>
      </w:r>
    </w:p>
    <w:p>
      <w:pPr>
        <w:pStyle w:val="5"/>
        <w:rPr>
          <w:rFonts w:hint="eastAsia" w:ascii="宋体" w:hAnsi="宋体" w:eastAsia="宋体" w:cs="宋体"/>
          <w:color w:val="000000" w:themeColor="text1"/>
          <w14:textFill>
            <w14:solidFill>
              <w14:schemeClr w14:val="tx1"/>
            </w14:solidFill>
          </w14:textFill>
        </w:rPr>
      </w:pPr>
      <w:bookmarkStart w:id="462" w:name="_Toc14055"/>
      <w:r>
        <w:rPr>
          <w:rFonts w:hint="eastAsia" w:ascii="宋体" w:hAnsi="宋体" w:eastAsia="宋体" w:cs="宋体"/>
          <w:color w:val="000000" w:themeColor="text1"/>
          <w14:textFill>
            <w14:solidFill>
              <w14:schemeClr w14:val="tx1"/>
            </w14:solidFill>
          </w14:textFill>
        </w:rPr>
        <w:t>2.9 延迟交货</w:t>
      </w:r>
      <w:bookmarkEnd w:id="459"/>
      <w:bookmarkEnd w:id="460"/>
      <w:bookmarkEnd w:id="461"/>
      <w:bookmarkEnd w:id="462"/>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pStyle w:val="5"/>
        <w:rPr>
          <w:rFonts w:hint="eastAsia" w:ascii="宋体" w:hAnsi="宋体" w:eastAsia="宋体" w:cs="宋体"/>
          <w:color w:val="000000" w:themeColor="text1"/>
          <w14:textFill>
            <w14:solidFill>
              <w14:schemeClr w14:val="tx1"/>
            </w14:solidFill>
          </w14:textFill>
        </w:rPr>
      </w:pPr>
      <w:bookmarkStart w:id="463" w:name="_Toc7502"/>
      <w:bookmarkStart w:id="464" w:name="_Toc487900364"/>
      <w:bookmarkStart w:id="465" w:name="_Ref467378121"/>
      <w:bookmarkStart w:id="466" w:name="_Toc259093683"/>
      <w:bookmarkStart w:id="467" w:name="_Toc279701254"/>
      <w:r>
        <w:rPr>
          <w:rFonts w:hint="eastAsia" w:ascii="宋体" w:hAnsi="宋体" w:eastAsia="宋体" w:cs="宋体"/>
          <w:color w:val="000000" w:themeColor="text1"/>
          <w14:textFill>
            <w14:solidFill>
              <w14:schemeClr w14:val="tx1"/>
            </w14:solidFill>
          </w14:textFill>
        </w:rPr>
        <w:t>2.10 合同变更</w:t>
      </w:r>
      <w:bookmarkEnd w:id="463"/>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合同继续履行将损害国家利益和社会公共利益的，双方当事人应当以书面形式变更合同。有过错的一方应当承担赔偿责任，双方当事人都有过错的，各自承担相应的责任。</w:t>
      </w:r>
      <w:bookmarkStart w:id="468" w:name="_Toc259093688"/>
      <w:bookmarkStart w:id="469" w:name="_Toc279701259"/>
      <w:bookmarkStart w:id="470" w:name="_Toc487900369"/>
    </w:p>
    <w:p>
      <w:pPr>
        <w:pStyle w:val="5"/>
        <w:rPr>
          <w:rFonts w:hint="eastAsia" w:ascii="宋体" w:hAnsi="宋体" w:eastAsia="宋体" w:cs="宋体"/>
          <w:color w:val="000000" w:themeColor="text1"/>
          <w14:textFill>
            <w14:solidFill>
              <w14:schemeClr w14:val="tx1"/>
            </w14:solidFill>
          </w14:textFill>
        </w:rPr>
      </w:pPr>
      <w:bookmarkStart w:id="471" w:name="_Toc22955"/>
      <w:bookmarkStart w:id="472" w:name="_Toc10366"/>
      <w:bookmarkStart w:id="473" w:name="_Toc15237"/>
      <w:r>
        <w:rPr>
          <w:rFonts w:hint="eastAsia" w:ascii="宋体" w:hAnsi="宋体" w:eastAsia="宋体" w:cs="宋体"/>
          <w:color w:val="000000" w:themeColor="text1"/>
          <w14:textFill>
            <w14:solidFill>
              <w14:schemeClr w14:val="tx1"/>
            </w14:solidFill>
          </w14:textFill>
        </w:rPr>
        <w:t>2.11 合同转让</w:t>
      </w:r>
      <w:bookmarkEnd w:id="468"/>
      <w:bookmarkEnd w:id="469"/>
      <w:bookmarkEnd w:id="470"/>
      <w:r>
        <w:rPr>
          <w:rFonts w:hint="eastAsia" w:ascii="宋体" w:hAnsi="宋体" w:eastAsia="宋体" w:cs="宋体"/>
          <w:color w:val="000000" w:themeColor="text1"/>
          <w14:textFill>
            <w14:solidFill>
              <w14:schemeClr w14:val="tx1"/>
            </w14:solidFill>
          </w14:textFill>
        </w:rPr>
        <w:t>和分包</w:t>
      </w:r>
      <w:bookmarkEnd w:id="471"/>
      <w:bookmarkEnd w:id="472"/>
      <w:bookmarkEnd w:id="473"/>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2.11.2乙方采取分包方式履行合同的，甲方可直接向分包供应商支付款项。</w:t>
      </w:r>
    </w:p>
    <w:p>
      <w:pPr>
        <w:pStyle w:val="5"/>
        <w:rPr>
          <w:rFonts w:hint="eastAsia" w:ascii="宋体" w:hAnsi="宋体" w:eastAsia="宋体" w:cs="宋体"/>
          <w:color w:val="000000" w:themeColor="text1"/>
          <w14:textFill>
            <w14:solidFill>
              <w14:schemeClr w14:val="tx1"/>
            </w14:solidFill>
          </w14:textFill>
        </w:rPr>
      </w:pPr>
      <w:bookmarkStart w:id="474" w:name="_Toc13566"/>
      <w:bookmarkStart w:id="475" w:name="_Toc14066"/>
      <w:bookmarkStart w:id="476" w:name="_Toc16508"/>
      <w:r>
        <w:rPr>
          <w:rFonts w:hint="eastAsia" w:ascii="宋体" w:hAnsi="宋体" w:eastAsia="宋体" w:cs="宋体"/>
          <w:color w:val="000000" w:themeColor="text1"/>
          <w14:textFill>
            <w14:solidFill>
              <w14:schemeClr w14:val="tx1"/>
            </w14:solidFill>
          </w14:textFill>
        </w:rPr>
        <w:t>2.12 不可抗力</w:t>
      </w:r>
      <w:bookmarkEnd w:id="474"/>
      <w:bookmarkEnd w:id="475"/>
      <w:bookmarkEnd w:id="476"/>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2.12.2 因不可抗力致使不能实现合同目的的，当事人可以解除合同；</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2.12.3 因不可抗力致使合同有变更必要的，双方当事人应在</w:t>
      </w:r>
      <w:r>
        <w:rPr>
          <w:rFonts w:hint="eastAsia" w:ascii="宋体" w:hAnsi="宋体" w:eastAsia="宋体" w:cs="宋体"/>
          <w:b/>
          <w:i/>
          <w:color w:val="000000" w:themeColor="text1"/>
          <w:u w:val="single"/>
          <w14:textFill>
            <w14:solidFill>
              <w14:schemeClr w14:val="tx1"/>
            </w14:solidFill>
          </w14:textFill>
        </w:rPr>
        <w:t>合同专用条款</w:t>
      </w:r>
      <w:r>
        <w:rPr>
          <w:rFonts w:hint="eastAsia" w:ascii="宋体" w:hAnsi="宋体" w:eastAsia="宋体" w:cs="宋体"/>
          <w:color w:val="000000" w:themeColor="text1"/>
          <w14:textFill>
            <w14:solidFill>
              <w14:schemeClr w14:val="tx1"/>
            </w14:solidFill>
          </w14:textFill>
        </w:rPr>
        <w:t>约定时间内以书面形式变更合同；</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2.12.4受不可抗力影响的一方在不可抗力发生后，应在</w:t>
      </w:r>
      <w:r>
        <w:rPr>
          <w:rFonts w:hint="eastAsia" w:ascii="宋体" w:hAnsi="宋体" w:eastAsia="宋体" w:cs="宋体"/>
          <w:b/>
          <w:i/>
          <w:color w:val="000000" w:themeColor="text1"/>
          <w:u w:val="single"/>
          <w14:textFill>
            <w14:solidFill>
              <w14:schemeClr w14:val="tx1"/>
            </w14:solidFill>
          </w14:textFill>
        </w:rPr>
        <w:t>合同专用条款</w:t>
      </w:r>
      <w:r>
        <w:rPr>
          <w:rFonts w:hint="eastAsia" w:ascii="宋体" w:hAnsi="宋体" w:eastAsia="宋体" w:cs="宋体"/>
          <w:color w:val="000000" w:themeColor="text1"/>
          <w14:textFill>
            <w14:solidFill>
              <w14:schemeClr w14:val="tx1"/>
            </w14:solidFill>
          </w14:textFill>
        </w:rPr>
        <w:t>约定时间内以书面形式通知对方当事人，并在</w:t>
      </w:r>
      <w:r>
        <w:rPr>
          <w:rFonts w:hint="eastAsia" w:ascii="宋体" w:hAnsi="宋体" w:eastAsia="宋体" w:cs="宋体"/>
          <w:b/>
          <w:i/>
          <w:color w:val="000000" w:themeColor="text1"/>
          <w:u w:val="single"/>
          <w14:textFill>
            <w14:solidFill>
              <w14:schemeClr w14:val="tx1"/>
            </w14:solidFill>
          </w14:textFill>
        </w:rPr>
        <w:t>合同专用条款</w:t>
      </w:r>
      <w:r>
        <w:rPr>
          <w:rFonts w:hint="eastAsia" w:ascii="宋体" w:hAnsi="宋体" w:eastAsia="宋体" w:cs="宋体"/>
          <w:color w:val="000000" w:themeColor="text1"/>
          <w14:textFill>
            <w14:solidFill>
              <w14:schemeClr w14:val="tx1"/>
            </w14:solidFill>
          </w14:textFill>
        </w:rPr>
        <w:t>约定时间内，将有关部门出具的证明文件送达对方当事人。</w:t>
      </w:r>
    </w:p>
    <w:p>
      <w:pPr>
        <w:pStyle w:val="5"/>
        <w:rPr>
          <w:rFonts w:hint="eastAsia" w:ascii="宋体" w:hAnsi="宋体" w:eastAsia="宋体" w:cs="宋体"/>
          <w:color w:val="000000" w:themeColor="text1"/>
          <w14:textFill>
            <w14:solidFill>
              <w14:schemeClr w14:val="tx1"/>
            </w14:solidFill>
          </w14:textFill>
        </w:rPr>
      </w:pPr>
      <w:bookmarkStart w:id="477" w:name="_Toc30676"/>
      <w:bookmarkStart w:id="478" w:name="_Toc487900365"/>
      <w:bookmarkStart w:id="479" w:name="_Toc6969"/>
      <w:bookmarkStart w:id="480" w:name="_Toc279701255"/>
      <w:bookmarkStart w:id="481" w:name="_Toc689"/>
      <w:bookmarkStart w:id="482" w:name="_Toc259093684"/>
      <w:r>
        <w:rPr>
          <w:rFonts w:hint="eastAsia" w:ascii="宋体" w:hAnsi="宋体" w:eastAsia="宋体" w:cs="宋体"/>
          <w:color w:val="000000" w:themeColor="text1"/>
          <w14:textFill>
            <w14:solidFill>
              <w14:schemeClr w14:val="tx1"/>
            </w14:solidFill>
          </w14:textFill>
        </w:rPr>
        <w:t>2.13 税费</w:t>
      </w:r>
      <w:bookmarkEnd w:id="477"/>
      <w:bookmarkEnd w:id="478"/>
      <w:bookmarkEnd w:id="479"/>
      <w:bookmarkEnd w:id="480"/>
      <w:bookmarkEnd w:id="481"/>
      <w:bookmarkEnd w:id="482"/>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与合同有关的一切税费，均按照中华人民共和国法律的相关规定。</w:t>
      </w:r>
    </w:p>
    <w:p>
      <w:pPr>
        <w:pStyle w:val="5"/>
        <w:rPr>
          <w:rFonts w:hint="eastAsia" w:ascii="宋体" w:hAnsi="宋体" w:eastAsia="宋体" w:cs="宋体"/>
          <w:color w:val="000000" w:themeColor="text1"/>
          <w14:textFill>
            <w14:solidFill>
              <w14:schemeClr w14:val="tx1"/>
            </w14:solidFill>
          </w14:textFill>
        </w:rPr>
      </w:pPr>
      <w:bookmarkStart w:id="483" w:name="_Toc259093687"/>
      <w:bookmarkStart w:id="484" w:name="_Toc7102"/>
      <w:bookmarkStart w:id="485" w:name="_Toc487900368"/>
      <w:bookmarkStart w:id="486" w:name="_Toc16959"/>
      <w:bookmarkStart w:id="487" w:name="_Toc8298"/>
      <w:bookmarkStart w:id="488" w:name="_Toc279701258"/>
      <w:r>
        <w:rPr>
          <w:rFonts w:hint="eastAsia" w:ascii="宋体" w:hAnsi="宋体" w:eastAsia="宋体" w:cs="宋体"/>
          <w:color w:val="000000" w:themeColor="text1"/>
          <w14:textFill>
            <w14:solidFill>
              <w14:schemeClr w14:val="tx1"/>
            </w14:solidFill>
          </w14:textFill>
        </w:rPr>
        <w:t>2.14乙方破产</w:t>
      </w:r>
      <w:bookmarkEnd w:id="483"/>
      <w:bookmarkEnd w:id="484"/>
      <w:bookmarkEnd w:id="485"/>
      <w:bookmarkEnd w:id="486"/>
      <w:bookmarkEnd w:id="487"/>
      <w:bookmarkEnd w:id="488"/>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pStyle w:val="5"/>
        <w:rPr>
          <w:rFonts w:hint="eastAsia" w:ascii="宋体" w:hAnsi="宋体" w:eastAsia="宋体" w:cs="宋体"/>
          <w:color w:val="000000" w:themeColor="text1"/>
          <w14:textFill>
            <w14:solidFill>
              <w14:schemeClr w14:val="tx1"/>
            </w14:solidFill>
          </w14:textFill>
        </w:rPr>
      </w:pPr>
      <w:bookmarkStart w:id="489" w:name="_Toc29333"/>
      <w:bookmarkStart w:id="490" w:name="_Toc6134"/>
      <w:bookmarkStart w:id="491" w:name="_Toc15387"/>
      <w:r>
        <w:rPr>
          <w:rFonts w:hint="eastAsia" w:ascii="宋体" w:hAnsi="宋体" w:eastAsia="宋体" w:cs="宋体"/>
          <w:color w:val="000000" w:themeColor="text1"/>
          <w14:textFill>
            <w14:solidFill>
              <w14:schemeClr w14:val="tx1"/>
            </w14:solidFill>
          </w14:textFill>
        </w:rPr>
        <w:t>2.15 合同中止、终止</w:t>
      </w:r>
      <w:bookmarkEnd w:id="489"/>
      <w:bookmarkEnd w:id="490"/>
      <w:bookmarkEnd w:id="491"/>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2.15.1 双方当事人不得擅自中止或者终止合同；</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2.15.2合同继续履行将损害国家利益和社会公共利益的，双方当事人应当中止或者终止合同。有过错的一方应当承担赔偿责任，双方当事人都有过错的，各自承担相应的责任。</w:t>
      </w:r>
    </w:p>
    <w:p>
      <w:pPr>
        <w:pStyle w:val="5"/>
        <w:rPr>
          <w:rFonts w:hint="eastAsia" w:ascii="宋体" w:hAnsi="宋体" w:eastAsia="宋体" w:cs="宋体"/>
          <w:color w:val="000000" w:themeColor="text1"/>
          <w14:textFill>
            <w14:solidFill>
              <w14:schemeClr w14:val="tx1"/>
            </w14:solidFill>
          </w14:textFill>
        </w:rPr>
      </w:pPr>
      <w:bookmarkStart w:id="492" w:name="_Toc14563"/>
      <w:bookmarkStart w:id="493" w:name="_Toc6596"/>
      <w:bookmarkStart w:id="494" w:name="_Toc1125"/>
      <w:r>
        <w:rPr>
          <w:rFonts w:hint="eastAsia" w:ascii="宋体" w:hAnsi="宋体" w:eastAsia="宋体" w:cs="宋体"/>
          <w:color w:val="000000" w:themeColor="text1"/>
          <w14:textFill>
            <w14:solidFill>
              <w14:schemeClr w14:val="tx1"/>
            </w14:solidFill>
          </w14:textFill>
        </w:rPr>
        <w:t>2.16检验和验收</w:t>
      </w:r>
      <w:bookmarkEnd w:id="492"/>
      <w:bookmarkEnd w:id="493"/>
      <w:bookmarkEnd w:id="494"/>
    </w:p>
    <w:p>
      <w:pPr>
        <w:tabs>
          <w:tab w:val="left" w:pos="360"/>
          <w:tab w:val="left" w:pos="540"/>
          <w:tab w:val="left" w:pos="1080"/>
        </w:tabs>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2.16.1货物交付前，乙方应对货物的质量、数量等方面进行详细、全面的检验，并向甲方出具证明货物符合合同约定的文件；货物交付时，乙方在</w:t>
      </w:r>
      <w:r>
        <w:rPr>
          <w:rFonts w:hint="eastAsia" w:ascii="宋体" w:hAnsi="宋体" w:eastAsia="宋体" w:cs="宋体"/>
          <w:b/>
          <w:i/>
          <w:color w:val="000000" w:themeColor="text1"/>
          <w:u w:val="single"/>
          <w14:textFill>
            <w14:solidFill>
              <w14:schemeClr w14:val="tx1"/>
            </w14:solidFill>
          </w14:textFill>
        </w:rPr>
        <w:t>合同专用条款</w:t>
      </w:r>
      <w:r>
        <w:rPr>
          <w:rFonts w:hint="eastAsia" w:ascii="宋体" w:hAnsi="宋体" w:eastAsia="宋体" w:cs="宋体"/>
          <w:color w:val="000000" w:themeColor="text1"/>
          <w14:textFill>
            <w14:solidFill>
              <w14:schemeClr w14:val="tx1"/>
            </w14:solidFill>
          </w14:textFill>
        </w:rPr>
        <w:t>约定时间内组织验收，并可依法邀请相关方参加，验收应出具验收书。</w:t>
      </w:r>
    </w:p>
    <w:p>
      <w:pPr>
        <w:tabs>
          <w:tab w:val="left" w:pos="360"/>
          <w:tab w:val="left" w:pos="540"/>
          <w:tab w:val="left" w:pos="1080"/>
        </w:tabs>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2.16.3 检验和验收标准、程序等具体内容以及前述验收书的效力详见</w:t>
      </w:r>
      <w:r>
        <w:rPr>
          <w:rFonts w:hint="eastAsia" w:ascii="宋体" w:hAnsi="宋体" w:eastAsia="宋体" w:cs="宋体"/>
          <w:b/>
          <w:i/>
          <w:color w:val="000000" w:themeColor="text1"/>
          <w:u w:val="single"/>
          <w14:textFill>
            <w14:solidFill>
              <w14:schemeClr w14:val="tx1"/>
            </w14:solidFill>
          </w14:textFill>
        </w:rPr>
        <w:t>合同专用条款</w:t>
      </w:r>
      <w:r>
        <w:rPr>
          <w:rFonts w:hint="eastAsia" w:ascii="宋体" w:hAnsi="宋体" w:eastAsia="宋体" w:cs="宋体"/>
          <w:i/>
          <w:color w:val="000000" w:themeColor="text1"/>
          <w14:textFill>
            <w14:solidFill>
              <w14:schemeClr w14:val="tx1"/>
            </w14:solidFill>
          </w14:textFill>
        </w:rPr>
        <w:t>。</w:t>
      </w:r>
    </w:p>
    <w:bookmarkEnd w:id="464"/>
    <w:bookmarkEnd w:id="465"/>
    <w:bookmarkEnd w:id="466"/>
    <w:bookmarkEnd w:id="467"/>
    <w:p>
      <w:pPr>
        <w:pStyle w:val="5"/>
        <w:rPr>
          <w:rFonts w:hint="eastAsia" w:ascii="宋体" w:hAnsi="宋体" w:eastAsia="宋体" w:cs="宋体"/>
          <w:color w:val="000000" w:themeColor="text1"/>
          <w14:textFill>
            <w14:solidFill>
              <w14:schemeClr w14:val="tx1"/>
            </w14:solidFill>
          </w14:textFill>
        </w:rPr>
      </w:pPr>
      <w:bookmarkStart w:id="495" w:name="_Toc487900371"/>
      <w:bookmarkStart w:id="496" w:name="_Toc259093690"/>
      <w:bookmarkStart w:id="497" w:name="_Toc279701261"/>
      <w:bookmarkStart w:id="498" w:name="_Toc19604"/>
      <w:bookmarkStart w:id="499" w:name="_Toc25182"/>
      <w:bookmarkStart w:id="500" w:name="_Toc11284"/>
      <w:r>
        <w:rPr>
          <w:rFonts w:hint="eastAsia" w:ascii="宋体" w:hAnsi="宋体" w:eastAsia="宋体" w:cs="宋体"/>
          <w:color w:val="000000" w:themeColor="text1"/>
          <w14:textFill>
            <w14:solidFill>
              <w14:schemeClr w14:val="tx1"/>
            </w14:solidFill>
          </w14:textFill>
        </w:rPr>
        <w:t>2.17 通知</w:t>
      </w:r>
      <w:bookmarkEnd w:id="495"/>
      <w:bookmarkEnd w:id="496"/>
      <w:bookmarkEnd w:id="497"/>
      <w:r>
        <w:rPr>
          <w:rFonts w:hint="eastAsia" w:ascii="宋体" w:hAnsi="宋体" w:eastAsia="宋体" w:cs="宋体"/>
          <w:color w:val="000000" w:themeColor="text1"/>
          <w14:textFill>
            <w14:solidFill>
              <w14:schemeClr w14:val="tx1"/>
            </w14:solidFill>
          </w14:textFill>
        </w:rPr>
        <w:t>和送达</w:t>
      </w:r>
      <w:bookmarkEnd w:id="498"/>
      <w:bookmarkEnd w:id="499"/>
      <w:bookmarkEnd w:id="500"/>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bookmarkStart w:id="501" w:name="_Toc3135"/>
      <w:bookmarkStart w:id="502" w:name="_Toc6698"/>
      <w:bookmarkStart w:id="503" w:name="_Toc487900372"/>
      <w:bookmarkStart w:id="504" w:name="_Toc259093691"/>
      <w:bookmarkStart w:id="505" w:name="_Toc279701262"/>
      <w:r>
        <w:rPr>
          <w:rFonts w:hint="eastAsia" w:ascii="宋体" w:hAnsi="宋体" w:eastAsia="宋体" w:cs="宋体"/>
          <w:color w:val="000000" w:themeColor="text1"/>
          <w14:textFill>
            <w14:solidFill>
              <w14:schemeClr w14:val="tx1"/>
            </w14:solidFill>
          </w14:textFill>
        </w:rPr>
        <w:t xml:space="preserve">2.17.1任何一方因履行合同而以合同第一部分尾部所列明的传真或电子邮件 </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发出的所有通知、文件、材料，均视为已向对方当事人送达；任何一方变更上述送达方式或者地址的，应于</w:t>
      </w:r>
      <w:r>
        <w:rPr>
          <w:rFonts w:hint="eastAsia" w:ascii="宋体" w:hAnsi="宋体" w:eastAsia="宋体" w:cs="宋体"/>
          <w:color w:val="000000" w:themeColor="text1"/>
          <w:u w:val="single"/>
          <w14:textFill>
            <w14:solidFill>
              <w14:schemeClr w14:val="tx1"/>
            </w14:solidFill>
          </w14:textFill>
        </w:rPr>
        <w:t>3</w:t>
      </w:r>
      <w:r>
        <w:rPr>
          <w:rFonts w:hint="eastAsia" w:ascii="宋体" w:hAnsi="宋体" w:eastAsia="宋体" w:cs="宋体"/>
          <w:color w:val="000000" w:themeColor="text1"/>
          <w14:textFill>
            <w14:solidFill>
              <w14:schemeClr w14:val="tx1"/>
            </w14:solidFill>
          </w14:textFill>
        </w:rPr>
        <w:t>个工作日内书面通知对方当事人，在对方当事人收到有关变更通知之前，变更前的约定送达方式或者地址仍视为有效。</w:t>
      </w:r>
      <w:bookmarkEnd w:id="501"/>
      <w:bookmarkEnd w:id="502"/>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bookmarkStart w:id="506" w:name="_Toc23294"/>
      <w:bookmarkStart w:id="507" w:name="_Toc23128"/>
      <w:r>
        <w:rPr>
          <w:rFonts w:hint="eastAsia" w:ascii="宋体" w:hAnsi="宋体" w:eastAsia="宋体" w:cs="宋体"/>
          <w:color w:val="000000" w:themeColor="text1"/>
          <w14:textFill>
            <w14:solidFill>
              <w14:schemeClr w14:val="tx1"/>
            </w14:solidFill>
          </w14:textFill>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06"/>
      <w:bookmarkEnd w:id="507"/>
    </w:p>
    <w:p>
      <w:pPr>
        <w:pStyle w:val="5"/>
        <w:rPr>
          <w:rFonts w:hint="eastAsia" w:ascii="宋体" w:hAnsi="宋体" w:eastAsia="宋体" w:cs="宋体"/>
          <w:color w:val="000000" w:themeColor="text1"/>
          <w14:textFill>
            <w14:solidFill>
              <w14:schemeClr w14:val="tx1"/>
            </w14:solidFill>
          </w14:textFill>
        </w:rPr>
      </w:pPr>
      <w:bookmarkStart w:id="508" w:name="_Toc30599"/>
      <w:bookmarkStart w:id="509" w:name="_Toc18540"/>
      <w:bookmarkStart w:id="510" w:name="_Toc4355"/>
      <w:r>
        <w:rPr>
          <w:rFonts w:hint="eastAsia" w:ascii="宋体" w:hAnsi="宋体" w:eastAsia="宋体" w:cs="宋体"/>
          <w:color w:val="000000" w:themeColor="text1"/>
          <w14:textFill>
            <w14:solidFill>
              <w14:schemeClr w14:val="tx1"/>
            </w14:solidFill>
          </w14:textFill>
        </w:rPr>
        <w:t>2.18 计量单位</w:t>
      </w:r>
      <w:bookmarkEnd w:id="503"/>
      <w:bookmarkEnd w:id="504"/>
      <w:bookmarkEnd w:id="505"/>
      <w:bookmarkEnd w:id="508"/>
      <w:bookmarkEnd w:id="509"/>
      <w:bookmarkEnd w:id="510"/>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除技术规范中另有规定外,合同的计量单位均使用国家法定计量单位。</w:t>
      </w:r>
    </w:p>
    <w:p>
      <w:pPr>
        <w:pStyle w:val="5"/>
        <w:rPr>
          <w:rFonts w:hint="eastAsia" w:ascii="宋体" w:hAnsi="宋体" w:eastAsia="宋体" w:cs="宋体"/>
          <w:color w:val="000000" w:themeColor="text1"/>
          <w14:textFill>
            <w14:solidFill>
              <w14:schemeClr w14:val="tx1"/>
            </w14:solidFill>
          </w14:textFill>
        </w:rPr>
      </w:pPr>
      <w:bookmarkStart w:id="511" w:name="_Toc259093692"/>
      <w:bookmarkStart w:id="512" w:name="_Toc12773"/>
      <w:bookmarkStart w:id="513" w:name="_Toc18567"/>
      <w:bookmarkStart w:id="514" w:name="_Toc487900373"/>
      <w:bookmarkStart w:id="515" w:name="_Toc10330"/>
      <w:bookmarkStart w:id="516" w:name="_Toc279701263"/>
      <w:r>
        <w:rPr>
          <w:rFonts w:hint="eastAsia" w:ascii="宋体" w:hAnsi="宋体" w:eastAsia="宋体" w:cs="宋体"/>
          <w:color w:val="000000" w:themeColor="text1"/>
          <w14:textFill>
            <w14:solidFill>
              <w14:schemeClr w14:val="tx1"/>
            </w14:solidFill>
          </w14:textFill>
        </w:rPr>
        <w:t>2.19 合同使用的文字和适用的法律</w:t>
      </w:r>
      <w:bookmarkEnd w:id="511"/>
      <w:bookmarkEnd w:id="512"/>
      <w:bookmarkEnd w:id="513"/>
      <w:bookmarkEnd w:id="514"/>
      <w:bookmarkEnd w:id="515"/>
      <w:bookmarkEnd w:id="516"/>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2.19.1 合同使用汉语书就、变更和解释；</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2.19.2 合同适用中华人民共和国法律。</w:t>
      </w:r>
    </w:p>
    <w:p>
      <w:pPr>
        <w:pStyle w:val="5"/>
        <w:rPr>
          <w:rFonts w:hint="eastAsia" w:ascii="宋体" w:hAnsi="宋体" w:eastAsia="宋体" w:cs="宋体"/>
          <w:color w:val="000000" w:themeColor="text1"/>
          <w14:textFill>
            <w14:solidFill>
              <w14:schemeClr w14:val="tx1"/>
            </w14:solidFill>
          </w14:textFill>
        </w:rPr>
      </w:pPr>
      <w:bookmarkStart w:id="517" w:name="_Toc3148"/>
      <w:bookmarkStart w:id="518" w:name="_Toc259093693"/>
      <w:bookmarkStart w:id="519" w:name="_Toc279701264"/>
      <w:bookmarkStart w:id="520" w:name="_Toc12004"/>
      <w:bookmarkStart w:id="521" w:name="_Toc16673"/>
      <w:bookmarkStart w:id="522" w:name="_Toc487900374"/>
      <w:r>
        <w:rPr>
          <w:rFonts w:hint="eastAsia" w:ascii="宋体" w:hAnsi="宋体" w:eastAsia="宋体" w:cs="宋体"/>
          <w:color w:val="000000" w:themeColor="text1"/>
          <w14:textFill>
            <w14:solidFill>
              <w14:schemeClr w14:val="tx1"/>
            </w14:solidFill>
          </w14:textFill>
        </w:rPr>
        <w:t>2.20 履约保证金</w:t>
      </w:r>
      <w:bookmarkEnd w:id="517"/>
      <w:bookmarkEnd w:id="518"/>
      <w:bookmarkEnd w:id="519"/>
      <w:bookmarkEnd w:id="520"/>
      <w:bookmarkEnd w:id="521"/>
    </w:p>
    <w:p>
      <w:pPr>
        <w:pStyle w:val="72"/>
        <w:spacing w:before="0" w:beforeAutospacing="0" w:after="0" w:afterAutospacing="0" w:line="360" w:lineRule="auto"/>
        <w:ind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2.20.1 采购文件要求乙方提交履约保证金的，乙方应按</w:t>
      </w:r>
      <w:r>
        <w:rPr>
          <w:rFonts w:hint="eastAsia" w:ascii="宋体" w:hAnsi="宋体" w:eastAsia="宋体" w:cs="宋体"/>
          <w:b/>
          <w:i/>
          <w:color w:val="000000" w:themeColor="text1"/>
          <w:u w:val="single"/>
          <w14:textFill>
            <w14:solidFill>
              <w14:schemeClr w14:val="tx1"/>
            </w14:solidFill>
          </w14:textFill>
        </w:rPr>
        <w:t>合同专用条款</w:t>
      </w:r>
      <w:r>
        <w:rPr>
          <w:rFonts w:hint="eastAsia" w:ascii="宋体" w:hAnsi="宋体" w:eastAsia="宋体" w:cs="宋体"/>
          <w:color w:val="000000" w:themeColor="text1"/>
          <w14:textFill>
            <w14:solidFill>
              <w14:schemeClr w14:val="tx1"/>
            </w14:solidFill>
          </w14:textFill>
        </w:rPr>
        <w:t>约定的方式，以支票、汇票、本票或者金融机构、担保机构出具的保函等非现金形式，提交不超过合同金额</w:t>
      </w:r>
      <w:r>
        <w:rPr>
          <w:rFonts w:hint="eastAsia" w:ascii="宋体" w:hAnsi="宋体" w:eastAsia="宋体" w:cs="宋体"/>
          <w:color w:val="000000" w:themeColor="text1"/>
          <w:highlight w:val="yellow"/>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的履约保证金；鼓励和支持乙方以银行、保险公司出具的保函形式提供履约保证，</w:t>
      </w:r>
      <w:r>
        <w:rPr>
          <w:rFonts w:hint="eastAsia" w:ascii="宋体" w:hAnsi="宋体" w:eastAsia="宋体" w:cs="宋体"/>
          <w:color w:val="000000" w:themeColor="text1"/>
          <w:highlight w:val="yellow"/>
          <w14:textFill>
            <w14:solidFill>
              <w14:schemeClr w14:val="tx1"/>
            </w14:solidFill>
          </w14:textFill>
        </w:rPr>
        <w:t>乙方以银行、保险公司出具保函形式提交履约保证金的，甲方不得拒收。</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2.20.2  </w:t>
      </w:r>
      <w:r>
        <w:rPr>
          <w:rFonts w:hint="eastAsia" w:ascii="宋体" w:hAnsi="宋体" w:eastAsia="宋体" w:cs="宋体"/>
          <w:color w:val="000000" w:themeColor="text1"/>
          <w:highlight w:val="yellow"/>
          <w14:textFill>
            <w14:solidFill>
              <w14:schemeClr w14:val="tx1"/>
            </w14:solidFill>
          </w14:textFill>
        </w:rPr>
        <w:t>甲方在项目验收结束后及时退还履约保证金</w:t>
      </w:r>
      <w:r>
        <w:rPr>
          <w:rFonts w:hint="eastAsia" w:ascii="宋体" w:hAnsi="宋体" w:eastAsia="宋体" w:cs="宋体"/>
          <w:color w:val="000000" w:themeColor="text1"/>
          <w14:textFill>
            <w14:solidFill>
              <w14:schemeClr w14:val="tx1"/>
            </w14:solidFill>
          </w14:textFill>
        </w:rPr>
        <w:t>。甲方在</w:t>
      </w:r>
      <w:r>
        <w:rPr>
          <w:rFonts w:hint="eastAsia" w:ascii="宋体" w:hAnsi="宋体" w:eastAsia="宋体" w:cs="宋体"/>
          <w:color w:val="000000" w:themeColor="text1"/>
          <w:highlight w:val="yellow"/>
          <w14:textFill>
            <w14:solidFill>
              <w14:schemeClr w14:val="tx1"/>
            </w14:solidFill>
          </w14:textFill>
        </w:rPr>
        <w:t>项目通过验收</w:t>
      </w:r>
      <w:r>
        <w:rPr>
          <w:rFonts w:hint="eastAsia" w:ascii="宋体" w:hAnsi="宋体" w:eastAsia="宋体" w:cs="宋体"/>
          <w:color w:val="000000" w:themeColor="text1"/>
          <w14:textFill>
            <w14:solidFill>
              <w14:schemeClr w14:val="tx1"/>
            </w14:solidFill>
          </w14:textFill>
        </w:rPr>
        <w:t>之日起</w:t>
      </w:r>
      <w:r>
        <w:rPr>
          <w:rFonts w:hint="eastAsia" w:ascii="宋体" w:hAnsi="宋体" w:eastAsia="宋体" w:cs="宋体"/>
          <w:color w:val="000000" w:themeColor="text1"/>
          <w:u w:val="single"/>
          <w14:textFill>
            <w14:solidFill>
              <w14:schemeClr w14:val="tx1"/>
            </w14:solidFill>
          </w14:textFill>
        </w:rPr>
        <w:t xml:space="preserve"> 5 </w:t>
      </w:r>
      <w:r>
        <w:rPr>
          <w:rFonts w:hint="eastAsia" w:ascii="宋体" w:hAnsi="宋体" w:eastAsia="宋体" w:cs="宋体"/>
          <w:color w:val="000000" w:themeColor="text1"/>
          <w14:textFill>
            <w14:solidFill>
              <w14:schemeClr w14:val="tx1"/>
            </w14:solidFill>
          </w14:textFill>
        </w:rPr>
        <w:t>个工作日内，按</w:t>
      </w:r>
      <w:r>
        <w:rPr>
          <w:rFonts w:hint="eastAsia" w:ascii="宋体" w:hAnsi="宋体" w:eastAsia="宋体" w:cs="宋体"/>
          <w:b/>
          <w:i/>
          <w:color w:val="000000" w:themeColor="text1"/>
          <w:u w:val="single"/>
          <w14:textFill>
            <w14:solidFill>
              <w14:schemeClr w14:val="tx1"/>
            </w14:solidFill>
          </w14:textFill>
        </w:rPr>
        <w:t>合同专用条款</w:t>
      </w:r>
      <w:r>
        <w:rPr>
          <w:rFonts w:hint="eastAsia" w:ascii="宋体" w:hAnsi="宋体" w:eastAsia="宋体" w:cs="宋体"/>
          <w:color w:val="000000" w:themeColor="text1"/>
          <w14:textFill>
            <w14:solidFill>
              <w14:schemeClr w14:val="tx1"/>
            </w14:solidFill>
          </w14:textFill>
        </w:rPr>
        <w:t>约定的方式将履约保证金退还乙方，逾期退还的，乙方可要求甲方支付违约金，违约金按每迟延退还一日的应退还而未退还金额的</w:t>
      </w:r>
      <w:r>
        <w:rPr>
          <w:rFonts w:hint="eastAsia" w:ascii="宋体" w:hAnsi="宋体" w:eastAsia="宋体" w:cs="宋体"/>
          <w:color w:val="000000" w:themeColor="text1"/>
          <w:u w:val="single"/>
          <w14:textFill>
            <w14:solidFill>
              <w14:schemeClr w14:val="tx1"/>
            </w14:solidFill>
          </w14:textFill>
        </w:rPr>
        <w:t xml:space="preserve">  0.05  </w:t>
      </w:r>
      <w:r>
        <w:rPr>
          <w:rFonts w:hint="eastAsia" w:ascii="宋体" w:hAnsi="宋体" w:eastAsia="宋体" w:cs="宋体"/>
          <w:color w:val="000000" w:themeColor="text1"/>
          <w14:textFill>
            <w14:solidFill>
              <w14:schemeClr w14:val="tx1"/>
            </w14:solidFill>
          </w14:textFill>
        </w:rPr>
        <w:t>%计算，最高限额为本合同履约保证金的</w:t>
      </w:r>
      <w:r>
        <w:rPr>
          <w:rFonts w:hint="eastAsia" w:ascii="宋体" w:hAnsi="宋体" w:eastAsia="宋体" w:cs="宋体"/>
          <w:color w:val="000000" w:themeColor="text1"/>
          <w:u w:val="single"/>
          <w14:textFill>
            <w14:solidFill>
              <w14:schemeClr w14:val="tx1"/>
            </w14:solidFill>
          </w14:textFill>
        </w:rPr>
        <w:t xml:space="preserve">  20   </w:t>
      </w:r>
      <w:r>
        <w:rPr>
          <w:rFonts w:hint="eastAsia" w:ascii="宋体" w:hAnsi="宋体" w:eastAsia="宋体" w:cs="宋体"/>
          <w:color w:val="000000" w:themeColor="text1"/>
          <w14:textFill>
            <w14:solidFill>
              <w14:schemeClr w14:val="tx1"/>
            </w14:solidFill>
          </w14:textFill>
        </w:rPr>
        <w:t xml:space="preserve">%； </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2.20.4 甲方根据杭州市政府采购网公布的供应商履约评价情况减免履约保证金。乙方履约验收评价总分为100分的，甲方免收履约保证金。</w:t>
      </w:r>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2.20.5甲方在乙方履行完合同约定义务事项后及时退还，延迟退还的，应当按照合同约定和法律规定承担相应的赔偿责任。</w:t>
      </w:r>
    </w:p>
    <w:p>
      <w:pPr>
        <w:pStyle w:val="5"/>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2.21对于因甲方原因导致变更、中止或者终止政府采购合同的，甲方应当依照合同约定对供应商受到的损失予以赔偿或者补偿。</w:t>
      </w:r>
    </w:p>
    <w:bookmarkEnd w:id="522"/>
    <w:p>
      <w:pPr>
        <w:pStyle w:val="5"/>
        <w:rPr>
          <w:rFonts w:hint="eastAsia" w:ascii="宋体" w:hAnsi="宋体" w:eastAsia="宋体" w:cs="宋体"/>
          <w:color w:val="000000" w:themeColor="text1"/>
          <w14:textFill>
            <w14:solidFill>
              <w14:schemeClr w14:val="tx1"/>
            </w14:solidFill>
          </w14:textFill>
        </w:rPr>
      </w:pPr>
      <w:bookmarkStart w:id="523" w:name="_Toc6885"/>
      <w:bookmarkStart w:id="524" w:name="_Toc14001"/>
      <w:bookmarkStart w:id="525" w:name="_Toc19890"/>
      <w:r>
        <w:rPr>
          <w:rFonts w:hint="eastAsia" w:ascii="宋体" w:hAnsi="宋体" w:eastAsia="宋体" w:cs="宋体"/>
          <w:color w:val="000000" w:themeColor="text1"/>
          <w14:textFill>
            <w14:solidFill>
              <w14:schemeClr w14:val="tx1"/>
            </w14:solidFill>
          </w14:textFill>
        </w:rPr>
        <w:t>2.22合同份数</w:t>
      </w:r>
      <w:bookmarkEnd w:id="523"/>
      <w:bookmarkEnd w:id="524"/>
      <w:bookmarkEnd w:id="525"/>
    </w:p>
    <w:p>
      <w:pPr>
        <w:spacing w:line="560" w:lineRule="exact"/>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合同份数按</w:t>
      </w:r>
      <w:r>
        <w:rPr>
          <w:rFonts w:hint="eastAsia" w:ascii="宋体" w:hAnsi="宋体" w:eastAsia="宋体" w:cs="宋体"/>
          <w:b/>
          <w:i/>
          <w:color w:val="000000" w:themeColor="text1"/>
          <w:u w:val="single"/>
          <w14:textFill>
            <w14:solidFill>
              <w14:schemeClr w14:val="tx1"/>
            </w14:solidFill>
          </w14:textFill>
        </w:rPr>
        <w:t>合同专用条款</w:t>
      </w:r>
      <w:r>
        <w:rPr>
          <w:rFonts w:hint="eastAsia" w:ascii="宋体" w:hAnsi="宋体" w:eastAsia="宋体" w:cs="宋体"/>
          <w:color w:val="000000" w:themeColor="text1"/>
          <w14:textFill>
            <w14:solidFill>
              <w14:schemeClr w14:val="tx1"/>
            </w14:solidFill>
          </w14:textFill>
        </w:rPr>
        <w:t>规定，每份均具有同等法律效力。</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第三部分  合同专用条款</w:t>
      </w:r>
    </w:p>
    <w:p>
      <w:pPr>
        <w:spacing w:line="560" w:lineRule="exact"/>
        <w:ind w:left="-480" w:leftChars="-200" w:right="-480" w:rightChars="-200"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5"/>
        <w:tblW w:w="527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31"/>
        <w:gridCol w:w="80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86" w:hRule="atLeast"/>
        </w:trPr>
        <w:tc>
          <w:tcPr>
            <w:tcW w:w="466" w:type="pct"/>
            <w:tcBorders>
              <w:left w:val="single" w:color="auto" w:sz="4" w:space="0"/>
            </w:tcBorders>
            <w:vAlign w:val="center"/>
          </w:tcPr>
          <w:p>
            <w:pPr>
              <w:spacing w:line="360" w:lineRule="auto"/>
              <w:jc w:val="cente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条款号</w:t>
            </w:r>
          </w:p>
        </w:tc>
        <w:tc>
          <w:tcPr>
            <w:tcW w:w="4534" w:type="pct"/>
            <w:vAlign w:val="center"/>
          </w:tcPr>
          <w:p>
            <w:pPr>
              <w:spacing w:line="360" w:lineRule="auto"/>
              <w:jc w:val="cente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1.4.4</w:t>
            </w:r>
          </w:p>
        </w:tc>
        <w:tc>
          <w:tcPr>
            <w:tcW w:w="4534" w:type="pct"/>
            <w:vAlign w:val="center"/>
          </w:tcPr>
          <w:p>
            <w:pPr>
              <w:spacing w:line="360" w:lineRule="auto"/>
              <w:rPr>
                <w:rFonts w:hint="eastAsia" w:ascii="宋体" w:hAnsi="宋体" w:eastAsia="宋体" w:cs="宋体"/>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1.5.1 </w:t>
            </w:r>
          </w:p>
        </w:tc>
        <w:tc>
          <w:tcPr>
            <w:tcW w:w="4534" w:type="pct"/>
            <w:vAlign w:val="center"/>
          </w:tcPr>
          <w:p>
            <w:pPr>
              <w:spacing w:line="360" w:lineRule="auto"/>
              <w:rPr>
                <w:rFonts w:hint="eastAsia" w:ascii="宋体" w:hAnsi="宋体" w:eastAsia="宋体" w:cs="宋体"/>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1.5.2</w:t>
            </w:r>
          </w:p>
        </w:tc>
        <w:tc>
          <w:tcPr>
            <w:tcW w:w="4534" w:type="pct"/>
            <w:vAlign w:val="center"/>
          </w:tcPr>
          <w:p>
            <w:pPr>
              <w:spacing w:line="360" w:lineRule="auto"/>
              <w:rPr>
                <w:rFonts w:hint="eastAsia" w:ascii="宋体" w:hAnsi="宋体" w:eastAsia="宋体" w:cs="宋体"/>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1.5.3 </w:t>
            </w:r>
          </w:p>
        </w:tc>
        <w:tc>
          <w:tcPr>
            <w:tcW w:w="4534" w:type="pct"/>
            <w:vAlign w:val="center"/>
          </w:tcPr>
          <w:p>
            <w:pPr>
              <w:spacing w:line="360" w:lineRule="auto"/>
              <w:rPr>
                <w:rFonts w:hint="eastAsia" w:ascii="宋体" w:hAnsi="宋体" w:eastAsia="宋体" w:cs="宋体"/>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1.6.7</w:t>
            </w:r>
          </w:p>
        </w:tc>
        <w:tc>
          <w:tcPr>
            <w:tcW w:w="4534" w:type="pct"/>
            <w:vAlign w:val="center"/>
          </w:tcPr>
          <w:p>
            <w:pPr>
              <w:spacing w:line="360" w:lineRule="auto"/>
              <w:rPr>
                <w:rFonts w:hint="eastAsia" w:ascii="宋体" w:hAnsi="宋体" w:eastAsia="宋体" w:cs="宋体"/>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1.7</w:t>
            </w:r>
          </w:p>
        </w:tc>
        <w:tc>
          <w:tcPr>
            <w:tcW w:w="4534" w:type="pct"/>
            <w:vAlign w:val="center"/>
          </w:tcPr>
          <w:p>
            <w:pPr>
              <w:spacing w:line="360" w:lineRule="auto"/>
              <w:rPr>
                <w:rFonts w:hint="eastAsia" w:ascii="宋体" w:hAnsi="宋体" w:eastAsia="宋体" w:cs="宋体"/>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1.7.1</w:t>
            </w:r>
          </w:p>
        </w:tc>
        <w:tc>
          <w:tcPr>
            <w:tcW w:w="4534" w:type="pct"/>
            <w:vAlign w:val="center"/>
          </w:tcPr>
          <w:p>
            <w:pPr>
              <w:spacing w:line="360" w:lineRule="auto"/>
              <w:rPr>
                <w:rFonts w:hint="eastAsia" w:ascii="宋体" w:hAnsi="宋体" w:eastAsia="宋体" w:cs="宋体"/>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1.7.2</w:t>
            </w:r>
          </w:p>
        </w:tc>
        <w:tc>
          <w:tcPr>
            <w:tcW w:w="4534" w:type="pct"/>
            <w:vAlign w:val="center"/>
          </w:tcPr>
          <w:p>
            <w:pPr>
              <w:spacing w:line="360" w:lineRule="auto"/>
              <w:rPr>
                <w:rFonts w:hint="eastAsia" w:ascii="宋体" w:hAnsi="宋体" w:eastAsia="宋体" w:cs="宋体"/>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2.3.2</w:t>
            </w:r>
          </w:p>
        </w:tc>
        <w:tc>
          <w:tcPr>
            <w:tcW w:w="4534" w:type="pct"/>
            <w:vAlign w:val="center"/>
          </w:tcPr>
          <w:p>
            <w:pPr>
              <w:spacing w:line="360" w:lineRule="auto"/>
              <w:ind w:left="-480" w:leftChars="-200" w:right="-480" w:rightChars="-200" w:firstLine="480" w:firstLineChars="200"/>
              <w:rPr>
                <w:rFonts w:hint="eastAsia" w:ascii="宋体" w:hAnsi="宋体" w:eastAsia="宋体" w:cs="宋体"/>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2.4.1</w:t>
            </w:r>
          </w:p>
        </w:tc>
        <w:tc>
          <w:tcPr>
            <w:tcW w:w="4534" w:type="pct"/>
            <w:vAlign w:val="center"/>
          </w:tcPr>
          <w:p>
            <w:pPr>
              <w:spacing w:line="360" w:lineRule="auto"/>
              <w:ind w:left="-480" w:leftChars="-200" w:right="-480" w:rightChars="-200" w:firstLine="480" w:firstLineChars="200"/>
              <w:rPr>
                <w:rFonts w:hint="eastAsia" w:ascii="宋体" w:hAnsi="宋体" w:eastAsia="宋体" w:cs="宋体"/>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2.4.2</w:t>
            </w:r>
          </w:p>
        </w:tc>
        <w:tc>
          <w:tcPr>
            <w:tcW w:w="4534" w:type="pct"/>
            <w:vAlign w:val="center"/>
          </w:tcPr>
          <w:p>
            <w:pPr>
              <w:spacing w:line="360" w:lineRule="auto"/>
              <w:rPr>
                <w:rFonts w:hint="eastAsia" w:ascii="宋体" w:hAnsi="宋体" w:eastAsia="宋体" w:cs="宋体"/>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tcPr>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2.8 </w:t>
            </w:r>
          </w:p>
        </w:tc>
        <w:tc>
          <w:tcPr>
            <w:tcW w:w="4534" w:type="pct"/>
          </w:tcPr>
          <w:p>
            <w:pPr>
              <w:spacing w:line="360" w:lineRule="auto"/>
              <w:rPr>
                <w:rFonts w:hint="eastAsia" w:ascii="宋体" w:hAnsi="宋体" w:eastAsia="宋体" w:cs="宋体"/>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2.12.3</w:t>
            </w:r>
          </w:p>
        </w:tc>
        <w:tc>
          <w:tcPr>
            <w:tcW w:w="4534" w:type="pct"/>
            <w:vAlign w:val="center"/>
          </w:tcPr>
          <w:p>
            <w:pPr>
              <w:spacing w:line="360" w:lineRule="auto"/>
              <w:rPr>
                <w:rFonts w:hint="eastAsia" w:ascii="宋体" w:hAnsi="宋体" w:eastAsia="宋体" w:cs="宋体"/>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2.12.4</w:t>
            </w:r>
          </w:p>
        </w:tc>
        <w:tc>
          <w:tcPr>
            <w:tcW w:w="4534" w:type="pct"/>
            <w:vAlign w:val="center"/>
          </w:tcPr>
          <w:p>
            <w:pPr>
              <w:spacing w:line="360" w:lineRule="auto"/>
              <w:rPr>
                <w:rFonts w:hint="eastAsia" w:ascii="宋体" w:hAnsi="宋体" w:eastAsia="宋体" w:cs="宋体"/>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2.16.1</w:t>
            </w:r>
          </w:p>
        </w:tc>
        <w:tc>
          <w:tcPr>
            <w:tcW w:w="4534" w:type="pct"/>
            <w:vAlign w:val="center"/>
          </w:tcPr>
          <w:p>
            <w:pPr>
              <w:spacing w:line="360" w:lineRule="auto"/>
              <w:rPr>
                <w:rFonts w:hint="eastAsia" w:ascii="宋体" w:hAnsi="宋体" w:eastAsia="宋体" w:cs="宋体"/>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7" w:hRule="atLeast"/>
        </w:trPr>
        <w:tc>
          <w:tcPr>
            <w:tcW w:w="466" w:type="pct"/>
            <w:tcBorders>
              <w:left w:val="single" w:color="auto" w:sz="4" w:space="0"/>
            </w:tcBorders>
            <w:vAlign w:val="center"/>
          </w:tcPr>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2.16.3</w:t>
            </w:r>
          </w:p>
        </w:tc>
        <w:tc>
          <w:tcPr>
            <w:tcW w:w="4534" w:type="pct"/>
            <w:vAlign w:val="center"/>
          </w:tcPr>
          <w:p>
            <w:pPr>
              <w:spacing w:line="360" w:lineRule="auto"/>
              <w:rPr>
                <w:rFonts w:hint="eastAsia" w:ascii="宋体" w:hAnsi="宋体" w:eastAsia="宋体" w:cs="宋体"/>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7" w:hRule="atLeast"/>
        </w:trPr>
        <w:tc>
          <w:tcPr>
            <w:tcW w:w="466" w:type="pct"/>
            <w:tcBorders>
              <w:left w:val="single" w:color="auto" w:sz="4" w:space="0"/>
            </w:tcBorders>
          </w:tcPr>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2.20.1</w:t>
            </w:r>
          </w:p>
        </w:tc>
        <w:tc>
          <w:tcPr>
            <w:tcW w:w="4534" w:type="pct"/>
          </w:tcPr>
          <w:p>
            <w:pPr>
              <w:spacing w:line="360" w:lineRule="auto"/>
              <w:rPr>
                <w:rFonts w:hint="eastAsia" w:ascii="宋体" w:hAnsi="宋体" w:eastAsia="宋体" w:cs="宋体"/>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 w:hRule="atLeast"/>
        </w:trPr>
        <w:tc>
          <w:tcPr>
            <w:tcW w:w="466" w:type="pct"/>
            <w:tcBorders>
              <w:left w:val="single" w:color="auto" w:sz="4" w:space="0"/>
            </w:tcBorders>
            <w:vAlign w:val="center"/>
          </w:tcPr>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2.20.2 </w:t>
            </w:r>
          </w:p>
        </w:tc>
        <w:tc>
          <w:tcPr>
            <w:tcW w:w="4534" w:type="pct"/>
            <w:vAlign w:val="center"/>
          </w:tcPr>
          <w:p>
            <w:pPr>
              <w:spacing w:line="360" w:lineRule="auto"/>
              <w:rPr>
                <w:rFonts w:hint="eastAsia" w:ascii="宋体" w:hAnsi="宋体" w:eastAsia="宋体" w:cs="宋体"/>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 w:hRule="atLeast"/>
        </w:trPr>
        <w:tc>
          <w:tcPr>
            <w:tcW w:w="466" w:type="pct"/>
            <w:tcBorders>
              <w:left w:val="single" w:color="auto" w:sz="4" w:space="0"/>
            </w:tcBorders>
            <w:vAlign w:val="center"/>
          </w:tcPr>
          <w:p>
            <w:pPr>
              <w:spacing w:line="360" w:lineRule="auto"/>
              <w:ind w:left="-480" w:leftChars="-200" w:right="-480" w:rightChars="-200" w:firstLine="480" w:firstLineChars="200"/>
              <w:outlineLvl w:val="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2.22 </w:t>
            </w:r>
          </w:p>
        </w:tc>
        <w:tc>
          <w:tcPr>
            <w:tcW w:w="4534" w:type="pct"/>
            <w:vAlign w:val="center"/>
          </w:tcPr>
          <w:p>
            <w:pPr>
              <w:spacing w:line="360" w:lineRule="auto"/>
              <w:rPr>
                <w:rFonts w:hint="eastAsia" w:ascii="宋体" w:hAnsi="宋体" w:eastAsia="宋体" w:cs="宋体"/>
                <w:color w:val="000000" w:themeColor="text1"/>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spacing w:line="276"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3"/>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第六部分 应提交的有关格式范例</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资格文件部分</w:t>
      </w:r>
    </w:p>
    <w:p>
      <w:pPr>
        <w:jc w:val="center"/>
        <w:rPr>
          <w:rFonts w:hint="eastAsia" w:ascii="宋体" w:hAnsi="宋体" w:eastAsia="宋体" w:cs="宋体"/>
          <w:b/>
          <w:color w:val="000000" w:themeColor="text1"/>
          <w:sz w:val="40"/>
          <w14:textFill>
            <w14:solidFill>
              <w14:schemeClr w14:val="tx1"/>
            </w14:solidFill>
          </w14:textFill>
        </w:rPr>
      </w:pPr>
      <w:r>
        <w:rPr>
          <w:rFonts w:hint="eastAsia" w:ascii="宋体" w:hAnsi="宋体" w:eastAsia="宋体" w:cs="宋体"/>
          <w:b/>
          <w:color w:val="000000" w:themeColor="text1"/>
          <w:sz w:val="40"/>
          <w14:textFill>
            <w14:solidFill>
              <w14:schemeClr w14:val="tx1"/>
            </w14:solidFill>
          </w14:textFill>
        </w:rPr>
        <w:t>目录</w:t>
      </w:r>
    </w:p>
    <w:p>
      <w:pPr>
        <w:snapToGrid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（1）符合参加政府采购活动应当具备的一般条件的承诺函……………（页码）</w:t>
      </w:r>
    </w:p>
    <w:p>
      <w:pPr>
        <w:snapToGrid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（2）落实政府采购政策需满足的资格要求………………………………（页码）</w:t>
      </w:r>
    </w:p>
    <w:p>
      <w:pPr>
        <w:snapToGrid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（3）本项目的特定资格要求………………………………………………（页码）</w:t>
      </w:r>
    </w:p>
    <w:p>
      <w:pPr>
        <w:spacing w:line="276"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一、 符合参加政府采购活动应当具备的一般条件的承诺函</w:t>
      </w:r>
    </w:p>
    <w:p>
      <w:pPr>
        <w:snapToGrid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（采购人）、（采购代理机构）：</w:t>
      </w:r>
    </w:p>
    <w:p>
      <w:pPr>
        <w:snapToGrid w:val="0"/>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我方参与（项目名称）【招标编号：（采购编号）】政府采购活动，郑重承诺：</w:t>
      </w:r>
    </w:p>
    <w:p>
      <w:pPr>
        <w:snapToGrid w:val="0"/>
        <w:spacing w:line="360" w:lineRule="auto"/>
        <w:ind w:firstLine="360" w:firstLineChars="1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1、具有独立承担民事责任的能力；</w:t>
      </w:r>
    </w:p>
    <w:p>
      <w:pPr>
        <w:snapToGrid w:val="0"/>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2、具有良好的商业信誉和健全的财务会计制度； </w:t>
      </w:r>
    </w:p>
    <w:p>
      <w:pPr>
        <w:snapToGrid w:val="0"/>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3、具有履行合同所必需的设备和专业技术能力；</w:t>
      </w:r>
    </w:p>
    <w:p>
      <w:pPr>
        <w:snapToGrid w:val="0"/>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4、有依法缴纳税收和社会保障资金的良好记录；</w:t>
      </w:r>
    </w:p>
    <w:p>
      <w:pPr>
        <w:snapToGrid w:val="0"/>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5、参加政府采购活动前三年内，在经营活动中没有重大违法记录；</w:t>
      </w:r>
    </w:p>
    <w:p>
      <w:pPr>
        <w:snapToGrid w:val="0"/>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6、具有法律、行政法规规定的其他条件。</w:t>
      </w:r>
    </w:p>
    <w:p>
      <w:pPr>
        <w:snapToGrid w:val="0"/>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（三）不存在以下情况：</w:t>
      </w:r>
    </w:p>
    <w:p>
      <w:pPr>
        <w:snapToGrid w:val="0"/>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投标人名称(电子签名)：</w:t>
      </w:r>
    </w:p>
    <w:p>
      <w:pPr>
        <w:snapToGrid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日期</w:t>
      </w:r>
      <w:r>
        <w:rPr>
          <w:rFonts w:hint="eastAsia" w:ascii="宋体" w:hAnsi="宋体" w:eastAsia="宋体" w:cs="宋体"/>
          <w:color w:val="000000" w:themeColor="text1"/>
          <w14:textFill>
            <w14:solidFill>
              <w14:schemeClr w14:val="tx1"/>
            </w14:solidFill>
          </w14:textFill>
        </w:rPr>
        <w:t xml:space="preserve">：  年  </w:t>
      </w:r>
      <w:r>
        <w:rPr>
          <w:rFonts w:hint="eastAsia" w:ascii="宋体" w:hAnsi="宋体" w:eastAsia="宋体" w:cs="宋体"/>
          <w:color w:val="000000" w:themeColor="text1"/>
          <w:lang w:val="zh-CN"/>
          <w14:textFill>
            <w14:solidFill>
              <w14:schemeClr w14:val="tx1"/>
            </w14:solidFill>
          </w14:textFill>
        </w:rPr>
        <w:t>月</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日</w:t>
      </w:r>
    </w:p>
    <w:p>
      <w:pPr>
        <w:snapToGrid w:val="0"/>
        <w:spacing w:line="360" w:lineRule="auto"/>
        <w:ind w:right="480"/>
        <w:jc w:val="center"/>
        <w:rPr>
          <w:rFonts w:hint="eastAsia" w:ascii="宋体" w:hAnsi="宋体" w:eastAsia="宋体" w:cs="宋体"/>
          <w:b/>
          <w:color w:val="000000" w:themeColor="text1"/>
          <w:sz w:val="32"/>
          <w:szCs w:val="32"/>
          <w14:textFill>
            <w14:solidFill>
              <w14:schemeClr w14:val="tx1"/>
            </w14:solidFill>
          </w14:textFill>
        </w:rPr>
      </w:pP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二、落实政府采购政策需满足的资格要求</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（根据招标公告落实政府采购政策需满足的资格要求选择提供相应的材料；未要求的，无需提供）</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A</w:t>
      </w:r>
      <w:r>
        <w:rPr>
          <w:rFonts w:hint="eastAsia" w:ascii="宋体" w:hAnsi="宋体" w:eastAsia="宋体" w:cs="宋体"/>
          <w:color w:val="000000" w:themeColor="text1"/>
          <w14:textFill>
            <w14:solidFill>
              <w14:schemeClr w14:val="tx1"/>
            </w14:solidFill>
          </w14:textFill>
        </w:rPr>
        <w:t xml:space="preserve">.专门面向中小企业，货物全部由符合政策要求的中小企业（或小微企业）制造或者服务全部由符合政策要求的中小企业（或小微企业）承接的，提供相应的中小企业声明函（附件5）。 </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B.</w:t>
      </w:r>
      <w:r>
        <w:rPr>
          <w:rFonts w:hint="eastAsia" w:ascii="宋体" w:hAnsi="宋体" w:eastAsia="宋体" w:cs="宋体"/>
          <w:color w:val="000000" w:themeColor="text1"/>
          <w14:textFill>
            <w14:solidFill>
              <w14:schemeClr w14:val="tx1"/>
            </w14:solidFill>
          </w14:textFill>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C、</w:t>
      </w:r>
      <w:r>
        <w:rPr>
          <w:rFonts w:hint="eastAsia" w:ascii="宋体" w:hAnsi="宋体" w:eastAsia="宋体" w:cs="宋体"/>
          <w:color w:val="000000" w:themeColor="text1"/>
          <w14:textFill>
            <w14:solidFill>
              <w14:schemeClr w14:val="tx1"/>
            </w14:solidFill>
          </w14:textFill>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jc w:val="center"/>
        <w:rPr>
          <w:rFonts w:hint="eastAsia" w:ascii="宋体" w:hAnsi="宋体" w:eastAsia="宋体" w:cs="宋体"/>
          <w:b/>
          <w:color w:val="000000" w:themeColor="text1"/>
          <w:sz w:val="32"/>
          <w:szCs w:val="32"/>
          <w:lang w:val="zh-CN"/>
          <w14:textFill>
            <w14:solidFill>
              <w14:schemeClr w14:val="tx1"/>
            </w14:solidFill>
          </w14:textFill>
        </w:rPr>
      </w:pPr>
      <w:r>
        <w:rPr>
          <w:rFonts w:hint="eastAsia" w:ascii="宋体" w:hAnsi="宋体" w:eastAsia="宋体" w:cs="宋体"/>
          <w:b/>
          <w:color w:val="000000" w:themeColor="text1"/>
          <w:sz w:val="32"/>
          <w:szCs w:val="32"/>
          <w:lang w:val="zh-CN"/>
          <w14:textFill>
            <w14:solidFill>
              <w14:schemeClr w14:val="tx1"/>
            </w14:solidFill>
          </w14:textFill>
        </w:rPr>
        <w:t>联合协议</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u w:val="single"/>
          <w14:textFill>
            <w14:solidFill>
              <w14:schemeClr w14:val="tx1"/>
            </w14:solidFill>
          </w14:textFill>
        </w:rPr>
        <w:t>（联合体所有成员名称）</w:t>
      </w:r>
      <w:r>
        <w:rPr>
          <w:rFonts w:hint="eastAsia" w:ascii="宋体" w:hAnsi="宋体" w:eastAsia="宋体" w:cs="宋体"/>
          <w:color w:val="000000" w:themeColor="text1"/>
          <w14:textFill>
            <w14:solidFill>
              <w14:schemeClr w14:val="tx1"/>
            </w14:solidFill>
          </w14:textFill>
        </w:rPr>
        <w:t>自愿</w:t>
      </w:r>
      <w:r>
        <w:rPr>
          <w:rFonts w:hint="eastAsia" w:ascii="宋体" w:hAnsi="宋体" w:eastAsia="宋体" w:cs="宋体"/>
          <w:color w:val="000000" w:themeColor="text1"/>
          <w:lang w:val="zh-CN"/>
          <w14:textFill>
            <w14:solidFill>
              <w14:schemeClr w14:val="tx1"/>
            </w14:solidFill>
          </w14:textFill>
        </w:rPr>
        <w:t>组成一个联合体，以一个投标人的身份</w:t>
      </w:r>
      <w:r>
        <w:rPr>
          <w:rFonts w:hint="eastAsia" w:ascii="宋体" w:hAnsi="宋体" w:eastAsia="宋体" w:cs="宋体"/>
          <w:color w:val="000000" w:themeColor="text1"/>
          <w14:textFill>
            <w14:solidFill>
              <w14:schemeClr w14:val="tx1"/>
            </w14:solidFill>
          </w14:textFill>
        </w:rPr>
        <w:t>参加（项目名称）【招标编号：（采购编号）】</w:t>
      </w:r>
      <w:r>
        <w:rPr>
          <w:rFonts w:hint="eastAsia" w:ascii="宋体" w:hAnsi="宋体" w:eastAsia="宋体" w:cs="宋体"/>
          <w:color w:val="000000" w:themeColor="text1"/>
          <w:lang w:val="zh-CN"/>
          <w14:textFill>
            <w14:solidFill>
              <w14:schemeClr w14:val="tx1"/>
            </w14:solidFill>
          </w14:textFill>
        </w:rPr>
        <w:t xml:space="preserve">投标。 </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一、各方一致决定，</w:t>
      </w:r>
      <w:r>
        <w:rPr>
          <w:rFonts w:hint="eastAsia" w:ascii="宋体" w:hAnsi="宋体" w:eastAsia="宋体" w:cs="宋体"/>
          <w:color w:val="000000" w:themeColor="text1"/>
          <w:u w:val="single"/>
          <w14:textFill>
            <w14:solidFill>
              <w14:schemeClr w14:val="tx1"/>
            </w14:solidFill>
          </w14:textFill>
        </w:rPr>
        <w:t>（某联合体成员名称）</w:t>
      </w:r>
      <w:r>
        <w:rPr>
          <w:rFonts w:hint="eastAsia" w:ascii="宋体" w:hAnsi="宋体" w:eastAsia="宋体" w:cs="宋体"/>
          <w:color w:val="000000" w:themeColor="text1"/>
          <w14:textFill>
            <w14:solidFill>
              <w14:schemeClr w14:val="tx1"/>
            </w14:solidFill>
          </w14:textFill>
        </w:rPr>
        <w:t>为联合体</w:t>
      </w:r>
      <w:r>
        <w:rPr>
          <w:rFonts w:hint="eastAsia" w:ascii="宋体" w:hAnsi="宋体" w:eastAsia="宋体" w:cs="宋体"/>
          <w:color w:val="000000" w:themeColor="text1"/>
          <w:lang w:val="zh-CN"/>
          <w14:textFill>
            <w14:solidFill>
              <w14:schemeClr w14:val="tx1"/>
            </w14:solidFill>
          </w14:textFill>
        </w:rPr>
        <w:t>牵头人</w:t>
      </w:r>
      <w:r>
        <w:rPr>
          <w:rFonts w:hint="eastAsia" w:ascii="宋体" w:hAnsi="宋体" w:eastAsia="宋体" w:cs="宋体"/>
          <w:color w:val="000000" w:themeColor="text1"/>
          <w14:textFill>
            <w14:solidFill>
              <w14:schemeClr w14:val="tx1"/>
            </w14:solidFill>
          </w14:textFill>
        </w:rPr>
        <w:t>，代表所有联合体成员负责投标和合同实施阶段的主办、协调工作</w:t>
      </w:r>
      <w:r>
        <w:rPr>
          <w:rFonts w:hint="eastAsia" w:ascii="宋体" w:hAnsi="宋体" w:eastAsia="宋体" w:cs="宋体"/>
          <w:color w:val="000000" w:themeColor="text1"/>
          <w:lang w:val="zh-CN"/>
          <w14:textFill>
            <w14:solidFill>
              <w14:schemeClr w14:val="tx1"/>
            </w14:solidFill>
          </w14:textFill>
        </w:rPr>
        <w:t>。</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二、</w:t>
      </w:r>
      <w:r>
        <w:rPr>
          <w:rFonts w:hint="eastAsia" w:ascii="宋体" w:hAnsi="宋体" w:eastAsia="宋体" w:cs="宋体"/>
          <w:color w:val="000000" w:themeColor="text1"/>
          <w14:textFill>
            <w14:solidFill>
              <w14:schemeClr w14:val="tx1"/>
            </w14:solidFill>
          </w14:textFill>
        </w:rPr>
        <w:t>所有联合体成员各方签署授权书，授权书载明的</w:t>
      </w:r>
      <w:r>
        <w:rPr>
          <w:rFonts w:hint="eastAsia" w:ascii="宋体" w:hAnsi="宋体" w:eastAsia="宋体" w:cs="宋体"/>
          <w:color w:val="000000" w:themeColor="text1"/>
          <w:lang w:val="zh-CN"/>
          <w14:textFill>
            <w14:solidFill>
              <w14:schemeClr w14:val="tx1"/>
            </w14:solidFill>
          </w14:textFill>
        </w:rPr>
        <w:t>授权代表根据招标文件规定及投标内容而对采购人、采购机构所作的任何合法承诺，包括书面澄清及相应等均对联合投标各方产生约束力。</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三、本次联合投标中，分工如下：</w:t>
      </w:r>
      <w:r>
        <w:rPr>
          <w:rFonts w:hint="eastAsia" w:ascii="宋体" w:hAnsi="宋体" w:eastAsia="宋体" w:cs="宋体"/>
          <w:color w:val="000000" w:themeColor="text1"/>
          <w:u w:val="single"/>
          <w14:textFill>
            <w14:solidFill>
              <w14:schemeClr w14:val="tx1"/>
            </w14:solidFill>
          </w14:textFill>
        </w:rPr>
        <w:t>（联合体其中一方成员名称）</w:t>
      </w:r>
      <w:r>
        <w:rPr>
          <w:rFonts w:hint="eastAsia" w:ascii="宋体" w:hAnsi="宋体" w:eastAsia="宋体" w:cs="宋体"/>
          <w:color w:val="000000" w:themeColor="text1"/>
          <w:lang w:val="zh-CN"/>
          <w14:textFill>
            <w14:solidFill>
              <w14:schemeClr w14:val="tx1"/>
            </w14:solidFill>
          </w14:textFill>
        </w:rPr>
        <w:t>承担的工作和义务为：</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w:t>
      </w:r>
      <w:r>
        <w:rPr>
          <w:rFonts w:hint="eastAsia" w:ascii="宋体" w:hAnsi="宋体" w:eastAsia="宋体" w:cs="宋体"/>
          <w:color w:val="000000" w:themeColor="text1"/>
          <w:u w:val="single"/>
          <w14:textFill>
            <w14:solidFill>
              <w14:schemeClr w14:val="tx1"/>
            </w14:solidFill>
          </w14:textFill>
        </w:rPr>
        <w:t>（联合体其中一方成员名称）</w:t>
      </w:r>
      <w:r>
        <w:rPr>
          <w:rFonts w:hint="eastAsia" w:ascii="宋体" w:hAnsi="宋体" w:eastAsia="宋体" w:cs="宋体"/>
          <w:color w:val="000000" w:themeColor="text1"/>
          <w:lang w:val="zh-CN"/>
          <w14:textFill>
            <w14:solidFill>
              <w14:schemeClr w14:val="tx1"/>
            </w14:solidFill>
          </w14:textFill>
        </w:rPr>
        <w:t>承担的工作和义务为：</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 xml:space="preserve"> ；……。</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四、</w:t>
      </w:r>
      <w:r>
        <w:rPr>
          <w:rFonts w:hint="eastAsia" w:ascii="宋体" w:hAnsi="宋体" w:eastAsia="宋体" w:cs="宋体"/>
          <w:color w:val="000000" w:themeColor="text1"/>
          <w14:textFill>
            <w14:solidFill>
              <w14:schemeClr w14:val="tx1"/>
            </w14:solidFill>
          </w14:textFill>
        </w:rPr>
        <w:t>中小企业合同金额达到</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%，小微企业合同金额达到</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val="zh-CN"/>
          <w14:textFill>
            <w14:solidFill>
              <w14:schemeClr w14:val="tx1"/>
            </w14:solidFill>
          </w14:textFill>
        </w:rPr>
        <w:t>。</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五、如果中标，</w:t>
      </w:r>
      <w:r>
        <w:rPr>
          <w:rFonts w:hint="eastAsia" w:ascii="宋体" w:hAnsi="宋体" w:eastAsia="宋体" w:cs="宋体"/>
          <w:color w:val="000000" w:themeColor="text1"/>
          <w14:textFill>
            <w14:solidFill>
              <w14:schemeClr w14:val="tx1"/>
            </w14:solidFill>
          </w14:textFill>
        </w:rPr>
        <w:t>联合体各成员方共同与采购人签订合同，并就采购合同约定的事项对采购人承担连带责任。</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六、有关本次联合投标的其他事宜：</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1、联合体各方不再单独参加或者与其他供应商另外组成联合体参加同一合同项下的政府采购活动。</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2、联合体中有同类资质的各方按照联合体分工承担相同工作的，按照资质等级较低的供应商确定资质等级。</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3、本协议提交采购人、采购机构后，联合体各方不得以任何形式对上述内容进行修改或撤销。</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联合体成员名称(电子签名/公章)：</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联合体成员名称(电子签名/公章)：</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 xml:space="preserve">                                               日期：  年  月   日</w:t>
      </w:r>
    </w:p>
    <w:p>
      <w:pPr>
        <w:jc w:val="center"/>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分包意向协议</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b/>
          <w:color w:val="000000" w:themeColor="text1"/>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宋体" w:hAnsi="宋体" w:eastAsia="宋体" w:cs="宋体"/>
          <w:color w:val="000000" w:themeColor="text1"/>
          <w14:textFill>
            <w14:solidFill>
              <w14:schemeClr w14:val="tx1"/>
            </w14:solidFill>
          </w14:textFill>
        </w:rPr>
        <w:t>）</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u w:val="single"/>
          <w14:textFill>
            <w14:solidFill>
              <w14:schemeClr w14:val="tx1"/>
            </w14:solidFill>
          </w14:textFill>
        </w:rPr>
        <w:t>（投标人名称）</w:t>
      </w:r>
      <w:r>
        <w:rPr>
          <w:rFonts w:hint="eastAsia" w:ascii="宋体" w:hAnsi="宋体" w:eastAsia="宋体" w:cs="宋体"/>
          <w:color w:val="000000" w:themeColor="text1"/>
          <w:lang w:val="zh-CN"/>
          <w14:textFill>
            <w14:solidFill>
              <w14:schemeClr w14:val="tx1"/>
            </w14:solidFill>
          </w14:textFill>
        </w:rPr>
        <w:t>若成为</w:t>
      </w:r>
      <w:r>
        <w:rPr>
          <w:rFonts w:hint="eastAsia" w:ascii="宋体" w:hAnsi="宋体" w:eastAsia="宋体" w:cs="宋体"/>
          <w:color w:val="000000" w:themeColor="text1"/>
          <w14:textFill>
            <w14:solidFill>
              <w14:schemeClr w14:val="tx1"/>
            </w14:solidFill>
          </w14:textFill>
        </w:rPr>
        <w:t>（项目名称）【招标编号：（采购编号）】</w:t>
      </w:r>
      <w:r>
        <w:rPr>
          <w:rFonts w:hint="eastAsia" w:ascii="宋体" w:hAnsi="宋体" w:eastAsia="宋体" w:cs="宋体"/>
          <w:color w:val="000000" w:themeColor="text1"/>
          <w:lang w:val="zh-CN"/>
          <w14:textFill>
            <w14:solidFill>
              <w14:schemeClr w14:val="tx1"/>
            </w14:solidFill>
          </w14:textFill>
        </w:rPr>
        <w:t>的中标供应商，将依法采取分包方式履行合同。</w:t>
      </w:r>
      <w:r>
        <w:rPr>
          <w:rFonts w:hint="eastAsia" w:ascii="宋体" w:hAnsi="宋体" w:eastAsia="宋体" w:cs="宋体"/>
          <w:color w:val="000000" w:themeColor="text1"/>
          <w:u w:val="single"/>
          <w14:textFill>
            <w14:solidFill>
              <w14:schemeClr w14:val="tx1"/>
            </w14:solidFill>
          </w14:textFill>
        </w:rPr>
        <w:t>（投标人名称）</w:t>
      </w:r>
      <w:r>
        <w:rPr>
          <w:rFonts w:hint="eastAsia" w:ascii="宋体" w:hAnsi="宋体" w:eastAsia="宋体" w:cs="宋体"/>
          <w:color w:val="000000" w:themeColor="text1"/>
          <w14:textFill>
            <w14:solidFill>
              <w14:schemeClr w14:val="tx1"/>
            </w14:solidFill>
          </w14:textFill>
        </w:rPr>
        <w:t>与</w:t>
      </w:r>
      <w:r>
        <w:rPr>
          <w:rFonts w:hint="eastAsia" w:ascii="宋体" w:hAnsi="宋体" w:eastAsia="宋体" w:cs="宋体"/>
          <w:color w:val="000000" w:themeColor="text1"/>
          <w:u w:val="single"/>
          <w14:textFill>
            <w14:solidFill>
              <w14:schemeClr w14:val="tx1"/>
            </w14:solidFill>
          </w14:textFill>
        </w:rPr>
        <w:t>（所有分包供应商名称）</w:t>
      </w:r>
      <w:r>
        <w:rPr>
          <w:rFonts w:hint="eastAsia" w:ascii="宋体" w:hAnsi="宋体" w:eastAsia="宋体" w:cs="宋体"/>
          <w:color w:val="000000" w:themeColor="text1"/>
          <w14:textFill>
            <w14:solidFill>
              <w14:schemeClr w14:val="tx1"/>
            </w14:solidFill>
          </w14:textFill>
        </w:rPr>
        <w:t>达成分包意向协议</w:t>
      </w:r>
      <w:r>
        <w:rPr>
          <w:rFonts w:hint="eastAsia" w:ascii="宋体" w:hAnsi="宋体" w:eastAsia="宋体" w:cs="宋体"/>
          <w:color w:val="000000" w:themeColor="text1"/>
          <w:lang w:val="zh-CN"/>
          <w14:textFill>
            <w14:solidFill>
              <w14:schemeClr w14:val="tx1"/>
            </w14:solidFill>
          </w14:textFill>
        </w:rPr>
        <w:t xml:space="preserve">。 </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一、分包标的及数量</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u w:val="single"/>
          <w14:textFill>
            <w14:solidFill>
              <w14:schemeClr w14:val="tx1"/>
            </w14:solidFill>
          </w14:textFill>
        </w:rPr>
        <w:t>（投标人名称）</w:t>
      </w:r>
      <w:r>
        <w:rPr>
          <w:rFonts w:hint="eastAsia" w:ascii="宋体" w:hAnsi="宋体" w:eastAsia="宋体" w:cs="宋体"/>
          <w:color w:val="000000" w:themeColor="text1"/>
          <w:lang w:val="zh-CN"/>
          <w14:textFill>
            <w14:solidFill>
              <w14:schemeClr w14:val="tx1"/>
            </w14:solidFill>
          </w14:textFill>
        </w:rPr>
        <w:t>将</w:t>
      </w:r>
      <w:r>
        <w:rPr>
          <w:rFonts w:hint="eastAsia" w:ascii="宋体" w:hAnsi="宋体" w:eastAsia="宋体" w:cs="宋体"/>
          <w:color w:val="000000" w:themeColor="text1"/>
          <w:u w:val="single"/>
          <w14:textFill>
            <w14:solidFill>
              <w14:schemeClr w14:val="tx1"/>
            </w14:solidFill>
          </w14:textFill>
        </w:rPr>
        <w:t xml:space="preserve">   XX工作内容   </w:t>
      </w:r>
      <w:r>
        <w:rPr>
          <w:rFonts w:hint="eastAsia" w:ascii="宋体" w:hAnsi="宋体" w:eastAsia="宋体" w:cs="宋体"/>
          <w:color w:val="000000" w:themeColor="text1"/>
          <w14:textFill>
            <w14:solidFill>
              <w14:schemeClr w14:val="tx1"/>
            </w14:solidFill>
          </w14:textFill>
        </w:rPr>
        <w:t>分包给</w:t>
      </w:r>
      <w:r>
        <w:rPr>
          <w:rFonts w:hint="eastAsia" w:ascii="宋体" w:hAnsi="宋体" w:eastAsia="宋体" w:cs="宋体"/>
          <w:color w:val="000000" w:themeColor="text1"/>
          <w:u w:val="single"/>
          <w14:textFill>
            <w14:solidFill>
              <w14:schemeClr w14:val="tx1"/>
            </w14:solidFill>
          </w14:textFill>
        </w:rPr>
        <w:t>（某分包供应商名称）</w:t>
      </w:r>
      <w:r>
        <w:rPr>
          <w:rFonts w:hint="eastAsia" w:ascii="宋体" w:hAnsi="宋体" w:eastAsia="宋体" w:cs="宋体"/>
          <w:color w:val="000000" w:themeColor="text1"/>
          <w:lang w:val="zh-CN"/>
          <w14:textFill>
            <w14:solidFill>
              <w14:schemeClr w14:val="tx1"/>
            </w14:solidFill>
          </w14:textFill>
        </w:rPr>
        <w:t>，</w:t>
      </w:r>
      <w:r>
        <w:rPr>
          <w:rFonts w:hint="eastAsia" w:ascii="宋体" w:hAnsi="宋体" w:eastAsia="宋体" w:cs="宋体"/>
          <w:color w:val="000000" w:themeColor="text1"/>
          <w:u w:val="single"/>
          <w14:textFill>
            <w14:solidFill>
              <w14:schemeClr w14:val="tx1"/>
            </w14:solidFill>
          </w14:textFill>
        </w:rPr>
        <w:t>（某分包供应商名称），</w:t>
      </w:r>
      <w:r>
        <w:rPr>
          <w:rFonts w:hint="eastAsia" w:ascii="宋体" w:hAnsi="宋体" w:eastAsia="宋体" w:cs="宋体"/>
          <w:color w:val="000000" w:themeColor="text1"/>
          <w:lang w:val="zh-CN"/>
          <w14:textFill>
            <w14:solidFill>
              <w14:schemeClr w14:val="tx1"/>
            </w14:solidFill>
          </w14:textFill>
        </w:rPr>
        <w:t>具备承</w:t>
      </w:r>
      <w:r>
        <w:rPr>
          <w:rFonts w:hint="eastAsia" w:ascii="宋体" w:hAnsi="宋体" w:eastAsia="宋体" w:cs="宋体"/>
          <w:color w:val="000000" w:themeColor="text1"/>
          <w14:textFill>
            <w14:solidFill>
              <w14:schemeClr w14:val="tx1"/>
            </w14:solidFill>
          </w14:textFill>
        </w:rPr>
        <w:t>担</w:t>
      </w:r>
      <w:r>
        <w:rPr>
          <w:rFonts w:hint="eastAsia" w:ascii="宋体" w:hAnsi="宋体" w:eastAsia="宋体" w:cs="宋体"/>
          <w:color w:val="000000" w:themeColor="text1"/>
          <w:u w:val="single"/>
          <w:lang w:val="zh-CN"/>
          <w14:textFill>
            <w14:solidFill>
              <w14:schemeClr w14:val="tx1"/>
            </w14:solidFill>
          </w14:textFill>
        </w:rPr>
        <w:t>XX工作内容</w:t>
      </w:r>
      <w:r>
        <w:rPr>
          <w:rFonts w:hint="eastAsia" w:ascii="宋体" w:hAnsi="宋体" w:eastAsia="宋体" w:cs="宋体"/>
          <w:color w:val="000000" w:themeColor="text1"/>
          <w:lang w:val="zh-CN"/>
          <w14:textFill>
            <w14:solidFill>
              <w14:schemeClr w14:val="tx1"/>
            </w14:solidFill>
          </w14:textFill>
        </w:rPr>
        <w:t>相应资质条件且不得再次分包；</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二、分包工作履行期限、地点、方式</w:t>
      </w:r>
    </w:p>
    <w:p>
      <w:pPr>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u w:val="single"/>
          <w14:textFill>
            <w14:solidFill>
              <w14:schemeClr w14:val="tx1"/>
            </w14:solidFill>
          </w14:textFill>
        </w:rPr>
        <w:t xml:space="preserve">                                                                                  </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三、质量</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u w:val="single"/>
          <w14:textFill>
            <w14:solidFill>
              <w14:schemeClr w14:val="tx1"/>
            </w14:solidFill>
          </w14:textFill>
        </w:rPr>
        <w:t xml:space="preserve">                                                                                       </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四、价款或者报酬</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u w:val="single"/>
          <w14:textFill>
            <w14:solidFill>
              <w14:schemeClr w14:val="tx1"/>
            </w14:solidFill>
          </w14:textFill>
        </w:rPr>
        <w:t xml:space="preserve">                                                                                     </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五、违约责任</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u w:val="single"/>
          <w14:textFill>
            <w14:solidFill>
              <w14:schemeClr w14:val="tx1"/>
            </w14:solidFill>
          </w14:textFill>
        </w:rPr>
        <w:t xml:space="preserve">                                                                                     </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六、争议解决的办法</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u w:val="single"/>
          <w14:textFill>
            <w14:solidFill>
              <w14:schemeClr w14:val="tx1"/>
            </w14:solidFill>
          </w14:textFill>
        </w:rPr>
        <w:t xml:space="preserve">                                                                                  </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七、其他</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中小企业合同金额达到</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%，小微企业合同金额达到</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val="zh-CN"/>
          <w14:textFill>
            <w14:solidFill>
              <w14:schemeClr w14:val="tx1"/>
            </w14:solidFill>
          </w14:textFill>
        </w:rPr>
        <w:t xml:space="preserve">  。                                           投标人名称(电子签名)：</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分包供应商名称：</w:t>
      </w:r>
    </w:p>
    <w:p>
      <w:pPr>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    日期：  年  月   日</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三、本项目的特定资格要求</w:t>
      </w:r>
    </w:p>
    <w:p>
      <w:pPr>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（根据招标公告本项目的特定资格要求提供相应的材料；未要求的，无需提供）</w:t>
      </w:r>
    </w:p>
    <w:p>
      <w:pPr>
        <w:spacing w:line="276"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商务技术文件部分</w:t>
      </w:r>
    </w:p>
    <w:p>
      <w:pPr>
        <w:jc w:val="center"/>
        <w:rPr>
          <w:rFonts w:hint="eastAsia" w:ascii="宋体" w:hAnsi="宋体" w:eastAsia="宋体" w:cs="宋体"/>
          <w:color w:val="000000" w:themeColor="text1"/>
          <w:sz w:val="40"/>
          <w14:textFill>
            <w14:solidFill>
              <w14:schemeClr w14:val="tx1"/>
            </w14:solidFill>
          </w14:textFill>
        </w:rPr>
      </w:pPr>
      <w:r>
        <w:rPr>
          <w:rFonts w:hint="eastAsia" w:ascii="宋体" w:hAnsi="宋体" w:eastAsia="宋体" w:cs="宋体"/>
          <w:color w:val="000000" w:themeColor="text1"/>
          <w:sz w:val="40"/>
          <w14:textFill>
            <w14:solidFill>
              <w14:schemeClr w14:val="tx1"/>
            </w14:solidFill>
          </w14:textFill>
        </w:rPr>
        <w:t>目录</w:t>
      </w:r>
    </w:p>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（1）投标函……………………………………………………………………（页码）</w:t>
      </w:r>
    </w:p>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（2）授权委托书或法定代表人（单位负责人、自然人本人）身份证明……（页码）</w:t>
      </w:r>
    </w:p>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（3）联合协议……………………………………………………………………（页码）</w:t>
      </w:r>
    </w:p>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（4）分包意向协议………………………………………………………………（页码）</w:t>
      </w:r>
    </w:p>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（5）符合性审查资料…………………………………………………………（页码）</w:t>
      </w:r>
    </w:p>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评标标准相应的商务技术资料……………………………………………（页码）（7）投标标的清单………………………………………………………………（页码）（8）商务技术偏离表……………………………………………………………（页码）</w:t>
      </w:r>
    </w:p>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9</w:t>
      </w:r>
      <w:r>
        <w:rPr>
          <w:rFonts w:hint="eastAsia" w:ascii="宋体" w:hAnsi="宋体" w:eastAsia="宋体" w:cs="宋体"/>
          <w:color w:val="000000" w:themeColor="text1"/>
          <w:lang w:val="zh-CN"/>
          <w14:textFill>
            <w14:solidFill>
              <w14:schemeClr w14:val="tx1"/>
            </w14:solidFill>
          </w14:textFill>
        </w:rPr>
        <w:t>）政府采购供应商廉洁自律承诺书</w:t>
      </w:r>
      <w:r>
        <w:rPr>
          <w:rFonts w:hint="eastAsia" w:ascii="宋体" w:hAnsi="宋体" w:eastAsia="宋体" w:cs="宋体"/>
          <w:color w:val="000000" w:themeColor="text1"/>
          <w14:textFill>
            <w14:solidFill>
              <w14:schemeClr w14:val="tx1"/>
            </w14:solidFill>
          </w14:textFill>
        </w:rPr>
        <w:t>…………………………………………（页码）</w:t>
      </w:r>
    </w:p>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一、投标函</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（采购人）、（采购代理机构）：</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我方参加你方组织的（项目名称）【招标编号：（采购编号）】招标的有关活动，并对此项目进行投标。为此：</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1、我方承诺投标有效期从提交投标文件的截止之日起</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天（不少于90天），本投标文件在投标有效期满之前均具有约束力。</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2、我方的投标文件包括以下内容：</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2.1资格文件：</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2.1.1承诺函；</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2.1.2落实政府采购政策需满足的资格要求（如果有）；</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2.1.3本项目的特定资格要求（如果有）。</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r>
        <w:rPr>
          <w:rFonts w:hint="eastAsia" w:ascii="宋体" w:hAnsi="宋体" w:eastAsia="宋体" w:cs="宋体"/>
          <w:color w:val="000000" w:themeColor="text1"/>
          <w:lang w:val="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2</w:t>
      </w:r>
      <w:r>
        <w:rPr>
          <w:rFonts w:hint="eastAsia" w:ascii="宋体" w:hAnsi="宋体" w:eastAsia="宋体" w:cs="宋体"/>
          <w:color w:val="000000" w:themeColor="text1"/>
          <w:lang w:val="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商务技术</w:t>
      </w:r>
      <w:r>
        <w:rPr>
          <w:rFonts w:hint="eastAsia" w:ascii="宋体" w:hAnsi="宋体" w:eastAsia="宋体" w:cs="宋体"/>
          <w:color w:val="000000" w:themeColor="text1"/>
          <w:lang w:val="zh-CN"/>
          <w14:textFill>
            <w14:solidFill>
              <w14:schemeClr w14:val="tx1"/>
            </w14:solidFill>
          </w14:textFill>
        </w:rPr>
        <w:t>文件：</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2.2.1投标函；</w:t>
      </w:r>
      <w:r>
        <w:rPr>
          <w:rFonts w:hint="eastAsia" w:ascii="宋体" w:hAnsi="宋体" w:eastAsia="宋体" w:cs="宋体"/>
          <w:color w:val="000000" w:themeColor="text1"/>
          <w:lang w:val="zh-CN"/>
          <w14:textFill>
            <w14:solidFill>
              <w14:schemeClr w14:val="tx1"/>
            </w14:solidFill>
          </w14:textFill>
        </w:rPr>
        <w:t xml:space="preserve"> </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2.2.2授权委托书或法定代表人（单位负责人）身份证明；</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2.2.3联合协议（如果有）；</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2.2.4分包意向协议（如果有）；</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2.2.5符合性审查资料；</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2.2.6评标标准相应的商务技术资料；</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2.2.7投标标的清单；</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2.2.8商务技术偏离表；</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r>
        <w:rPr>
          <w:rFonts w:hint="eastAsia" w:ascii="宋体" w:hAnsi="宋体" w:eastAsia="宋体" w:cs="宋体"/>
          <w:color w:val="000000" w:themeColor="text1"/>
          <w:lang w:val="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2</w:t>
      </w:r>
      <w:r>
        <w:rPr>
          <w:rFonts w:hint="eastAsia" w:ascii="宋体" w:hAnsi="宋体" w:eastAsia="宋体" w:cs="宋体"/>
          <w:color w:val="000000" w:themeColor="text1"/>
          <w:lang w:val="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9</w:t>
      </w:r>
      <w:r>
        <w:rPr>
          <w:rFonts w:hint="eastAsia" w:ascii="宋体" w:hAnsi="宋体" w:eastAsia="宋体" w:cs="宋体"/>
          <w:color w:val="000000" w:themeColor="text1"/>
          <w:lang w:val="zh-CN"/>
          <w14:textFill>
            <w14:solidFill>
              <w14:schemeClr w14:val="tx1"/>
            </w14:solidFill>
          </w14:textFill>
        </w:rPr>
        <w:t>政府采购供应商廉洁自律承诺书；</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r>
        <w:rPr>
          <w:rFonts w:hint="eastAsia" w:ascii="宋体" w:hAnsi="宋体" w:eastAsia="宋体" w:cs="宋体"/>
          <w:color w:val="000000" w:themeColor="text1"/>
          <w:lang w:val="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3报价文件</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2.3.1开标一览表（报价表）；</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2.3.2中小企业声明函（如果有）。</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3、我方承诺除商务技术偏离表列出的偏离外，我方响应招标文件的全部要求。</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4、如我方中标，我方承诺：</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4.1在收到中标通知书后，在中标通知书规定的期限内与你方签订合同； </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4.2在签订合同时不向你方提出附加条件； </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4.3按照招标文件要求提交履约保证金； </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4.4在合同约定的期限内完成合同规定的全部义务。 </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5、其他补充说明:</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投标人名称（电子签名）：                          </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日期：  年   月   日</w:t>
      </w:r>
    </w:p>
    <w:p>
      <w:pPr>
        <w:rPr>
          <w:rFonts w:hint="eastAsia" w:ascii="宋体" w:hAnsi="宋体" w:eastAsia="宋体" w:cs="宋体"/>
          <w:color w:val="000000" w:themeColor="text1"/>
          <w:u w:val="single"/>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注：按本格式和要求提供。</w:t>
      </w:r>
    </w:p>
    <w:p>
      <w:pPr>
        <w:spacing w:line="276"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4"/>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二、授权委托书或法定代表人（单位负责人、自然人本人）身份证明</w:t>
      </w:r>
    </w:p>
    <w:p>
      <w:pPr>
        <w:snapToGrid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p>
    <w:p>
      <w:pPr>
        <w:snapToGrid w:val="0"/>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 w:val="32"/>
          <w:szCs w:val="32"/>
          <w:lang w:val="zh-CN"/>
          <w14:textFill>
            <w14:solidFill>
              <w14:schemeClr w14:val="tx1"/>
            </w14:solidFill>
          </w14:textFill>
        </w:rPr>
        <w:t>授权委托书（适用于非联合体投标）</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（采购人）、（采购代理机构）</w:t>
      </w:r>
      <w:r>
        <w:rPr>
          <w:rFonts w:hint="eastAsia" w:ascii="宋体" w:hAnsi="宋体" w:eastAsia="宋体" w:cs="宋体"/>
          <w:color w:val="000000" w:themeColor="text1"/>
          <w:lang w:val="zh-CN"/>
          <w14:textFill>
            <w14:solidFill>
              <w14:schemeClr w14:val="tx1"/>
            </w14:solidFill>
          </w14:textFill>
        </w:rPr>
        <w:t>：</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现</w:t>
      </w:r>
      <w:r>
        <w:rPr>
          <w:rFonts w:hint="eastAsia" w:ascii="宋体" w:hAnsi="宋体" w:eastAsia="宋体" w:cs="宋体"/>
          <w:color w:val="000000" w:themeColor="text1"/>
          <w:lang w:val="zh-CN"/>
          <w14:textFill>
            <w14:solidFill>
              <w14:schemeClr w14:val="tx1"/>
            </w14:solidFill>
          </w14:textFill>
        </w:rPr>
        <w:t>委托</w:t>
      </w:r>
      <w:r>
        <w:rPr>
          <w:rFonts w:hint="eastAsia" w:ascii="宋体" w:hAnsi="宋体" w:eastAsia="宋体" w:cs="宋体"/>
          <w:color w:val="000000" w:themeColor="text1"/>
          <w:u w:val="single"/>
          <w:lang w:val="zh-CN"/>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（姓名）为我方代理人（身份证号码：</w:t>
      </w:r>
      <w:r>
        <w:rPr>
          <w:rFonts w:hint="eastAsia" w:ascii="宋体" w:hAnsi="宋体" w:eastAsia="宋体" w:cs="宋体"/>
          <w:color w:val="000000" w:themeColor="text1"/>
          <w:u w:val="single"/>
          <w:lang w:val="zh-CN"/>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，手机：</w:t>
      </w:r>
      <w:r>
        <w:rPr>
          <w:rFonts w:hint="eastAsia" w:ascii="宋体" w:hAnsi="宋体" w:eastAsia="宋体" w:cs="宋体"/>
          <w:color w:val="000000" w:themeColor="text1"/>
          <w:u w:val="single"/>
          <w:lang w:val="zh-CN"/>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），以我方名义处理</w:t>
      </w:r>
      <w:r>
        <w:rPr>
          <w:rFonts w:hint="eastAsia" w:ascii="宋体" w:hAnsi="宋体" w:eastAsia="宋体" w:cs="宋体"/>
          <w:color w:val="000000" w:themeColor="text1"/>
          <w14:textFill>
            <w14:solidFill>
              <w14:schemeClr w14:val="tx1"/>
            </w14:solidFill>
          </w14:textFill>
        </w:rPr>
        <w:t>（项目名称）【招标编号：（采购编号）】</w:t>
      </w:r>
      <w:r>
        <w:rPr>
          <w:rFonts w:hint="eastAsia" w:ascii="宋体" w:hAnsi="宋体" w:eastAsia="宋体" w:cs="宋体"/>
          <w:color w:val="000000" w:themeColor="text1"/>
          <w:lang w:val="zh-CN"/>
          <w14:textFill>
            <w14:solidFill>
              <w14:schemeClr w14:val="tx1"/>
            </w14:solidFill>
          </w14:textFill>
        </w:rPr>
        <w:t>政府采购投标的一切事项，其法律后果由我方承担。</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委托期限</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val="zh-CN"/>
          <w14:textFill>
            <w14:solidFill>
              <w14:schemeClr w14:val="tx1"/>
            </w14:solidFill>
          </w14:textFill>
        </w:rPr>
        <w:t>自</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年</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月</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日起至</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年</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月</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日止。</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特此告知。</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 xml:space="preserve">                                                 投标人名称(电子签名)：</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 xml:space="preserve">                                                签发日期：  年  月   日</w:t>
      </w:r>
    </w:p>
    <w:p>
      <w:pPr>
        <w:jc w:val="center"/>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lang w:val="zh-CN"/>
          <w14:textFill>
            <w14:solidFill>
              <w14:schemeClr w14:val="tx1"/>
            </w14:solidFill>
          </w14:textFill>
        </w:rPr>
        <w:t>授权委托书（适用于联合体投标）</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（采购人）、（采购代理机构）</w:t>
      </w:r>
      <w:r>
        <w:rPr>
          <w:rFonts w:hint="eastAsia" w:ascii="宋体" w:hAnsi="宋体" w:eastAsia="宋体" w:cs="宋体"/>
          <w:color w:val="000000" w:themeColor="text1"/>
          <w:lang w:val="zh-CN"/>
          <w14:textFill>
            <w14:solidFill>
              <w14:schemeClr w14:val="tx1"/>
            </w14:solidFill>
          </w14:textFill>
        </w:rPr>
        <w:t>：</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现</w:t>
      </w:r>
      <w:r>
        <w:rPr>
          <w:rFonts w:hint="eastAsia" w:ascii="宋体" w:hAnsi="宋体" w:eastAsia="宋体" w:cs="宋体"/>
          <w:color w:val="000000" w:themeColor="text1"/>
          <w:lang w:val="zh-CN"/>
          <w14:textFill>
            <w14:solidFill>
              <w14:schemeClr w14:val="tx1"/>
            </w14:solidFill>
          </w14:textFill>
        </w:rPr>
        <w:t>委托</w:t>
      </w:r>
      <w:r>
        <w:rPr>
          <w:rFonts w:hint="eastAsia" w:ascii="宋体" w:hAnsi="宋体" w:eastAsia="宋体" w:cs="宋体"/>
          <w:color w:val="000000" w:themeColor="text1"/>
          <w:u w:val="single"/>
          <w:lang w:val="zh-CN"/>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（姓名）为我方代理人（身份证号码：</w:t>
      </w:r>
      <w:r>
        <w:rPr>
          <w:rFonts w:hint="eastAsia" w:ascii="宋体" w:hAnsi="宋体" w:eastAsia="宋体" w:cs="宋体"/>
          <w:color w:val="000000" w:themeColor="text1"/>
          <w:u w:val="single"/>
          <w:lang w:val="zh-CN"/>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，手机：</w:t>
      </w:r>
      <w:r>
        <w:rPr>
          <w:rFonts w:hint="eastAsia" w:ascii="宋体" w:hAnsi="宋体" w:eastAsia="宋体" w:cs="宋体"/>
          <w:color w:val="000000" w:themeColor="text1"/>
          <w:u w:val="single"/>
          <w:lang w:val="zh-CN"/>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），以我方名义处理</w:t>
      </w:r>
      <w:r>
        <w:rPr>
          <w:rFonts w:hint="eastAsia" w:ascii="宋体" w:hAnsi="宋体" w:eastAsia="宋体" w:cs="宋体"/>
          <w:color w:val="000000" w:themeColor="text1"/>
          <w14:textFill>
            <w14:solidFill>
              <w14:schemeClr w14:val="tx1"/>
            </w14:solidFill>
          </w14:textFill>
        </w:rPr>
        <w:t>（项目名称）【招标编号：（采购编号）】</w:t>
      </w:r>
      <w:r>
        <w:rPr>
          <w:rFonts w:hint="eastAsia" w:ascii="宋体" w:hAnsi="宋体" w:eastAsia="宋体" w:cs="宋体"/>
          <w:color w:val="000000" w:themeColor="text1"/>
          <w:lang w:val="zh-CN"/>
          <w14:textFill>
            <w14:solidFill>
              <w14:schemeClr w14:val="tx1"/>
            </w14:solidFill>
          </w14:textFill>
        </w:rPr>
        <w:t>政府采购投标的一切事项，其法律后果由我方承担。</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委托期限</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val="zh-CN"/>
          <w14:textFill>
            <w14:solidFill>
              <w14:schemeClr w14:val="tx1"/>
            </w14:solidFill>
          </w14:textFill>
        </w:rPr>
        <w:t>自</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年</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月</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日起至</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年</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月</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日止。</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特此告知。</w:t>
      </w:r>
    </w:p>
    <w:p>
      <w:pPr>
        <w:rPr>
          <w:rFonts w:hint="eastAsia" w:ascii="宋体" w:hAnsi="宋体" w:eastAsia="宋体" w:cs="宋体"/>
          <w:color w:val="000000" w:themeColor="text1"/>
          <w14:textFill>
            <w14:solidFill>
              <w14:schemeClr w14:val="tx1"/>
            </w14:solidFill>
          </w14:textFill>
        </w:rPr>
      </w:pPr>
    </w:p>
    <w:p>
      <w:pPr>
        <w:snapToGrid w:val="0"/>
        <w:spacing w:line="360" w:lineRule="auto"/>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联合体成员名称(电子签名/公章)：</w:t>
      </w:r>
    </w:p>
    <w:p>
      <w:pPr>
        <w:snapToGrid w:val="0"/>
        <w:spacing w:line="360" w:lineRule="auto"/>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联合体成员名称(电子签名/公章)：</w:t>
      </w:r>
    </w:p>
    <w:p>
      <w:pPr>
        <w:snapToGrid w:val="0"/>
        <w:spacing w:line="360" w:lineRule="auto"/>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 xml:space="preserve">                                               日期：  年  月   日</w:t>
      </w:r>
    </w:p>
    <w:p>
      <w:pPr>
        <w:spacing w:line="276" w:lineRule="auto"/>
        <w:rPr>
          <w:rFonts w:hint="eastAsia" w:ascii="宋体" w:hAnsi="宋体" w:eastAsia="宋体" w:cs="宋体"/>
          <w:b/>
          <w:color w:val="000000" w:themeColor="text1"/>
          <w:sz w:val="32"/>
          <w:szCs w:val="32"/>
          <w:lang w:val="zh-CN"/>
          <w14:textFill>
            <w14:solidFill>
              <w14:schemeClr w14:val="tx1"/>
            </w14:solidFill>
          </w14:textFill>
        </w:rPr>
      </w:pPr>
      <w:r>
        <w:rPr>
          <w:rFonts w:hint="eastAsia" w:ascii="宋体" w:hAnsi="宋体" w:eastAsia="宋体" w:cs="宋体"/>
          <w:b/>
          <w:color w:val="000000" w:themeColor="text1"/>
          <w:sz w:val="32"/>
          <w:szCs w:val="32"/>
          <w:lang w:val="zh-CN"/>
          <w14:textFill>
            <w14:solidFill>
              <w14:schemeClr w14:val="tx1"/>
            </w14:solidFill>
          </w14:textFill>
        </w:rPr>
        <w:br w:type="page"/>
      </w:r>
    </w:p>
    <w:p>
      <w:pPr>
        <w:autoSpaceDE w:val="0"/>
        <w:autoSpaceDN w:val="0"/>
        <w:spacing w:line="360" w:lineRule="auto"/>
        <w:jc w:val="cente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sz w:val="32"/>
          <w:szCs w:val="32"/>
          <w:lang w:val="zh-CN"/>
          <w14:textFill>
            <w14:solidFill>
              <w14:schemeClr w14:val="tx1"/>
            </w14:solidFill>
          </w14:textFill>
        </w:rPr>
        <w:t>法定代表人、单位负责人或自然人本人</w:t>
      </w:r>
      <w:r>
        <w:rPr>
          <w:rFonts w:hint="eastAsia" w:ascii="宋体" w:hAnsi="宋体" w:eastAsia="宋体" w:cs="宋体"/>
          <w:b/>
          <w:color w:val="000000" w:themeColor="text1"/>
          <w:sz w:val="30"/>
          <w:szCs w:val="30"/>
          <w14:textFill>
            <w14:solidFill>
              <w14:schemeClr w14:val="tx1"/>
            </w14:solidFill>
          </w14:textFill>
        </w:rPr>
        <w:t>的身份证明（适用于法定代表人、单位负责人或者自然人本人代表投标人参加投标）</w:t>
      </w:r>
    </w:p>
    <w:p>
      <w:pPr>
        <w:pStyle w:val="74"/>
        <w:spacing w:line="360" w:lineRule="auto"/>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身份证件扫描件：</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74"/>
              <w:adjustRightInd w:val="0"/>
              <w:spacing w:line="360" w:lineRule="auto"/>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正面：                                 反面：</w:t>
            </w:r>
          </w:p>
          <w:p>
            <w:pPr>
              <w:pStyle w:val="74"/>
              <w:adjustRightInd w:val="0"/>
              <w:spacing w:line="360" w:lineRule="auto"/>
              <w:rPr>
                <w:rFonts w:hint="eastAsia" w:ascii="宋体" w:hAnsi="宋体" w:eastAsia="宋体" w:cs="宋体"/>
                <w:bCs/>
                <w:color w:val="000000" w:themeColor="text1"/>
                <w:sz w:val="24"/>
                <w14:textFill>
                  <w14:solidFill>
                    <w14:schemeClr w14:val="tx1"/>
                  </w14:solidFill>
                </w14:textFill>
              </w:rPr>
            </w:pPr>
          </w:p>
        </w:tc>
      </w:tr>
    </w:tbl>
    <w:p>
      <w:pPr>
        <w:snapToGrid w:val="0"/>
        <w:spacing w:line="360" w:lineRule="auto"/>
        <w:ind w:firstLine="576"/>
        <w:jc w:val="cente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 xml:space="preserve">                 </w:t>
      </w:r>
    </w:p>
    <w:p>
      <w:pPr>
        <w:snapToGrid w:val="0"/>
        <w:spacing w:line="360" w:lineRule="auto"/>
        <w:ind w:firstLine="576"/>
        <w:jc w:val="cente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 xml:space="preserve">                  投标人名称(电子签名)：                              </w:t>
      </w:r>
    </w:p>
    <w:p>
      <w:pPr>
        <w:spacing w:line="360" w:lineRule="auto"/>
        <w:jc w:val="cente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 xml:space="preserve">                   日期：  年  月  日</w:t>
      </w:r>
    </w:p>
    <w:p>
      <w:pPr>
        <w:spacing w:line="276" w:lineRule="auto"/>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br w:type="page"/>
      </w:r>
    </w:p>
    <w:p>
      <w:pPr>
        <w:pStyle w:val="4"/>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三、</w:t>
      </w:r>
      <w:r>
        <w:rPr>
          <w:rFonts w:hint="eastAsia" w:ascii="宋体" w:hAnsi="宋体" w:eastAsia="宋体" w:cs="宋体"/>
          <w:color w:val="000000" w:themeColor="text1"/>
          <w:lang w:val="zh-CN"/>
          <w14:textFill>
            <w14:solidFill>
              <w14:schemeClr w14:val="tx1"/>
            </w14:solidFill>
          </w14:textFill>
        </w:rPr>
        <w:t>联合协议</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（以联合体形式投标的，提供联合协议；本项目不接受联合体投标或者投标人不以联合体形式投标的，则不需要提供）</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u w:val="single"/>
          <w14:textFill>
            <w14:solidFill>
              <w14:schemeClr w14:val="tx1"/>
            </w14:solidFill>
          </w14:textFill>
        </w:rPr>
        <w:t>（联合体所有成员名称）</w:t>
      </w:r>
      <w:r>
        <w:rPr>
          <w:rFonts w:hint="eastAsia" w:ascii="宋体" w:hAnsi="宋体" w:eastAsia="宋体" w:cs="宋体"/>
          <w:color w:val="000000" w:themeColor="text1"/>
          <w14:textFill>
            <w14:solidFill>
              <w14:schemeClr w14:val="tx1"/>
            </w14:solidFill>
          </w14:textFill>
        </w:rPr>
        <w:t>自愿</w:t>
      </w:r>
      <w:r>
        <w:rPr>
          <w:rFonts w:hint="eastAsia" w:ascii="宋体" w:hAnsi="宋体" w:eastAsia="宋体" w:cs="宋体"/>
          <w:color w:val="000000" w:themeColor="text1"/>
          <w:lang w:val="zh-CN"/>
          <w14:textFill>
            <w14:solidFill>
              <w14:schemeClr w14:val="tx1"/>
            </w14:solidFill>
          </w14:textFill>
        </w:rPr>
        <w:t>组成一个联合体，以一个投标人的身份</w:t>
      </w:r>
      <w:r>
        <w:rPr>
          <w:rFonts w:hint="eastAsia" w:ascii="宋体" w:hAnsi="宋体" w:eastAsia="宋体" w:cs="宋体"/>
          <w:color w:val="000000" w:themeColor="text1"/>
          <w14:textFill>
            <w14:solidFill>
              <w14:schemeClr w14:val="tx1"/>
            </w14:solidFill>
          </w14:textFill>
        </w:rPr>
        <w:t>参加（项目名称）【招标编号：（采购编号）】</w:t>
      </w:r>
      <w:r>
        <w:rPr>
          <w:rFonts w:hint="eastAsia" w:ascii="宋体" w:hAnsi="宋体" w:eastAsia="宋体" w:cs="宋体"/>
          <w:color w:val="000000" w:themeColor="text1"/>
          <w:lang w:val="zh-CN"/>
          <w14:textFill>
            <w14:solidFill>
              <w14:schemeClr w14:val="tx1"/>
            </w14:solidFill>
          </w14:textFill>
        </w:rPr>
        <w:t xml:space="preserve">投标。 </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一、各方一致决定，</w:t>
      </w:r>
      <w:r>
        <w:rPr>
          <w:rFonts w:hint="eastAsia" w:ascii="宋体" w:hAnsi="宋体" w:eastAsia="宋体" w:cs="宋体"/>
          <w:color w:val="000000" w:themeColor="text1"/>
          <w:u w:val="single"/>
          <w14:textFill>
            <w14:solidFill>
              <w14:schemeClr w14:val="tx1"/>
            </w14:solidFill>
          </w14:textFill>
        </w:rPr>
        <w:t>（某联合体成员名称）</w:t>
      </w:r>
      <w:r>
        <w:rPr>
          <w:rFonts w:hint="eastAsia" w:ascii="宋体" w:hAnsi="宋体" w:eastAsia="宋体" w:cs="宋体"/>
          <w:color w:val="000000" w:themeColor="text1"/>
          <w14:textFill>
            <w14:solidFill>
              <w14:schemeClr w14:val="tx1"/>
            </w14:solidFill>
          </w14:textFill>
        </w:rPr>
        <w:t>为联合体</w:t>
      </w:r>
      <w:r>
        <w:rPr>
          <w:rFonts w:hint="eastAsia" w:ascii="宋体" w:hAnsi="宋体" w:eastAsia="宋体" w:cs="宋体"/>
          <w:color w:val="000000" w:themeColor="text1"/>
          <w:lang w:val="zh-CN"/>
          <w14:textFill>
            <w14:solidFill>
              <w14:schemeClr w14:val="tx1"/>
            </w14:solidFill>
          </w14:textFill>
        </w:rPr>
        <w:t>牵头人</w:t>
      </w:r>
      <w:r>
        <w:rPr>
          <w:rFonts w:hint="eastAsia" w:ascii="宋体" w:hAnsi="宋体" w:eastAsia="宋体" w:cs="宋体"/>
          <w:color w:val="000000" w:themeColor="text1"/>
          <w14:textFill>
            <w14:solidFill>
              <w14:schemeClr w14:val="tx1"/>
            </w14:solidFill>
          </w14:textFill>
        </w:rPr>
        <w:t>，代表所有联合体成员负责投标和合同实施阶段的主办、协调工作</w:t>
      </w:r>
      <w:r>
        <w:rPr>
          <w:rFonts w:hint="eastAsia" w:ascii="宋体" w:hAnsi="宋体" w:eastAsia="宋体" w:cs="宋体"/>
          <w:color w:val="000000" w:themeColor="text1"/>
          <w:lang w:val="zh-CN"/>
          <w14:textFill>
            <w14:solidFill>
              <w14:schemeClr w14:val="tx1"/>
            </w14:solidFill>
          </w14:textFill>
        </w:rPr>
        <w:t>。</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二、</w:t>
      </w:r>
      <w:r>
        <w:rPr>
          <w:rFonts w:hint="eastAsia" w:ascii="宋体" w:hAnsi="宋体" w:eastAsia="宋体" w:cs="宋体"/>
          <w:color w:val="000000" w:themeColor="text1"/>
          <w14:textFill>
            <w14:solidFill>
              <w14:schemeClr w14:val="tx1"/>
            </w14:solidFill>
          </w14:textFill>
        </w:rPr>
        <w:t>所有联合体成员各方签署授权书，授权书载明的</w:t>
      </w:r>
      <w:r>
        <w:rPr>
          <w:rFonts w:hint="eastAsia" w:ascii="宋体" w:hAnsi="宋体" w:eastAsia="宋体" w:cs="宋体"/>
          <w:color w:val="000000" w:themeColor="text1"/>
          <w:lang w:val="zh-CN"/>
          <w14:textFill>
            <w14:solidFill>
              <w14:schemeClr w14:val="tx1"/>
            </w14:solidFill>
          </w14:textFill>
        </w:rPr>
        <w:t>授权代表根据招标文件规定及投标内容而对采购人、采购机构所作的任何合法承诺，包括书面澄清及相应等均对联合投标各方产生约束力。</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三、本次联合投标中，分工如下：</w:t>
      </w:r>
      <w:r>
        <w:rPr>
          <w:rFonts w:hint="eastAsia" w:ascii="宋体" w:hAnsi="宋体" w:eastAsia="宋体" w:cs="宋体"/>
          <w:color w:val="000000" w:themeColor="text1"/>
          <w:u w:val="single"/>
          <w14:textFill>
            <w14:solidFill>
              <w14:schemeClr w14:val="tx1"/>
            </w14:solidFill>
          </w14:textFill>
        </w:rPr>
        <w:t>（联合体其中一方成员名称）</w:t>
      </w:r>
      <w:r>
        <w:rPr>
          <w:rFonts w:hint="eastAsia" w:ascii="宋体" w:hAnsi="宋体" w:eastAsia="宋体" w:cs="宋体"/>
          <w:color w:val="000000" w:themeColor="text1"/>
          <w:lang w:val="zh-CN"/>
          <w14:textFill>
            <w14:solidFill>
              <w14:schemeClr w14:val="tx1"/>
            </w14:solidFill>
          </w14:textFill>
        </w:rPr>
        <w:t>承担的工作和义务为：</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四、</w:t>
      </w:r>
      <w:r>
        <w:rPr>
          <w:rFonts w:hint="eastAsia" w:ascii="宋体" w:hAnsi="宋体" w:eastAsia="宋体" w:cs="宋体"/>
          <w:color w:val="000000" w:themeColor="text1"/>
          <w:u w:val="single"/>
          <w14:textFill>
            <w14:solidFill>
              <w14:schemeClr w14:val="tx1"/>
            </w14:solidFill>
          </w14:textFill>
        </w:rPr>
        <w:t>（联合体其中一方成员名称）</w:t>
      </w:r>
      <w:r>
        <w:rPr>
          <w:rFonts w:hint="eastAsia" w:ascii="宋体" w:hAnsi="宋体" w:eastAsia="宋体" w:cs="宋体"/>
          <w:color w:val="000000" w:themeColor="text1"/>
          <w14:textFill>
            <w14:solidFill>
              <w14:schemeClr w14:val="tx1"/>
            </w14:solidFill>
          </w14:textFill>
        </w:rPr>
        <w:t>提供的全部货物由小微企业制造，其合同份额占到合同总金额</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%以上；</w:t>
      </w:r>
      <w:r>
        <w:rPr>
          <w:rFonts w:hint="eastAsia" w:ascii="宋体" w:hAnsi="宋体" w:eastAsia="宋体" w:cs="宋体"/>
          <w:color w:val="000000" w:themeColor="text1"/>
          <w:lang w:val="zh-CN"/>
          <w14:textFill>
            <w14:solidFill>
              <w14:schemeClr w14:val="tx1"/>
            </w14:solidFill>
          </w14:textFill>
        </w:rPr>
        <w:t>……。（未预留份额专门面向中小企业采购的的采购项目，以及预留份额中的非预留部分采购包，接受联合体投标的，联合体其中一方提供的货物全部由小微企业制造，且其合同份额占到合同总金额 30%以上，对联合体报价给予6%的扣除）</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五、如果中标，</w:t>
      </w:r>
      <w:r>
        <w:rPr>
          <w:rFonts w:hint="eastAsia" w:ascii="宋体" w:hAnsi="宋体" w:eastAsia="宋体" w:cs="宋体"/>
          <w:color w:val="000000" w:themeColor="text1"/>
          <w14:textFill>
            <w14:solidFill>
              <w14:schemeClr w14:val="tx1"/>
            </w14:solidFill>
          </w14:textFill>
        </w:rPr>
        <w:t>联合体各成员方共同与采购人签订合同，并就采购合同约定的事项对采购人承担连带责任。</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六、有关本次联合投标的其他事宜：</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1、联合体各方不再单独参加或者与其他供应商另外组成联合体参加同一合同项下的政府采购活动。</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2、联合体中有同类资质的各方按照联合体分工承担相同工作的，按照资质等级较低的供应商确定资质等级。</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3、本协议提交采购人、采购机构后，联合体各方不得以任何形式对上述内容进行修改或撤销。</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联合体成员名称(电子签名/公章)：</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 xml:space="preserve">                                               日期：  年  月   日</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注：按本格式和要求提供。</w:t>
      </w:r>
    </w:p>
    <w:p>
      <w:pPr>
        <w:spacing w:line="276"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四、分包意向协议</w:t>
      </w:r>
    </w:p>
    <w:p>
      <w:pP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（中标后以分包方式履行合同的，提供分包意向协议；采购人不同意分包或者投标人中标后不以分包方式履行合同的，则不需要提供。）</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u w:val="single"/>
          <w14:textFill>
            <w14:solidFill>
              <w14:schemeClr w14:val="tx1"/>
            </w14:solidFill>
          </w14:textFill>
        </w:rPr>
        <w:t>（投标人名称）</w:t>
      </w:r>
      <w:r>
        <w:rPr>
          <w:rFonts w:hint="eastAsia" w:ascii="宋体" w:hAnsi="宋体" w:eastAsia="宋体" w:cs="宋体"/>
          <w:color w:val="000000" w:themeColor="text1"/>
          <w:lang w:val="zh-CN"/>
          <w14:textFill>
            <w14:solidFill>
              <w14:schemeClr w14:val="tx1"/>
            </w14:solidFill>
          </w14:textFill>
        </w:rPr>
        <w:t>若成为</w:t>
      </w:r>
      <w:r>
        <w:rPr>
          <w:rFonts w:hint="eastAsia" w:ascii="宋体" w:hAnsi="宋体" w:eastAsia="宋体" w:cs="宋体"/>
          <w:color w:val="000000" w:themeColor="text1"/>
          <w14:textFill>
            <w14:solidFill>
              <w14:schemeClr w14:val="tx1"/>
            </w14:solidFill>
          </w14:textFill>
        </w:rPr>
        <w:t>（项目名称）【招标编号：（采购编号）】</w:t>
      </w:r>
      <w:r>
        <w:rPr>
          <w:rFonts w:hint="eastAsia" w:ascii="宋体" w:hAnsi="宋体" w:eastAsia="宋体" w:cs="宋体"/>
          <w:color w:val="000000" w:themeColor="text1"/>
          <w:lang w:val="zh-CN"/>
          <w14:textFill>
            <w14:solidFill>
              <w14:schemeClr w14:val="tx1"/>
            </w14:solidFill>
          </w14:textFill>
        </w:rPr>
        <w:t>的中标供应商，将依法采取分包方式履行合同。</w:t>
      </w:r>
      <w:r>
        <w:rPr>
          <w:rFonts w:hint="eastAsia" w:ascii="宋体" w:hAnsi="宋体" w:eastAsia="宋体" w:cs="宋体"/>
          <w:color w:val="000000" w:themeColor="text1"/>
          <w:u w:val="single"/>
          <w14:textFill>
            <w14:solidFill>
              <w14:schemeClr w14:val="tx1"/>
            </w14:solidFill>
          </w14:textFill>
        </w:rPr>
        <w:t>（投标人名称）</w:t>
      </w:r>
      <w:r>
        <w:rPr>
          <w:rFonts w:hint="eastAsia" w:ascii="宋体" w:hAnsi="宋体" w:eastAsia="宋体" w:cs="宋体"/>
          <w:color w:val="000000" w:themeColor="text1"/>
          <w14:textFill>
            <w14:solidFill>
              <w14:schemeClr w14:val="tx1"/>
            </w14:solidFill>
          </w14:textFill>
        </w:rPr>
        <w:t>与</w:t>
      </w:r>
      <w:r>
        <w:rPr>
          <w:rFonts w:hint="eastAsia" w:ascii="宋体" w:hAnsi="宋体" w:eastAsia="宋体" w:cs="宋体"/>
          <w:color w:val="000000" w:themeColor="text1"/>
          <w:u w:val="single"/>
          <w14:textFill>
            <w14:solidFill>
              <w14:schemeClr w14:val="tx1"/>
            </w14:solidFill>
          </w14:textFill>
        </w:rPr>
        <w:t>（所有分包供应商名称）</w:t>
      </w:r>
      <w:r>
        <w:rPr>
          <w:rFonts w:hint="eastAsia" w:ascii="宋体" w:hAnsi="宋体" w:eastAsia="宋体" w:cs="宋体"/>
          <w:color w:val="000000" w:themeColor="text1"/>
          <w14:textFill>
            <w14:solidFill>
              <w14:schemeClr w14:val="tx1"/>
            </w14:solidFill>
          </w14:textFill>
        </w:rPr>
        <w:t>达成分包意向协议</w:t>
      </w:r>
      <w:r>
        <w:rPr>
          <w:rFonts w:hint="eastAsia" w:ascii="宋体" w:hAnsi="宋体" w:eastAsia="宋体" w:cs="宋体"/>
          <w:color w:val="000000" w:themeColor="text1"/>
          <w:lang w:val="zh-CN"/>
          <w14:textFill>
            <w14:solidFill>
              <w14:schemeClr w14:val="tx1"/>
            </w14:solidFill>
          </w14:textFill>
        </w:rPr>
        <w:t xml:space="preserve">。 </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一、分包标的及数量</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u w:val="single"/>
          <w14:textFill>
            <w14:solidFill>
              <w14:schemeClr w14:val="tx1"/>
            </w14:solidFill>
          </w14:textFill>
        </w:rPr>
        <w:t>（投标人名称）</w:t>
      </w:r>
      <w:r>
        <w:rPr>
          <w:rFonts w:hint="eastAsia" w:ascii="宋体" w:hAnsi="宋体" w:eastAsia="宋体" w:cs="宋体"/>
          <w:color w:val="000000" w:themeColor="text1"/>
          <w:lang w:val="zh-CN"/>
          <w14:textFill>
            <w14:solidFill>
              <w14:schemeClr w14:val="tx1"/>
            </w14:solidFill>
          </w14:textFill>
        </w:rPr>
        <w:t>将</w:t>
      </w:r>
      <w:r>
        <w:rPr>
          <w:rFonts w:hint="eastAsia" w:ascii="宋体" w:hAnsi="宋体" w:eastAsia="宋体" w:cs="宋体"/>
          <w:color w:val="000000" w:themeColor="text1"/>
          <w:u w:val="single"/>
          <w14:textFill>
            <w14:solidFill>
              <w14:schemeClr w14:val="tx1"/>
            </w14:solidFill>
          </w14:textFill>
        </w:rPr>
        <w:t xml:space="preserve">   XX工作内容   </w:t>
      </w:r>
      <w:r>
        <w:rPr>
          <w:rFonts w:hint="eastAsia" w:ascii="宋体" w:hAnsi="宋体" w:eastAsia="宋体" w:cs="宋体"/>
          <w:color w:val="000000" w:themeColor="text1"/>
          <w14:textFill>
            <w14:solidFill>
              <w14:schemeClr w14:val="tx1"/>
            </w14:solidFill>
          </w14:textFill>
        </w:rPr>
        <w:t>分包给</w:t>
      </w:r>
      <w:r>
        <w:rPr>
          <w:rFonts w:hint="eastAsia" w:ascii="宋体" w:hAnsi="宋体" w:eastAsia="宋体" w:cs="宋体"/>
          <w:color w:val="000000" w:themeColor="text1"/>
          <w:u w:val="single"/>
          <w14:textFill>
            <w14:solidFill>
              <w14:schemeClr w14:val="tx1"/>
            </w14:solidFill>
          </w14:textFill>
        </w:rPr>
        <w:t>（某分包供应商名称）</w:t>
      </w:r>
      <w:r>
        <w:rPr>
          <w:rFonts w:hint="eastAsia" w:ascii="宋体" w:hAnsi="宋体" w:eastAsia="宋体" w:cs="宋体"/>
          <w:color w:val="000000" w:themeColor="text1"/>
          <w:lang w:val="zh-CN"/>
          <w14:textFill>
            <w14:solidFill>
              <w14:schemeClr w14:val="tx1"/>
            </w14:solidFill>
          </w14:textFill>
        </w:rPr>
        <w:t>，</w:t>
      </w:r>
      <w:r>
        <w:rPr>
          <w:rFonts w:hint="eastAsia" w:ascii="宋体" w:hAnsi="宋体" w:eastAsia="宋体" w:cs="宋体"/>
          <w:color w:val="000000" w:themeColor="text1"/>
          <w:u w:val="single"/>
          <w14:textFill>
            <w14:solidFill>
              <w14:schemeClr w14:val="tx1"/>
            </w14:solidFill>
          </w14:textFill>
        </w:rPr>
        <w:t>（某分包供应商名称），</w:t>
      </w:r>
      <w:r>
        <w:rPr>
          <w:rFonts w:hint="eastAsia" w:ascii="宋体" w:hAnsi="宋体" w:eastAsia="宋体" w:cs="宋体"/>
          <w:color w:val="000000" w:themeColor="text1"/>
          <w:lang w:val="zh-CN"/>
          <w14:textFill>
            <w14:solidFill>
              <w14:schemeClr w14:val="tx1"/>
            </w14:solidFill>
          </w14:textFill>
        </w:rPr>
        <w:t>具备承</w:t>
      </w:r>
      <w:r>
        <w:rPr>
          <w:rFonts w:hint="eastAsia" w:ascii="宋体" w:hAnsi="宋体" w:eastAsia="宋体" w:cs="宋体"/>
          <w:color w:val="000000" w:themeColor="text1"/>
          <w14:textFill>
            <w14:solidFill>
              <w14:schemeClr w14:val="tx1"/>
            </w14:solidFill>
          </w14:textFill>
        </w:rPr>
        <w:t>担</w:t>
      </w:r>
      <w:r>
        <w:rPr>
          <w:rFonts w:hint="eastAsia" w:ascii="宋体" w:hAnsi="宋体" w:eastAsia="宋体" w:cs="宋体"/>
          <w:color w:val="000000" w:themeColor="text1"/>
          <w:u w:val="single"/>
          <w:lang w:val="zh-CN"/>
          <w14:textFill>
            <w14:solidFill>
              <w14:schemeClr w14:val="tx1"/>
            </w14:solidFill>
          </w14:textFill>
        </w:rPr>
        <w:t>XX工作内容</w:t>
      </w:r>
      <w:r>
        <w:rPr>
          <w:rFonts w:hint="eastAsia" w:ascii="宋体" w:hAnsi="宋体" w:eastAsia="宋体" w:cs="宋体"/>
          <w:color w:val="000000" w:themeColor="text1"/>
          <w:lang w:val="zh-CN"/>
          <w14:textFill>
            <w14:solidFill>
              <w14:schemeClr w14:val="tx1"/>
            </w14:solidFill>
          </w14:textFill>
        </w:rPr>
        <w:t>相应资质条件且不得再次分包；</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二、分包工作履行期限、地点、方式</w:t>
      </w:r>
    </w:p>
    <w:p>
      <w:pPr>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u w:val="single"/>
          <w14:textFill>
            <w14:solidFill>
              <w14:schemeClr w14:val="tx1"/>
            </w14:solidFill>
          </w14:textFill>
        </w:rPr>
        <w:t xml:space="preserve">                                                                                  </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三、质量</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u w:val="single"/>
          <w14:textFill>
            <w14:solidFill>
              <w14:schemeClr w14:val="tx1"/>
            </w14:solidFill>
          </w14:textFill>
        </w:rPr>
        <w:t xml:space="preserve">                                                                                       </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四、价款或者报酬</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u w:val="single"/>
          <w14:textFill>
            <w14:solidFill>
              <w14:schemeClr w14:val="tx1"/>
            </w14:solidFill>
          </w14:textFill>
        </w:rPr>
        <w:t xml:space="preserve">                                                                                     </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五、违约责任</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u w:val="single"/>
          <w14:textFill>
            <w14:solidFill>
              <w14:schemeClr w14:val="tx1"/>
            </w14:solidFill>
          </w14:textFill>
        </w:rPr>
        <w:t xml:space="preserve">                                                                                     </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六、争议解决的办法</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u w:val="single"/>
          <w14:textFill>
            <w14:solidFill>
              <w14:schemeClr w14:val="tx1"/>
            </w14:solidFill>
          </w14:textFill>
        </w:rPr>
        <w:t xml:space="preserve">                                                                                  </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七、其他</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u w:val="single"/>
          <w14:textFill>
            <w14:solidFill>
              <w14:schemeClr w14:val="tx1"/>
            </w14:solidFill>
          </w14:textFill>
        </w:rPr>
        <w:t>（分包供应商名称）提供的货物全部由小微企业制造，</w:t>
      </w:r>
      <w:r>
        <w:rPr>
          <w:rFonts w:hint="eastAsia" w:ascii="宋体" w:hAnsi="宋体" w:eastAsia="宋体" w:cs="宋体"/>
          <w:color w:val="000000" w:themeColor="text1"/>
          <w14:textFill>
            <w14:solidFill>
              <w14:schemeClr w14:val="tx1"/>
            </w14:solidFill>
          </w14:textFill>
        </w:rPr>
        <w:t>其合同份额占到合同总金额</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%以上。</w:t>
      </w:r>
      <w:r>
        <w:rPr>
          <w:rFonts w:hint="eastAsia" w:ascii="宋体" w:hAnsi="宋体" w:eastAsia="宋体" w:cs="宋体"/>
          <w:color w:val="000000" w:themeColor="text1"/>
          <w:lang w:val="zh-CN"/>
          <w14:textFill>
            <w14:solidFill>
              <w14:schemeClr w14:val="tx1"/>
            </w14:solidFill>
          </w14:textFill>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 xml:space="preserve">                                               投标人名称(电子签名)：</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分包供应商名称：</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 xml:space="preserve">                                               日期：  年  月   日</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注：按本格式和要求提供。</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r>
        <w:rPr>
          <w:rFonts w:hint="eastAsia" w:ascii="宋体" w:hAnsi="宋体" w:eastAsia="宋体" w:cs="宋体"/>
          <w:color w:val="000000" w:themeColor="text1"/>
          <w14:textFill>
            <w14:solidFill>
              <w14:schemeClr w14:val="tx1"/>
            </w14:solidFill>
          </w14:textFill>
        </w:rPr>
        <w:t>五、符合性审查资料</w:t>
      </w:r>
    </w:p>
    <w:tbl>
      <w:tblPr>
        <w:tblStyle w:val="2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140"/>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序号</w:t>
            </w:r>
          </w:p>
        </w:tc>
        <w:tc>
          <w:tcPr>
            <w:tcW w:w="4140" w:type="dxa"/>
            <w:vAlign w:val="center"/>
          </w:tcPr>
          <w:p>
            <w:pPr>
              <w:snapToGrid w:val="0"/>
              <w:spacing w:line="240" w:lineRule="atLeast"/>
              <w:jc w:val="cente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实质性要求</w:t>
            </w:r>
          </w:p>
        </w:tc>
        <w:tc>
          <w:tcPr>
            <w:tcW w:w="2410" w:type="dxa"/>
            <w:vAlign w:val="center"/>
          </w:tcPr>
          <w:p>
            <w:pPr>
              <w:snapToGrid w:val="0"/>
              <w:spacing w:line="240" w:lineRule="atLeast"/>
              <w:jc w:val="cente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需要提供的符合性审查资料</w:t>
            </w:r>
          </w:p>
        </w:tc>
        <w:tc>
          <w:tcPr>
            <w:tcW w:w="1701" w:type="dxa"/>
            <w:vAlign w:val="center"/>
          </w:tcPr>
          <w:p>
            <w:pPr>
              <w:snapToGrid w:val="0"/>
              <w:spacing w:line="240" w:lineRule="atLeast"/>
              <w:jc w:val="cente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投标文件中的</w:t>
            </w:r>
          </w:p>
          <w:p>
            <w:pPr>
              <w:snapToGrid w:val="0"/>
              <w:spacing w:line="240" w:lineRule="atLeast"/>
              <w:jc w:val="cente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4140" w:type="dxa"/>
          </w:tcPr>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投标文件按照招标文件要求签署、盖章。</w:t>
            </w:r>
          </w:p>
        </w:tc>
        <w:tc>
          <w:tcPr>
            <w:tcW w:w="2410" w:type="dxa"/>
            <w:vAlign w:val="center"/>
          </w:tcPr>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需要使用电子签名或者签字盖章的投标文件的组成部分</w:t>
            </w:r>
          </w:p>
        </w:tc>
        <w:tc>
          <w:tcPr>
            <w:tcW w:w="1701" w:type="dxa"/>
          </w:tcPr>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见投标文件</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第</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p>
        </w:tc>
        <w:tc>
          <w:tcPr>
            <w:tcW w:w="4140" w:type="dxa"/>
          </w:tcPr>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采购人拟采购的产品属于政府强制采购的节能产品品目清单范围的，投标人按招标文件要求提供国家确定的认证机构出具的、处于有效期之内的节能产品认证证书。</w:t>
            </w:r>
          </w:p>
        </w:tc>
        <w:tc>
          <w:tcPr>
            <w:tcW w:w="2410" w:type="dxa"/>
            <w:vAlign w:val="center"/>
          </w:tcPr>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节能产品认证证书（本项目拟采购的产品不属于政府强制采购的节能产品品目清单范围的，无需提供）</w:t>
            </w:r>
          </w:p>
        </w:tc>
        <w:tc>
          <w:tcPr>
            <w:tcW w:w="1701" w:type="dxa"/>
          </w:tcPr>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见投标文件</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第</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p>
        </w:tc>
        <w:tc>
          <w:tcPr>
            <w:tcW w:w="4140" w:type="dxa"/>
          </w:tcPr>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投标文件中承诺的投标有效期不少于招标文件中载明的投标有效期。</w:t>
            </w:r>
          </w:p>
        </w:tc>
        <w:tc>
          <w:tcPr>
            <w:tcW w:w="2410" w:type="dxa"/>
            <w:vAlign w:val="center"/>
          </w:tcPr>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投标函</w:t>
            </w:r>
          </w:p>
        </w:tc>
        <w:tc>
          <w:tcPr>
            <w:tcW w:w="1701" w:type="dxa"/>
          </w:tcPr>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见投标文件第</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w:t>
            </w:r>
          </w:p>
        </w:tc>
        <w:tc>
          <w:tcPr>
            <w:tcW w:w="4140" w:type="dxa"/>
          </w:tcPr>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投标文件满足招标文件的其它实质性要求。</w:t>
            </w:r>
          </w:p>
        </w:tc>
        <w:tc>
          <w:tcPr>
            <w:tcW w:w="2410" w:type="dxa"/>
            <w:vAlign w:val="center"/>
          </w:tcPr>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招标文件其它实质性要求相应的材料（“▲” 系指实质性要求条款，招标文件无其它实质性要求的，无需提供）</w:t>
            </w:r>
          </w:p>
        </w:tc>
        <w:tc>
          <w:tcPr>
            <w:tcW w:w="1701" w:type="dxa"/>
          </w:tcPr>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见投标文件第</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页</w:t>
            </w:r>
          </w:p>
        </w:tc>
      </w:tr>
    </w:tbl>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注：按本格式和要求提供。</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六、评标标准相应的商务技术资料</w:t>
      </w:r>
    </w:p>
    <w:p>
      <w:pPr>
        <w:snapToGrid w:val="0"/>
        <w:spacing w:line="360" w:lineRule="auto"/>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（按招标文件第四部分评标办法前附表中“投标文件中评标标准相应的商务技术资料目录”提供资料。）</w:t>
      </w:r>
    </w:p>
    <w:p>
      <w:pPr>
        <w:spacing w:line="276" w:lineRule="auto"/>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br w:type="page"/>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七、投标标的清单</w:t>
      </w:r>
    </w:p>
    <w:tbl>
      <w:tblPr>
        <w:tblStyle w:val="25"/>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13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p>
        </w:tc>
        <w:tc>
          <w:tcPr>
            <w:tcW w:w="13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136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注：按本格式和要求提供。</w:t>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八、商务技术偏离表</w:t>
      </w:r>
    </w:p>
    <w:tbl>
      <w:tblPr>
        <w:tblStyle w:val="26"/>
        <w:tblW w:w="9464" w:type="dxa"/>
        <w:tblInd w:w="-5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序号</w:t>
            </w:r>
          </w:p>
        </w:tc>
        <w:tc>
          <w:tcPr>
            <w:tcW w:w="3683" w:type="dxa"/>
          </w:tcPr>
          <w:p>
            <w:pPr>
              <w:spacing w:after="0"/>
              <w:jc w:val="center"/>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招标文件章节及具体内容</w:t>
            </w:r>
          </w:p>
        </w:tc>
        <w:tc>
          <w:tcPr>
            <w:tcW w:w="3546" w:type="dxa"/>
          </w:tcPr>
          <w:p>
            <w:pPr>
              <w:spacing w:after="0"/>
              <w:jc w:val="center"/>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投标文件章节及具体内容</w:t>
            </w:r>
          </w:p>
        </w:tc>
        <w:tc>
          <w:tcPr>
            <w:tcW w:w="1276" w:type="dxa"/>
          </w:tcPr>
          <w:p>
            <w:pPr>
              <w:spacing w:after="0"/>
              <w:jc w:val="center"/>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3683" w:type="dxa"/>
          </w:tcPr>
          <w:p>
            <w:pPr>
              <w:spacing w:after="0"/>
              <w:jc w:val="center"/>
              <w:rPr>
                <w:rFonts w:hint="eastAsia" w:ascii="宋体" w:hAnsi="宋体" w:eastAsia="宋体" w:cs="宋体"/>
                <w:b/>
                <w:color w:val="000000" w:themeColor="text1"/>
                <w:sz w:val="32"/>
                <w:szCs w:val="32"/>
                <w14:textFill>
                  <w14:solidFill>
                    <w14:schemeClr w14:val="tx1"/>
                  </w14:solidFill>
                </w14:textFill>
              </w:rPr>
            </w:pPr>
          </w:p>
        </w:tc>
        <w:tc>
          <w:tcPr>
            <w:tcW w:w="3546" w:type="dxa"/>
          </w:tcPr>
          <w:p>
            <w:pPr>
              <w:spacing w:after="0"/>
              <w:jc w:val="center"/>
              <w:rPr>
                <w:rFonts w:hint="eastAsia" w:ascii="宋体" w:hAnsi="宋体" w:eastAsia="宋体" w:cs="宋体"/>
                <w:b/>
                <w:color w:val="000000" w:themeColor="text1"/>
                <w:sz w:val="32"/>
                <w:szCs w:val="32"/>
                <w14:textFill>
                  <w14:solidFill>
                    <w14:schemeClr w14:val="tx1"/>
                  </w14:solidFill>
                </w14:textFill>
              </w:rPr>
            </w:pPr>
          </w:p>
        </w:tc>
        <w:tc>
          <w:tcPr>
            <w:tcW w:w="1276" w:type="dxa"/>
          </w:tcPr>
          <w:p>
            <w:pPr>
              <w:spacing w:after="0"/>
              <w:jc w:val="center"/>
              <w:rPr>
                <w:rFonts w:hint="eastAsia" w:ascii="宋体" w:hAnsi="宋体" w:eastAsia="宋体" w:cs="宋体"/>
                <w:b/>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p>
        </w:tc>
        <w:tc>
          <w:tcPr>
            <w:tcW w:w="3683" w:type="dxa"/>
          </w:tcPr>
          <w:p>
            <w:pPr>
              <w:spacing w:after="0"/>
              <w:jc w:val="center"/>
              <w:rPr>
                <w:rFonts w:hint="eastAsia" w:ascii="宋体" w:hAnsi="宋体" w:eastAsia="宋体" w:cs="宋体"/>
                <w:b/>
                <w:color w:val="000000" w:themeColor="text1"/>
                <w:sz w:val="32"/>
                <w:szCs w:val="32"/>
                <w14:textFill>
                  <w14:solidFill>
                    <w14:schemeClr w14:val="tx1"/>
                  </w14:solidFill>
                </w14:textFill>
              </w:rPr>
            </w:pPr>
          </w:p>
        </w:tc>
        <w:tc>
          <w:tcPr>
            <w:tcW w:w="3546" w:type="dxa"/>
          </w:tcPr>
          <w:p>
            <w:pPr>
              <w:spacing w:after="0"/>
              <w:jc w:val="center"/>
              <w:rPr>
                <w:rFonts w:hint="eastAsia" w:ascii="宋体" w:hAnsi="宋体" w:eastAsia="宋体" w:cs="宋体"/>
                <w:b/>
                <w:color w:val="000000" w:themeColor="text1"/>
                <w:sz w:val="32"/>
                <w:szCs w:val="32"/>
                <w14:textFill>
                  <w14:solidFill>
                    <w14:schemeClr w14:val="tx1"/>
                  </w14:solidFill>
                </w14:textFill>
              </w:rPr>
            </w:pPr>
          </w:p>
        </w:tc>
        <w:tc>
          <w:tcPr>
            <w:tcW w:w="1276" w:type="dxa"/>
          </w:tcPr>
          <w:p>
            <w:pPr>
              <w:spacing w:after="0"/>
              <w:jc w:val="center"/>
              <w:rPr>
                <w:rFonts w:hint="eastAsia" w:ascii="宋体" w:hAnsi="宋体" w:eastAsia="宋体" w:cs="宋体"/>
                <w:b/>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3683" w:type="dxa"/>
          </w:tcPr>
          <w:p>
            <w:pPr>
              <w:spacing w:after="0"/>
              <w:jc w:val="center"/>
              <w:rPr>
                <w:rFonts w:hint="eastAsia" w:ascii="宋体" w:hAnsi="宋体" w:eastAsia="宋体" w:cs="宋体"/>
                <w:b/>
                <w:color w:val="000000" w:themeColor="text1"/>
                <w:sz w:val="32"/>
                <w:szCs w:val="32"/>
                <w14:textFill>
                  <w14:solidFill>
                    <w14:schemeClr w14:val="tx1"/>
                  </w14:solidFill>
                </w14:textFill>
              </w:rPr>
            </w:pPr>
          </w:p>
        </w:tc>
        <w:tc>
          <w:tcPr>
            <w:tcW w:w="3546" w:type="dxa"/>
          </w:tcPr>
          <w:p>
            <w:pPr>
              <w:spacing w:after="0"/>
              <w:jc w:val="center"/>
              <w:rPr>
                <w:rFonts w:hint="eastAsia" w:ascii="宋体" w:hAnsi="宋体" w:eastAsia="宋体" w:cs="宋体"/>
                <w:b/>
                <w:color w:val="000000" w:themeColor="text1"/>
                <w:sz w:val="32"/>
                <w:szCs w:val="32"/>
                <w14:textFill>
                  <w14:solidFill>
                    <w14:schemeClr w14:val="tx1"/>
                  </w14:solidFill>
                </w14:textFill>
              </w:rPr>
            </w:pPr>
          </w:p>
        </w:tc>
        <w:tc>
          <w:tcPr>
            <w:tcW w:w="1276" w:type="dxa"/>
          </w:tcPr>
          <w:p>
            <w:pPr>
              <w:spacing w:after="0"/>
              <w:jc w:val="center"/>
              <w:rPr>
                <w:rFonts w:hint="eastAsia" w:ascii="宋体" w:hAnsi="宋体" w:eastAsia="宋体" w:cs="宋体"/>
                <w:b/>
                <w:color w:val="000000" w:themeColor="text1"/>
                <w:sz w:val="32"/>
                <w:szCs w:val="32"/>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投标人保证：除商务技术偏离表列出的偏离外，投标人响应招标文件的全部要求</w:t>
      </w:r>
    </w:p>
    <w:p>
      <w:pPr>
        <w:spacing w:line="360" w:lineRule="auto"/>
        <w:ind w:right="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注：按本格式和要求提供。</w:t>
      </w:r>
    </w:p>
    <w:p>
      <w:pPr>
        <w:spacing w:line="276" w:lineRule="auto"/>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br w:type="page"/>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九</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val="zh-CN"/>
          <w14:textFill>
            <w14:solidFill>
              <w14:schemeClr w14:val="tx1"/>
            </w14:solidFill>
          </w14:textFill>
        </w:rPr>
        <w:t>政府采购供应商廉洁自律承诺书</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（采购人）、（采购代理机构）</w:t>
      </w:r>
      <w:r>
        <w:rPr>
          <w:rFonts w:hint="eastAsia" w:ascii="宋体" w:hAnsi="宋体" w:eastAsia="宋体" w:cs="宋体"/>
          <w:color w:val="000000" w:themeColor="text1"/>
          <w:lang w:val="zh-CN"/>
          <w14:textFill>
            <w14:solidFill>
              <w14:schemeClr w14:val="tx1"/>
            </w14:solidFill>
          </w14:textFill>
        </w:rPr>
        <w:t>：</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我单位响应你</w:t>
      </w:r>
      <w:r>
        <w:rPr>
          <w:rFonts w:hint="eastAsia" w:ascii="宋体" w:hAnsi="宋体" w:eastAsia="宋体" w:cs="宋体"/>
          <w:color w:val="000000" w:themeColor="text1"/>
          <w14:textFill>
            <w14:solidFill>
              <w14:schemeClr w14:val="tx1"/>
            </w14:solidFill>
          </w14:textFill>
        </w:rPr>
        <w:t>单位</w:t>
      </w:r>
      <w:r>
        <w:rPr>
          <w:rFonts w:hint="eastAsia" w:ascii="宋体" w:hAnsi="宋体" w:eastAsia="宋体" w:cs="宋体"/>
          <w:color w:val="000000" w:themeColor="text1"/>
          <w:lang w:val="zh-CN"/>
          <w14:textFill>
            <w14:solidFill>
              <w14:schemeClr w14:val="tx1"/>
            </w14:solidFill>
          </w14:textFill>
        </w:rPr>
        <w:t>项目招标要求参加投标。在这次投标过程中和中标后，我们将严格遵守国家法律法规要求，并郑重承诺：</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 xml:space="preserve">一、不向项目有关人员及部门赠送礼金礼物、有价证券、回扣以及中介费、介绍费、咨询费等好处费； </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 xml:space="preserve">二、不为项目有关人员及部门报销应由你方单位或个人支付的费用； </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 xml:space="preserve">三、不向项目有关人员及部门提供有可能影响公正的宴请和健身娱乐等活动； </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四、不为项目有关人员及部门出国（境）、旅游等提供方便；</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五、不为项目有关人员个人装修住房、婚丧嫁娶、配偶子女工作安排等提供</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好处；</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六、严格遵守《中华人民共和国政府采购法》《中华人民共和国招标投标</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 xml:space="preserve">法》《中华人民共和国民法典》等法律法规，诚实守信，合法经营，坚决抵制各种违法违纪行为。 </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如违反上述承诺，你</w:t>
      </w:r>
      <w:r>
        <w:rPr>
          <w:rFonts w:hint="eastAsia" w:ascii="宋体" w:hAnsi="宋体" w:eastAsia="宋体" w:cs="宋体"/>
          <w:color w:val="000000" w:themeColor="text1"/>
          <w14:textFill>
            <w14:solidFill>
              <w14:schemeClr w14:val="tx1"/>
            </w14:solidFill>
          </w14:textFill>
        </w:rPr>
        <w:t>单位</w:t>
      </w:r>
      <w:r>
        <w:rPr>
          <w:rFonts w:hint="eastAsia" w:ascii="宋体" w:hAnsi="宋体" w:eastAsia="宋体" w:cs="宋体"/>
          <w:color w:val="000000" w:themeColor="text1"/>
          <w:lang w:val="zh-CN"/>
          <w14:textFill>
            <w14:solidFill>
              <w14:schemeClr w14:val="tx1"/>
            </w14:solidFill>
          </w14:textFill>
        </w:rPr>
        <w:t>有权立即取消我单位投标、中标或在建项目的建设资格，有权拒绝我单位在一定时期内进入你</w:t>
      </w:r>
      <w:r>
        <w:rPr>
          <w:rFonts w:hint="eastAsia" w:ascii="宋体" w:hAnsi="宋体" w:eastAsia="宋体" w:cs="宋体"/>
          <w:color w:val="000000" w:themeColor="text1"/>
          <w14:textFill>
            <w14:solidFill>
              <w14:schemeClr w14:val="tx1"/>
            </w14:solidFill>
          </w14:textFill>
        </w:rPr>
        <w:t>单位</w:t>
      </w:r>
      <w:r>
        <w:rPr>
          <w:rFonts w:hint="eastAsia" w:ascii="宋体" w:hAnsi="宋体" w:eastAsia="宋体" w:cs="宋体"/>
          <w:color w:val="000000" w:themeColor="text1"/>
          <w:lang w:val="zh-CN"/>
          <w14:textFill>
            <w14:solidFill>
              <w14:schemeClr w14:val="tx1"/>
            </w14:solidFill>
          </w14:textFill>
        </w:rPr>
        <w:t>进行项目建设或其他经营活动，并通报市财政局。由此引起的相应损失均由我单位承担。</w:t>
      </w:r>
    </w:p>
    <w:p>
      <w:pPr>
        <w:rPr>
          <w:rFonts w:hint="eastAsia" w:ascii="宋体" w:hAnsi="宋体" w:eastAsia="宋体" w:cs="宋体"/>
          <w:color w:val="000000" w:themeColor="text1"/>
          <w:lang w:val="zh-CN"/>
          <w14:textFill>
            <w14:solidFill>
              <w14:schemeClr w14:val="tx1"/>
            </w14:solidFill>
          </w14:textFill>
        </w:rPr>
      </w:pPr>
    </w:p>
    <w:p>
      <w:pPr>
        <w:rPr>
          <w:rFonts w:hint="eastAsia" w:ascii="宋体" w:hAnsi="宋体" w:eastAsia="宋体" w:cs="宋体"/>
          <w:color w:val="000000" w:themeColor="text1"/>
          <w:lang w:val="zh-CN"/>
          <w14:textFill>
            <w14:solidFill>
              <w14:schemeClr w14:val="tx1"/>
            </w14:solidFill>
          </w14:textFill>
        </w:rPr>
      </w:pPr>
    </w:p>
    <w:p>
      <w:pPr>
        <w:jc w:val="right"/>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投标人名称（</w:t>
      </w:r>
      <w:r>
        <w:rPr>
          <w:rFonts w:hint="eastAsia" w:ascii="宋体" w:hAnsi="宋体" w:eastAsia="宋体" w:cs="宋体"/>
          <w:color w:val="000000" w:themeColor="text1"/>
          <w14:textFill>
            <w14:solidFill>
              <w14:schemeClr w14:val="tx1"/>
            </w14:solidFill>
          </w14:textFill>
        </w:rPr>
        <w:t>电子签名</w:t>
      </w:r>
      <w:r>
        <w:rPr>
          <w:rFonts w:hint="eastAsia" w:ascii="宋体" w:hAnsi="宋体" w:eastAsia="宋体" w:cs="宋体"/>
          <w:color w:val="000000" w:themeColor="text1"/>
          <w:lang w:val="zh-CN"/>
          <w14:textFill>
            <w14:solidFill>
              <w14:schemeClr w14:val="tx1"/>
            </w14:solidFill>
          </w14:textFill>
        </w:rPr>
        <w:t xml:space="preserve">）： </w:t>
      </w:r>
    </w:p>
    <w:p>
      <w:pPr>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日期</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val="zh-CN"/>
          <w14:textFill>
            <w14:solidFill>
              <w14:schemeClr w14:val="tx1"/>
            </w14:solidFill>
          </w14:textFill>
        </w:rPr>
        <w:t xml:space="preserve">   年   月   日</w:t>
      </w:r>
    </w:p>
    <w:p>
      <w:pPr>
        <w:rPr>
          <w:rFonts w:hint="eastAsia" w:ascii="宋体" w:hAnsi="宋体" w:eastAsia="宋体" w:cs="宋体"/>
          <w:b/>
          <w:bCs/>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注：按本格式和要求提供。</w:t>
      </w:r>
    </w:p>
    <w:p>
      <w:pPr>
        <w:spacing w:line="276"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报价文件部分</w:t>
      </w:r>
    </w:p>
    <w:p>
      <w:pPr>
        <w:jc w:val="center"/>
        <w:rPr>
          <w:rFonts w:hint="eastAsia" w:ascii="宋体" w:hAnsi="宋体" w:eastAsia="宋体" w:cs="宋体"/>
          <w:color w:val="000000" w:themeColor="text1"/>
          <w:sz w:val="40"/>
          <w14:textFill>
            <w14:solidFill>
              <w14:schemeClr w14:val="tx1"/>
            </w14:solidFill>
          </w14:textFill>
        </w:rPr>
      </w:pPr>
      <w:r>
        <w:rPr>
          <w:rFonts w:hint="eastAsia" w:ascii="宋体" w:hAnsi="宋体" w:eastAsia="宋体" w:cs="宋体"/>
          <w:color w:val="000000" w:themeColor="text1"/>
          <w:sz w:val="40"/>
          <w14:textFill>
            <w14:solidFill>
              <w14:schemeClr w14:val="tx1"/>
            </w14:solidFill>
          </w14:textFill>
        </w:rPr>
        <w:t>目录</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（1）开标一览表（报价表）…………………………………………………（页码）</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（2）中小企业声明函…………………………………………………………（页码）</w:t>
      </w:r>
    </w:p>
    <w:p>
      <w:pPr>
        <w:snapToGrid w:val="0"/>
        <w:spacing w:line="360" w:lineRule="auto"/>
        <w:ind w:right="480"/>
        <w:jc w:val="center"/>
        <w:rPr>
          <w:rFonts w:hint="eastAsia" w:ascii="宋体" w:hAnsi="宋体" w:eastAsia="宋体" w:cs="宋体"/>
          <w:b/>
          <w:color w:val="000000" w:themeColor="text1"/>
          <w:sz w:val="32"/>
          <w:szCs w:val="32"/>
          <w14:textFill>
            <w14:solidFill>
              <w14:schemeClr w14:val="tx1"/>
            </w14:solidFill>
          </w14:textFill>
        </w:rPr>
      </w:pPr>
    </w:p>
    <w:p>
      <w:pPr>
        <w:pStyle w:val="75"/>
        <w:keepNext w:val="0"/>
        <w:pageBreakBefore w:val="0"/>
        <w:tabs>
          <w:tab w:val="clear" w:pos="720"/>
        </w:tabs>
        <w:snapToGrid w:val="0"/>
        <w:spacing w:before="120" w:after="120"/>
        <w:ind w:firstLine="643"/>
        <w:outlineLvl w:val="9"/>
        <w:rPr>
          <w:rFonts w:hint="eastAsia" w:ascii="宋体" w:hAnsi="宋体" w:eastAsia="宋体" w:cs="宋体"/>
          <w:color w:val="000000" w:themeColor="text1"/>
          <w:kern w:val="2"/>
          <w:sz w:val="32"/>
          <w:szCs w:val="32"/>
          <w14:textFill>
            <w14:solidFill>
              <w14:schemeClr w14:val="tx1"/>
            </w14:solidFill>
          </w14:textFill>
        </w:rPr>
        <w:sectPr>
          <w:headerReference r:id="rId6" w:type="default"/>
          <w:pgSz w:w="11906" w:h="16838"/>
          <w:pgMar w:top="1440" w:right="1700" w:bottom="1440" w:left="1800" w:header="851" w:footer="992" w:gutter="0"/>
          <w:cols w:space="425" w:num="1"/>
          <w:docGrid w:type="lines" w:linePitch="312" w:charSpace="0"/>
        </w:sectPr>
      </w:pP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一、开标一览表（报价表）</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（采购人）、（采购代理机构）</w:t>
      </w:r>
      <w:r>
        <w:rPr>
          <w:rFonts w:hint="eastAsia" w:ascii="宋体" w:hAnsi="宋体" w:eastAsia="宋体" w:cs="宋体"/>
          <w:color w:val="000000" w:themeColor="text1"/>
          <w:lang w:val="zh-CN"/>
          <w14:textFill>
            <w14:solidFill>
              <w14:schemeClr w14:val="tx1"/>
            </w14:solidFill>
          </w14:textFill>
        </w:rPr>
        <w:t>：</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宋体" w:hAnsi="宋体" w:eastAsia="宋体" w:cs="宋体"/>
          <w:color w:val="000000" w:themeColor="text1"/>
          <w14:textFill>
            <w14:solidFill>
              <w14:schemeClr w14:val="tx1"/>
            </w14:solidFill>
          </w14:textFill>
        </w:rPr>
        <w:t>（项目名称）</w:t>
      </w:r>
      <w:r>
        <w:rPr>
          <w:rFonts w:hint="eastAsia" w:ascii="宋体" w:hAnsi="宋体" w:eastAsia="宋体" w:cs="宋体"/>
          <w:color w:val="000000" w:themeColor="text1"/>
          <w:lang w:val="zh-CN"/>
          <w14:textFill>
            <w14:solidFill>
              <w14:schemeClr w14:val="tx1"/>
            </w14:solidFill>
          </w14:textFill>
        </w:rPr>
        <w:t>【招标编号：</w:t>
      </w:r>
      <w:r>
        <w:rPr>
          <w:rFonts w:hint="eastAsia" w:ascii="宋体" w:hAnsi="宋体" w:eastAsia="宋体" w:cs="宋体"/>
          <w:color w:val="000000" w:themeColor="text1"/>
          <w14:textFill>
            <w14:solidFill>
              <w14:schemeClr w14:val="tx1"/>
            </w14:solidFill>
          </w14:textFill>
        </w:rPr>
        <w:t>（采购编号）】的实施</w:t>
      </w:r>
      <w:r>
        <w:rPr>
          <w:rFonts w:hint="eastAsia" w:ascii="宋体" w:hAnsi="宋体" w:eastAsia="宋体" w:cs="宋体"/>
          <w:color w:val="000000" w:themeColor="text1"/>
          <w:lang w:val="zh-CN"/>
          <w14:textFill>
            <w14:solidFill>
              <w14:schemeClr w14:val="tx1"/>
            </w14:solidFill>
          </w14:textFill>
        </w:rPr>
        <w:t>。</w:t>
      </w:r>
    </w:p>
    <w:p>
      <w:pPr>
        <w:rPr>
          <w:rFonts w:hint="eastAsia" w:ascii="宋体" w:hAnsi="宋体" w:eastAsia="宋体" w:cs="宋体"/>
          <w:b/>
          <w:color w:val="000000" w:themeColor="text1"/>
          <w:lang w:val="zh-CN"/>
          <w14:textFill>
            <w14:solidFill>
              <w14:schemeClr w14:val="tx1"/>
            </w14:solidFill>
          </w14:textFill>
        </w:rPr>
      </w:pPr>
      <w:r>
        <w:rPr>
          <w:rFonts w:hint="eastAsia" w:ascii="宋体" w:hAnsi="宋体" w:eastAsia="宋体" w:cs="宋体"/>
          <w:b/>
          <w:color w:val="000000" w:themeColor="text1"/>
          <w:lang w:val="zh-CN"/>
          <w14:textFill>
            <w14:solidFill>
              <w14:schemeClr w14:val="tx1"/>
            </w14:solidFill>
          </w14:textFill>
        </w:rPr>
        <w:t>开标一览表（报价表）(单位均为人民币元)</w:t>
      </w:r>
    </w:p>
    <w:tbl>
      <w:tblPr>
        <w:tblStyle w:val="25"/>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序号</w:t>
            </w:r>
          </w:p>
        </w:tc>
        <w:tc>
          <w:tcPr>
            <w:tcW w:w="1417" w:type="dxa"/>
            <w:vAlign w:val="center"/>
          </w:tcPr>
          <w:p>
            <w:pP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名称</w:t>
            </w:r>
          </w:p>
        </w:tc>
        <w:tc>
          <w:tcPr>
            <w:tcW w:w="1843" w:type="dxa"/>
          </w:tcPr>
          <w:p>
            <w:pPr>
              <w:rPr>
                <w:rFonts w:hint="eastAsia" w:ascii="宋体" w:hAnsi="宋体" w:eastAsia="宋体" w:cs="宋体"/>
                <w:b/>
                <w:color w:val="000000" w:themeColor="text1"/>
                <w14:textFill>
                  <w14:solidFill>
                    <w14:schemeClr w14:val="tx1"/>
                  </w14:solidFill>
                </w14:textFill>
              </w:rPr>
            </w:pPr>
          </w:p>
          <w:p>
            <w:pP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品牌（如果有）</w:t>
            </w:r>
          </w:p>
        </w:tc>
        <w:tc>
          <w:tcPr>
            <w:tcW w:w="3118" w:type="dxa"/>
            <w:vAlign w:val="center"/>
          </w:tcPr>
          <w:p>
            <w:pP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规格型号（或具体服务）</w:t>
            </w:r>
          </w:p>
        </w:tc>
        <w:tc>
          <w:tcPr>
            <w:tcW w:w="993" w:type="dxa"/>
            <w:vAlign w:val="center"/>
          </w:tcPr>
          <w:p>
            <w:pP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数量</w:t>
            </w:r>
          </w:p>
        </w:tc>
        <w:tc>
          <w:tcPr>
            <w:tcW w:w="1559" w:type="dxa"/>
            <w:vAlign w:val="center"/>
          </w:tcPr>
          <w:p>
            <w:pP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单价</w:t>
            </w:r>
          </w:p>
        </w:tc>
        <w:tc>
          <w:tcPr>
            <w:tcW w:w="1984" w:type="dxa"/>
            <w:vAlign w:val="center"/>
          </w:tcPr>
          <w:p>
            <w:pP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总价</w:t>
            </w:r>
          </w:p>
        </w:tc>
        <w:tc>
          <w:tcPr>
            <w:tcW w:w="3119" w:type="dxa"/>
            <w:vAlign w:val="center"/>
          </w:tcPr>
          <w:p>
            <w:pPr>
              <w:rPr>
                <w:rFonts w:hint="eastAsia" w:ascii="宋体" w:hAnsi="宋体" w:eastAsia="宋体" w:cs="宋体"/>
                <w:b/>
                <w:color w:val="000000" w:themeColor="text1"/>
                <w14:textFill>
                  <w14:solidFill>
                    <w14:schemeClr w14:val="tx1"/>
                  </w14:solidFill>
                </w14:textFill>
              </w:rPr>
            </w:pPr>
          </w:p>
          <w:p>
            <w:pP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质保或服务年限</w:t>
            </w:r>
          </w:p>
          <w:p>
            <w:pPr>
              <w:rPr>
                <w:rFonts w:hint="eastAsia" w:ascii="宋体" w:hAnsi="宋体" w:eastAsia="宋体" w:cs="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1417" w:type="dxa"/>
            <w:vAlign w:val="center"/>
          </w:tcPr>
          <w:p>
            <w:pPr>
              <w:rPr>
                <w:rFonts w:hint="eastAsia" w:ascii="宋体" w:hAnsi="宋体" w:eastAsia="宋体" w:cs="宋体"/>
                <w:color w:val="000000" w:themeColor="text1"/>
                <w14:textFill>
                  <w14:solidFill>
                    <w14:schemeClr w14:val="tx1"/>
                  </w14:solidFill>
                </w14:textFill>
              </w:rPr>
            </w:pPr>
          </w:p>
        </w:tc>
        <w:tc>
          <w:tcPr>
            <w:tcW w:w="1843" w:type="dxa"/>
            <w:vAlign w:val="center"/>
          </w:tcPr>
          <w:p>
            <w:pPr>
              <w:rPr>
                <w:rFonts w:hint="eastAsia" w:ascii="宋体" w:hAnsi="宋体" w:eastAsia="宋体" w:cs="宋体"/>
                <w:color w:val="000000" w:themeColor="text1"/>
                <w14:textFill>
                  <w14:solidFill>
                    <w14:schemeClr w14:val="tx1"/>
                  </w14:solidFill>
                </w14:textFill>
              </w:rPr>
            </w:pPr>
          </w:p>
        </w:tc>
        <w:tc>
          <w:tcPr>
            <w:tcW w:w="3118" w:type="dxa"/>
            <w:vAlign w:val="center"/>
          </w:tcPr>
          <w:p>
            <w:pPr>
              <w:rPr>
                <w:rFonts w:hint="eastAsia" w:ascii="宋体" w:hAnsi="宋体" w:eastAsia="宋体" w:cs="宋体"/>
                <w:color w:val="000000" w:themeColor="text1"/>
                <w14:textFill>
                  <w14:solidFill>
                    <w14:schemeClr w14:val="tx1"/>
                  </w14:solidFill>
                </w14:textFill>
              </w:rPr>
            </w:pPr>
          </w:p>
        </w:tc>
        <w:tc>
          <w:tcPr>
            <w:tcW w:w="993" w:type="dxa"/>
            <w:vAlign w:val="center"/>
          </w:tcPr>
          <w:p>
            <w:pPr>
              <w:rPr>
                <w:rFonts w:hint="eastAsia" w:ascii="宋体" w:hAnsi="宋体" w:eastAsia="宋体" w:cs="宋体"/>
                <w:color w:val="000000" w:themeColor="text1"/>
                <w14:textFill>
                  <w14:solidFill>
                    <w14:schemeClr w14:val="tx1"/>
                  </w14:solidFill>
                </w14:textFill>
              </w:rPr>
            </w:pPr>
          </w:p>
        </w:tc>
        <w:tc>
          <w:tcPr>
            <w:tcW w:w="1559" w:type="dxa"/>
            <w:vAlign w:val="center"/>
          </w:tcPr>
          <w:p>
            <w:pPr>
              <w:rPr>
                <w:rFonts w:hint="eastAsia" w:ascii="宋体" w:hAnsi="宋体" w:eastAsia="宋体" w:cs="宋体"/>
                <w:color w:val="000000" w:themeColor="text1"/>
                <w14:textFill>
                  <w14:solidFill>
                    <w14:schemeClr w14:val="tx1"/>
                  </w14:solidFill>
                </w14:textFill>
              </w:rPr>
            </w:pPr>
          </w:p>
        </w:tc>
        <w:tc>
          <w:tcPr>
            <w:tcW w:w="1984" w:type="dxa"/>
            <w:vAlign w:val="center"/>
          </w:tcPr>
          <w:p>
            <w:pPr>
              <w:rPr>
                <w:rFonts w:hint="eastAsia" w:ascii="宋体" w:hAnsi="宋体" w:eastAsia="宋体" w:cs="宋体"/>
                <w:color w:val="000000" w:themeColor="text1"/>
                <w14:textFill>
                  <w14:solidFill>
                    <w14:schemeClr w14:val="tx1"/>
                  </w14:solidFill>
                </w14:textFill>
              </w:rPr>
            </w:pPr>
          </w:p>
        </w:tc>
        <w:tc>
          <w:tcPr>
            <w:tcW w:w="3119" w:type="dxa"/>
            <w:vAlign w:val="center"/>
          </w:tcPr>
          <w:p>
            <w:pPr>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p>
        </w:tc>
        <w:tc>
          <w:tcPr>
            <w:tcW w:w="1417" w:type="dxa"/>
            <w:vAlign w:val="center"/>
          </w:tcPr>
          <w:p>
            <w:pPr>
              <w:rPr>
                <w:rFonts w:hint="eastAsia" w:ascii="宋体" w:hAnsi="宋体" w:eastAsia="宋体" w:cs="宋体"/>
                <w:color w:val="000000" w:themeColor="text1"/>
                <w14:textFill>
                  <w14:solidFill>
                    <w14:schemeClr w14:val="tx1"/>
                  </w14:solidFill>
                </w14:textFill>
              </w:rPr>
            </w:pPr>
          </w:p>
        </w:tc>
        <w:tc>
          <w:tcPr>
            <w:tcW w:w="1843" w:type="dxa"/>
            <w:vAlign w:val="center"/>
          </w:tcPr>
          <w:p>
            <w:pPr>
              <w:rPr>
                <w:rFonts w:hint="eastAsia" w:ascii="宋体" w:hAnsi="宋体" w:eastAsia="宋体" w:cs="宋体"/>
                <w:color w:val="000000" w:themeColor="text1"/>
                <w14:textFill>
                  <w14:solidFill>
                    <w14:schemeClr w14:val="tx1"/>
                  </w14:solidFill>
                </w14:textFill>
              </w:rPr>
            </w:pPr>
          </w:p>
        </w:tc>
        <w:tc>
          <w:tcPr>
            <w:tcW w:w="3118" w:type="dxa"/>
            <w:vAlign w:val="center"/>
          </w:tcPr>
          <w:p>
            <w:pPr>
              <w:rPr>
                <w:rFonts w:hint="eastAsia" w:ascii="宋体" w:hAnsi="宋体" w:eastAsia="宋体" w:cs="宋体"/>
                <w:color w:val="000000" w:themeColor="text1"/>
                <w14:textFill>
                  <w14:solidFill>
                    <w14:schemeClr w14:val="tx1"/>
                  </w14:solidFill>
                </w14:textFill>
              </w:rPr>
            </w:pPr>
          </w:p>
        </w:tc>
        <w:tc>
          <w:tcPr>
            <w:tcW w:w="993" w:type="dxa"/>
            <w:vAlign w:val="center"/>
          </w:tcPr>
          <w:p>
            <w:pPr>
              <w:rPr>
                <w:rFonts w:hint="eastAsia" w:ascii="宋体" w:hAnsi="宋体" w:eastAsia="宋体" w:cs="宋体"/>
                <w:color w:val="000000" w:themeColor="text1"/>
                <w14:textFill>
                  <w14:solidFill>
                    <w14:schemeClr w14:val="tx1"/>
                  </w14:solidFill>
                </w14:textFill>
              </w:rPr>
            </w:pPr>
          </w:p>
        </w:tc>
        <w:tc>
          <w:tcPr>
            <w:tcW w:w="1559" w:type="dxa"/>
            <w:vAlign w:val="center"/>
          </w:tcPr>
          <w:p>
            <w:pPr>
              <w:rPr>
                <w:rFonts w:hint="eastAsia" w:ascii="宋体" w:hAnsi="宋体" w:eastAsia="宋体" w:cs="宋体"/>
                <w:color w:val="000000" w:themeColor="text1"/>
                <w14:textFill>
                  <w14:solidFill>
                    <w14:schemeClr w14:val="tx1"/>
                  </w14:solidFill>
                </w14:textFill>
              </w:rPr>
            </w:pPr>
          </w:p>
        </w:tc>
        <w:tc>
          <w:tcPr>
            <w:tcW w:w="1984" w:type="dxa"/>
            <w:vAlign w:val="center"/>
          </w:tcPr>
          <w:p>
            <w:pPr>
              <w:rPr>
                <w:rFonts w:hint="eastAsia" w:ascii="宋体" w:hAnsi="宋体" w:eastAsia="宋体" w:cs="宋体"/>
                <w:color w:val="000000" w:themeColor="text1"/>
                <w14:textFill>
                  <w14:solidFill>
                    <w14:schemeClr w14:val="tx1"/>
                  </w14:solidFill>
                </w14:textFill>
              </w:rPr>
            </w:pPr>
          </w:p>
        </w:tc>
        <w:tc>
          <w:tcPr>
            <w:tcW w:w="3119" w:type="dxa"/>
            <w:vAlign w:val="center"/>
          </w:tcPr>
          <w:p>
            <w:pPr>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tc>
        <w:tc>
          <w:tcPr>
            <w:tcW w:w="1417" w:type="dxa"/>
            <w:vAlign w:val="center"/>
          </w:tcPr>
          <w:p>
            <w:pPr>
              <w:rPr>
                <w:rFonts w:hint="eastAsia" w:ascii="宋体" w:hAnsi="宋体" w:eastAsia="宋体" w:cs="宋体"/>
                <w:color w:val="000000" w:themeColor="text1"/>
                <w14:textFill>
                  <w14:solidFill>
                    <w14:schemeClr w14:val="tx1"/>
                  </w14:solidFill>
                </w14:textFill>
              </w:rPr>
            </w:pPr>
          </w:p>
        </w:tc>
        <w:tc>
          <w:tcPr>
            <w:tcW w:w="1843" w:type="dxa"/>
            <w:vAlign w:val="center"/>
          </w:tcPr>
          <w:p>
            <w:pPr>
              <w:rPr>
                <w:rFonts w:hint="eastAsia" w:ascii="宋体" w:hAnsi="宋体" w:eastAsia="宋体" w:cs="宋体"/>
                <w:color w:val="000000" w:themeColor="text1"/>
                <w14:textFill>
                  <w14:solidFill>
                    <w14:schemeClr w14:val="tx1"/>
                  </w14:solidFill>
                </w14:textFill>
              </w:rPr>
            </w:pPr>
          </w:p>
        </w:tc>
        <w:tc>
          <w:tcPr>
            <w:tcW w:w="3118" w:type="dxa"/>
            <w:vAlign w:val="center"/>
          </w:tcPr>
          <w:p>
            <w:pPr>
              <w:rPr>
                <w:rFonts w:hint="eastAsia" w:ascii="宋体" w:hAnsi="宋体" w:eastAsia="宋体" w:cs="宋体"/>
                <w:color w:val="000000" w:themeColor="text1"/>
                <w14:textFill>
                  <w14:solidFill>
                    <w14:schemeClr w14:val="tx1"/>
                  </w14:solidFill>
                </w14:textFill>
              </w:rPr>
            </w:pPr>
          </w:p>
        </w:tc>
        <w:tc>
          <w:tcPr>
            <w:tcW w:w="993" w:type="dxa"/>
            <w:vAlign w:val="center"/>
          </w:tcPr>
          <w:p>
            <w:pPr>
              <w:rPr>
                <w:rFonts w:hint="eastAsia" w:ascii="宋体" w:hAnsi="宋体" w:eastAsia="宋体" w:cs="宋体"/>
                <w:color w:val="000000" w:themeColor="text1"/>
                <w14:textFill>
                  <w14:solidFill>
                    <w14:schemeClr w14:val="tx1"/>
                  </w14:solidFill>
                </w14:textFill>
              </w:rPr>
            </w:pPr>
          </w:p>
        </w:tc>
        <w:tc>
          <w:tcPr>
            <w:tcW w:w="1559" w:type="dxa"/>
            <w:vAlign w:val="center"/>
          </w:tcPr>
          <w:p>
            <w:pPr>
              <w:rPr>
                <w:rFonts w:hint="eastAsia" w:ascii="宋体" w:hAnsi="宋体" w:eastAsia="宋体" w:cs="宋体"/>
                <w:color w:val="000000" w:themeColor="text1"/>
                <w14:textFill>
                  <w14:solidFill>
                    <w14:schemeClr w14:val="tx1"/>
                  </w14:solidFill>
                </w14:textFill>
              </w:rPr>
            </w:pPr>
          </w:p>
        </w:tc>
        <w:tc>
          <w:tcPr>
            <w:tcW w:w="1984" w:type="dxa"/>
            <w:vAlign w:val="center"/>
          </w:tcPr>
          <w:p>
            <w:pPr>
              <w:rPr>
                <w:rFonts w:hint="eastAsia" w:ascii="宋体" w:hAnsi="宋体" w:eastAsia="宋体" w:cs="宋体"/>
                <w:color w:val="000000" w:themeColor="text1"/>
                <w14:textFill>
                  <w14:solidFill>
                    <w14:schemeClr w14:val="tx1"/>
                  </w14:solidFill>
                </w14:textFill>
              </w:rPr>
            </w:pPr>
          </w:p>
        </w:tc>
        <w:tc>
          <w:tcPr>
            <w:tcW w:w="3119" w:type="dxa"/>
            <w:vAlign w:val="center"/>
          </w:tcPr>
          <w:p>
            <w:pPr>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rPr>
                <w:rFonts w:hint="eastAsia" w:ascii="宋体" w:hAnsi="宋体" w:eastAsia="宋体" w:cs="宋体"/>
                <w:color w:val="000000" w:themeColor="text1"/>
                <w14:textFill>
                  <w14:solidFill>
                    <w14:schemeClr w14:val="tx1"/>
                  </w14:solidFill>
                </w14:textFill>
              </w:rPr>
            </w:pPr>
          </w:p>
        </w:tc>
        <w:tc>
          <w:tcPr>
            <w:tcW w:w="1417" w:type="dxa"/>
            <w:vAlign w:val="center"/>
          </w:tcPr>
          <w:p>
            <w:pPr>
              <w:rPr>
                <w:rFonts w:hint="eastAsia" w:ascii="宋体" w:hAnsi="宋体" w:eastAsia="宋体" w:cs="宋体"/>
                <w:color w:val="000000" w:themeColor="text1"/>
                <w14:textFill>
                  <w14:solidFill>
                    <w14:schemeClr w14:val="tx1"/>
                  </w14:solidFill>
                </w14:textFill>
              </w:rPr>
            </w:pPr>
          </w:p>
        </w:tc>
        <w:tc>
          <w:tcPr>
            <w:tcW w:w="1843" w:type="dxa"/>
            <w:vAlign w:val="center"/>
          </w:tcPr>
          <w:p>
            <w:pPr>
              <w:rPr>
                <w:rFonts w:hint="eastAsia" w:ascii="宋体" w:hAnsi="宋体" w:eastAsia="宋体" w:cs="宋体"/>
                <w:color w:val="000000" w:themeColor="text1"/>
                <w14:textFill>
                  <w14:solidFill>
                    <w14:schemeClr w14:val="tx1"/>
                  </w14:solidFill>
                </w14:textFill>
              </w:rPr>
            </w:pPr>
          </w:p>
        </w:tc>
        <w:tc>
          <w:tcPr>
            <w:tcW w:w="3118" w:type="dxa"/>
            <w:vAlign w:val="center"/>
          </w:tcPr>
          <w:p>
            <w:pPr>
              <w:rPr>
                <w:rFonts w:hint="eastAsia" w:ascii="宋体" w:hAnsi="宋体" w:eastAsia="宋体" w:cs="宋体"/>
                <w:color w:val="000000" w:themeColor="text1"/>
                <w14:textFill>
                  <w14:solidFill>
                    <w14:schemeClr w14:val="tx1"/>
                  </w14:solidFill>
                </w14:textFill>
              </w:rPr>
            </w:pPr>
          </w:p>
        </w:tc>
        <w:tc>
          <w:tcPr>
            <w:tcW w:w="993" w:type="dxa"/>
            <w:vAlign w:val="center"/>
          </w:tcPr>
          <w:p>
            <w:pPr>
              <w:rPr>
                <w:rFonts w:hint="eastAsia" w:ascii="宋体" w:hAnsi="宋体" w:eastAsia="宋体" w:cs="宋体"/>
                <w:color w:val="000000" w:themeColor="text1"/>
                <w14:textFill>
                  <w14:solidFill>
                    <w14:schemeClr w14:val="tx1"/>
                  </w14:solidFill>
                </w14:textFill>
              </w:rPr>
            </w:pPr>
          </w:p>
        </w:tc>
        <w:tc>
          <w:tcPr>
            <w:tcW w:w="1559" w:type="dxa"/>
            <w:vAlign w:val="center"/>
          </w:tcPr>
          <w:p>
            <w:pPr>
              <w:rPr>
                <w:rFonts w:hint="eastAsia" w:ascii="宋体" w:hAnsi="宋体" w:eastAsia="宋体" w:cs="宋体"/>
                <w:color w:val="000000" w:themeColor="text1"/>
                <w14:textFill>
                  <w14:solidFill>
                    <w14:schemeClr w14:val="tx1"/>
                  </w14:solidFill>
                </w14:textFill>
              </w:rPr>
            </w:pPr>
          </w:p>
        </w:tc>
        <w:tc>
          <w:tcPr>
            <w:tcW w:w="1984" w:type="dxa"/>
            <w:vAlign w:val="center"/>
          </w:tcPr>
          <w:p>
            <w:pPr>
              <w:rPr>
                <w:rFonts w:hint="eastAsia" w:ascii="宋体" w:hAnsi="宋体" w:eastAsia="宋体" w:cs="宋体"/>
                <w:color w:val="000000" w:themeColor="text1"/>
                <w14:textFill>
                  <w14:solidFill>
                    <w14:schemeClr w14:val="tx1"/>
                  </w14:solidFill>
                </w14:textFill>
              </w:rPr>
            </w:pPr>
          </w:p>
        </w:tc>
        <w:tc>
          <w:tcPr>
            <w:tcW w:w="3119" w:type="dxa"/>
            <w:vAlign w:val="center"/>
          </w:tcPr>
          <w:p>
            <w:pPr>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rPr>
                <w:rFonts w:hint="eastAsia" w:ascii="宋体" w:hAnsi="宋体" w:eastAsia="宋体" w:cs="宋体"/>
                <w:color w:val="000000" w:themeColor="text1"/>
                <w14:textFill>
                  <w14:solidFill>
                    <w14:schemeClr w14:val="tx1"/>
                  </w14:solidFill>
                </w14:textFill>
              </w:rPr>
            </w:pPr>
          </w:p>
        </w:tc>
        <w:tc>
          <w:tcPr>
            <w:tcW w:w="1417" w:type="dxa"/>
            <w:vAlign w:val="center"/>
          </w:tcPr>
          <w:p>
            <w:pPr>
              <w:rPr>
                <w:rFonts w:hint="eastAsia" w:ascii="宋体" w:hAnsi="宋体" w:eastAsia="宋体" w:cs="宋体"/>
                <w:color w:val="000000" w:themeColor="text1"/>
                <w14:textFill>
                  <w14:solidFill>
                    <w14:schemeClr w14:val="tx1"/>
                  </w14:solidFill>
                </w14:textFill>
              </w:rPr>
            </w:pPr>
          </w:p>
        </w:tc>
        <w:tc>
          <w:tcPr>
            <w:tcW w:w="1843" w:type="dxa"/>
            <w:vAlign w:val="center"/>
          </w:tcPr>
          <w:p>
            <w:pPr>
              <w:rPr>
                <w:rFonts w:hint="eastAsia" w:ascii="宋体" w:hAnsi="宋体" w:eastAsia="宋体" w:cs="宋体"/>
                <w:color w:val="000000" w:themeColor="text1"/>
                <w14:textFill>
                  <w14:solidFill>
                    <w14:schemeClr w14:val="tx1"/>
                  </w14:solidFill>
                </w14:textFill>
              </w:rPr>
            </w:pPr>
          </w:p>
        </w:tc>
        <w:tc>
          <w:tcPr>
            <w:tcW w:w="3118" w:type="dxa"/>
            <w:vAlign w:val="center"/>
          </w:tcPr>
          <w:p>
            <w:pPr>
              <w:rPr>
                <w:rFonts w:hint="eastAsia" w:ascii="宋体" w:hAnsi="宋体" w:eastAsia="宋体" w:cs="宋体"/>
                <w:color w:val="000000" w:themeColor="text1"/>
                <w14:textFill>
                  <w14:solidFill>
                    <w14:schemeClr w14:val="tx1"/>
                  </w14:solidFill>
                </w14:textFill>
              </w:rPr>
            </w:pPr>
          </w:p>
        </w:tc>
        <w:tc>
          <w:tcPr>
            <w:tcW w:w="993" w:type="dxa"/>
            <w:vAlign w:val="center"/>
          </w:tcPr>
          <w:p>
            <w:pPr>
              <w:rPr>
                <w:rFonts w:hint="eastAsia" w:ascii="宋体" w:hAnsi="宋体" w:eastAsia="宋体" w:cs="宋体"/>
                <w:color w:val="000000" w:themeColor="text1"/>
                <w14:textFill>
                  <w14:solidFill>
                    <w14:schemeClr w14:val="tx1"/>
                  </w14:solidFill>
                </w14:textFill>
              </w:rPr>
            </w:pPr>
          </w:p>
        </w:tc>
        <w:tc>
          <w:tcPr>
            <w:tcW w:w="1559" w:type="dxa"/>
            <w:vAlign w:val="center"/>
          </w:tcPr>
          <w:p>
            <w:pPr>
              <w:rPr>
                <w:rFonts w:hint="eastAsia" w:ascii="宋体" w:hAnsi="宋体" w:eastAsia="宋体" w:cs="宋体"/>
                <w:color w:val="000000" w:themeColor="text1"/>
                <w14:textFill>
                  <w14:solidFill>
                    <w14:schemeClr w14:val="tx1"/>
                  </w14:solidFill>
                </w14:textFill>
              </w:rPr>
            </w:pPr>
          </w:p>
        </w:tc>
        <w:tc>
          <w:tcPr>
            <w:tcW w:w="1984" w:type="dxa"/>
            <w:vAlign w:val="center"/>
          </w:tcPr>
          <w:p>
            <w:pPr>
              <w:rPr>
                <w:rFonts w:hint="eastAsia" w:ascii="宋体" w:hAnsi="宋体" w:eastAsia="宋体" w:cs="宋体"/>
                <w:color w:val="000000" w:themeColor="text1"/>
                <w14:textFill>
                  <w14:solidFill>
                    <w14:schemeClr w14:val="tx1"/>
                  </w14:solidFill>
                </w14:textFill>
              </w:rPr>
            </w:pPr>
          </w:p>
        </w:tc>
        <w:tc>
          <w:tcPr>
            <w:tcW w:w="3119" w:type="dxa"/>
            <w:vAlign w:val="center"/>
          </w:tcPr>
          <w:p>
            <w:pPr>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投标报价（小写）</w:t>
            </w:r>
          </w:p>
        </w:tc>
        <w:tc>
          <w:tcPr>
            <w:tcW w:w="7655" w:type="dxa"/>
            <w:gridSpan w:val="4"/>
            <w:vAlign w:val="center"/>
          </w:tcPr>
          <w:p>
            <w:pPr>
              <w:rPr>
                <w:rFonts w:hint="eastAsia"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投标报价（大写）</w:t>
            </w:r>
          </w:p>
        </w:tc>
        <w:tc>
          <w:tcPr>
            <w:tcW w:w="7655" w:type="dxa"/>
            <w:gridSpan w:val="4"/>
            <w:vAlign w:val="center"/>
          </w:tcPr>
          <w:p>
            <w:pPr>
              <w:rPr>
                <w:rFonts w:hint="eastAsia" w:ascii="宋体" w:hAnsi="宋体" w:eastAsia="宋体" w:cs="宋体"/>
                <w:color w:val="000000" w:themeColor="text1"/>
                <w14:textFill>
                  <w14:solidFill>
                    <w14:schemeClr w14:val="tx1"/>
                  </w14:solidFill>
                </w14:textFill>
              </w:rPr>
            </w:pPr>
          </w:p>
        </w:tc>
      </w:tr>
    </w:tbl>
    <w:p>
      <w:pPr>
        <w:rPr>
          <w:rFonts w:hint="eastAsia" w:ascii="宋体" w:hAnsi="宋体" w:eastAsia="宋体" w:cs="宋体"/>
          <w:b/>
          <w:color w:val="000000" w:themeColor="text1"/>
          <w:lang w:val="zh-CN"/>
          <w14:textFill>
            <w14:solidFill>
              <w14:schemeClr w14:val="tx1"/>
            </w14:solidFill>
          </w14:textFill>
        </w:rPr>
      </w:pPr>
      <w:r>
        <w:rPr>
          <w:rFonts w:hint="eastAsia" w:ascii="宋体" w:hAnsi="宋体" w:eastAsia="宋体" w:cs="宋体"/>
          <w:b/>
          <w:color w:val="000000" w:themeColor="text1"/>
          <w:lang w:val="zh-CN"/>
          <w14:textFill>
            <w14:solidFill>
              <w14:schemeClr w14:val="tx1"/>
            </w14:solidFill>
          </w14:textFill>
        </w:rPr>
        <w:t>注：</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1、投标人需按本表格式填写，不得自行更改。</w:t>
      </w:r>
      <w:r>
        <w:rPr>
          <w:rFonts w:hint="eastAsia" w:ascii="宋体" w:hAnsi="宋体" w:eastAsia="宋体" w:cs="宋体"/>
          <w:color w:val="000000" w:themeColor="text1"/>
          <w:lang w:val="zh-CN"/>
          <w14:textFill>
            <w14:solidFill>
              <w14:schemeClr w14:val="tx1"/>
            </w14:solidFill>
          </w14:textFill>
        </w:rPr>
        <w:tab/>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2、有关本项目实施所涉及的一切费用均计入报价。</w:t>
      </w:r>
      <w:r>
        <w:rPr>
          <w:rFonts w:hint="eastAsia" w:ascii="宋体" w:hAnsi="宋体" w:eastAsia="宋体" w:cs="宋体"/>
          <w:b/>
          <w:color w:val="000000" w:themeColor="text1"/>
          <w:lang w:val="zh-CN"/>
          <w14:textFill>
            <w14:solidFill>
              <w14:schemeClr w14:val="tx1"/>
            </w14:solidFill>
          </w14:textFill>
        </w:rPr>
        <w:t>采购人将以合同形式有偿取得货物或服务，不接受投标人给予的赠品、回扣或者与采购无关的其他商品、服务</w:t>
      </w:r>
      <w:r>
        <w:rPr>
          <w:rFonts w:hint="eastAsia" w:ascii="宋体" w:hAnsi="宋体" w:eastAsia="宋体" w:cs="宋体"/>
          <w:color w:val="000000" w:themeColor="text1"/>
          <w:lang w:val="zh-CN"/>
          <w14:textFill>
            <w14:solidFill>
              <w14:schemeClr w14:val="tx1"/>
            </w14:solidFill>
          </w14:textFill>
        </w:rPr>
        <w:t>，</w:t>
      </w:r>
      <w:r>
        <w:rPr>
          <w:rFonts w:hint="eastAsia" w:ascii="宋体" w:hAnsi="宋体" w:eastAsia="宋体" w:cs="宋体"/>
          <w:b/>
          <w:color w:val="000000" w:themeColor="text1"/>
          <w:lang w:val="zh-CN"/>
          <w14:textFill>
            <w14:solidFill>
              <w14:schemeClr w14:val="tx1"/>
            </w14:solidFill>
          </w14:textFill>
        </w:rPr>
        <w:t>不得出现“0元”“免费赠送”等形式的无偿报价，</w:t>
      </w:r>
      <w:r>
        <w:rPr>
          <w:rFonts w:hint="eastAsia" w:ascii="宋体" w:hAnsi="宋体" w:eastAsia="宋体" w:cs="宋体"/>
          <w:b/>
          <w:color w:val="000000" w:themeColor="text1"/>
          <w14:textFill>
            <w14:solidFill>
              <w14:schemeClr w14:val="tx1"/>
            </w14:solidFill>
          </w14:textFill>
        </w:rPr>
        <w:t>否则视为投标文件含有采购人不能接受的附加条件的，投标无效</w:t>
      </w:r>
      <w:r>
        <w:rPr>
          <w:rFonts w:hint="eastAsia" w:ascii="宋体" w:hAnsi="宋体" w:eastAsia="宋体" w:cs="宋体"/>
          <w:b/>
          <w:color w:val="000000" w:themeColor="text1"/>
          <w:lang w:val="zh-CN"/>
          <w14:textFill>
            <w14:solidFill>
              <w14:schemeClr w14:val="tx1"/>
            </w14:solidFill>
          </w14:textFill>
        </w:rPr>
        <w:t>；采购内容未包含在《开标一览表（报价表）》名称栏中，投标人不能作出合理解释的，</w:t>
      </w:r>
      <w:r>
        <w:rPr>
          <w:rFonts w:hint="eastAsia" w:ascii="宋体" w:hAnsi="宋体" w:eastAsia="宋体" w:cs="宋体"/>
          <w:b/>
          <w:color w:val="000000" w:themeColor="text1"/>
          <w14:textFill>
            <w14:solidFill>
              <w14:schemeClr w14:val="tx1"/>
            </w14:solidFill>
          </w14:textFill>
        </w:rPr>
        <w:t>视为投标文件含有采购人不能接受的附加条件的，投标无效。</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3、以上表格要求细分项目及报价，在“规格型号（或具体服务）”一栏中，货物类项目填写规格型号，服务类项目填写具体服务。</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4、特别提示：采购机构将对项目名称和项目编号，中标供应商名称、地址和中标金额，主要中标标的的名称、规格型号、数量、单价、服务要求等予以公示。</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szCs w:val="22"/>
          <w:lang w:val="zh-CN"/>
          <w14:textFill>
            <w14:solidFill>
              <w14:schemeClr w14:val="tx1"/>
            </w14:solidFill>
          </w14:textFill>
        </w:rPr>
        <w:t>5、</w:t>
      </w:r>
      <w:r>
        <w:rPr>
          <w:rFonts w:hint="eastAsia" w:ascii="宋体" w:hAnsi="宋体" w:eastAsia="宋体" w:cs="宋体"/>
          <w:color w:val="000000" w:themeColor="text1"/>
          <w:lang w:val="zh-CN"/>
          <w14:textFill>
            <w14:solidFill>
              <w14:schemeClr w14:val="tx1"/>
            </w14:solidFill>
          </w14:textFill>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宋体" w:hAnsi="宋体" w:eastAsia="宋体" w:cs="宋体"/>
          <w:b/>
          <w:color w:val="000000" w:themeColor="text1"/>
          <w14:textFill>
            <w14:solidFill>
              <w14:schemeClr w14:val="tx1"/>
            </w14:solidFill>
          </w14:textFill>
        </w:rPr>
        <w:sectPr>
          <w:pgSz w:w="16838" w:h="11906" w:orient="landscape"/>
          <w:pgMar w:top="1800" w:right="1440" w:bottom="1700" w:left="1440" w:header="851" w:footer="992" w:gutter="0"/>
          <w:cols w:space="425" w:num="1"/>
          <w:docGrid w:type="lines" w:linePitch="326" w:charSpace="0"/>
        </w:sectPr>
      </w:pP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2"/>
          <w14:textFill>
            <w14:solidFill>
              <w14:schemeClr w14:val="tx1"/>
            </w14:solidFill>
          </w14:textFill>
        </w:rPr>
        <w:t>二、</w:t>
      </w:r>
      <w:r>
        <w:rPr>
          <w:rFonts w:hint="eastAsia" w:ascii="宋体" w:hAnsi="宋体" w:eastAsia="宋体" w:cs="宋体"/>
          <w:color w:val="000000" w:themeColor="text1"/>
          <w14:textFill>
            <w14:solidFill>
              <w14:schemeClr w14:val="tx1"/>
            </w14:solidFill>
          </w14:textFill>
        </w:rPr>
        <w:t>中小企业声明函</w:t>
      </w:r>
    </w:p>
    <w:p>
      <w:pPr>
        <w:spacing w:line="360" w:lineRule="auto"/>
        <w:ind w:firstLine="120" w:firstLineChars="50"/>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spacing w:line="276" w:lineRule="auto"/>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br w:type="page"/>
      </w:r>
    </w:p>
    <w:p>
      <w:pPr>
        <w:pStyle w:val="4"/>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政府采购支持中小企业信用融资相关事项通知</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为贯彻落实中央、省、市关于支持民营经济健康发展有关精神，发挥政府采购在促进中小企业发展中的政策引导作用，缓解中小企业融资难、融资贵问题，杭州市财政局、</w:t>
      </w: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中国银保监会浙江监管局、杭州市地方金融监督管理局、杭州市经济和信息化局制定《杭州市政府采购支持中小企业信用融资管理办法》。相关事项通知如下：</w:t>
      </w:r>
    </w:p>
    <w:p>
      <w:pP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一、适用对象</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凡已在浙江政府采购网上注册入库，并取得杭州市政府采购合同的中小企业供应商（以下简称“供应商”），均可申请政府采购信用融资。</w:t>
      </w:r>
    </w:p>
    <w:p>
      <w:pP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二、相关信息获取方式</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三、　政府采购信用融资操作流程：</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（一）线上融资模式：</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1.供应商根据合作银行提供的方案，自行选择金融产品，并办理开户等手续；</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2.供应商中标后，可通过杭州市政府采购网或“浙里办”测算授信额度；</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3.采购合同签订后，供应商在杭州市政府采购网或“浙里办”向合作银行发出融资申请；</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4.审批通过后，在线办理放贷手续。</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（二）线下融资模式：</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1.供应商根据合作银行提供的方案，自行选择金融产品，向合作银行提出信用资格预审，并办理开户等手续；</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2.采购合同签订后，供应商在杭州市政府采购网或“浙里办”向合作银行发出融资申请；</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3.合作银行在信用融资模块受理申请后，供应商提供审批材料。合作银行应对申请信用融资的供应商及备案的政府采购合同信息进行核对和审查；</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4.审批通过后，合作银行应按照合作备忘录中约定的审批放款期限和优惠利率及时予以放款。</w:t>
      </w:r>
    </w:p>
    <w:p>
      <w:pPr>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（三）杭州e融平台申请融资</w:t>
      </w:r>
    </w:p>
    <w:p>
      <w:pPr>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供应商通过杭州e融平台政采贷专区，自行选择金融产品，按规定手续办理贷款流程。</w:t>
      </w:r>
    </w:p>
    <w:p>
      <w:pP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四、注意事项</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1、对拟用于信用融资的政府采购合同，供应商在签订合同时应当在合同中注明融资银行名称及账号，作为在该银行的唯一收款账号。</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宋体" w:hAnsi="宋体" w:eastAsia="宋体" w:cs="宋体"/>
          <w:b/>
          <w:bCs/>
          <w:color w:val="000000" w:themeColor="text1"/>
          <w14:textFill>
            <w14:solidFill>
              <w14:schemeClr w14:val="tx1"/>
            </w14:solidFill>
          </w14:textFill>
        </w:rPr>
      </w:pPr>
    </w:p>
    <w:p>
      <w:pPr>
        <w:spacing w:line="360" w:lineRule="auto"/>
        <w:ind w:firstLine="120" w:firstLineChars="50"/>
        <w:rPr>
          <w:rFonts w:hint="eastAsia" w:ascii="宋体" w:hAnsi="宋体" w:eastAsia="宋体" w:cs="宋体"/>
          <w:b/>
          <w:color w:val="000000" w:themeColor="text1"/>
          <w14:textFill>
            <w14:solidFill>
              <w14:schemeClr w14:val="tx1"/>
            </w14:solidFill>
          </w14:textFill>
        </w:rPr>
      </w:pPr>
    </w:p>
    <w:p>
      <w:pPr>
        <w:spacing w:line="360" w:lineRule="auto"/>
        <w:ind w:firstLine="482" w:firstLineChars="200"/>
        <w:rPr>
          <w:rFonts w:hint="eastAsia" w:ascii="宋体" w:hAnsi="宋体" w:eastAsia="宋体" w:cs="宋体"/>
          <w:b/>
          <w:color w:val="000000" w:themeColor="text1"/>
          <w14:textFill>
            <w14:solidFill>
              <w14:schemeClr w14:val="tx1"/>
            </w14:solidFill>
          </w14:textFill>
        </w:rPr>
      </w:pPr>
    </w:p>
    <w:p>
      <w:pPr>
        <w:pStyle w:val="75"/>
        <w:keepNext w:val="0"/>
        <w:pageBreakBefore w:val="0"/>
        <w:tabs>
          <w:tab w:val="clear" w:pos="720"/>
        </w:tabs>
        <w:snapToGrid w:val="0"/>
        <w:spacing w:before="120" w:after="120"/>
        <w:ind w:firstLine="643"/>
        <w:outlineLvl w:val="9"/>
        <w:rPr>
          <w:rFonts w:hint="eastAsia" w:ascii="宋体" w:hAnsi="宋体" w:eastAsia="宋体" w:cs="宋体"/>
          <w:color w:val="000000" w:themeColor="text1"/>
          <w:kern w:val="2"/>
          <w:sz w:val="32"/>
          <w:szCs w:val="32"/>
          <w14:textFill>
            <w14:solidFill>
              <w14:schemeClr w14:val="tx1"/>
            </w14:solidFill>
          </w14:textFill>
        </w:rPr>
      </w:pPr>
    </w:p>
    <w:p>
      <w:pPr>
        <w:spacing w:line="276"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3"/>
        <w:rPr>
          <w:rFonts w:hint="eastAsia" w:ascii="宋体" w:hAnsi="宋体" w:eastAsia="宋体" w:cs="宋体"/>
          <w:color w:val="000000" w:themeColor="text1"/>
          <w14:textFill>
            <w14:solidFill>
              <w14:schemeClr w14:val="tx1"/>
            </w14:solidFill>
          </w14:textFill>
        </w:rPr>
      </w:pPr>
      <w:bookmarkStart w:id="526" w:name="_Toc465665161"/>
      <w:r>
        <w:rPr>
          <w:rFonts w:hint="eastAsia" w:ascii="宋体" w:hAnsi="宋体" w:eastAsia="宋体" w:cs="宋体"/>
          <w:color w:val="000000" w:themeColor="text1"/>
          <w14:textFill>
            <w14:solidFill>
              <w14:schemeClr w14:val="tx1"/>
            </w14:solidFill>
          </w14:textFill>
        </w:rPr>
        <w:t>附件</w:t>
      </w:r>
      <w:bookmarkEnd w:id="526"/>
    </w:p>
    <w:p>
      <w:pPr>
        <w:pStyle w:val="4"/>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附件1：残疾人福利性单位声明函</w:t>
      </w:r>
    </w:p>
    <w:p>
      <w:pPr>
        <w:spacing w:line="360" w:lineRule="auto"/>
        <w:jc w:val="center"/>
        <w:rPr>
          <w:rFonts w:hint="eastAsia" w:ascii="宋体" w:hAnsi="宋体" w:eastAsia="宋体" w:cs="宋体"/>
          <w:b/>
          <w:color w:val="000000" w:themeColor="text1"/>
          <w:spacing w:val="6"/>
          <w:sz w:val="32"/>
          <w:szCs w:val="32"/>
          <w14:textFill>
            <w14:solidFill>
              <w14:schemeClr w14:val="tx1"/>
            </w14:solidFill>
          </w14:textFill>
        </w:rPr>
      </w:pPr>
      <w:bookmarkStart w:id="527" w:name="OLE_LINK14"/>
      <w:bookmarkStart w:id="528" w:name="OLE_LINK13"/>
      <w:r>
        <w:rPr>
          <w:rFonts w:hint="eastAsia" w:ascii="宋体" w:hAnsi="宋体" w:eastAsia="宋体" w:cs="宋体"/>
          <w:b/>
          <w:color w:val="000000" w:themeColor="text1"/>
          <w:spacing w:val="6"/>
          <w:sz w:val="32"/>
          <w:szCs w:val="32"/>
          <w14:textFill>
            <w14:solidFill>
              <w14:schemeClr w14:val="tx1"/>
            </w14:solidFill>
          </w14:textFill>
        </w:rPr>
        <w:t>残疾人福利性单位声明函</w:t>
      </w:r>
    </w:p>
    <w:bookmarkEnd w:id="527"/>
    <w:bookmarkEnd w:id="528"/>
    <w:p>
      <w:pPr>
        <w:spacing w:line="360" w:lineRule="auto"/>
        <w:rPr>
          <w:rFonts w:hint="eastAsia" w:ascii="宋体" w:hAnsi="宋体" w:eastAsia="宋体" w:cs="宋体"/>
          <w:b/>
          <w:color w:val="000000" w:themeColor="text1"/>
          <w:spacing w:val="6"/>
          <w:sz w:val="30"/>
          <w:szCs w:val="30"/>
          <w14:textFill>
            <w14:solidFill>
              <w14:schemeClr w14:val="tx1"/>
            </w14:solidFill>
          </w14:textFill>
        </w:rPr>
      </w:pPr>
    </w:p>
    <w:p>
      <w:pPr>
        <w:pStyle w:val="6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6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本单位对上述声明的真实性负责。如有虚假，将依法承担相应责任。</w:t>
      </w:r>
    </w:p>
    <w:p>
      <w:pPr>
        <w:pStyle w:val="60"/>
        <w:rPr>
          <w:rFonts w:hint="eastAsia" w:ascii="宋体" w:hAnsi="宋体" w:eastAsia="宋体" w:cs="宋体"/>
          <w:color w:val="000000" w:themeColor="text1"/>
          <w14:textFill>
            <w14:solidFill>
              <w14:schemeClr w14:val="tx1"/>
            </w14:solidFill>
          </w14:textFill>
        </w:rPr>
      </w:pPr>
    </w:p>
    <w:p>
      <w:pPr>
        <w:pStyle w:val="60"/>
        <w:rPr>
          <w:rFonts w:hint="eastAsia" w:ascii="宋体" w:hAnsi="宋体" w:eastAsia="宋体" w:cs="宋体"/>
          <w:color w:val="000000" w:themeColor="text1"/>
          <w14:textFill>
            <w14:solidFill>
              <w14:schemeClr w14:val="tx1"/>
            </w14:solidFill>
          </w14:textFill>
        </w:rPr>
      </w:pPr>
    </w:p>
    <w:p>
      <w:pPr>
        <w:pStyle w:val="6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投标人名称（电子签名）：</w:t>
      </w:r>
    </w:p>
    <w:p>
      <w:pPr>
        <w:pStyle w:val="6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日  期：</w:t>
      </w:r>
    </w:p>
    <w:p>
      <w:pPr>
        <w:spacing w:line="276"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4"/>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附件2：质疑函范本及制作说明</w:t>
      </w:r>
    </w:p>
    <w:p>
      <w:pPr>
        <w:spacing w:line="360" w:lineRule="auto"/>
        <w:jc w:val="center"/>
        <w:rPr>
          <w:rFonts w:hint="eastAsia" w:ascii="宋体" w:hAnsi="宋体" w:eastAsia="宋体" w:cs="宋体"/>
          <w:b/>
          <w:color w:val="000000" w:themeColor="text1"/>
          <w:spacing w:val="6"/>
          <w:sz w:val="32"/>
          <w:szCs w:val="32"/>
          <w14:textFill>
            <w14:solidFill>
              <w14:schemeClr w14:val="tx1"/>
            </w14:solidFill>
          </w14:textFill>
        </w:rPr>
      </w:pPr>
      <w:r>
        <w:rPr>
          <w:rFonts w:hint="eastAsia" w:ascii="宋体" w:hAnsi="宋体" w:eastAsia="宋体" w:cs="宋体"/>
          <w:b/>
          <w:color w:val="000000" w:themeColor="text1"/>
          <w:spacing w:val="6"/>
          <w:sz w:val="32"/>
          <w:szCs w:val="32"/>
          <w14:textFill>
            <w14:solidFill>
              <w14:schemeClr w14:val="tx1"/>
            </w14:solidFill>
          </w14:textFill>
        </w:rPr>
        <w:t>质疑函范本</w:t>
      </w:r>
    </w:p>
    <w:p>
      <w:pPr>
        <w:pStyle w:val="6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一、质疑供应商基本信息</w:t>
      </w:r>
    </w:p>
    <w:p>
      <w:pPr>
        <w:pStyle w:val="60"/>
        <w:rPr>
          <w:rFonts w:hint="eastAsia" w:ascii="宋体" w:hAnsi="宋体" w:eastAsia="宋体" w:cs="宋体"/>
          <w:color w:val="000000" w:themeColor="text1"/>
          <w:u w:val="dotted"/>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质疑供应商：</w:t>
      </w:r>
      <w:r>
        <w:rPr>
          <w:rFonts w:hint="eastAsia" w:ascii="宋体" w:hAnsi="宋体" w:eastAsia="宋体" w:cs="宋体"/>
          <w:color w:val="000000" w:themeColor="text1"/>
          <w:u w:val="dotted"/>
          <w14:textFill>
            <w14:solidFill>
              <w14:schemeClr w14:val="tx1"/>
            </w14:solidFill>
          </w14:textFill>
        </w:rPr>
        <w:t xml:space="preserve">                                        </w:t>
      </w:r>
    </w:p>
    <w:p>
      <w:pPr>
        <w:pStyle w:val="6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地址：</w:t>
      </w:r>
      <w:r>
        <w:rPr>
          <w:rFonts w:hint="eastAsia" w:ascii="宋体" w:hAnsi="宋体" w:eastAsia="宋体" w:cs="宋体"/>
          <w:color w:val="000000" w:themeColor="text1"/>
          <w:u w:val="dotted"/>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邮编：</w:t>
      </w:r>
      <w:r>
        <w:rPr>
          <w:rFonts w:hint="eastAsia" w:ascii="宋体" w:hAnsi="宋体" w:eastAsia="宋体" w:cs="宋体"/>
          <w:color w:val="000000" w:themeColor="text1"/>
          <w:u w:val="dotted"/>
          <w14:textFill>
            <w14:solidFill>
              <w14:schemeClr w14:val="tx1"/>
            </w14:solidFill>
          </w14:textFill>
        </w:rPr>
        <w:t xml:space="preserve">                                                   </w:t>
      </w:r>
    </w:p>
    <w:p>
      <w:pPr>
        <w:pStyle w:val="6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联系人：</w:t>
      </w:r>
      <w:r>
        <w:rPr>
          <w:rFonts w:hint="eastAsia" w:ascii="宋体" w:hAnsi="宋体" w:eastAsia="宋体" w:cs="宋体"/>
          <w:color w:val="000000" w:themeColor="text1"/>
          <w:u w:val="dotted"/>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联系电话：</w:t>
      </w:r>
      <w:r>
        <w:rPr>
          <w:rFonts w:hint="eastAsia" w:ascii="宋体" w:hAnsi="宋体" w:eastAsia="宋体" w:cs="宋体"/>
          <w:color w:val="000000" w:themeColor="text1"/>
          <w:u w:val="dotted"/>
          <w14:textFill>
            <w14:solidFill>
              <w14:schemeClr w14:val="tx1"/>
            </w14:solidFill>
          </w14:textFill>
        </w:rPr>
        <w:t xml:space="preserve">                              </w:t>
      </w:r>
    </w:p>
    <w:p>
      <w:pPr>
        <w:pStyle w:val="60"/>
        <w:rPr>
          <w:rFonts w:hint="eastAsia" w:ascii="宋体" w:hAnsi="宋体" w:eastAsia="宋体" w:cs="宋体"/>
          <w:color w:val="000000" w:themeColor="text1"/>
          <w:u w:val="dotted"/>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授权代表：</w:t>
      </w:r>
      <w:r>
        <w:rPr>
          <w:rFonts w:hint="eastAsia" w:ascii="宋体" w:hAnsi="宋体" w:eastAsia="宋体" w:cs="宋体"/>
          <w:color w:val="000000" w:themeColor="text1"/>
          <w:u w:val="dotted"/>
          <w14:textFill>
            <w14:solidFill>
              <w14:schemeClr w14:val="tx1"/>
            </w14:solidFill>
          </w14:textFill>
        </w:rPr>
        <w:t xml:space="preserve">                                          </w:t>
      </w:r>
    </w:p>
    <w:p>
      <w:pPr>
        <w:pStyle w:val="6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联系电话：</w:t>
      </w:r>
      <w:r>
        <w:rPr>
          <w:rFonts w:hint="eastAsia" w:ascii="宋体" w:hAnsi="宋体" w:eastAsia="宋体" w:cs="宋体"/>
          <w:color w:val="000000" w:themeColor="text1"/>
          <w:u w:val="dotted"/>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 xml:space="preserve"> </w:t>
      </w:r>
    </w:p>
    <w:p>
      <w:pPr>
        <w:pStyle w:val="6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地址： </w:t>
      </w:r>
      <w:r>
        <w:rPr>
          <w:rFonts w:hint="eastAsia" w:ascii="宋体" w:hAnsi="宋体" w:eastAsia="宋体" w:cs="宋体"/>
          <w:color w:val="000000" w:themeColor="text1"/>
          <w:u w:val="dotted"/>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邮编：</w:t>
      </w:r>
      <w:r>
        <w:rPr>
          <w:rFonts w:hint="eastAsia" w:ascii="宋体" w:hAnsi="宋体" w:eastAsia="宋体" w:cs="宋体"/>
          <w:color w:val="000000" w:themeColor="text1"/>
          <w:u w:val="dotted"/>
          <w14:textFill>
            <w14:solidFill>
              <w14:schemeClr w14:val="tx1"/>
            </w14:solidFill>
          </w14:textFill>
        </w:rPr>
        <w:t xml:space="preserve">                                                </w:t>
      </w:r>
    </w:p>
    <w:p>
      <w:pPr>
        <w:pStyle w:val="6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二、质疑项目基本情况</w:t>
      </w:r>
    </w:p>
    <w:p>
      <w:pPr>
        <w:pStyle w:val="6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质疑项目的名称：</w:t>
      </w:r>
      <w:r>
        <w:rPr>
          <w:rFonts w:hint="eastAsia" w:ascii="宋体" w:hAnsi="宋体" w:eastAsia="宋体" w:cs="宋体"/>
          <w:color w:val="000000" w:themeColor="text1"/>
          <w:u w:val="dotted"/>
          <w14:textFill>
            <w14:solidFill>
              <w14:schemeClr w14:val="tx1"/>
            </w14:solidFill>
          </w14:textFill>
        </w:rPr>
        <w:t xml:space="preserve">                                      </w:t>
      </w:r>
    </w:p>
    <w:p>
      <w:pPr>
        <w:pStyle w:val="6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质疑项目的编号：</w:t>
      </w:r>
      <w:r>
        <w:rPr>
          <w:rFonts w:hint="eastAsia" w:ascii="宋体" w:hAnsi="宋体" w:eastAsia="宋体" w:cs="宋体"/>
          <w:color w:val="000000" w:themeColor="text1"/>
          <w:u w:val="dotted"/>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包号：</w:t>
      </w:r>
      <w:r>
        <w:rPr>
          <w:rFonts w:hint="eastAsia" w:ascii="宋体" w:hAnsi="宋体" w:eastAsia="宋体" w:cs="宋体"/>
          <w:color w:val="000000" w:themeColor="text1"/>
          <w:u w:val="dotted"/>
          <w14:textFill>
            <w14:solidFill>
              <w14:schemeClr w14:val="tx1"/>
            </w14:solidFill>
          </w14:textFill>
        </w:rPr>
        <w:t xml:space="preserve">                 </w:t>
      </w:r>
    </w:p>
    <w:p>
      <w:pPr>
        <w:pStyle w:val="60"/>
        <w:rPr>
          <w:rFonts w:hint="eastAsia" w:ascii="宋体" w:hAnsi="宋体" w:eastAsia="宋体" w:cs="宋体"/>
          <w:color w:val="000000" w:themeColor="text1"/>
          <w:u w:val="dotted"/>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采购人名称：</w:t>
      </w:r>
      <w:r>
        <w:rPr>
          <w:rFonts w:hint="eastAsia" w:ascii="宋体" w:hAnsi="宋体" w:eastAsia="宋体" w:cs="宋体"/>
          <w:color w:val="000000" w:themeColor="text1"/>
          <w:u w:val="dotted"/>
          <w14:textFill>
            <w14:solidFill>
              <w14:schemeClr w14:val="tx1"/>
            </w14:solidFill>
          </w14:textFill>
        </w:rPr>
        <w:t xml:space="preserve">                                         </w:t>
      </w:r>
    </w:p>
    <w:p>
      <w:pPr>
        <w:pStyle w:val="6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采购文件获取日期：</w:t>
      </w:r>
      <w:r>
        <w:rPr>
          <w:rFonts w:hint="eastAsia" w:ascii="宋体" w:hAnsi="宋体" w:eastAsia="宋体" w:cs="宋体"/>
          <w:color w:val="000000" w:themeColor="text1"/>
          <w:u w:val="dotted"/>
          <w14:textFill>
            <w14:solidFill>
              <w14:schemeClr w14:val="tx1"/>
            </w14:solidFill>
          </w14:textFill>
        </w:rPr>
        <w:t xml:space="preserve">                                           </w:t>
      </w:r>
    </w:p>
    <w:p>
      <w:pPr>
        <w:pStyle w:val="6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三、质疑事项具体内容</w:t>
      </w:r>
    </w:p>
    <w:p>
      <w:pPr>
        <w:pStyle w:val="60"/>
        <w:rPr>
          <w:rFonts w:hint="eastAsia" w:ascii="宋体" w:hAnsi="宋体" w:eastAsia="宋体" w:cs="宋体"/>
          <w:color w:val="000000" w:themeColor="text1"/>
          <w:u w:val="dotted"/>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质疑事项1：</w:t>
      </w:r>
      <w:r>
        <w:rPr>
          <w:rFonts w:hint="eastAsia" w:ascii="宋体" w:hAnsi="宋体" w:eastAsia="宋体" w:cs="宋体"/>
          <w:color w:val="000000" w:themeColor="text1"/>
          <w:u w:val="dotted"/>
          <w14:textFill>
            <w14:solidFill>
              <w14:schemeClr w14:val="tx1"/>
            </w14:solidFill>
          </w14:textFill>
        </w:rPr>
        <w:t xml:space="preserve">                                         </w:t>
      </w:r>
    </w:p>
    <w:p>
      <w:pPr>
        <w:pStyle w:val="60"/>
        <w:rPr>
          <w:rFonts w:hint="eastAsia" w:ascii="宋体" w:hAnsi="宋体" w:eastAsia="宋体" w:cs="宋体"/>
          <w:color w:val="000000" w:themeColor="text1"/>
          <w:u w:val="dotted"/>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事实依据：</w:t>
      </w:r>
      <w:r>
        <w:rPr>
          <w:rFonts w:hint="eastAsia" w:ascii="宋体" w:hAnsi="宋体" w:eastAsia="宋体" w:cs="宋体"/>
          <w:color w:val="000000" w:themeColor="text1"/>
          <w:u w:val="dotted"/>
          <w14:textFill>
            <w14:solidFill>
              <w14:schemeClr w14:val="tx1"/>
            </w14:solidFill>
          </w14:textFill>
        </w:rPr>
        <w:t xml:space="preserve">                                          </w:t>
      </w:r>
    </w:p>
    <w:p>
      <w:pPr>
        <w:pStyle w:val="6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u w:val="dotted"/>
          <w14:textFill>
            <w14:solidFill>
              <w14:schemeClr w14:val="tx1"/>
            </w14:solidFill>
          </w14:textFill>
        </w:rPr>
        <w:t xml:space="preserve">                                                       </w:t>
      </w:r>
    </w:p>
    <w:p>
      <w:pPr>
        <w:pStyle w:val="60"/>
        <w:rPr>
          <w:rFonts w:hint="eastAsia" w:ascii="宋体" w:hAnsi="宋体" w:eastAsia="宋体" w:cs="宋体"/>
          <w:color w:val="000000" w:themeColor="text1"/>
          <w:u w:val="dotted"/>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法律依据：</w:t>
      </w:r>
      <w:r>
        <w:rPr>
          <w:rFonts w:hint="eastAsia" w:ascii="宋体" w:hAnsi="宋体" w:eastAsia="宋体" w:cs="宋体"/>
          <w:color w:val="000000" w:themeColor="text1"/>
          <w:u w:val="dotted"/>
          <w14:textFill>
            <w14:solidFill>
              <w14:schemeClr w14:val="tx1"/>
            </w14:solidFill>
          </w14:textFill>
        </w:rPr>
        <w:t xml:space="preserve">                                          </w:t>
      </w:r>
    </w:p>
    <w:p>
      <w:pPr>
        <w:pStyle w:val="60"/>
        <w:rPr>
          <w:rFonts w:hint="eastAsia" w:ascii="宋体" w:hAnsi="宋体" w:eastAsia="宋体" w:cs="宋体"/>
          <w:color w:val="000000" w:themeColor="text1"/>
          <w:u w:val="dotted"/>
          <w14:textFill>
            <w14:solidFill>
              <w14:schemeClr w14:val="tx1"/>
            </w14:solidFill>
          </w14:textFill>
        </w:rPr>
      </w:pPr>
      <w:r>
        <w:rPr>
          <w:rFonts w:hint="eastAsia" w:ascii="宋体" w:hAnsi="宋体" w:eastAsia="宋体" w:cs="宋体"/>
          <w:color w:val="000000" w:themeColor="text1"/>
          <w:u w:val="dotted"/>
          <w14:textFill>
            <w14:solidFill>
              <w14:schemeClr w14:val="tx1"/>
            </w14:solidFill>
          </w14:textFill>
        </w:rPr>
        <w:t xml:space="preserve">                                                     </w:t>
      </w:r>
    </w:p>
    <w:p>
      <w:pPr>
        <w:pStyle w:val="60"/>
        <w:rPr>
          <w:rFonts w:hint="eastAsia" w:ascii="宋体" w:hAnsi="宋体" w:eastAsia="宋体" w:cs="宋体"/>
          <w:color w:val="000000" w:themeColor="text1"/>
          <w:u w:val="dotted"/>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质疑事项2</w:t>
      </w:r>
    </w:p>
    <w:p>
      <w:pPr>
        <w:pStyle w:val="6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p>
      <w:pPr>
        <w:pStyle w:val="6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四、与质疑事项相关的质疑请求</w:t>
      </w:r>
    </w:p>
    <w:p>
      <w:pPr>
        <w:pStyle w:val="60"/>
        <w:rPr>
          <w:rFonts w:hint="eastAsia" w:ascii="宋体" w:hAnsi="宋体" w:eastAsia="宋体" w:cs="宋体"/>
          <w:color w:val="000000" w:themeColor="text1"/>
          <w:u w:val="dotted"/>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请求：</w:t>
      </w:r>
      <w:r>
        <w:rPr>
          <w:rFonts w:hint="eastAsia" w:ascii="宋体" w:hAnsi="宋体" w:eastAsia="宋体" w:cs="宋体"/>
          <w:color w:val="000000" w:themeColor="text1"/>
          <w:u w:val="dotted"/>
          <w14:textFill>
            <w14:solidFill>
              <w14:schemeClr w14:val="tx1"/>
            </w14:solidFill>
          </w14:textFill>
        </w:rPr>
        <w:t xml:space="preserve">                                               </w:t>
      </w:r>
    </w:p>
    <w:p>
      <w:pPr>
        <w:pStyle w:val="6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签字(签章)：                   公章：                      </w:t>
      </w:r>
    </w:p>
    <w:p>
      <w:pPr>
        <w:pStyle w:val="6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日期：    </w:t>
      </w:r>
    </w:p>
    <w:p>
      <w:pPr>
        <w:spacing w:line="360" w:lineRule="auto"/>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质疑函制作说明：</w:t>
      </w:r>
    </w:p>
    <w:p>
      <w:pPr>
        <w:pStyle w:val="6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1.供应商提出质疑时，应提交质疑函和必要的证明材料。</w:t>
      </w:r>
    </w:p>
    <w:p>
      <w:pPr>
        <w:pStyle w:val="6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6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3.质疑供应商若对项目的某一分包进行质疑，质疑函中应列明具体分包号。</w:t>
      </w:r>
    </w:p>
    <w:p>
      <w:pPr>
        <w:pStyle w:val="6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4.质疑函的质疑事项应具体、明确，并有必要的事实依据和法律依据。</w:t>
      </w:r>
    </w:p>
    <w:p>
      <w:pPr>
        <w:pStyle w:val="6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5.质疑函的质疑请求应与质疑事项相关。</w:t>
      </w:r>
    </w:p>
    <w:p>
      <w:pPr>
        <w:pStyle w:val="6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spacing w:line="360" w:lineRule="auto"/>
        <w:ind w:firstLine="600" w:firstLineChars="200"/>
        <w:rPr>
          <w:rFonts w:hint="eastAsia" w:ascii="宋体" w:hAnsi="宋体" w:eastAsia="宋体" w:cs="宋体"/>
          <w:color w:val="000000" w:themeColor="text1"/>
          <w:sz w:val="30"/>
          <w:szCs w:val="30"/>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14:textFill>
            <w14:solidFill>
              <w14:schemeClr w14:val="tx1"/>
            </w14:solidFill>
          </w14:textFill>
        </w:rPr>
      </w:pPr>
    </w:p>
    <w:p>
      <w:pPr>
        <w:pStyle w:val="4"/>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附件3：投诉书范本及制作说明</w:t>
      </w:r>
    </w:p>
    <w:p>
      <w:pPr>
        <w:spacing w:line="360" w:lineRule="auto"/>
        <w:jc w:val="center"/>
        <w:rPr>
          <w:rFonts w:hint="eastAsia" w:ascii="宋体" w:hAnsi="宋体" w:eastAsia="宋体" w:cs="宋体"/>
          <w:b/>
          <w:color w:val="000000" w:themeColor="text1"/>
          <w14:textFill>
            <w14:solidFill>
              <w14:schemeClr w14:val="tx1"/>
            </w14:solidFill>
          </w14:textFill>
        </w:rPr>
      </w:pPr>
    </w:p>
    <w:p>
      <w:pPr>
        <w:spacing w:line="360" w:lineRule="auto"/>
        <w:jc w:val="center"/>
        <w:rPr>
          <w:rFonts w:hint="eastAsia" w:ascii="宋体" w:hAnsi="宋体" w:eastAsia="宋体" w:cs="宋体"/>
          <w:b/>
          <w:color w:val="000000" w:themeColor="text1"/>
          <w:spacing w:val="6"/>
          <w:sz w:val="32"/>
          <w:szCs w:val="32"/>
          <w14:textFill>
            <w14:solidFill>
              <w14:schemeClr w14:val="tx1"/>
            </w14:solidFill>
          </w14:textFill>
        </w:rPr>
      </w:pPr>
      <w:r>
        <w:rPr>
          <w:rFonts w:hint="eastAsia" w:ascii="宋体" w:hAnsi="宋体" w:eastAsia="宋体" w:cs="宋体"/>
          <w:b/>
          <w:color w:val="000000" w:themeColor="text1"/>
          <w:spacing w:val="6"/>
          <w:sz w:val="32"/>
          <w:szCs w:val="32"/>
          <w14:textFill>
            <w14:solidFill>
              <w14:schemeClr w14:val="tx1"/>
            </w14:solidFill>
          </w14:textFill>
        </w:rPr>
        <w:t>投诉书范本</w:t>
      </w:r>
    </w:p>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一、投诉相关主体基本情况</w:t>
      </w:r>
    </w:p>
    <w:p>
      <w:pPr>
        <w:spacing w:line="360" w:lineRule="auto"/>
        <w:rPr>
          <w:rFonts w:hint="eastAsia" w:ascii="宋体" w:hAnsi="宋体" w:eastAsia="宋体" w:cs="宋体"/>
          <w:color w:val="000000" w:themeColor="text1"/>
          <w:u w:val="dotted"/>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投诉人：</w:t>
      </w:r>
      <w:r>
        <w:rPr>
          <w:rFonts w:hint="eastAsia" w:ascii="宋体" w:hAnsi="宋体" w:eastAsia="宋体" w:cs="宋体"/>
          <w:color w:val="000000" w:themeColor="text1"/>
          <w:u w:val="dotted"/>
          <w14:textFill>
            <w14:solidFill>
              <w14:schemeClr w14:val="tx1"/>
            </w14:solidFill>
          </w14:textFill>
        </w:rPr>
        <w:t xml:space="preserve">                                               </w:t>
      </w:r>
    </w:p>
    <w:p>
      <w:pPr>
        <w:spacing w:line="360" w:lineRule="auto"/>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地     址：</w:t>
      </w:r>
      <w:r>
        <w:rPr>
          <w:rFonts w:hint="eastAsia" w:ascii="宋体" w:hAnsi="宋体" w:eastAsia="宋体" w:cs="宋体"/>
          <w:color w:val="000000" w:themeColor="text1"/>
          <w:u w:val="dotted"/>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邮编：</w:t>
      </w:r>
      <w:r>
        <w:rPr>
          <w:rFonts w:hint="eastAsia" w:ascii="宋体" w:hAnsi="宋体" w:eastAsia="宋体" w:cs="宋体"/>
          <w:color w:val="000000" w:themeColor="text1"/>
          <w:u w:val="dotted"/>
          <w14:textFill>
            <w14:solidFill>
              <w14:schemeClr w14:val="tx1"/>
            </w14:solidFill>
          </w14:textFill>
        </w:rPr>
        <w:t xml:space="preserve">         </w:t>
      </w:r>
      <w:r>
        <w:rPr>
          <w:rFonts w:hint="eastAsia" w:ascii="宋体" w:hAnsi="宋体" w:eastAsia="宋体" w:cs="宋体"/>
          <w:color w:val="000000" w:themeColor="text1"/>
          <w:u w:val="single"/>
          <w14:textFill>
            <w14:solidFill>
              <w14:schemeClr w14:val="tx1"/>
            </w14:solidFill>
          </w14:textFill>
        </w:rPr>
        <w:t xml:space="preserve">   </w:t>
      </w:r>
    </w:p>
    <w:p>
      <w:pPr>
        <w:tabs>
          <w:tab w:val="left" w:pos="6510"/>
        </w:tabs>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法定代表人/主要负责人：</w:t>
      </w:r>
      <w:r>
        <w:rPr>
          <w:rFonts w:hint="eastAsia" w:ascii="宋体" w:hAnsi="宋体" w:eastAsia="宋体" w:cs="宋体"/>
          <w:color w:val="000000" w:themeColor="text1"/>
          <w:u w:val="dotted"/>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 xml:space="preserve">  </w:t>
      </w:r>
    </w:p>
    <w:p>
      <w:pPr>
        <w:tabs>
          <w:tab w:val="left" w:pos="6510"/>
        </w:tabs>
        <w:spacing w:line="360" w:lineRule="auto"/>
        <w:rPr>
          <w:rFonts w:hint="eastAsia" w:ascii="宋体" w:hAnsi="宋体" w:eastAsia="宋体" w:cs="宋体"/>
          <w:color w:val="000000" w:themeColor="text1"/>
          <w:u w:val="dotted"/>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联系电话：</w:t>
      </w:r>
      <w:r>
        <w:rPr>
          <w:rFonts w:hint="eastAsia" w:ascii="宋体" w:hAnsi="宋体" w:eastAsia="宋体" w:cs="宋体"/>
          <w:color w:val="000000" w:themeColor="text1"/>
          <w:u w:val="dotted"/>
          <w14:textFill>
            <w14:solidFill>
              <w14:schemeClr w14:val="tx1"/>
            </w14:solidFill>
          </w14:textFill>
        </w:rPr>
        <w:t xml:space="preserve">                                             </w:t>
      </w:r>
    </w:p>
    <w:p>
      <w:pPr>
        <w:spacing w:line="360" w:lineRule="auto"/>
        <w:rPr>
          <w:rFonts w:hint="eastAsia" w:ascii="宋体" w:hAnsi="宋体" w:eastAsia="宋体" w:cs="宋体"/>
          <w:color w:val="000000" w:themeColor="text1"/>
          <w:u w:val="dotted"/>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授权代表：</w:t>
      </w:r>
      <w:r>
        <w:rPr>
          <w:rFonts w:hint="eastAsia" w:ascii="宋体" w:hAnsi="宋体" w:eastAsia="宋体" w:cs="宋体"/>
          <w:color w:val="000000" w:themeColor="text1"/>
          <w:u w:val="dotted"/>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联系电话</w:t>
      </w:r>
      <w:r>
        <w:rPr>
          <w:rFonts w:hint="eastAsia" w:ascii="宋体" w:hAnsi="宋体" w:eastAsia="宋体" w:cs="宋体"/>
          <w:color w:val="000000" w:themeColor="text1"/>
          <w:u w:val="dotted"/>
          <w14:textFill>
            <w14:solidFill>
              <w14:schemeClr w14:val="tx1"/>
            </w14:solidFill>
          </w14:textFill>
        </w:rPr>
        <w:t xml:space="preserve">：                  </w:t>
      </w:r>
    </w:p>
    <w:p>
      <w:pPr>
        <w:spacing w:line="360" w:lineRule="auto"/>
        <w:rPr>
          <w:rFonts w:hint="eastAsia" w:ascii="宋体" w:hAnsi="宋体" w:eastAsia="宋体" w:cs="宋体"/>
          <w:color w:val="000000" w:themeColor="text1"/>
          <w:u w:val="dotted"/>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地     址：</w:t>
      </w:r>
      <w:r>
        <w:rPr>
          <w:rFonts w:hint="eastAsia" w:ascii="宋体" w:hAnsi="宋体" w:eastAsia="宋体" w:cs="宋体"/>
          <w:color w:val="000000" w:themeColor="text1"/>
          <w:u w:val="dotted"/>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邮编：</w:t>
      </w:r>
      <w:r>
        <w:rPr>
          <w:rFonts w:hint="eastAsia" w:ascii="宋体" w:hAnsi="宋体" w:eastAsia="宋体" w:cs="宋体"/>
          <w:color w:val="000000" w:themeColor="text1"/>
          <w:u w:val="dotted"/>
          <w14:textFill>
            <w14:solidFill>
              <w14:schemeClr w14:val="tx1"/>
            </w14:solidFill>
          </w14:textFill>
        </w:rPr>
        <w:t xml:space="preserve">         </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u w:val="dotted"/>
          <w14:textFill>
            <w14:solidFill>
              <w14:schemeClr w14:val="tx1"/>
            </w14:solidFill>
          </w14:textFill>
        </w:rPr>
        <w:t xml:space="preserve">                   </w:t>
      </w:r>
    </w:p>
    <w:p>
      <w:pPr>
        <w:spacing w:line="360" w:lineRule="auto"/>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被投诉人1：</w:t>
      </w:r>
      <w:r>
        <w:rPr>
          <w:rFonts w:hint="eastAsia" w:ascii="宋体" w:hAnsi="宋体" w:eastAsia="宋体" w:cs="宋体"/>
          <w:color w:val="000000" w:themeColor="text1"/>
          <w:u w:val="dotted"/>
          <w14:textFill>
            <w14:solidFill>
              <w14:schemeClr w14:val="tx1"/>
            </w14:solidFill>
          </w14:textFill>
        </w:rPr>
        <w:t xml:space="preserve">                                           </w:t>
      </w:r>
      <w:r>
        <w:rPr>
          <w:rFonts w:hint="eastAsia" w:ascii="宋体" w:hAnsi="宋体" w:eastAsia="宋体" w:cs="宋体"/>
          <w:color w:val="000000" w:themeColor="text1"/>
          <w:u w:val="single"/>
          <w14:textFill>
            <w14:solidFill>
              <w14:schemeClr w14:val="tx1"/>
            </w14:solidFill>
          </w14:textFill>
        </w:rPr>
        <w:t xml:space="preserve">  </w:t>
      </w:r>
    </w:p>
    <w:p>
      <w:pPr>
        <w:spacing w:line="360" w:lineRule="auto"/>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地     址：</w:t>
      </w:r>
      <w:r>
        <w:rPr>
          <w:rFonts w:hint="eastAsia" w:ascii="宋体" w:hAnsi="宋体" w:eastAsia="宋体" w:cs="宋体"/>
          <w:color w:val="000000" w:themeColor="text1"/>
          <w:u w:val="dotted"/>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邮编：</w:t>
      </w:r>
      <w:r>
        <w:rPr>
          <w:rFonts w:hint="eastAsia" w:ascii="宋体" w:hAnsi="宋体" w:eastAsia="宋体" w:cs="宋体"/>
          <w:color w:val="000000" w:themeColor="text1"/>
          <w:u w:val="dotted"/>
          <w14:textFill>
            <w14:solidFill>
              <w14:schemeClr w14:val="tx1"/>
            </w14:solidFill>
          </w14:textFill>
        </w:rPr>
        <w:t xml:space="preserve">          </w:t>
      </w:r>
      <w:r>
        <w:rPr>
          <w:rFonts w:hint="eastAsia" w:ascii="宋体" w:hAnsi="宋体" w:eastAsia="宋体" w:cs="宋体"/>
          <w:color w:val="000000" w:themeColor="text1"/>
          <w:u w:val="single"/>
          <w14:textFill>
            <w14:solidFill>
              <w14:schemeClr w14:val="tx1"/>
            </w14:solidFill>
          </w14:textFill>
        </w:rPr>
        <w:t xml:space="preserve"> </w:t>
      </w:r>
    </w:p>
    <w:p>
      <w:pPr>
        <w:spacing w:line="360" w:lineRule="auto"/>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联系人：</w:t>
      </w:r>
      <w:r>
        <w:rPr>
          <w:rFonts w:hint="eastAsia" w:ascii="宋体" w:hAnsi="宋体" w:eastAsia="宋体" w:cs="宋体"/>
          <w:color w:val="000000" w:themeColor="text1"/>
          <w:u w:val="dotted"/>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联系电话：</w:t>
      </w:r>
      <w:r>
        <w:rPr>
          <w:rFonts w:hint="eastAsia" w:ascii="宋体" w:hAnsi="宋体" w:eastAsia="宋体" w:cs="宋体"/>
          <w:color w:val="000000" w:themeColor="text1"/>
          <w:u w:val="dotted"/>
          <w14:textFill>
            <w14:solidFill>
              <w14:schemeClr w14:val="tx1"/>
            </w14:solidFill>
          </w14:textFill>
        </w:rPr>
        <w:t xml:space="preserve">                      </w:t>
      </w:r>
      <w:r>
        <w:rPr>
          <w:rFonts w:hint="eastAsia" w:ascii="宋体" w:hAnsi="宋体" w:eastAsia="宋体" w:cs="宋体"/>
          <w:color w:val="000000" w:themeColor="text1"/>
          <w:u w:val="single"/>
          <w14:textFill>
            <w14:solidFill>
              <w14:schemeClr w14:val="tx1"/>
            </w14:solidFill>
          </w14:textFill>
        </w:rPr>
        <w:t xml:space="preserve"> </w:t>
      </w:r>
    </w:p>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被投诉人2</w:t>
      </w:r>
    </w:p>
    <w:p>
      <w:pPr>
        <w:spacing w:line="360" w:lineRule="auto"/>
        <w:rPr>
          <w:rFonts w:hint="eastAsia" w:ascii="宋体" w:hAnsi="宋体" w:eastAsia="宋体" w:cs="宋体"/>
          <w:color w:val="000000" w:themeColor="text1"/>
          <w:u w:val="dotted"/>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p>
      <w:pPr>
        <w:spacing w:line="360" w:lineRule="auto"/>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相关供应商：</w:t>
      </w:r>
      <w:r>
        <w:rPr>
          <w:rFonts w:hint="eastAsia" w:ascii="宋体" w:hAnsi="宋体" w:eastAsia="宋体" w:cs="宋体"/>
          <w:color w:val="000000" w:themeColor="text1"/>
          <w:u w:val="dotted"/>
          <w14:textFill>
            <w14:solidFill>
              <w14:schemeClr w14:val="tx1"/>
            </w14:solidFill>
          </w14:textFill>
        </w:rPr>
        <w:t xml:space="preserve">                                           </w:t>
      </w:r>
      <w:r>
        <w:rPr>
          <w:rFonts w:hint="eastAsia" w:ascii="宋体" w:hAnsi="宋体" w:eastAsia="宋体" w:cs="宋体"/>
          <w:color w:val="000000" w:themeColor="text1"/>
          <w:u w:val="single"/>
          <w14:textFill>
            <w14:solidFill>
              <w14:schemeClr w14:val="tx1"/>
            </w14:solidFill>
          </w14:textFill>
        </w:rPr>
        <w:t xml:space="preserve">    </w:t>
      </w:r>
    </w:p>
    <w:p>
      <w:pPr>
        <w:spacing w:line="360" w:lineRule="auto"/>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地     址：</w:t>
      </w:r>
      <w:r>
        <w:rPr>
          <w:rFonts w:hint="eastAsia" w:ascii="宋体" w:hAnsi="宋体" w:eastAsia="宋体" w:cs="宋体"/>
          <w:color w:val="000000" w:themeColor="text1"/>
          <w:u w:val="dotted"/>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邮编：</w:t>
      </w:r>
      <w:r>
        <w:rPr>
          <w:rFonts w:hint="eastAsia" w:ascii="宋体" w:hAnsi="宋体" w:eastAsia="宋体" w:cs="宋体"/>
          <w:color w:val="000000" w:themeColor="text1"/>
          <w:u w:val="dotted"/>
          <w14:textFill>
            <w14:solidFill>
              <w14:schemeClr w14:val="tx1"/>
            </w14:solidFill>
          </w14:textFill>
        </w:rPr>
        <w:t xml:space="preserve">          </w:t>
      </w:r>
      <w:r>
        <w:rPr>
          <w:rFonts w:hint="eastAsia" w:ascii="宋体" w:hAnsi="宋体" w:eastAsia="宋体" w:cs="宋体"/>
          <w:color w:val="000000" w:themeColor="text1"/>
          <w:u w:val="single"/>
          <w14:textFill>
            <w14:solidFill>
              <w14:schemeClr w14:val="tx1"/>
            </w14:solidFill>
          </w14:textFill>
        </w:rPr>
        <w:t xml:space="preserve"> </w:t>
      </w:r>
    </w:p>
    <w:p>
      <w:pPr>
        <w:spacing w:line="360" w:lineRule="auto"/>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联系人：</w:t>
      </w:r>
      <w:r>
        <w:rPr>
          <w:rFonts w:hint="eastAsia" w:ascii="宋体" w:hAnsi="宋体" w:eastAsia="宋体" w:cs="宋体"/>
          <w:color w:val="000000" w:themeColor="text1"/>
          <w:u w:val="dotted"/>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联系电话：</w:t>
      </w:r>
      <w:r>
        <w:rPr>
          <w:rFonts w:hint="eastAsia" w:ascii="宋体" w:hAnsi="宋体" w:eastAsia="宋体" w:cs="宋体"/>
          <w:color w:val="000000" w:themeColor="text1"/>
          <w:u w:val="dotted"/>
          <w14:textFill>
            <w14:solidFill>
              <w14:schemeClr w14:val="tx1"/>
            </w14:solidFill>
          </w14:textFill>
        </w:rPr>
        <w:t xml:space="preserve">                      </w:t>
      </w:r>
      <w:r>
        <w:rPr>
          <w:rFonts w:hint="eastAsia" w:ascii="宋体" w:hAnsi="宋体" w:eastAsia="宋体" w:cs="宋体"/>
          <w:color w:val="000000" w:themeColor="text1"/>
          <w:u w:val="single"/>
          <w14:textFill>
            <w14:solidFill>
              <w14:schemeClr w14:val="tx1"/>
            </w14:solidFill>
          </w14:textFill>
        </w:rPr>
        <w:t xml:space="preserve">      </w:t>
      </w:r>
    </w:p>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二、投诉项目基本情况</w:t>
      </w:r>
    </w:p>
    <w:p>
      <w:pPr>
        <w:spacing w:line="360" w:lineRule="auto"/>
        <w:rPr>
          <w:rFonts w:hint="eastAsia" w:ascii="宋体" w:hAnsi="宋体" w:eastAsia="宋体" w:cs="宋体"/>
          <w:color w:val="000000" w:themeColor="text1"/>
          <w:u w:val="dotted"/>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采购项目名称：</w:t>
      </w:r>
      <w:r>
        <w:rPr>
          <w:rFonts w:hint="eastAsia" w:ascii="宋体" w:hAnsi="宋体" w:eastAsia="宋体" w:cs="宋体"/>
          <w:color w:val="000000" w:themeColor="text1"/>
          <w:u w:val="dotted"/>
          <w14:textFill>
            <w14:solidFill>
              <w14:schemeClr w14:val="tx1"/>
            </w14:solidFill>
          </w14:textFill>
        </w:rPr>
        <w:t xml:space="preserve">                                        </w:t>
      </w:r>
    </w:p>
    <w:p>
      <w:pPr>
        <w:spacing w:line="360" w:lineRule="auto"/>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采购项目编号：</w:t>
      </w:r>
      <w:r>
        <w:rPr>
          <w:rFonts w:hint="eastAsia" w:ascii="宋体" w:hAnsi="宋体" w:eastAsia="宋体" w:cs="宋体"/>
          <w:color w:val="000000" w:themeColor="text1"/>
          <w:u w:val="dotted"/>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包号：</w:t>
      </w:r>
      <w:r>
        <w:rPr>
          <w:rFonts w:hint="eastAsia" w:ascii="宋体" w:hAnsi="宋体" w:eastAsia="宋体" w:cs="宋体"/>
          <w:color w:val="000000" w:themeColor="text1"/>
          <w:u w:val="dotted"/>
          <w14:textFill>
            <w14:solidFill>
              <w14:schemeClr w14:val="tx1"/>
            </w14:solidFill>
          </w14:textFill>
        </w:rPr>
        <w:t xml:space="preserve">              </w:t>
      </w:r>
    </w:p>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采购人名称：</w:t>
      </w:r>
      <w:r>
        <w:rPr>
          <w:rFonts w:hint="eastAsia" w:ascii="宋体" w:hAnsi="宋体" w:eastAsia="宋体" w:cs="宋体"/>
          <w:color w:val="000000" w:themeColor="text1"/>
          <w:u w:val="dotted"/>
          <w14:textFill>
            <w14:solidFill>
              <w14:schemeClr w14:val="tx1"/>
            </w14:solidFill>
          </w14:textFill>
        </w:rPr>
        <w:t xml:space="preserve">                                           </w:t>
      </w:r>
      <w:r>
        <w:rPr>
          <w:rFonts w:hint="eastAsia" w:ascii="宋体" w:hAnsi="宋体" w:eastAsia="宋体" w:cs="宋体"/>
          <w:color w:val="000000" w:themeColor="text1"/>
          <w:u w:val="single"/>
          <w14:textFill>
            <w14:solidFill>
              <w14:schemeClr w14:val="tx1"/>
            </w14:solidFill>
          </w14:textFill>
        </w:rPr>
        <w:t xml:space="preserve">  </w:t>
      </w:r>
    </w:p>
    <w:p>
      <w:pPr>
        <w:spacing w:line="360" w:lineRule="auto"/>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代理机构名称：</w:t>
      </w:r>
      <w:r>
        <w:rPr>
          <w:rFonts w:hint="eastAsia" w:ascii="宋体" w:hAnsi="宋体" w:eastAsia="宋体" w:cs="宋体"/>
          <w:color w:val="000000" w:themeColor="text1"/>
          <w:u w:val="dotted"/>
          <w14:textFill>
            <w14:solidFill>
              <w14:schemeClr w14:val="tx1"/>
            </w14:solidFill>
          </w14:textFill>
        </w:rPr>
        <w:t xml:space="preserve">                                         </w:t>
      </w:r>
    </w:p>
    <w:p>
      <w:pPr>
        <w:spacing w:line="360" w:lineRule="auto"/>
        <w:rPr>
          <w:rFonts w:hint="eastAsia" w:ascii="宋体" w:hAnsi="宋体" w:eastAsia="宋体" w:cs="宋体"/>
          <w:color w:val="000000" w:themeColor="text1"/>
          <w:u w:val="dotted"/>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采购文件公告:</w:t>
      </w:r>
      <w:r>
        <w:rPr>
          <w:rFonts w:hint="eastAsia" w:ascii="宋体" w:hAnsi="宋体" w:eastAsia="宋体" w:cs="宋体"/>
          <w:color w:val="000000" w:themeColor="text1"/>
          <w:u w:val="dotted"/>
          <w14:textFill>
            <w14:solidFill>
              <w14:schemeClr w14:val="tx1"/>
            </w14:solidFill>
          </w14:textFill>
        </w:rPr>
        <w:t xml:space="preserve">是/否 </w:t>
      </w:r>
      <w:r>
        <w:rPr>
          <w:rFonts w:hint="eastAsia" w:ascii="宋体" w:hAnsi="宋体" w:eastAsia="宋体" w:cs="宋体"/>
          <w:color w:val="000000" w:themeColor="text1"/>
          <w14:textFill>
            <w14:solidFill>
              <w14:schemeClr w14:val="tx1"/>
            </w14:solidFill>
          </w14:textFill>
        </w:rPr>
        <w:t>公告期限：</w:t>
      </w:r>
      <w:r>
        <w:rPr>
          <w:rFonts w:hint="eastAsia" w:ascii="宋体" w:hAnsi="宋体" w:eastAsia="宋体" w:cs="宋体"/>
          <w:color w:val="000000" w:themeColor="text1"/>
          <w:u w:val="dotted"/>
          <w14:textFill>
            <w14:solidFill>
              <w14:schemeClr w14:val="tx1"/>
            </w14:solidFill>
          </w14:textFill>
        </w:rPr>
        <w:t xml:space="preserve">                                 </w:t>
      </w:r>
    </w:p>
    <w:p>
      <w:pPr>
        <w:spacing w:line="360" w:lineRule="auto"/>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采购结果公告:</w:t>
      </w:r>
      <w:r>
        <w:rPr>
          <w:rFonts w:hint="eastAsia" w:ascii="宋体" w:hAnsi="宋体" w:eastAsia="宋体" w:cs="宋体"/>
          <w:color w:val="000000" w:themeColor="text1"/>
          <w:u w:val="dotted"/>
          <w14:textFill>
            <w14:solidFill>
              <w14:schemeClr w14:val="tx1"/>
            </w14:solidFill>
          </w14:textFill>
        </w:rPr>
        <w:t xml:space="preserve">是/否 </w:t>
      </w:r>
      <w:r>
        <w:rPr>
          <w:rFonts w:hint="eastAsia" w:ascii="宋体" w:hAnsi="宋体" w:eastAsia="宋体" w:cs="宋体"/>
          <w:color w:val="000000" w:themeColor="text1"/>
          <w14:textFill>
            <w14:solidFill>
              <w14:schemeClr w14:val="tx1"/>
            </w14:solidFill>
          </w14:textFill>
        </w:rPr>
        <w:t>公告期限：</w:t>
      </w:r>
      <w:r>
        <w:rPr>
          <w:rFonts w:hint="eastAsia" w:ascii="宋体" w:hAnsi="宋体" w:eastAsia="宋体" w:cs="宋体"/>
          <w:color w:val="000000" w:themeColor="text1"/>
          <w:u w:val="dotted"/>
          <w14:textFill>
            <w14:solidFill>
              <w14:schemeClr w14:val="tx1"/>
            </w14:solidFill>
          </w14:textFill>
        </w:rPr>
        <w:t xml:space="preserve">                        </w:t>
      </w:r>
    </w:p>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三、质疑基本情况</w:t>
      </w:r>
    </w:p>
    <w:p>
      <w:pPr>
        <w:spacing w:line="360" w:lineRule="auto"/>
        <w:ind w:firstLine="480" w:firstLineChars="200"/>
        <w:rPr>
          <w:rFonts w:hint="eastAsia" w:ascii="宋体" w:hAnsi="宋体" w:eastAsia="宋体" w:cs="宋体"/>
          <w:color w:val="000000" w:themeColor="text1"/>
          <w:u w:val="dotted"/>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投诉人于</w:t>
      </w:r>
      <w:r>
        <w:rPr>
          <w:rFonts w:hint="eastAsia" w:ascii="宋体" w:hAnsi="宋体" w:eastAsia="宋体" w:cs="宋体"/>
          <w:color w:val="000000" w:themeColor="text1"/>
          <w:u w:val="dotted"/>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年</w:t>
      </w:r>
      <w:r>
        <w:rPr>
          <w:rFonts w:hint="eastAsia" w:ascii="宋体" w:hAnsi="宋体" w:eastAsia="宋体" w:cs="宋体"/>
          <w:color w:val="000000" w:themeColor="text1"/>
          <w:u w:val="dotted"/>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月</w:t>
      </w:r>
      <w:r>
        <w:rPr>
          <w:rFonts w:hint="eastAsia" w:ascii="宋体" w:hAnsi="宋体" w:eastAsia="宋体" w:cs="宋体"/>
          <w:color w:val="000000" w:themeColor="text1"/>
          <w:u w:val="dotted"/>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日,向</w:t>
      </w:r>
      <w:r>
        <w:rPr>
          <w:rFonts w:hint="eastAsia" w:ascii="宋体" w:hAnsi="宋体" w:eastAsia="宋体" w:cs="宋体"/>
          <w:color w:val="000000" w:themeColor="text1"/>
          <w:u w:val="dotted"/>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提出质疑，质疑事项为：</w:t>
      </w:r>
      <w:r>
        <w:rPr>
          <w:rFonts w:hint="eastAsia" w:ascii="宋体" w:hAnsi="宋体" w:eastAsia="宋体" w:cs="宋体"/>
          <w:color w:val="000000" w:themeColor="text1"/>
          <w:u w:val="dotted"/>
          <w14:textFill>
            <w14:solidFill>
              <w14:schemeClr w14:val="tx1"/>
            </w14:solidFill>
          </w14:textFill>
        </w:rPr>
        <w:t xml:space="preserve">                                </w:t>
      </w:r>
    </w:p>
    <w:p>
      <w:pPr>
        <w:spacing w:line="360" w:lineRule="auto"/>
        <w:rPr>
          <w:rFonts w:hint="eastAsia" w:ascii="宋体" w:hAnsi="宋体" w:eastAsia="宋体" w:cs="宋体"/>
          <w:color w:val="000000" w:themeColor="text1"/>
          <w:u w:val="dotted"/>
          <w14:textFill>
            <w14:solidFill>
              <w14:schemeClr w14:val="tx1"/>
            </w14:solidFill>
          </w14:textFill>
        </w:rPr>
      </w:pPr>
      <w:r>
        <w:rPr>
          <w:rFonts w:hint="eastAsia" w:ascii="宋体" w:hAnsi="宋体" w:eastAsia="宋体" w:cs="宋体"/>
          <w:color w:val="000000" w:themeColor="text1"/>
          <w:u w:val="dotted"/>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 xml:space="preserve">  </w:t>
      </w:r>
    </w:p>
    <w:p>
      <w:pPr>
        <w:spacing w:line="360" w:lineRule="auto"/>
        <w:ind w:firstLine="360" w:firstLineChars="1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u w:val="dotted"/>
          <w14:textFill>
            <w14:solidFill>
              <w14:schemeClr w14:val="tx1"/>
            </w14:solidFill>
          </w14:textFill>
        </w:rPr>
        <w:t>采购人/代理机构</w:t>
      </w:r>
      <w:r>
        <w:rPr>
          <w:rFonts w:hint="eastAsia" w:ascii="宋体" w:hAnsi="宋体" w:eastAsia="宋体" w:cs="宋体"/>
          <w:color w:val="000000" w:themeColor="text1"/>
          <w14:textFill>
            <w14:solidFill>
              <w14:schemeClr w14:val="tx1"/>
            </w14:solidFill>
          </w14:textFill>
        </w:rPr>
        <w:t>于</w:t>
      </w:r>
      <w:r>
        <w:rPr>
          <w:rFonts w:hint="eastAsia" w:ascii="宋体" w:hAnsi="宋体" w:eastAsia="宋体" w:cs="宋体"/>
          <w:color w:val="000000" w:themeColor="text1"/>
          <w:u w:val="dotted"/>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年</w:t>
      </w:r>
      <w:r>
        <w:rPr>
          <w:rFonts w:hint="eastAsia" w:ascii="宋体" w:hAnsi="宋体" w:eastAsia="宋体" w:cs="宋体"/>
          <w:color w:val="000000" w:themeColor="text1"/>
          <w:u w:val="dotted"/>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月</w:t>
      </w:r>
      <w:r>
        <w:rPr>
          <w:rFonts w:hint="eastAsia" w:ascii="宋体" w:hAnsi="宋体" w:eastAsia="宋体" w:cs="宋体"/>
          <w:color w:val="000000" w:themeColor="text1"/>
          <w:u w:val="dotted"/>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日,就质疑事项作出了答复/没有在法定期限内作出答复。</w:t>
      </w:r>
    </w:p>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四、投诉事项具体内容</w:t>
      </w:r>
    </w:p>
    <w:p>
      <w:pPr>
        <w:spacing w:line="360" w:lineRule="auto"/>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投诉事项 1：</w:t>
      </w:r>
      <w:r>
        <w:rPr>
          <w:rFonts w:hint="eastAsia" w:ascii="宋体" w:hAnsi="宋体" w:eastAsia="宋体" w:cs="宋体"/>
          <w:color w:val="000000" w:themeColor="text1"/>
          <w:u w:val="dotted"/>
          <w14:textFill>
            <w14:solidFill>
              <w14:schemeClr w14:val="tx1"/>
            </w14:solidFill>
          </w14:textFill>
        </w:rPr>
        <w:t xml:space="preserve">                                       </w:t>
      </w:r>
    </w:p>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事实依据：</w:t>
      </w:r>
      <w:r>
        <w:rPr>
          <w:rFonts w:hint="eastAsia" w:ascii="宋体" w:hAnsi="宋体" w:eastAsia="宋体" w:cs="宋体"/>
          <w:color w:val="000000" w:themeColor="text1"/>
          <w:u w:val="dotted"/>
          <w14:textFill>
            <w14:solidFill>
              <w14:schemeClr w14:val="tx1"/>
            </w14:solidFill>
          </w14:textFill>
        </w:rPr>
        <w:t xml:space="preserve">                                         </w:t>
      </w:r>
    </w:p>
    <w:p>
      <w:pPr>
        <w:spacing w:line="360" w:lineRule="auto"/>
        <w:rPr>
          <w:rFonts w:hint="eastAsia" w:ascii="宋体" w:hAnsi="宋体" w:eastAsia="宋体" w:cs="宋体"/>
          <w:color w:val="000000" w:themeColor="text1"/>
          <w:u w:val="dotted"/>
          <w14:textFill>
            <w14:solidFill>
              <w14:schemeClr w14:val="tx1"/>
            </w14:solidFill>
          </w14:textFill>
        </w:rPr>
      </w:pPr>
      <w:r>
        <w:rPr>
          <w:rFonts w:hint="eastAsia" w:ascii="宋体" w:hAnsi="宋体" w:eastAsia="宋体" w:cs="宋体"/>
          <w:color w:val="000000" w:themeColor="text1"/>
          <w:u w:val="dotted"/>
          <w14:textFill>
            <w14:solidFill>
              <w14:schemeClr w14:val="tx1"/>
            </w14:solidFill>
          </w14:textFill>
        </w:rPr>
        <w:t xml:space="preserve">                                                      </w:t>
      </w:r>
    </w:p>
    <w:p>
      <w:pPr>
        <w:spacing w:line="360" w:lineRule="auto"/>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法律依据：</w:t>
      </w:r>
      <w:r>
        <w:rPr>
          <w:rFonts w:hint="eastAsia" w:ascii="宋体" w:hAnsi="宋体" w:eastAsia="宋体" w:cs="宋体"/>
          <w:color w:val="000000" w:themeColor="text1"/>
          <w:u w:val="dotted"/>
          <w14:textFill>
            <w14:solidFill>
              <w14:schemeClr w14:val="tx1"/>
            </w14:solidFill>
          </w14:textFill>
        </w:rPr>
        <w:t xml:space="preserve">                                          </w:t>
      </w:r>
    </w:p>
    <w:p>
      <w:pPr>
        <w:spacing w:line="360" w:lineRule="auto"/>
        <w:rPr>
          <w:rFonts w:hint="eastAsia" w:ascii="宋体" w:hAnsi="宋体" w:eastAsia="宋体" w:cs="宋体"/>
          <w:color w:val="000000" w:themeColor="text1"/>
          <w:u w:val="dotted"/>
          <w14:textFill>
            <w14:solidFill>
              <w14:schemeClr w14:val="tx1"/>
            </w14:solidFill>
          </w14:textFill>
        </w:rPr>
      </w:pPr>
      <w:r>
        <w:rPr>
          <w:rFonts w:hint="eastAsia" w:ascii="宋体" w:hAnsi="宋体" w:eastAsia="宋体" w:cs="宋体"/>
          <w:color w:val="000000" w:themeColor="text1"/>
          <w:u w:val="dotted"/>
          <w14:textFill>
            <w14:solidFill>
              <w14:schemeClr w14:val="tx1"/>
            </w14:solidFill>
          </w14:textFill>
        </w:rPr>
        <w:t xml:space="preserve">                                                      </w:t>
      </w:r>
    </w:p>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投诉事项2</w:t>
      </w:r>
    </w:p>
    <w:p>
      <w:pPr>
        <w:spacing w:line="360" w:lineRule="auto"/>
        <w:rPr>
          <w:rFonts w:hint="eastAsia" w:ascii="宋体" w:hAnsi="宋体" w:eastAsia="宋体" w:cs="宋体"/>
          <w:color w:val="000000" w:themeColor="text1"/>
          <w:u w:val="dotted"/>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五、与投诉事项相关的投诉请求</w:t>
      </w:r>
    </w:p>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请求：</w:t>
      </w:r>
      <w:r>
        <w:rPr>
          <w:rFonts w:hint="eastAsia" w:ascii="宋体" w:hAnsi="宋体" w:eastAsia="宋体" w:cs="宋体"/>
          <w:color w:val="000000" w:themeColor="text1"/>
          <w:u w:val="dotted"/>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 xml:space="preserve"> </w:t>
      </w:r>
    </w:p>
    <w:p>
      <w:pPr>
        <w:spacing w:line="360" w:lineRule="auto"/>
        <w:rPr>
          <w:rFonts w:hint="eastAsia"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p>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签字(签章)：                   公章：                      </w:t>
      </w:r>
    </w:p>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日期：    </w:t>
      </w:r>
    </w:p>
    <w:p>
      <w:pPr>
        <w:spacing w:line="360" w:lineRule="auto"/>
        <w:rPr>
          <w:rFonts w:hint="eastAsia" w:ascii="宋体" w:hAnsi="宋体" w:eastAsia="宋体" w:cs="宋体"/>
          <w:b/>
          <w:color w:val="000000" w:themeColor="text1"/>
          <w14:textFill>
            <w14:solidFill>
              <w14:schemeClr w14:val="tx1"/>
            </w14:solidFill>
          </w14:textFill>
        </w:rPr>
      </w:pPr>
    </w:p>
    <w:p>
      <w:pPr>
        <w:spacing w:line="360" w:lineRule="auto"/>
        <w:rPr>
          <w:rFonts w:hint="eastAsia" w:ascii="宋体" w:hAnsi="宋体" w:eastAsia="宋体" w:cs="宋体"/>
          <w:b/>
          <w:color w:val="000000" w:themeColor="text1"/>
          <w14:textFill>
            <w14:solidFill>
              <w14:schemeClr w14:val="tx1"/>
            </w14:solidFill>
          </w14:textFill>
        </w:rPr>
      </w:pPr>
    </w:p>
    <w:p>
      <w:pPr>
        <w:spacing w:line="360" w:lineRule="auto"/>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投诉书制作说明：</w:t>
      </w:r>
    </w:p>
    <w:p>
      <w:pPr>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1.投诉人提起投诉时，应当提交投诉书和必要的证明材料，并按照被投诉人和与投诉事项有关的供应商数量提供投诉书副本。</w:t>
      </w:r>
    </w:p>
    <w:p>
      <w:pPr>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3.投诉人若对项目的某一分包进行投诉，投诉书应列明具体分包号。</w:t>
      </w:r>
    </w:p>
    <w:p>
      <w:pPr>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4.投诉书应简要列明质疑事项，质疑函、质疑答复等作为附件材料提供。</w:t>
      </w:r>
    </w:p>
    <w:p>
      <w:pPr>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5.投诉书的投诉事项应具体、明确，并有必要的事实依据和法律依据。</w:t>
      </w:r>
    </w:p>
    <w:p>
      <w:pPr>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6.投诉书的投诉请求应与投诉事项相关。</w:t>
      </w:r>
    </w:p>
    <w:p>
      <w:pPr>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276" w:lineRule="auto"/>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br w:type="page"/>
      </w:r>
    </w:p>
    <w:p>
      <w:pPr>
        <w:pStyle w:val="4"/>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6"/>
          <w14:textFill>
            <w14:solidFill>
              <w14:schemeClr w14:val="tx1"/>
            </w14:solidFill>
          </w14:textFill>
        </w:rPr>
        <w:t>附件4：</w:t>
      </w:r>
      <w:r>
        <w:rPr>
          <w:rFonts w:hint="eastAsia" w:ascii="宋体" w:hAnsi="宋体" w:eastAsia="宋体" w:cs="宋体"/>
          <w:color w:val="000000" w:themeColor="text1"/>
          <w14:textFill>
            <w14:solidFill>
              <w14:schemeClr w14:val="tx1"/>
            </w14:solidFill>
          </w14:textFill>
        </w:rPr>
        <w:t>业务专用章使用说明函</w:t>
      </w:r>
    </w:p>
    <w:p>
      <w:pPr>
        <w:spacing w:line="276" w:lineRule="auto"/>
        <w:jc w:val="center"/>
        <w:rPr>
          <w:rFonts w:hint="eastAsia" w:ascii="宋体" w:hAnsi="宋体" w:eastAsia="宋体" w:cs="宋体"/>
          <w:b/>
          <w:smallCaps/>
          <w:color w:val="000000" w:themeColor="text1"/>
          <w:spacing w:val="6"/>
          <w:sz w:val="36"/>
          <w:szCs w:val="28"/>
          <w14:textFill>
            <w14:solidFill>
              <w14:schemeClr w14:val="tx1"/>
            </w14:solidFill>
          </w14:textFill>
        </w:rPr>
      </w:pPr>
      <w:r>
        <w:rPr>
          <w:rFonts w:hint="eastAsia" w:ascii="宋体" w:hAnsi="宋体" w:eastAsia="宋体" w:cs="宋体"/>
          <w:b/>
          <w:color w:val="000000" w:themeColor="text1"/>
          <w:sz w:val="32"/>
          <w14:textFill>
            <w14:solidFill>
              <w14:schemeClr w14:val="tx1"/>
            </w14:solidFill>
          </w14:textFill>
        </w:rPr>
        <w:t>业务专用章使用说明函</w:t>
      </w:r>
    </w:p>
    <w:p>
      <w:pPr>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u w:val="single"/>
          <w14:textFill>
            <w14:solidFill>
              <w14:schemeClr w14:val="tx1"/>
            </w14:solidFill>
          </w14:textFill>
        </w:rPr>
        <w:t>（采购人）、（采购代理机构）</w:t>
      </w:r>
    </w:p>
    <w:p>
      <w:pPr>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我方</w:t>
      </w:r>
      <w:r>
        <w:rPr>
          <w:rFonts w:hint="eastAsia" w:ascii="宋体" w:hAnsi="宋体" w:eastAsia="宋体" w:cs="宋体"/>
          <w:color w:val="000000" w:themeColor="text1"/>
          <w:u w:val="single"/>
          <w:lang w:val="zh-CN"/>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(投标人全称)是中华人民共和国依法登记注册的合法企业，</w:t>
      </w:r>
      <w:r>
        <w:rPr>
          <w:rFonts w:hint="eastAsia" w:ascii="宋体" w:hAnsi="宋体" w:eastAsia="宋体" w:cs="宋体"/>
          <w:bCs/>
          <w:color w:val="000000" w:themeColor="text1"/>
          <w14:textFill>
            <w14:solidFill>
              <w14:schemeClr w14:val="tx1"/>
            </w14:solidFill>
          </w14:textFill>
        </w:rPr>
        <w:t>在参加</w:t>
      </w:r>
      <w:r>
        <w:rPr>
          <w:rFonts w:hint="eastAsia" w:ascii="宋体" w:hAnsi="宋体" w:eastAsia="宋体" w:cs="宋体"/>
          <w:color w:val="000000" w:themeColor="text1"/>
          <w14:textFill>
            <w14:solidFill>
              <w14:schemeClr w14:val="tx1"/>
            </w14:solidFill>
          </w14:textFill>
        </w:rPr>
        <w:t>你方组织的（项目名称）项目【招标编号：（采购编号）】</w:t>
      </w:r>
      <w:r>
        <w:rPr>
          <w:rFonts w:hint="eastAsia" w:ascii="宋体" w:hAnsi="宋体" w:eastAsia="宋体" w:cs="宋体"/>
          <w:bCs/>
          <w:color w:val="000000" w:themeColor="text1"/>
          <w14:textFill>
            <w14:solidFill>
              <w14:schemeClr w14:val="tx1"/>
            </w14:solidFill>
          </w14:textFill>
        </w:rPr>
        <w:t>投标活动中作如下说明：</w:t>
      </w:r>
      <w:r>
        <w:rPr>
          <w:rFonts w:hint="eastAsia" w:ascii="宋体" w:hAnsi="宋体" w:eastAsia="宋体" w:cs="宋体"/>
          <w:color w:val="000000" w:themeColor="text1"/>
          <w14:textFill>
            <w14:solidFill>
              <w14:schemeClr w14:val="tx1"/>
            </w14:solidFill>
          </w14:textFill>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特此说明。</w:t>
      </w:r>
    </w:p>
    <w:p>
      <w:pPr>
        <w:spacing w:line="360" w:lineRule="auto"/>
        <w:ind w:firstLine="494"/>
        <w:rPr>
          <w:rFonts w:hint="eastAsia" w:ascii="宋体" w:hAnsi="宋体" w:eastAsia="宋体" w:cs="宋体"/>
          <w:color w:val="000000" w:themeColor="text1"/>
          <w14:textFill>
            <w14:solidFill>
              <w14:schemeClr w14:val="tx1"/>
            </w14:solidFill>
          </w14:textFill>
        </w:rPr>
      </w:pPr>
    </w:p>
    <w:p>
      <w:pPr>
        <w:spacing w:line="360" w:lineRule="auto"/>
        <w:ind w:firstLine="494"/>
        <w:rPr>
          <w:rFonts w:hint="eastAsia" w:ascii="宋体" w:hAnsi="宋体" w:eastAsia="宋体" w:cs="宋体"/>
          <w:color w:val="000000" w:themeColor="text1"/>
          <w14:textFill>
            <w14:solidFill>
              <w14:schemeClr w14:val="tx1"/>
            </w14:solidFill>
          </w14:textFill>
        </w:rPr>
      </w:pPr>
    </w:p>
    <w:p>
      <w:pPr>
        <w:spacing w:line="360" w:lineRule="auto"/>
        <w:ind w:firstLine="494"/>
        <w:rPr>
          <w:rFonts w:hint="eastAsia" w:ascii="宋体" w:hAnsi="宋体" w:eastAsia="宋体" w:cs="宋体"/>
          <w:color w:val="000000" w:themeColor="text1"/>
          <w14:textFill>
            <w14:solidFill>
              <w14:schemeClr w14:val="tx1"/>
            </w14:solidFill>
          </w14:textFill>
        </w:rPr>
      </w:pPr>
    </w:p>
    <w:p>
      <w:pPr>
        <w:spacing w:line="360" w:lineRule="auto"/>
        <w:ind w:firstLine="494"/>
        <w:rPr>
          <w:rFonts w:hint="eastAsia" w:ascii="宋体" w:hAnsi="宋体" w:eastAsia="宋体" w:cs="宋体"/>
          <w:color w:val="000000" w:themeColor="text1"/>
          <w14:textFill>
            <w14:solidFill>
              <w14:schemeClr w14:val="tx1"/>
            </w14:solidFill>
          </w14:textFill>
        </w:rPr>
      </w:pPr>
    </w:p>
    <w:p>
      <w:pPr>
        <w:spacing w:line="360" w:lineRule="auto"/>
        <w:ind w:right="480" w:firstLine="4080" w:firstLineChars="17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投标单位（法定名称章）：</w:t>
      </w:r>
    </w:p>
    <w:p>
      <w:pPr>
        <w:ind w:right="1440" w:firstLine="494"/>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日期：       年     月     日</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附：</w:t>
      </w:r>
    </w:p>
    <w:p>
      <w:pPr>
        <w:spacing w:line="360" w:lineRule="auto"/>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eastAsia="宋体" w:cs="宋体"/>
          <w:b/>
          <w:bCs/>
          <w:color w:val="000000" w:themeColor="text1"/>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eastAsia="宋体" w:cs="宋体"/>
          <w:color w:val="000000" w:themeColor="text1"/>
          <w14:textFill>
            <w14:solidFill>
              <w14:schemeClr w14:val="tx1"/>
            </w14:solidFill>
          </w14:textFill>
        </w:rPr>
        <w:t>投标单位法定名称章（印模）                投标单位“XX专用章”（印模）</w:t>
      </w:r>
    </w:p>
    <w:p>
      <w:pPr>
        <w:spacing w:line="276" w:lineRule="auto"/>
        <w:rPr>
          <w:rFonts w:hint="eastAsia" w:ascii="宋体" w:hAnsi="宋体" w:eastAsia="宋体" w:cs="宋体"/>
          <w:b/>
          <w:color w:val="000000" w:themeColor="text1"/>
          <w:spacing w:val="6"/>
          <w:sz w:val="32"/>
          <w:szCs w:val="32"/>
          <w14:textFill>
            <w14:solidFill>
              <w14:schemeClr w14:val="tx1"/>
            </w14:solidFill>
          </w14:textFill>
        </w:rPr>
      </w:pPr>
    </w:p>
    <w:p>
      <w:pPr>
        <w:spacing w:line="276" w:lineRule="auto"/>
        <w:rPr>
          <w:rFonts w:hint="eastAsia" w:ascii="宋体" w:hAnsi="宋体" w:eastAsia="宋体" w:cs="宋体"/>
          <w:b/>
          <w:smallCaps/>
          <w:color w:val="000000" w:themeColor="text1"/>
          <w:spacing w:val="6"/>
          <w:sz w:val="28"/>
          <w:szCs w:val="28"/>
          <w14:textFill>
            <w14:solidFill>
              <w14:schemeClr w14:val="tx1"/>
            </w14:solidFill>
          </w14:textFill>
        </w:rPr>
      </w:pPr>
    </w:p>
    <w:p>
      <w:pPr>
        <w:spacing w:line="276" w:lineRule="auto"/>
        <w:rPr>
          <w:rFonts w:hint="eastAsia" w:ascii="宋体" w:hAnsi="宋体" w:eastAsia="宋体" w:cs="宋体"/>
          <w:b/>
          <w:smallCaps/>
          <w:color w:val="000000" w:themeColor="text1"/>
          <w:spacing w:val="6"/>
          <w:sz w:val="28"/>
          <w:szCs w:val="28"/>
          <w14:textFill>
            <w14:solidFill>
              <w14:schemeClr w14:val="tx1"/>
            </w14:solidFill>
          </w14:textFill>
        </w:rPr>
      </w:pPr>
      <w:r>
        <w:rPr>
          <w:rFonts w:hint="eastAsia" w:ascii="宋体" w:hAnsi="宋体" w:eastAsia="宋体" w:cs="宋体"/>
          <w:color w:val="000000" w:themeColor="text1"/>
          <w:spacing w:val="6"/>
          <w14:textFill>
            <w14:solidFill>
              <w14:schemeClr w14:val="tx1"/>
            </w14:solidFill>
          </w14:textFill>
        </w:rPr>
        <w:br w:type="page"/>
      </w:r>
    </w:p>
    <w:p>
      <w:pPr>
        <w:pStyle w:val="4"/>
        <w:rPr>
          <w:rFonts w:hint="eastAsia" w:ascii="宋体" w:hAnsi="宋体" w:eastAsia="宋体" w:cs="宋体"/>
          <w:bCs/>
          <w:color w:val="000000" w:themeColor="text1"/>
          <w14:textFill>
            <w14:solidFill>
              <w14:schemeClr w14:val="tx1"/>
            </w14:solidFill>
          </w14:textFill>
        </w:rPr>
      </w:pPr>
      <w:r>
        <w:rPr>
          <w:rFonts w:hint="eastAsia" w:ascii="宋体" w:hAnsi="宋体" w:eastAsia="宋体" w:cs="宋体"/>
          <w:color w:val="000000" w:themeColor="text1"/>
          <w:spacing w:val="6"/>
          <w14:textFill>
            <w14:solidFill>
              <w14:schemeClr w14:val="tx1"/>
            </w14:solidFill>
          </w14:textFill>
        </w:rPr>
        <w:t>附件5：</w:t>
      </w:r>
      <w:r>
        <w:rPr>
          <w:rFonts w:hint="eastAsia" w:ascii="宋体" w:hAnsi="宋体" w:eastAsia="宋体" w:cs="宋体"/>
          <w:color w:val="000000" w:themeColor="text1"/>
          <w14:textFill>
            <w14:solidFill>
              <w14:schemeClr w14:val="tx1"/>
            </w14:solidFill>
          </w14:textFill>
        </w:rPr>
        <w:t>中小企业声明函</w:t>
      </w:r>
    </w:p>
    <w:p>
      <w:pPr>
        <w:spacing w:line="360" w:lineRule="auto"/>
        <w:jc w:val="center"/>
        <w:rPr>
          <w:rFonts w:hint="eastAsia" w:ascii="宋体" w:hAnsi="宋体" w:eastAsia="宋体" w:cs="宋体"/>
          <w:color w:val="000000" w:themeColor="text1"/>
          <w:u w:val="single"/>
          <w14:textFill>
            <w14:solidFill>
              <w14:schemeClr w14:val="tx1"/>
            </w14:solidFill>
          </w14:textFill>
        </w:rPr>
      </w:pPr>
    </w:p>
    <w:p>
      <w:pPr>
        <w:spacing w:line="360" w:lineRule="auto"/>
        <w:jc w:val="center"/>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中小企业声明函（货物）</w:t>
      </w:r>
    </w:p>
    <w:p>
      <w:pPr>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本公司（联合体）郑重声明，根据《政府采购促进中小企业发展管理办法》（财库﹝2020﹞46 号）的规定，本公司（联合体）参加 </w:t>
      </w:r>
      <w:r>
        <w:rPr>
          <w:rFonts w:hint="eastAsia" w:ascii="宋体" w:hAnsi="宋体" w:eastAsia="宋体" w:cs="宋体"/>
          <w:color w:val="000000" w:themeColor="text1"/>
          <w:u w:val="single"/>
          <w14:textFill>
            <w14:solidFill>
              <w14:schemeClr w14:val="tx1"/>
            </w14:solidFill>
          </w14:textFill>
        </w:rPr>
        <w:t xml:space="preserve">（单位名称） </w:t>
      </w:r>
      <w:r>
        <w:rPr>
          <w:rFonts w:hint="eastAsia" w:ascii="宋体" w:hAnsi="宋体" w:eastAsia="宋体" w:cs="宋体"/>
          <w:color w:val="000000" w:themeColor="text1"/>
          <w14:textFill>
            <w14:solidFill>
              <w14:schemeClr w14:val="tx1"/>
            </w14:solidFill>
          </w14:textFill>
        </w:rPr>
        <w:t xml:space="preserve">的 </w:t>
      </w:r>
      <w:r>
        <w:rPr>
          <w:rFonts w:hint="eastAsia" w:ascii="宋体" w:hAnsi="宋体" w:eastAsia="宋体" w:cs="宋体"/>
          <w:color w:val="000000" w:themeColor="text1"/>
          <w:u w:val="single"/>
          <w14:textFill>
            <w14:solidFill>
              <w14:schemeClr w14:val="tx1"/>
            </w14:solidFill>
          </w14:textFill>
        </w:rPr>
        <w:t>（项目名称）</w:t>
      </w:r>
      <w:r>
        <w:rPr>
          <w:rFonts w:hint="eastAsia" w:ascii="宋体" w:hAnsi="宋体" w:eastAsia="宋体" w:cs="宋体"/>
          <w:color w:val="000000" w:themeColor="text1"/>
          <w14:textFill>
            <w14:solidFill>
              <w14:schemeClr w14:val="tx1"/>
            </w14:solidFill>
          </w14:textFill>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1. </w:t>
      </w:r>
      <w:r>
        <w:rPr>
          <w:rFonts w:hint="eastAsia" w:ascii="宋体" w:hAnsi="宋体" w:eastAsia="宋体" w:cs="宋体"/>
          <w:color w:val="000000" w:themeColor="text1"/>
          <w:u w:val="single"/>
          <w14:textFill>
            <w14:solidFill>
              <w14:schemeClr w14:val="tx1"/>
            </w14:solidFill>
          </w14:textFill>
        </w:rPr>
        <w:t>（标的名称）</w:t>
      </w:r>
      <w:r>
        <w:rPr>
          <w:rFonts w:hint="eastAsia" w:ascii="宋体" w:hAnsi="宋体" w:eastAsia="宋体" w:cs="宋体"/>
          <w:color w:val="000000" w:themeColor="text1"/>
          <w14:textFill>
            <w14:solidFill>
              <w14:schemeClr w14:val="tx1"/>
            </w14:solidFill>
          </w14:textFill>
        </w:rPr>
        <w:t xml:space="preserve"> ，属于 </w:t>
      </w:r>
      <w:r>
        <w:rPr>
          <w:rFonts w:hint="eastAsia" w:ascii="宋体" w:hAnsi="宋体" w:eastAsia="宋体" w:cs="宋体"/>
          <w:color w:val="000000" w:themeColor="text1"/>
          <w:u w:val="single"/>
          <w14:textFill>
            <w14:solidFill>
              <w14:schemeClr w14:val="tx1"/>
            </w14:solidFill>
          </w14:textFill>
        </w:rPr>
        <w:t>（采购文件中明确的所属行业）</w:t>
      </w:r>
      <w:r>
        <w:rPr>
          <w:rFonts w:hint="eastAsia" w:ascii="宋体" w:hAnsi="宋体" w:eastAsia="宋体" w:cs="宋体"/>
          <w:color w:val="000000" w:themeColor="text1"/>
          <w14:textFill>
            <w14:solidFill>
              <w14:schemeClr w14:val="tx1"/>
            </w14:solidFill>
          </w14:textFill>
        </w:rPr>
        <w:t>行业 ；制造商为</w:t>
      </w:r>
      <w:r>
        <w:rPr>
          <w:rFonts w:hint="eastAsia" w:ascii="宋体" w:hAnsi="宋体" w:eastAsia="宋体" w:cs="宋体"/>
          <w:color w:val="000000" w:themeColor="text1"/>
          <w:u w:val="single"/>
          <w14:textFill>
            <w14:solidFill>
              <w14:schemeClr w14:val="tx1"/>
            </w14:solidFill>
          </w14:textFill>
        </w:rPr>
        <w:t xml:space="preserve"> （企业名称）</w:t>
      </w:r>
      <w:r>
        <w:rPr>
          <w:rFonts w:hint="eastAsia" w:ascii="宋体" w:hAnsi="宋体" w:eastAsia="宋体" w:cs="宋体"/>
          <w:color w:val="000000" w:themeColor="text1"/>
          <w14:textFill>
            <w14:solidFill>
              <w14:schemeClr w14:val="tx1"/>
            </w14:solidFill>
          </w14:textFill>
        </w:rPr>
        <w:t xml:space="preserve"> ，从业人员</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人，营业收入为</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万元，资产总额为</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万元，属于</w:t>
      </w:r>
      <w:r>
        <w:rPr>
          <w:rFonts w:hint="eastAsia" w:ascii="宋体" w:hAnsi="宋体" w:eastAsia="宋体" w:cs="宋体"/>
          <w:color w:val="000000" w:themeColor="text1"/>
          <w:u w:val="single"/>
          <w14:textFill>
            <w14:solidFill>
              <w14:schemeClr w14:val="tx1"/>
            </w14:solidFill>
          </w14:textFill>
        </w:rPr>
        <w:t xml:space="preserve"> （中型企业、小型企业、微型企业）</w:t>
      </w:r>
      <w:r>
        <w:rPr>
          <w:rFonts w:hint="eastAsia" w:ascii="宋体" w:hAnsi="宋体" w:eastAsia="宋体" w:cs="宋体"/>
          <w:color w:val="000000" w:themeColor="text1"/>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2. </w:t>
      </w:r>
      <w:r>
        <w:rPr>
          <w:rFonts w:hint="eastAsia" w:ascii="宋体" w:hAnsi="宋体" w:eastAsia="宋体" w:cs="宋体"/>
          <w:color w:val="000000" w:themeColor="text1"/>
          <w:u w:val="single"/>
          <w14:textFill>
            <w14:solidFill>
              <w14:schemeClr w14:val="tx1"/>
            </w14:solidFill>
          </w14:textFill>
        </w:rPr>
        <w:t>（标的名称）</w:t>
      </w:r>
      <w:r>
        <w:rPr>
          <w:rFonts w:hint="eastAsia" w:ascii="宋体" w:hAnsi="宋体" w:eastAsia="宋体" w:cs="宋体"/>
          <w:color w:val="000000" w:themeColor="text1"/>
          <w14:textFill>
            <w14:solidFill>
              <w14:schemeClr w14:val="tx1"/>
            </w14:solidFill>
          </w14:textFill>
        </w:rPr>
        <w:t xml:space="preserve"> ，属于 </w:t>
      </w:r>
      <w:r>
        <w:rPr>
          <w:rFonts w:hint="eastAsia" w:ascii="宋体" w:hAnsi="宋体" w:eastAsia="宋体" w:cs="宋体"/>
          <w:color w:val="000000" w:themeColor="text1"/>
          <w:u w:val="single"/>
          <w14:textFill>
            <w14:solidFill>
              <w14:schemeClr w14:val="tx1"/>
            </w14:solidFill>
          </w14:textFill>
        </w:rPr>
        <w:t>（采购文件中明确的所属行业）</w:t>
      </w:r>
      <w:r>
        <w:rPr>
          <w:rFonts w:hint="eastAsia" w:ascii="宋体" w:hAnsi="宋体" w:eastAsia="宋体" w:cs="宋体"/>
          <w:color w:val="000000" w:themeColor="text1"/>
          <w14:textFill>
            <w14:solidFill>
              <w14:schemeClr w14:val="tx1"/>
            </w14:solidFill>
          </w14:textFill>
        </w:rPr>
        <w:t>行业 ；制造商为</w:t>
      </w:r>
      <w:r>
        <w:rPr>
          <w:rFonts w:hint="eastAsia" w:ascii="宋体" w:hAnsi="宋体" w:eastAsia="宋体" w:cs="宋体"/>
          <w:color w:val="000000" w:themeColor="text1"/>
          <w:u w:val="single"/>
          <w14:textFill>
            <w14:solidFill>
              <w14:schemeClr w14:val="tx1"/>
            </w14:solidFill>
          </w14:textFill>
        </w:rPr>
        <w:t xml:space="preserve"> （企业名称）</w:t>
      </w:r>
      <w:r>
        <w:rPr>
          <w:rFonts w:hint="eastAsia" w:ascii="宋体" w:hAnsi="宋体" w:eastAsia="宋体" w:cs="宋体"/>
          <w:color w:val="000000" w:themeColor="text1"/>
          <w14:textFill>
            <w14:solidFill>
              <w14:schemeClr w14:val="tx1"/>
            </w14:solidFill>
          </w14:textFill>
        </w:rPr>
        <w:t xml:space="preserve"> ，从业人员</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人，营业收入为</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万元，资产总额为</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万元，属于</w:t>
      </w:r>
      <w:r>
        <w:rPr>
          <w:rFonts w:hint="eastAsia" w:ascii="宋体" w:hAnsi="宋体" w:eastAsia="宋体" w:cs="宋体"/>
          <w:color w:val="000000" w:themeColor="text1"/>
          <w:u w:val="single"/>
          <w14:textFill>
            <w14:solidFill>
              <w14:schemeClr w14:val="tx1"/>
            </w14:solidFill>
          </w14:textFill>
        </w:rPr>
        <w:t xml:space="preserve"> （中型企业、小型企业、微型企业）</w:t>
      </w:r>
      <w:r>
        <w:rPr>
          <w:rFonts w:hint="eastAsia" w:ascii="宋体" w:hAnsi="宋体" w:eastAsia="宋体" w:cs="宋体"/>
          <w:color w:val="000000" w:themeColor="text1"/>
          <w14:textFill>
            <w14:solidFill>
              <w14:schemeClr w14:val="tx1"/>
            </w14:solidFill>
          </w14:textFill>
        </w:rPr>
        <w:t xml:space="preserve"> ；</w:t>
      </w:r>
    </w:p>
    <w:p>
      <w:pPr>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本企业对上述声明内容的真实性负责。如有虚假，将依法承担相应责任。</w:t>
      </w:r>
    </w:p>
    <w:p>
      <w:pPr>
        <w:snapToGrid w:val="0"/>
        <w:spacing w:line="360" w:lineRule="auto"/>
        <w:ind w:firstLine="5160" w:firstLineChars="21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投标人名称(电子签名)：</w:t>
      </w:r>
    </w:p>
    <w:p>
      <w:pPr>
        <w:snapToGrid w:val="0"/>
        <w:spacing w:line="360" w:lineRule="auto"/>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 xml:space="preserve">                                           日期</w:t>
      </w:r>
      <w:r>
        <w:rPr>
          <w:rFonts w:hint="eastAsia" w:ascii="宋体" w:hAnsi="宋体" w:eastAsia="宋体" w:cs="宋体"/>
          <w:color w:val="000000" w:themeColor="text1"/>
          <w14:textFill>
            <w14:solidFill>
              <w14:schemeClr w14:val="tx1"/>
            </w14:solidFill>
          </w14:textFill>
        </w:rPr>
        <w:t xml:space="preserve">：  年  </w:t>
      </w:r>
      <w:r>
        <w:rPr>
          <w:rFonts w:hint="eastAsia" w:ascii="宋体" w:hAnsi="宋体" w:eastAsia="宋体" w:cs="宋体"/>
          <w:color w:val="000000" w:themeColor="text1"/>
          <w:lang w:val="zh-CN"/>
          <w14:textFill>
            <w14:solidFill>
              <w14:schemeClr w14:val="tx1"/>
            </w14:solidFill>
          </w14:textFill>
        </w:rPr>
        <w:t>月</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日</w:t>
      </w:r>
    </w:p>
    <w:p>
      <w:pPr>
        <w:spacing w:line="360" w:lineRule="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从业人员、营业收入、资产总额填报上一年度数据，无上一年度数据的新成立企业可不填报。</w:t>
      </w:r>
    </w:p>
    <w:p>
      <w:pPr>
        <w:spacing w:line="360" w:lineRule="auto"/>
        <w:ind w:right="420"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276" w:lineRule="auto"/>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br w:type="page"/>
      </w:r>
    </w:p>
    <w:p>
      <w:pPr>
        <w:spacing w:line="360" w:lineRule="auto"/>
        <w:jc w:val="center"/>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中小企业声明函（工程、服务）</w:t>
      </w:r>
    </w:p>
    <w:p>
      <w:pPr>
        <w:spacing w:line="360" w:lineRule="auto"/>
        <w:rPr>
          <w:rFonts w:hint="eastAsia" w:ascii="宋体" w:hAnsi="宋体" w:eastAsia="宋体" w:cs="宋体"/>
          <w:color w:val="000000" w:themeColor="text1"/>
          <w14:textFill>
            <w14:solidFill>
              <w14:schemeClr w14:val="tx1"/>
            </w14:solidFill>
          </w14:textFill>
        </w:rPr>
      </w:pPr>
    </w:p>
    <w:p>
      <w:pPr>
        <w:spacing w:line="360" w:lineRule="auto"/>
        <w:ind w:firstLine="360" w:firstLineChars="1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本公司（联合体）郑重声明，根据《政府采购促进中小企业发展管理办法》（财库﹝2020﹞46 号）的规定，本公司（联合体）参加 </w:t>
      </w:r>
      <w:r>
        <w:rPr>
          <w:rFonts w:hint="eastAsia" w:ascii="宋体" w:hAnsi="宋体" w:eastAsia="宋体" w:cs="宋体"/>
          <w:color w:val="000000" w:themeColor="text1"/>
          <w:u w:val="single"/>
          <w14:textFill>
            <w14:solidFill>
              <w14:schemeClr w14:val="tx1"/>
            </w14:solidFill>
          </w14:textFill>
        </w:rPr>
        <w:t xml:space="preserve">（单位名称） </w:t>
      </w:r>
      <w:r>
        <w:rPr>
          <w:rFonts w:hint="eastAsia" w:ascii="宋体" w:hAnsi="宋体" w:eastAsia="宋体" w:cs="宋体"/>
          <w:color w:val="000000" w:themeColor="text1"/>
          <w14:textFill>
            <w14:solidFill>
              <w14:schemeClr w14:val="tx1"/>
            </w14:solidFill>
          </w14:textFill>
        </w:rPr>
        <w:t>的</w:t>
      </w:r>
      <w:r>
        <w:rPr>
          <w:rFonts w:hint="eastAsia" w:ascii="宋体" w:hAnsi="宋体" w:eastAsia="宋体" w:cs="宋体"/>
          <w:color w:val="000000" w:themeColor="text1"/>
          <w:u w:val="single"/>
          <w14:textFill>
            <w14:solidFill>
              <w14:schemeClr w14:val="tx1"/>
            </w14:solidFill>
          </w14:textFill>
        </w:rPr>
        <w:t xml:space="preserve"> （项目名称） </w:t>
      </w:r>
      <w:r>
        <w:rPr>
          <w:rFonts w:hint="eastAsia" w:ascii="宋体" w:hAnsi="宋体" w:eastAsia="宋体" w:cs="宋体"/>
          <w:color w:val="000000" w:themeColor="text1"/>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1. </w:t>
      </w:r>
      <w:r>
        <w:rPr>
          <w:rFonts w:hint="eastAsia" w:ascii="宋体" w:hAnsi="宋体" w:eastAsia="宋体" w:cs="宋体"/>
          <w:color w:val="000000" w:themeColor="text1"/>
          <w:u w:val="single"/>
          <w14:textFill>
            <w14:solidFill>
              <w14:schemeClr w14:val="tx1"/>
            </w14:solidFill>
          </w14:textFill>
        </w:rPr>
        <w:t>（标的名称）</w:t>
      </w:r>
      <w:r>
        <w:rPr>
          <w:rFonts w:hint="eastAsia" w:ascii="宋体" w:hAnsi="宋体" w:eastAsia="宋体" w:cs="宋体"/>
          <w:color w:val="000000" w:themeColor="text1"/>
          <w14:textFill>
            <w14:solidFill>
              <w14:schemeClr w14:val="tx1"/>
            </w14:solidFill>
          </w14:textFill>
        </w:rPr>
        <w:t xml:space="preserve">，属于 </w:t>
      </w:r>
      <w:r>
        <w:rPr>
          <w:rFonts w:hint="eastAsia" w:ascii="宋体" w:hAnsi="宋体" w:eastAsia="宋体" w:cs="宋体"/>
          <w:color w:val="000000" w:themeColor="text1"/>
          <w:u w:val="single"/>
          <w14:textFill>
            <w14:solidFill>
              <w14:schemeClr w14:val="tx1"/>
            </w14:solidFill>
          </w14:textFill>
        </w:rPr>
        <w:t>（采购文件中明确的所属行业）</w:t>
      </w:r>
      <w:r>
        <w:rPr>
          <w:rFonts w:hint="eastAsia" w:ascii="宋体" w:hAnsi="宋体" w:eastAsia="宋体" w:cs="宋体"/>
          <w:color w:val="000000" w:themeColor="text1"/>
          <w14:textFill>
            <w14:solidFill>
              <w14:schemeClr w14:val="tx1"/>
            </w14:solidFill>
          </w14:textFill>
        </w:rPr>
        <w:t xml:space="preserve"> ；承建（承接）企业为 </w:t>
      </w:r>
      <w:r>
        <w:rPr>
          <w:rFonts w:hint="eastAsia" w:ascii="宋体" w:hAnsi="宋体" w:eastAsia="宋体" w:cs="宋体"/>
          <w:color w:val="000000" w:themeColor="text1"/>
          <w:u w:val="single"/>
          <w14:textFill>
            <w14:solidFill>
              <w14:schemeClr w14:val="tx1"/>
            </w14:solidFill>
          </w14:textFill>
        </w:rPr>
        <w:t>（企业名称）</w:t>
      </w:r>
      <w:r>
        <w:rPr>
          <w:rFonts w:hint="eastAsia" w:ascii="宋体" w:hAnsi="宋体" w:eastAsia="宋体" w:cs="宋体"/>
          <w:color w:val="000000" w:themeColor="text1"/>
          <w14:textFill>
            <w14:solidFill>
              <w14:schemeClr w14:val="tx1"/>
            </w14:solidFill>
          </w14:textFill>
        </w:rPr>
        <w:t xml:space="preserve"> ，从业人员</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人，营业收入为</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万元，资产总额为</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万元属于</w:t>
      </w:r>
      <w:r>
        <w:rPr>
          <w:rFonts w:hint="eastAsia" w:ascii="宋体" w:hAnsi="宋体" w:eastAsia="宋体" w:cs="宋体"/>
          <w:color w:val="000000" w:themeColor="text1"/>
          <w:u w:val="single"/>
          <w14:textFill>
            <w14:solidFill>
              <w14:schemeClr w14:val="tx1"/>
            </w14:solidFill>
          </w14:textFill>
        </w:rPr>
        <w:t xml:space="preserve"> （中型企业、小型企业、微型企业） </w:t>
      </w:r>
      <w:r>
        <w:rPr>
          <w:rFonts w:hint="eastAsia" w:ascii="宋体" w:hAnsi="宋体" w:eastAsia="宋体" w:cs="宋体"/>
          <w:color w:val="000000" w:themeColor="text1"/>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2. </w:t>
      </w:r>
      <w:r>
        <w:rPr>
          <w:rFonts w:hint="eastAsia" w:ascii="宋体" w:hAnsi="宋体" w:eastAsia="宋体" w:cs="宋体"/>
          <w:color w:val="000000" w:themeColor="text1"/>
          <w:u w:val="single"/>
          <w14:textFill>
            <w14:solidFill>
              <w14:schemeClr w14:val="tx1"/>
            </w14:solidFill>
          </w14:textFill>
        </w:rPr>
        <w:t>（标的名称）</w:t>
      </w:r>
      <w:r>
        <w:rPr>
          <w:rFonts w:hint="eastAsia" w:ascii="宋体" w:hAnsi="宋体" w:eastAsia="宋体" w:cs="宋体"/>
          <w:color w:val="000000" w:themeColor="text1"/>
          <w14:textFill>
            <w14:solidFill>
              <w14:schemeClr w14:val="tx1"/>
            </w14:solidFill>
          </w14:textFill>
        </w:rPr>
        <w:t xml:space="preserve">，属于 </w:t>
      </w:r>
      <w:r>
        <w:rPr>
          <w:rFonts w:hint="eastAsia" w:ascii="宋体" w:hAnsi="宋体" w:eastAsia="宋体" w:cs="宋体"/>
          <w:color w:val="000000" w:themeColor="text1"/>
          <w:u w:val="single"/>
          <w14:textFill>
            <w14:solidFill>
              <w14:schemeClr w14:val="tx1"/>
            </w14:solidFill>
          </w14:textFill>
        </w:rPr>
        <w:t>（采购文件中明确的所属行业）</w:t>
      </w:r>
      <w:r>
        <w:rPr>
          <w:rFonts w:hint="eastAsia" w:ascii="宋体" w:hAnsi="宋体" w:eastAsia="宋体" w:cs="宋体"/>
          <w:color w:val="000000" w:themeColor="text1"/>
          <w14:textFill>
            <w14:solidFill>
              <w14:schemeClr w14:val="tx1"/>
            </w14:solidFill>
          </w14:textFill>
        </w:rPr>
        <w:t xml:space="preserve"> ；承建（承接）企业为 </w:t>
      </w:r>
      <w:r>
        <w:rPr>
          <w:rFonts w:hint="eastAsia" w:ascii="宋体" w:hAnsi="宋体" w:eastAsia="宋体" w:cs="宋体"/>
          <w:color w:val="000000" w:themeColor="text1"/>
          <w:u w:val="single"/>
          <w14:textFill>
            <w14:solidFill>
              <w14:schemeClr w14:val="tx1"/>
            </w14:solidFill>
          </w14:textFill>
        </w:rPr>
        <w:t>（企业名称）</w:t>
      </w:r>
      <w:r>
        <w:rPr>
          <w:rFonts w:hint="eastAsia" w:ascii="宋体" w:hAnsi="宋体" w:eastAsia="宋体" w:cs="宋体"/>
          <w:color w:val="000000" w:themeColor="text1"/>
          <w14:textFill>
            <w14:solidFill>
              <w14:schemeClr w14:val="tx1"/>
            </w14:solidFill>
          </w14:textFill>
        </w:rPr>
        <w:t xml:space="preserve"> ，从业人员</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人，营业收入为</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万元，资产总额为</w:t>
      </w:r>
      <w:r>
        <w:rPr>
          <w:rFonts w:hint="eastAsia" w:ascii="宋体" w:hAnsi="宋体" w:eastAsia="宋体" w:cs="宋体"/>
          <w:color w:val="000000" w:themeColor="text1"/>
          <w:u w:val="single"/>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万元属于</w:t>
      </w:r>
      <w:r>
        <w:rPr>
          <w:rFonts w:hint="eastAsia" w:ascii="宋体" w:hAnsi="宋体" w:eastAsia="宋体" w:cs="宋体"/>
          <w:color w:val="000000" w:themeColor="text1"/>
          <w:u w:val="single"/>
          <w14:textFill>
            <w14:solidFill>
              <w14:schemeClr w14:val="tx1"/>
            </w14:solidFill>
          </w14:textFill>
        </w:rPr>
        <w:t xml:space="preserve"> （中型企业、小型企业、微型企业） </w:t>
      </w:r>
      <w:r>
        <w:rPr>
          <w:rFonts w:hint="eastAsia" w:ascii="宋体" w:hAnsi="宋体" w:eastAsia="宋体" w:cs="宋体"/>
          <w:color w:val="000000" w:themeColor="text1"/>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w:t>
      </w:r>
    </w:p>
    <w:p>
      <w:pPr>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本企业对上述声明内容的真实性负责。如有虚假，将依法承担相应责任。</w:t>
      </w:r>
    </w:p>
    <w:p>
      <w:pPr>
        <w:spacing w:line="360" w:lineRule="auto"/>
        <w:ind w:right="176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投标人名称（电子签名）：</w:t>
      </w:r>
    </w:p>
    <w:p>
      <w:pPr>
        <w:spacing w:line="360" w:lineRule="auto"/>
        <w:ind w:right="1120" w:firstLine="4680" w:firstLineChars="195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日 期：</w:t>
      </w:r>
    </w:p>
    <w:p>
      <w:pPr>
        <w:spacing w:line="360" w:lineRule="auto"/>
        <w:ind w:firstLine="354" w:firstLineChars="147"/>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从业人员、营业收入、资产总额填报上一年度数据，无上一年度数据的新成立企业可不填报。</w:t>
      </w:r>
    </w:p>
    <w:p>
      <w:pPr>
        <w:spacing w:line="360" w:lineRule="auto"/>
        <w:ind w:right="420"/>
        <w:rPr>
          <w:rFonts w:hint="eastAsia" w:ascii="宋体" w:hAnsi="宋体" w:eastAsia="宋体" w:cs="宋体"/>
          <w:color w:val="000000" w:themeColor="text1"/>
          <w14:textFill>
            <w14:solidFill>
              <w14:schemeClr w14:val="tx1"/>
            </w14:solidFill>
          </w14:textFill>
        </w:rPr>
      </w:pPr>
    </w:p>
    <w:p>
      <w:pPr>
        <w:spacing w:line="360" w:lineRule="auto"/>
        <w:ind w:right="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注：</w:t>
      </w:r>
    </w:p>
    <w:p>
      <w:pPr>
        <w:spacing w:line="360" w:lineRule="auto"/>
        <w:ind w:right="420"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4"/>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highlight w:val="yellow"/>
          <w14:textFill>
            <w14:solidFill>
              <w14:schemeClr w14:val="tx1"/>
            </w14:solidFill>
          </w14:textFill>
        </w:rPr>
        <w:t>附件6</w:t>
      </w:r>
      <w:r>
        <w:rPr>
          <w:rFonts w:hint="eastAsia" w:ascii="宋体" w:hAnsi="宋体" w:eastAsia="宋体" w:cs="宋体"/>
          <w:color w:val="000000" w:themeColor="text1"/>
          <w14:textFill>
            <w14:solidFill>
              <w14:schemeClr w14:val="tx1"/>
            </w14:solidFill>
          </w14:textFill>
        </w:rPr>
        <w:t>样品（演示）授权委托书</w:t>
      </w:r>
    </w:p>
    <w:p>
      <w:pPr>
        <w:jc w:val="center"/>
        <w:rPr>
          <w:rFonts w:hint="eastAsia" w:ascii="宋体" w:hAnsi="宋体" w:eastAsia="宋体" w:cs="宋体"/>
          <w:color w:val="000000" w:themeColor="text1"/>
          <w:sz w:val="40"/>
          <w14:textFill>
            <w14:solidFill>
              <w14:schemeClr w14:val="tx1"/>
            </w14:solidFill>
          </w14:textFill>
        </w:rPr>
      </w:pPr>
      <w:r>
        <w:rPr>
          <w:rFonts w:hint="eastAsia" w:ascii="宋体" w:hAnsi="宋体" w:eastAsia="宋体" w:cs="宋体"/>
          <w:color w:val="000000" w:themeColor="text1"/>
          <w:sz w:val="40"/>
          <w14:textFill>
            <w14:solidFill>
              <w14:schemeClr w14:val="tx1"/>
            </w14:solidFill>
          </w14:textFill>
        </w:rPr>
        <w:t>样品（演示）授权委托书</w:t>
      </w:r>
    </w:p>
    <w:p>
      <w:pPr>
        <w:jc w:val="center"/>
        <w:rPr>
          <w:rFonts w:hint="eastAsia" w:ascii="宋体" w:hAnsi="宋体" w:eastAsia="宋体" w:cs="宋体"/>
          <w:color w:val="000000" w:themeColor="text1"/>
          <w:sz w:val="40"/>
          <w14:textFill>
            <w14:solidFill>
              <w14:schemeClr w14:val="tx1"/>
            </w14:solidFill>
          </w14:textFill>
        </w:rPr>
      </w:pPr>
    </w:p>
    <w:p>
      <w:pPr>
        <w:snapToGrid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XXX（单位名称或采购机构名称）</w:t>
      </w:r>
      <w:r>
        <w:rPr>
          <w:rFonts w:hint="eastAsia" w:ascii="宋体" w:hAnsi="宋体" w:eastAsia="宋体" w:cs="宋体"/>
          <w:color w:val="000000" w:themeColor="text1"/>
          <w:lang w:val="zh-CN"/>
          <w14:textFill>
            <w14:solidFill>
              <w14:schemeClr w14:val="tx1"/>
            </w14:solidFill>
          </w14:textFill>
        </w:rPr>
        <w:t>：</w:t>
      </w:r>
    </w:p>
    <w:p>
      <w:pPr>
        <w:snapToGrid w:val="0"/>
        <w:spacing w:line="360" w:lineRule="auto"/>
        <w:ind w:left="290" w:leftChars="121" w:firstLine="480" w:firstLineChars="200"/>
        <w:rPr>
          <w:rFonts w:hint="eastAsia" w:ascii="宋体" w:hAnsi="宋体" w:eastAsia="宋体" w:cs="宋体"/>
          <w:color w:val="000000" w:themeColor="text1"/>
          <w:u w:val="single"/>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兹委派</w:t>
      </w:r>
      <w:r>
        <w:rPr>
          <w:rFonts w:hint="eastAsia" w:ascii="宋体" w:hAnsi="宋体" w:eastAsia="宋体" w:cs="宋体"/>
          <w:color w:val="000000" w:themeColor="text1"/>
          <w:u w:val="single"/>
          <w:lang w:val="zh-CN"/>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先生/女士，身份证号：</w:t>
      </w:r>
      <w:r>
        <w:rPr>
          <w:rFonts w:hint="eastAsia" w:ascii="宋体" w:hAnsi="宋体" w:eastAsia="宋体" w:cs="宋体"/>
          <w:color w:val="000000" w:themeColor="text1"/>
          <w:u w:val="single"/>
          <w:lang w:val="zh-CN"/>
          <w14:textFill>
            <w14:solidFill>
              <w14:schemeClr w14:val="tx1"/>
            </w14:solidFill>
          </w14:textFill>
        </w:rPr>
        <w:t xml:space="preserve">                   </w:t>
      </w:r>
    </w:p>
    <w:p>
      <w:pPr>
        <w:snapToGrid w:val="0"/>
        <w:spacing w:line="360" w:lineRule="auto"/>
        <w:ind w:left="290" w:leftChars="121" w:firstLine="480" w:firstLineChars="20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手机：</w:t>
      </w:r>
      <w:r>
        <w:rPr>
          <w:rFonts w:hint="eastAsia" w:ascii="宋体" w:hAnsi="宋体" w:eastAsia="宋体" w:cs="宋体"/>
          <w:color w:val="000000" w:themeColor="text1"/>
          <w:u w:val="single"/>
          <w:lang w:val="zh-CN"/>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，代表我公司前来递交</w:t>
      </w:r>
      <w:r>
        <w:rPr>
          <w:rFonts w:hint="eastAsia" w:ascii="宋体" w:hAnsi="宋体" w:eastAsia="宋体" w:cs="宋体"/>
          <w:color w:val="000000" w:themeColor="text1"/>
          <w:u w:val="single"/>
          <w:lang w:val="zh-CN"/>
          <w14:textFill>
            <w14:solidFill>
              <w14:schemeClr w14:val="tx1"/>
            </w14:solidFill>
          </w14:textFill>
        </w:rPr>
        <w:t xml:space="preserve">                           采购项目</w:t>
      </w:r>
      <w:r>
        <w:rPr>
          <w:rFonts w:hint="eastAsia" w:ascii="宋体" w:hAnsi="宋体" w:eastAsia="宋体" w:cs="宋体"/>
          <w:color w:val="000000" w:themeColor="text1"/>
          <w:lang w:val="zh-CN"/>
          <w14:textFill>
            <w14:solidFill>
              <w14:schemeClr w14:val="tx1"/>
            </w14:solidFill>
          </w14:textFill>
        </w:rPr>
        <w:t>【项目编号：              】（标项号：  ）投标样品或参加演示，并全权负责标后取回样品等其他处理事宜。</w:t>
      </w:r>
    </w:p>
    <w:p>
      <w:pPr>
        <w:snapToGrid w:val="0"/>
        <w:spacing w:line="360" w:lineRule="auto"/>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 xml:space="preserve">  </w:t>
      </w:r>
    </w:p>
    <w:p>
      <w:pPr>
        <w:snapToGrid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 xml:space="preserve">    特此告知。</w:t>
      </w:r>
    </w:p>
    <w:p>
      <w:pPr>
        <w:snapToGrid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 xml:space="preserve">                                                  投标人名称(公章)：</w:t>
      </w:r>
    </w:p>
    <w:p>
      <w:pPr>
        <w:snapToGrid w:val="0"/>
        <w:spacing w:line="360" w:lineRule="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 xml:space="preserve">                                                  </w:t>
      </w:r>
    </w:p>
    <w:p>
      <w:pPr>
        <w:snapToGrid w:val="0"/>
        <w:spacing w:line="360" w:lineRule="auto"/>
        <w:ind w:right="240"/>
        <w:jc w:val="right"/>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签发日期：  年  月   日</w:t>
      </w:r>
    </w:p>
    <w:p>
      <w:pPr>
        <w:snapToGrid w:val="0"/>
        <w:spacing w:line="360" w:lineRule="auto"/>
        <w:ind w:right="240"/>
        <w:jc w:val="right"/>
        <w:rPr>
          <w:rFonts w:hint="eastAsia" w:ascii="宋体" w:hAnsi="宋体" w:eastAsia="宋体" w:cs="宋体"/>
          <w:color w:val="000000" w:themeColor="text1"/>
          <w:lang w:val="zh-CN"/>
          <w14:textFill>
            <w14:solidFill>
              <w14:schemeClr w14:val="tx1"/>
            </w14:solidFill>
          </w14:textFill>
        </w:rPr>
      </w:pPr>
    </w:p>
    <w:p>
      <w:pPr>
        <w:snapToGrid w:val="0"/>
        <w:spacing w:line="360" w:lineRule="auto"/>
        <w:ind w:right="1920"/>
        <w:rPr>
          <w:rFonts w:hint="eastAsia" w:ascii="宋体" w:hAnsi="宋体" w:eastAsia="宋体" w:cs="宋体"/>
          <w:color w:val="000000" w:themeColor="text1"/>
          <w:lang w:val="zh-CN"/>
          <w14:textFill>
            <w14:solidFill>
              <w14:schemeClr w14:val="tx1"/>
            </w14:solidFill>
          </w14:textFill>
        </w:rPr>
      </w:pPr>
    </w:p>
    <w:p>
      <w:pPr>
        <w:snapToGrid w:val="0"/>
        <w:spacing w:line="360" w:lineRule="auto"/>
        <w:ind w:right="240"/>
        <w:jc w:val="right"/>
        <w:rPr>
          <w:rFonts w:hint="eastAsia" w:ascii="宋体" w:hAnsi="宋体" w:eastAsia="宋体" w:cs="宋体"/>
          <w:color w:val="000000" w:themeColor="text1"/>
          <w:lang w:val="zh-CN"/>
          <w14:textFill>
            <w14:solidFill>
              <w14:schemeClr w14:val="tx1"/>
            </w14:solidFill>
          </w14:textFill>
        </w:rPr>
      </w:pPr>
    </w:p>
    <w:p>
      <w:pPr>
        <w:snapToGrid w:val="0"/>
        <w:spacing w:line="360" w:lineRule="auto"/>
        <w:ind w:right="240"/>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受委托人</w:t>
      </w:r>
      <w:r>
        <w:rPr>
          <w:rFonts w:hint="eastAsia" w:ascii="宋体" w:hAnsi="宋体" w:eastAsia="宋体" w:cs="宋体"/>
          <w:color w:val="000000" w:themeColor="text1"/>
          <w:lang w:val="zh-CN"/>
          <w14:textFill>
            <w14:solidFill>
              <w14:schemeClr w14:val="tx1"/>
            </w14:solidFill>
          </w14:textFill>
        </w:rPr>
        <w:t>身份证复印件：</w:t>
      </w:r>
    </w:p>
    <w:p>
      <w:pPr>
        <w:snapToGrid w:val="0"/>
        <w:spacing w:line="360" w:lineRule="auto"/>
        <w:ind w:right="240"/>
        <w:rPr>
          <w:rFonts w:hint="eastAsia" w:ascii="宋体" w:hAnsi="宋体" w:eastAsia="宋体" w:cs="宋体"/>
          <w:color w:val="000000" w:themeColor="text1"/>
          <w:lang w:val="zh-CN"/>
          <w14:textFill>
            <w14:solidFill>
              <w14:schemeClr w14:val="tx1"/>
            </w14:solidFill>
          </w14:textFill>
        </w:rPr>
      </w:pPr>
    </w:p>
    <w:p>
      <w:pPr>
        <w:snapToGrid w:val="0"/>
        <w:spacing w:line="360" w:lineRule="auto"/>
        <w:ind w:right="240"/>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说明：本委托书在有样品或演示时由受委托人携带至指定地点。</w:t>
      </w:r>
    </w:p>
    <w:p>
      <w:pPr>
        <w:spacing w:line="360" w:lineRule="auto"/>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同时有样品和演示的，可委托不同人员。</w:t>
      </w:r>
    </w:p>
    <w:p>
      <w:pPr>
        <w:spacing w:line="360" w:lineRule="auto"/>
        <w:ind w:right="420"/>
        <w:rPr>
          <w:rFonts w:hint="eastAsia" w:ascii="宋体" w:hAnsi="宋体" w:eastAsia="宋体" w:cs="宋体"/>
          <w:color w:val="000000" w:themeColor="text1"/>
          <w14:textFill>
            <w14:solidFill>
              <w14:schemeClr w14:val="tx1"/>
            </w14:solidFill>
          </w14:textFill>
        </w:rPr>
      </w:pPr>
    </w:p>
    <w:sectPr>
      <w:pgSz w:w="11906" w:h="16838"/>
      <w:pgMar w:top="1440" w:right="17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54</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77</w:t>
    </w:r>
    <w:r>
      <w:rPr>
        <w:rFonts w:hint="eastAsia" w:ascii="仿宋_GB2312" w:eastAsia="仿宋_GB2312"/>
      </w:rPr>
      <w:fldChar w:fldCharType="end"/>
    </w:r>
    <w:r>
      <w:rPr>
        <w:rFonts w:hint="eastAsia" w:ascii="仿宋_GB2312" w:eastAsia="仿宋_GB2312"/>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4"/>
      </w:pBdr>
      <w:jc w:val="right"/>
    </w:pPr>
    <w:r>
      <w:t></w:t>
    </w:r>
    <w:r>
      <w:rPr>
        <w:rFonts w:hint="eastAsia"/>
      </w:rPr>
      <w:t xml:space="preserve">             </w:t>
    </w:r>
    <w:r>
      <w:t>杭州市政府采购公开招标文件</w:t>
    </w:r>
  </w:p>
  <w:p>
    <w:pPr>
      <w:pStyle w:val="23"/>
      <w:tabs>
        <w:tab w:val="center" w:pos="4535"/>
        <w:tab w:val="right" w:pos="9070"/>
      </w:tabs>
      <w:ind w:firstLine="181" w:firstLineChars="100"/>
      <w:jc w:val="both"/>
      <w:rPr>
        <w:rFonts w:ascii="仿宋_GB2312" w:eastAsia="仿宋_GB2312"/>
        <w:b/>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D4BD10"/>
    <w:multiLevelType w:val="singleLevel"/>
    <w:tmpl w:val="8AD4BD10"/>
    <w:lvl w:ilvl="0" w:tentative="0">
      <w:start w:val="1"/>
      <w:numFmt w:val="decimal"/>
      <w:suff w:val="nothing"/>
      <w:lvlText w:val="%1、"/>
      <w:lvlJc w:val="left"/>
    </w:lvl>
  </w:abstractNum>
  <w:abstractNum w:abstractNumId="1">
    <w:nsid w:val="263B6F18"/>
    <w:multiLevelType w:val="multilevel"/>
    <w:tmpl w:val="263B6F18"/>
    <w:lvl w:ilvl="0" w:tentative="0">
      <w:start w:val="1"/>
      <w:numFmt w:val="chineseCountingThousand"/>
      <w:suff w:val="nothing"/>
      <w:lvlText w:val="%1、"/>
      <w:lvlJc w:val="left"/>
      <w:pPr>
        <w:ind w:left="0" w:firstLine="0"/>
      </w:pPr>
      <w:rPr>
        <w:rFonts w:hint="default" w:ascii="Times New Roman" w:hAnsi="Times New Roman" w:eastAsia="宋体"/>
        <w:b/>
        <w:i w:val="0"/>
        <w:sz w:val="32"/>
      </w:rPr>
    </w:lvl>
    <w:lvl w:ilvl="1" w:tentative="0">
      <w:start w:val="1"/>
      <w:numFmt w:val="decimal"/>
      <w:isLgl/>
      <w:suff w:val="space"/>
      <w:lvlText w:val="%2."/>
      <w:lvlJc w:val="left"/>
      <w:pPr>
        <w:ind w:left="4111" w:firstLine="0"/>
      </w:pPr>
      <w:rPr>
        <w:rFonts w:hint="default" w:ascii="Times New Roman" w:hAnsi="Times New Roman" w:eastAsia="宋体"/>
        <w:b/>
        <w:i w:val="0"/>
        <w:sz w:val="32"/>
      </w:rPr>
    </w:lvl>
    <w:lvl w:ilvl="2" w:tentative="0">
      <w:start w:val="1"/>
      <w:numFmt w:val="decimal"/>
      <w:suff w:val="space"/>
      <w:lvlText w:val="%2.%3"/>
      <w:lvlJc w:val="left"/>
      <w:pPr>
        <w:ind w:left="0" w:firstLine="0"/>
      </w:pPr>
      <w:rPr>
        <w:rFonts w:hint="default" w:ascii="Times New Roman" w:hAnsi="Times New Roman" w:eastAsia="宋体"/>
        <w:b/>
        <w:i w:val="0"/>
        <w:sz w:val="30"/>
      </w:rPr>
    </w:lvl>
    <w:lvl w:ilvl="3" w:tentative="0">
      <w:start w:val="1"/>
      <w:numFmt w:val="decimal"/>
      <w:suff w:val="space"/>
      <w:lvlText w:val="%2.%3.%4"/>
      <w:lvlJc w:val="left"/>
      <w:pPr>
        <w:ind w:left="0" w:firstLine="0"/>
      </w:pPr>
      <w:rPr>
        <w:rFonts w:hint="default" w:ascii="Times New Roman" w:hAnsi="Times New Roman" w:eastAsia="宋体"/>
        <w:b/>
        <w:i w:val="0"/>
        <w:sz w:val="28"/>
        <w:lang w:val="en-US"/>
      </w:rPr>
    </w:lvl>
    <w:lvl w:ilvl="4" w:tentative="0">
      <w:start w:val="1"/>
      <w:numFmt w:val="decimal"/>
      <w:suff w:val="space"/>
      <w:lvlText w:val="%2.%3.%4.%5"/>
      <w:lvlJc w:val="left"/>
      <w:pPr>
        <w:ind w:left="0" w:firstLine="0"/>
      </w:pPr>
      <w:rPr>
        <w:rFonts w:hint="default" w:ascii="Times New Roman" w:hAnsi="Times New Roman" w:eastAsia="宋体"/>
        <w:b/>
        <w:i w:val="0"/>
        <w:sz w:val="21"/>
      </w:rPr>
    </w:lvl>
    <w:lvl w:ilvl="5" w:tentative="0">
      <w:start w:val="1"/>
      <w:numFmt w:val="decimal"/>
      <w:suff w:val="space"/>
      <w:lvlText w:val="%2.%3.%4.%5.%6"/>
      <w:lvlJc w:val="left"/>
      <w:pPr>
        <w:ind w:left="0" w:firstLine="0"/>
      </w:pPr>
      <w:rPr>
        <w:rFonts w:hint="default" w:ascii="Times New Roman" w:hAnsi="Times New Roman" w:eastAsia="宋体"/>
        <w:b/>
        <w:i w:val="0"/>
        <w:sz w:val="21"/>
      </w:rPr>
    </w:lvl>
    <w:lvl w:ilvl="6" w:tentative="0">
      <w:start w:val="1"/>
      <w:numFmt w:val="decimal"/>
      <w:suff w:val="space"/>
      <w:lvlText w:val="%2.%3.%4.%5.%6.%7"/>
      <w:lvlJc w:val="left"/>
      <w:pPr>
        <w:ind w:left="0" w:firstLine="0"/>
      </w:pPr>
      <w:rPr>
        <w:rFonts w:hint="default" w:ascii="Times New Roman" w:hAnsi="Times New Roman" w:eastAsia="宋体"/>
        <w:b/>
        <w:i w:val="0"/>
        <w:spacing w:val="0"/>
        <w:w w:val="100"/>
        <w:sz w:val="21"/>
      </w:rPr>
    </w:lvl>
    <w:lvl w:ilvl="7" w:tentative="0">
      <w:start w:val="1"/>
      <w:numFmt w:val="decimal"/>
      <w:suff w:val="nothing"/>
      <w:lvlText w:val="（%8）"/>
      <w:lvlJc w:val="left"/>
      <w:pPr>
        <w:ind w:left="0" w:firstLine="0"/>
      </w:pPr>
      <w:rPr>
        <w:rFonts w:hint="default" w:ascii="Times New Roman" w:hAnsi="Times New Roman" w:eastAsia="宋体"/>
        <w:b w:val="0"/>
        <w:i w:val="0"/>
        <w:spacing w:val="0"/>
        <w:w w:val="100"/>
        <w:sz w:val="21"/>
      </w:rPr>
    </w:lvl>
    <w:lvl w:ilvl="8" w:tentative="0">
      <w:start w:val="1"/>
      <w:numFmt w:val="decimalEnclosedCircle"/>
      <w:suff w:val="space"/>
      <w:lvlText w:val="%9"/>
      <w:lvlJc w:val="left"/>
      <w:pPr>
        <w:ind w:left="0" w:firstLine="0"/>
      </w:pPr>
      <w:rPr>
        <w:rFonts w:hint="default" w:ascii="Times New Roman" w:hAnsi="Times New Roman" w:eastAsia="宋体"/>
        <w:b/>
        <w:i w:val="0"/>
        <w:spacing w:val="0"/>
        <w:w w:val="100"/>
        <w:sz w:val="21"/>
      </w:rPr>
    </w:lvl>
  </w:abstractNum>
  <w:abstractNum w:abstractNumId="2">
    <w:nsid w:val="302B2E2C"/>
    <w:multiLevelType w:val="multilevel"/>
    <w:tmpl w:val="302B2E2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559833E"/>
    <w:multiLevelType w:val="singleLevel"/>
    <w:tmpl w:val="5559833E"/>
    <w:lvl w:ilvl="0" w:tentative="0">
      <w:start w:val="1"/>
      <w:numFmt w:val="chineseCounting"/>
      <w:suff w:val="nothing"/>
      <w:lvlText w:val="%1、"/>
      <w:lvlJc w:val="left"/>
    </w:lvl>
  </w:abstractNum>
  <w:abstractNum w:abstractNumId="4">
    <w:nsid w:val="727662DE"/>
    <w:multiLevelType w:val="multilevel"/>
    <w:tmpl w:val="727662DE"/>
    <w:lvl w:ilvl="0" w:tentative="0">
      <w:start w:val="1"/>
      <w:numFmt w:val="decimal"/>
      <w:pStyle w:val="7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zY2I0OTFkMmI1YTkyNDVkODhhMGNkMTBiN2E2ZTMifQ=="/>
  </w:docVars>
  <w:rsids>
    <w:rsidRoot w:val="004A31C0"/>
    <w:rsid w:val="00040E44"/>
    <w:rsid w:val="000506FE"/>
    <w:rsid w:val="00052F13"/>
    <w:rsid w:val="00062A5D"/>
    <w:rsid w:val="00083EEE"/>
    <w:rsid w:val="000C67BA"/>
    <w:rsid w:val="000E75F8"/>
    <w:rsid w:val="001375DB"/>
    <w:rsid w:val="001448FA"/>
    <w:rsid w:val="001478DA"/>
    <w:rsid w:val="00173428"/>
    <w:rsid w:val="001A3CF6"/>
    <w:rsid w:val="00240685"/>
    <w:rsid w:val="0024401D"/>
    <w:rsid w:val="002534A7"/>
    <w:rsid w:val="002E02E0"/>
    <w:rsid w:val="003169BC"/>
    <w:rsid w:val="0035778E"/>
    <w:rsid w:val="00380ED1"/>
    <w:rsid w:val="00381B1D"/>
    <w:rsid w:val="003A3435"/>
    <w:rsid w:val="004105E2"/>
    <w:rsid w:val="00424619"/>
    <w:rsid w:val="00424A1D"/>
    <w:rsid w:val="00462F9D"/>
    <w:rsid w:val="004A31C0"/>
    <w:rsid w:val="00501CA3"/>
    <w:rsid w:val="00581054"/>
    <w:rsid w:val="005A325A"/>
    <w:rsid w:val="005A3BF2"/>
    <w:rsid w:val="0060320D"/>
    <w:rsid w:val="006511DA"/>
    <w:rsid w:val="00652051"/>
    <w:rsid w:val="0065383E"/>
    <w:rsid w:val="00661973"/>
    <w:rsid w:val="006657BD"/>
    <w:rsid w:val="006F2568"/>
    <w:rsid w:val="006F282E"/>
    <w:rsid w:val="00706DC6"/>
    <w:rsid w:val="00711092"/>
    <w:rsid w:val="00716529"/>
    <w:rsid w:val="00725C59"/>
    <w:rsid w:val="00734973"/>
    <w:rsid w:val="00742C93"/>
    <w:rsid w:val="00744AB4"/>
    <w:rsid w:val="007B07B1"/>
    <w:rsid w:val="00825212"/>
    <w:rsid w:val="00843A59"/>
    <w:rsid w:val="00852E70"/>
    <w:rsid w:val="00872DA1"/>
    <w:rsid w:val="00873B8A"/>
    <w:rsid w:val="008B1281"/>
    <w:rsid w:val="008C3320"/>
    <w:rsid w:val="008F729B"/>
    <w:rsid w:val="009040D0"/>
    <w:rsid w:val="009064F4"/>
    <w:rsid w:val="009823B1"/>
    <w:rsid w:val="009863A6"/>
    <w:rsid w:val="0098739B"/>
    <w:rsid w:val="009B7259"/>
    <w:rsid w:val="009E6B47"/>
    <w:rsid w:val="00A5394E"/>
    <w:rsid w:val="00A955FA"/>
    <w:rsid w:val="00AB3C03"/>
    <w:rsid w:val="00AC5A89"/>
    <w:rsid w:val="00B34428"/>
    <w:rsid w:val="00B50722"/>
    <w:rsid w:val="00B638D9"/>
    <w:rsid w:val="00C555C7"/>
    <w:rsid w:val="00CA5372"/>
    <w:rsid w:val="00CF35F3"/>
    <w:rsid w:val="00D03E3B"/>
    <w:rsid w:val="00D901E0"/>
    <w:rsid w:val="00DE7F9D"/>
    <w:rsid w:val="00E01C27"/>
    <w:rsid w:val="00E428C8"/>
    <w:rsid w:val="00E81776"/>
    <w:rsid w:val="00E94AF3"/>
    <w:rsid w:val="00ED389E"/>
    <w:rsid w:val="00EE2D23"/>
    <w:rsid w:val="00F577A9"/>
    <w:rsid w:val="00F66F6C"/>
    <w:rsid w:val="00F82240"/>
    <w:rsid w:val="00F872C5"/>
    <w:rsid w:val="00F906B9"/>
    <w:rsid w:val="00FD5896"/>
    <w:rsid w:val="051F3E50"/>
    <w:rsid w:val="0749563E"/>
    <w:rsid w:val="098C2B06"/>
    <w:rsid w:val="0A790453"/>
    <w:rsid w:val="0D1D65A7"/>
    <w:rsid w:val="0E4C09E5"/>
    <w:rsid w:val="0FFF5BD0"/>
    <w:rsid w:val="1404500D"/>
    <w:rsid w:val="16B20DAC"/>
    <w:rsid w:val="197B71FC"/>
    <w:rsid w:val="1F4F0DB4"/>
    <w:rsid w:val="206D0F07"/>
    <w:rsid w:val="20873B99"/>
    <w:rsid w:val="215E49C8"/>
    <w:rsid w:val="245172AF"/>
    <w:rsid w:val="26CB50A9"/>
    <w:rsid w:val="2E02028D"/>
    <w:rsid w:val="328F5F4B"/>
    <w:rsid w:val="3B321A26"/>
    <w:rsid w:val="51785811"/>
    <w:rsid w:val="51DC67CC"/>
    <w:rsid w:val="544067AC"/>
    <w:rsid w:val="580975E3"/>
    <w:rsid w:val="59146B6E"/>
    <w:rsid w:val="60255718"/>
    <w:rsid w:val="63A56A47"/>
    <w:rsid w:val="650869CE"/>
    <w:rsid w:val="681F38AC"/>
    <w:rsid w:val="686F17B6"/>
    <w:rsid w:val="68A35D74"/>
    <w:rsid w:val="73064FE0"/>
    <w:rsid w:val="77004BDF"/>
    <w:rsid w:val="7FA04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pPr>
    <w:rPr>
      <w:rFonts w:ascii="仿宋" w:hAnsi="仿宋" w:eastAsia="仿宋" w:cstheme="majorBidi"/>
      <w:sz w:val="24"/>
      <w:szCs w:val="24"/>
      <w:lang w:val="en-US" w:eastAsia="zh-CN" w:bidi="ar-SA"/>
    </w:rPr>
  </w:style>
  <w:style w:type="paragraph" w:styleId="3">
    <w:name w:val="heading 1"/>
    <w:basedOn w:val="1"/>
    <w:next w:val="1"/>
    <w:link w:val="34"/>
    <w:qFormat/>
    <w:uiPriority w:val="9"/>
    <w:pPr>
      <w:spacing w:before="480" w:after="0"/>
      <w:contextualSpacing/>
      <w:jc w:val="center"/>
      <w:outlineLvl w:val="0"/>
    </w:pPr>
    <w:rPr>
      <w:rFonts w:ascii="仿宋_GB2312" w:eastAsia="仿宋_GB2312"/>
      <w:b/>
      <w:smallCaps/>
      <w:spacing w:val="5"/>
      <w:sz w:val="36"/>
      <w:szCs w:val="36"/>
    </w:rPr>
  </w:style>
  <w:style w:type="paragraph" w:styleId="4">
    <w:name w:val="heading 2"/>
    <w:basedOn w:val="1"/>
    <w:next w:val="1"/>
    <w:link w:val="35"/>
    <w:unhideWhenUsed/>
    <w:qFormat/>
    <w:uiPriority w:val="9"/>
    <w:pPr>
      <w:spacing w:before="200" w:after="0" w:line="271" w:lineRule="auto"/>
      <w:jc w:val="center"/>
      <w:outlineLvl w:val="1"/>
    </w:pPr>
    <w:rPr>
      <w:b/>
      <w:smallCaps/>
      <w:sz w:val="28"/>
      <w:szCs w:val="28"/>
    </w:rPr>
  </w:style>
  <w:style w:type="paragraph" w:styleId="5">
    <w:name w:val="heading 3"/>
    <w:basedOn w:val="1"/>
    <w:next w:val="1"/>
    <w:link w:val="36"/>
    <w:unhideWhenUsed/>
    <w:qFormat/>
    <w:uiPriority w:val="9"/>
    <w:pPr>
      <w:outlineLvl w:val="2"/>
    </w:pPr>
    <w:rPr>
      <w:b/>
    </w:rPr>
  </w:style>
  <w:style w:type="paragraph" w:styleId="2">
    <w:name w:val="heading 4"/>
    <w:basedOn w:val="1"/>
    <w:next w:val="1"/>
    <w:link w:val="37"/>
    <w:unhideWhenUsed/>
    <w:qFormat/>
    <w:uiPriority w:val="9"/>
    <w:pPr>
      <w:spacing w:after="0" w:line="271" w:lineRule="auto"/>
      <w:outlineLvl w:val="3"/>
    </w:pPr>
    <w:rPr>
      <w:b/>
      <w:bCs/>
      <w:spacing w:val="5"/>
    </w:rPr>
  </w:style>
  <w:style w:type="paragraph" w:styleId="6">
    <w:name w:val="heading 5"/>
    <w:basedOn w:val="1"/>
    <w:next w:val="1"/>
    <w:link w:val="38"/>
    <w:unhideWhenUsed/>
    <w:qFormat/>
    <w:uiPriority w:val="9"/>
    <w:pPr>
      <w:spacing w:after="0" w:line="271" w:lineRule="auto"/>
      <w:outlineLvl w:val="4"/>
    </w:pPr>
    <w:rPr>
      <w:i/>
      <w:iCs/>
    </w:rPr>
  </w:style>
  <w:style w:type="paragraph" w:styleId="7">
    <w:name w:val="heading 6"/>
    <w:basedOn w:val="1"/>
    <w:next w:val="1"/>
    <w:link w:val="39"/>
    <w:semiHidden/>
    <w:unhideWhenUsed/>
    <w:qFormat/>
    <w:uiPriority w:val="9"/>
    <w:pPr>
      <w:shd w:val="clear" w:color="auto" w:fill="FFFFFF" w:themeFill="background1"/>
      <w:spacing w:after="0" w:line="271" w:lineRule="auto"/>
      <w:outlineLvl w:val="5"/>
    </w:pPr>
    <w:rPr>
      <w:b/>
      <w:bCs/>
      <w:color w:val="595959" w:themeColor="text1" w:themeTint="A6"/>
      <w:spacing w:val="5"/>
      <w14:textFill>
        <w14:solidFill>
          <w14:schemeClr w14:val="tx1">
            <w14:lumMod w14:val="65000"/>
            <w14:lumOff w14:val="35000"/>
          </w14:schemeClr>
        </w14:solidFill>
      </w14:textFill>
    </w:rPr>
  </w:style>
  <w:style w:type="paragraph" w:styleId="8">
    <w:name w:val="heading 7"/>
    <w:basedOn w:val="1"/>
    <w:next w:val="1"/>
    <w:link w:val="40"/>
    <w:semiHidden/>
    <w:unhideWhenUsed/>
    <w:qFormat/>
    <w:uiPriority w:val="9"/>
    <w:pPr>
      <w:spacing w:after="0"/>
      <w:outlineLvl w:val="6"/>
    </w:pPr>
    <w:rPr>
      <w:b/>
      <w:bCs/>
      <w:i/>
      <w:iCs/>
      <w:color w:val="595959" w:themeColor="text1" w:themeTint="A6"/>
      <w:sz w:val="20"/>
      <w:szCs w:val="20"/>
      <w14:textFill>
        <w14:solidFill>
          <w14:schemeClr w14:val="tx1">
            <w14:lumMod w14:val="65000"/>
            <w14:lumOff w14:val="35000"/>
          </w14:schemeClr>
        </w14:solidFill>
      </w14:textFill>
    </w:rPr>
  </w:style>
  <w:style w:type="paragraph" w:styleId="9">
    <w:name w:val="heading 8"/>
    <w:basedOn w:val="1"/>
    <w:next w:val="1"/>
    <w:link w:val="41"/>
    <w:semiHidden/>
    <w:unhideWhenUsed/>
    <w:qFormat/>
    <w:uiPriority w:val="9"/>
    <w:pPr>
      <w:spacing w:after="0"/>
      <w:outlineLvl w:val="7"/>
    </w:pPr>
    <w:rPr>
      <w:b/>
      <w:bCs/>
      <w:color w:val="808080" w:themeColor="text1" w:themeTint="80"/>
      <w:sz w:val="20"/>
      <w:szCs w:val="20"/>
      <w14:textFill>
        <w14:solidFill>
          <w14:schemeClr w14:val="tx1">
            <w14:lumMod w14:val="50000"/>
            <w14:lumOff w14:val="50000"/>
          </w14:schemeClr>
        </w14:solidFill>
      </w14:textFill>
    </w:rPr>
  </w:style>
  <w:style w:type="paragraph" w:styleId="10">
    <w:name w:val="heading 9"/>
    <w:basedOn w:val="1"/>
    <w:next w:val="1"/>
    <w:link w:val="42"/>
    <w:semiHidden/>
    <w:unhideWhenUsed/>
    <w:qFormat/>
    <w:uiPriority w:val="9"/>
    <w:pPr>
      <w:spacing w:after="0" w:line="271" w:lineRule="auto"/>
      <w:outlineLvl w:val="8"/>
    </w:pPr>
    <w:rPr>
      <w:b/>
      <w:bCs/>
      <w:i/>
      <w:iCs/>
      <w:color w:val="808080" w:themeColor="text1" w:themeTint="80"/>
      <w:sz w:val="18"/>
      <w:szCs w:val="18"/>
      <w14:textFill>
        <w14:solidFill>
          <w14:schemeClr w14:val="tx1">
            <w14:lumMod w14:val="50000"/>
            <w14:lumOff w14:val="50000"/>
          </w14:schemeClr>
        </w14:solidFill>
      </w14:textFill>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link w:val="61"/>
    <w:qFormat/>
    <w:uiPriority w:val="0"/>
    <w:pPr>
      <w:adjustRightInd w:val="0"/>
      <w:snapToGrid w:val="0"/>
      <w:spacing w:after="0" w:line="480" w:lineRule="exact"/>
      <w:ind w:firstLine="567"/>
      <w:jc w:val="both"/>
    </w:pPr>
    <w:rPr>
      <w:rFonts w:ascii="宋体" w:hAnsi="Times New Roman" w:eastAsia="宋体" w:cs="Times New Roman"/>
      <w:snapToGrid w:val="0"/>
      <w:color w:val="000000"/>
      <w:kern w:val="28"/>
      <w:sz w:val="28"/>
      <w:szCs w:val="20"/>
    </w:rPr>
  </w:style>
  <w:style w:type="paragraph" w:styleId="12">
    <w:name w:val="caption"/>
    <w:basedOn w:val="1"/>
    <w:next w:val="1"/>
    <w:semiHidden/>
    <w:unhideWhenUsed/>
    <w:qFormat/>
    <w:uiPriority w:val="35"/>
    <w:rPr>
      <w:b/>
      <w:bCs/>
      <w:caps/>
      <w:sz w:val="16"/>
      <w:szCs w:val="18"/>
    </w:rPr>
  </w:style>
  <w:style w:type="paragraph" w:styleId="13">
    <w:name w:val="Body Text"/>
    <w:basedOn w:val="1"/>
    <w:next w:val="14"/>
    <w:qFormat/>
    <w:uiPriority w:val="0"/>
    <w:pPr>
      <w:autoSpaceDE w:val="0"/>
      <w:autoSpaceDN w:val="0"/>
      <w:adjustRightInd w:val="0"/>
      <w:spacing w:line="360" w:lineRule="auto"/>
    </w:pPr>
    <w:rPr>
      <w:rFonts w:ascii="宋体" w:hAnsi="Arial" w:cs="Arial"/>
      <w:snapToGrid w:val="0"/>
      <w:sz w:val="24"/>
      <w:szCs w:val="21"/>
      <w:lang w:val="zh-CN"/>
    </w:rPr>
  </w:style>
  <w:style w:type="paragraph" w:styleId="14">
    <w:name w:val="Body Text First Indent"/>
    <w:basedOn w:val="13"/>
    <w:qFormat/>
    <w:uiPriority w:val="0"/>
    <w:pPr>
      <w:ind w:firstLine="420"/>
    </w:pPr>
    <w:rPr>
      <w:rFonts w:hAnsi="Calibri" w:cs="Times New Roman"/>
      <w:snapToGrid/>
      <w:szCs w:val="20"/>
    </w:rPr>
  </w:style>
  <w:style w:type="paragraph" w:styleId="15">
    <w:name w:val="Body Text Indent"/>
    <w:basedOn w:val="1"/>
    <w:next w:val="1"/>
    <w:link w:val="64"/>
    <w:qFormat/>
    <w:uiPriority w:val="0"/>
    <w:pPr>
      <w:widowControl w:val="0"/>
      <w:adjustRightInd w:val="0"/>
      <w:spacing w:after="0" w:line="480" w:lineRule="exact"/>
      <w:ind w:firstLine="480" w:firstLineChars="200"/>
      <w:jc w:val="both"/>
    </w:pPr>
    <w:rPr>
      <w:rFonts w:ascii="宋体" w:hAnsi="宋体" w:eastAsia="宋体" w:cs="Times New Roman"/>
      <w:kern w:val="2"/>
    </w:rPr>
  </w:style>
  <w:style w:type="paragraph" w:styleId="16">
    <w:name w:val="Plain Text"/>
    <w:basedOn w:val="1"/>
    <w:link w:val="62"/>
    <w:qFormat/>
    <w:uiPriority w:val="0"/>
    <w:pPr>
      <w:widowControl w:val="0"/>
      <w:adjustRightInd w:val="0"/>
      <w:spacing w:after="0"/>
      <w:jc w:val="both"/>
    </w:pPr>
    <w:rPr>
      <w:rFonts w:ascii="宋体" w:hAnsi="Courier New" w:eastAsia="宋体" w:cs="Arial"/>
      <w:snapToGrid w:val="0"/>
      <w:kern w:val="2"/>
      <w:sz w:val="21"/>
      <w:szCs w:val="21"/>
    </w:rPr>
  </w:style>
  <w:style w:type="paragraph" w:styleId="17">
    <w:name w:val="Balloon Text"/>
    <w:basedOn w:val="1"/>
    <w:link w:val="76"/>
    <w:semiHidden/>
    <w:unhideWhenUsed/>
    <w:qFormat/>
    <w:uiPriority w:val="99"/>
    <w:pPr>
      <w:spacing w:after="0"/>
    </w:pPr>
    <w:rPr>
      <w:sz w:val="18"/>
      <w:szCs w:val="18"/>
    </w:rPr>
  </w:style>
  <w:style w:type="paragraph" w:styleId="18">
    <w:name w:val="footer"/>
    <w:basedOn w:val="1"/>
    <w:link w:val="33"/>
    <w:unhideWhenUsed/>
    <w:qFormat/>
    <w:uiPriority w:val="99"/>
    <w:pPr>
      <w:tabs>
        <w:tab w:val="center" w:pos="4153"/>
        <w:tab w:val="right" w:pos="8306"/>
      </w:tabs>
      <w:snapToGrid w:val="0"/>
    </w:pPr>
    <w:rPr>
      <w:sz w:val="18"/>
      <w:szCs w:val="18"/>
    </w:rPr>
  </w:style>
  <w:style w:type="paragraph" w:styleId="19">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0"/>
  </w:style>
  <w:style w:type="paragraph" w:styleId="21">
    <w:name w:val="Subtitle"/>
    <w:basedOn w:val="1"/>
    <w:next w:val="1"/>
    <w:link w:val="44"/>
    <w:qFormat/>
    <w:uiPriority w:val="11"/>
    <w:rPr>
      <w:i/>
      <w:iCs/>
      <w:smallCaps/>
      <w:spacing w:val="10"/>
      <w:sz w:val="28"/>
      <w:szCs w:val="28"/>
    </w:rPr>
  </w:style>
  <w:style w:type="paragraph" w:styleId="22">
    <w:name w:val="Normal (Web)"/>
    <w:basedOn w:val="1"/>
    <w:qFormat/>
    <w:uiPriority w:val="99"/>
    <w:pPr>
      <w:spacing w:before="100" w:beforeAutospacing="1" w:after="100" w:afterAutospacing="1"/>
      <w:jc w:val="left"/>
    </w:pPr>
    <w:rPr>
      <w:kern w:val="0"/>
      <w:sz w:val="24"/>
    </w:rPr>
  </w:style>
  <w:style w:type="paragraph" w:styleId="23">
    <w:name w:val="Title"/>
    <w:basedOn w:val="1"/>
    <w:next w:val="1"/>
    <w:link w:val="43"/>
    <w:qFormat/>
    <w:uiPriority w:val="10"/>
    <w:pPr>
      <w:spacing w:after="300"/>
      <w:contextualSpacing/>
    </w:pPr>
    <w:rPr>
      <w:smallCaps/>
      <w:sz w:val="52"/>
      <w:szCs w:val="52"/>
    </w:rPr>
  </w:style>
  <w:style w:type="paragraph" w:styleId="24">
    <w:name w:val="Body Text First Indent 2"/>
    <w:basedOn w:val="15"/>
    <w:semiHidden/>
    <w:unhideWhenUsed/>
    <w:qFormat/>
    <w:uiPriority w:val="99"/>
    <w:pPr>
      <w:ind w:firstLine="420" w:firstLineChars="200"/>
    </w:p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22"/>
    <w:rPr>
      <w:b/>
      <w:bCs/>
    </w:rPr>
  </w:style>
  <w:style w:type="character" w:styleId="29">
    <w:name w:val="Emphasis"/>
    <w:qFormat/>
    <w:uiPriority w:val="20"/>
    <w:rPr>
      <w:b/>
      <w:bCs/>
      <w:i/>
      <w:iCs/>
      <w:spacing w:val="10"/>
    </w:rPr>
  </w:style>
  <w:style w:type="character" w:styleId="30">
    <w:name w:val="Hyperlink"/>
    <w:qFormat/>
    <w:uiPriority w:val="99"/>
    <w:rPr>
      <w:rFonts w:ascii="Arial" w:hAnsi="Arial" w:eastAsia="黑体" w:cs="Arial"/>
      <w:snapToGrid w:val="0"/>
      <w:color w:val="000000"/>
      <w:kern w:val="0"/>
      <w:sz w:val="18"/>
      <w:szCs w:val="18"/>
      <w:u w:val="none"/>
    </w:rPr>
  </w:style>
  <w:style w:type="paragraph" w:customStyle="1" w:styleId="31">
    <w:name w:val="正文文本首行缩进 21"/>
    <w:basedOn w:val="15"/>
    <w:qFormat/>
    <w:uiPriority w:val="99"/>
    <w:pPr>
      <w:spacing w:line="200" w:lineRule="atLeast"/>
      <w:ind w:firstLine="420"/>
    </w:pPr>
    <w:rPr>
      <w:rFonts w:hAnsi="Courier New" w:asciiTheme="minorHAnsi" w:eastAsiaTheme="minorEastAsia" w:cstheme="minorBidi"/>
      <w:spacing w:val="-4"/>
      <w:sz w:val="18"/>
      <w:szCs w:val="22"/>
    </w:rPr>
  </w:style>
  <w:style w:type="character" w:customStyle="1" w:styleId="32">
    <w:name w:val="页眉 Char"/>
    <w:basedOn w:val="27"/>
    <w:link w:val="19"/>
    <w:qFormat/>
    <w:uiPriority w:val="99"/>
    <w:rPr>
      <w:sz w:val="18"/>
      <w:szCs w:val="18"/>
    </w:rPr>
  </w:style>
  <w:style w:type="character" w:customStyle="1" w:styleId="33">
    <w:name w:val="页脚 Char"/>
    <w:basedOn w:val="27"/>
    <w:link w:val="18"/>
    <w:qFormat/>
    <w:uiPriority w:val="99"/>
    <w:rPr>
      <w:sz w:val="18"/>
      <w:szCs w:val="18"/>
    </w:rPr>
  </w:style>
  <w:style w:type="character" w:customStyle="1" w:styleId="34">
    <w:name w:val="标题 1 Char"/>
    <w:basedOn w:val="27"/>
    <w:link w:val="3"/>
    <w:qFormat/>
    <w:uiPriority w:val="9"/>
    <w:rPr>
      <w:rFonts w:ascii="仿宋_GB2312" w:hAnsi="仿宋" w:eastAsia="仿宋_GB2312"/>
      <w:b/>
      <w:smallCaps/>
      <w:spacing w:val="5"/>
      <w:sz w:val="36"/>
      <w:szCs w:val="36"/>
    </w:rPr>
  </w:style>
  <w:style w:type="character" w:customStyle="1" w:styleId="35">
    <w:name w:val="标题 2 Char"/>
    <w:basedOn w:val="27"/>
    <w:link w:val="4"/>
    <w:qFormat/>
    <w:uiPriority w:val="9"/>
    <w:rPr>
      <w:rFonts w:ascii="仿宋" w:hAnsi="仿宋" w:eastAsia="仿宋"/>
      <w:b/>
      <w:smallCaps/>
      <w:sz w:val="28"/>
      <w:szCs w:val="28"/>
    </w:rPr>
  </w:style>
  <w:style w:type="character" w:customStyle="1" w:styleId="36">
    <w:name w:val="标题 3 Char"/>
    <w:basedOn w:val="27"/>
    <w:link w:val="5"/>
    <w:qFormat/>
    <w:uiPriority w:val="9"/>
    <w:rPr>
      <w:rFonts w:ascii="仿宋" w:hAnsi="仿宋" w:eastAsia="仿宋"/>
      <w:b/>
      <w:sz w:val="24"/>
      <w:szCs w:val="24"/>
    </w:rPr>
  </w:style>
  <w:style w:type="character" w:customStyle="1" w:styleId="37">
    <w:name w:val="标题 4 Char"/>
    <w:basedOn w:val="27"/>
    <w:link w:val="2"/>
    <w:qFormat/>
    <w:uiPriority w:val="9"/>
    <w:rPr>
      <w:b/>
      <w:bCs/>
      <w:spacing w:val="5"/>
      <w:sz w:val="24"/>
      <w:szCs w:val="24"/>
    </w:rPr>
  </w:style>
  <w:style w:type="character" w:customStyle="1" w:styleId="38">
    <w:name w:val="标题 5 Char"/>
    <w:basedOn w:val="27"/>
    <w:link w:val="6"/>
    <w:qFormat/>
    <w:uiPriority w:val="9"/>
    <w:rPr>
      <w:i/>
      <w:iCs/>
      <w:sz w:val="24"/>
      <w:szCs w:val="24"/>
    </w:rPr>
  </w:style>
  <w:style w:type="character" w:customStyle="1" w:styleId="39">
    <w:name w:val="标题 6 Char"/>
    <w:basedOn w:val="27"/>
    <w:link w:val="7"/>
    <w:semiHidden/>
    <w:qFormat/>
    <w:uiPriority w:val="9"/>
    <w:rPr>
      <w:b/>
      <w:bCs/>
      <w:color w:val="595959" w:themeColor="text1" w:themeTint="A6"/>
      <w:spacing w:val="5"/>
      <w:shd w:val="clear" w:color="auto" w:fill="FFFFFF" w:themeFill="background1"/>
      <w14:textFill>
        <w14:solidFill>
          <w14:schemeClr w14:val="tx1">
            <w14:lumMod w14:val="65000"/>
            <w14:lumOff w14:val="35000"/>
          </w14:schemeClr>
        </w14:solidFill>
      </w14:textFill>
    </w:rPr>
  </w:style>
  <w:style w:type="character" w:customStyle="1" w:styleId="40">
    <w:name w:val="标题 7 Char"/>
    <w:basedOn w:val="27"/>
    <w:link w:val="8"/>
    <w:semiHidden/>
    <w:qFormat/>
    <w:uiPriority w:val="9"/>
    <w:rPr>
      <w:b/>
      <w:bCs/>
      <w:i/>
      <w:iCs/>
      <w:color w:val="595959" w:themeColor="text1" w:themeTint="A6"/>
      <w:sz w:val="20"/>
      <w:szCs w:val="20"/>
      <w14:textFill>
        <w14:solidFill>
          <w14:schemeClr w14:val="tx1">
            <w14:lumMod w14:val="65000"/>
            <w14:lumOff w14:val="35000"/>
          </w14:schemeClr>
        </w14:solidFill>
      </w14:textFill>
    </w:rPr>
  </w:style>
  <w:style w:type="character" w:customStyle="1" w:styleId="41">
    <w:name w:val="标题 8 Char"/>
    <w:basedOn w:val="27"/>
    <w:link w:val="9"/>
    <w:semiHidden/>
    <w:qFormat/>
    <w:uiPriority w:val="9"/>
    <w:rPr>
      <w:b/>
      <w:bCs/>
      <w:color w:val="808080" w:themeColor="text1" w:themeTint="80"/>
      <w:sz w:val="20"/>
      <w:szCs w:val="20"/>
      <w14:textFill>
        <w14:solidFill>
          <w14:schemeClr w14:val="tx1">
            <w14:lumMod w14:val="50000"/>
            <w14:lumOff w14:val="50000"/>
          </w14:schemeClr>
        </w14:solidFill>
      </w14:textFill>
    </w:rPr>
  </w:style>
  <w:style w:type="character" w:customStyle="1" w:styleId="42">
    <w:name w:val="标题 9 Char"/>
    <w:basedOn w:val="27"/>
    <w:link w:val="10"/>
    <w:semiHidden/>
    <w:qFormat/>
    <w:uiPriority w:val="9"/>
    <w:rPr>
      <w:b/>
      <w:bCs/>
      <w:i/>
      <w:iCs/>
      <w:color w:val="808080" w:themeColor="text1" w:themeTint="80"/>
      <w:sz w:val="18"/>
      <w:szCs w:val="18"/>
      <w14:textFill>
        <w14:solidFill>
          <w14:schemeClr w14:val="tx1">
            <w14:lumMod w14:val="50000"/>
            <w14:lumOff w14:val="50000"/>
          </w14:schemeClr>
        </w14:solidFill>
      </w14:textFill>
    </w:rPr>
  </w:style>
  <w:style w:type="character" w:customStyle="1" w:styleId="43">
    <w:name w:val="标题 Char"/>
    <w:basedOn w:val="27"/>
    <w:link w:val="23"/>
    <w:qFormat/>
    <w:uiPriority w:val="10"/>
    <w:rPr>
      <w:smallCaps/>
      <w:sz w:val="52"/>
      <w:szCs w:val="52"/>
    </w:rPr>
  </w:style>
  <w:style w:type="character" w:customStyle="1" w:styleId="44">
    <w:name w:val="副标题 Char"/>
    <w:basedOn w:val="27"/>
    <w:link w:val="21"/>
    <w:qFormat/>
    <w:uiPriority w:val="11"/>
    <w:rPr>
      <w:i/>
      <w:iCs/>
      <w:smallCaps/>
      <w:spacing w:val="10"/>
      <w:sz w:val="28"/>
      <w:szCs w:val="28"/>
    </w:rPr>
  </w:style>
  <w:style w:type="paragraph" w:styleId="45">
    <w:name w:val="No Spacing"/>
    <w:basedOn w:val="1"/>
    <w:link w:val="57"/>
    <w:qFormat/>
    <w:uiPriority w:val="1"/>
    <w:pPr>
      <w:spacing w:after="0"/>
    </w:pPr>
  </w:style>
  <w:style w:type="paragraph" w:styleId="46">
    <w:name w:val="List Paragraph"/>
    <w:basedOn w:val="1"/>
    <w:qFormat/>
    <w:uiPriority w:val="34"/>
    <w:pPr>
      <w:ind w:left="720"/>
      <w:contextualSpacing/>
    </w:pPr>
  </w:style>
  <w:style w:type="paragraph" w:styleId="47">
    <w:name w:val="Quote"/>
    <w:basedOn w:val="1"/>
    <w:next w:val="1"/>
    <w:link w:val="48"/>
    <w:qFormat/>
    <w:uiPriority w:val="29"/>
    <w:rPr>
      <w:i/>
      <w:iCs/>
    </w:rPr>
  </w:style>
  <w:style w:type="character" w:customStyle="1" w:styleId="48">
    <w:name w:val="引用 Char"/>
    <w:basedOn w:val="27"/>
    <w:link w:val="47"/>
    <w:qFormat/>
    <w:uiPriority w:val="29"/>
    <w:rPr>
      <w:i/>
      <w:iCs/>
    </w:rPr>
  </w:style>
  <w:style w:type="paragraph" w:styleId="49">
    <w:name w:val="Intense Quote"/>
    <w:basedOn w:val="1"/>
    <w:next w:val="1"/>
    <w:link w:val="50"/>
    <w:qFormat/>
    <w:uiPriority w:val="30"/>
    <w:pPr>
      <w:pBdr>
        <w:top w:val="single" w:color="auto" w:sz="4" w:space="10"/>
        <w:bottom w:val="single" w:color="auto" w:sz="4" w:space="10"/>
      </w:pBdr>
      <w:spacing w:before="240" w:after="240" w:line="300" w:lineRule="auto"/>
      <w:ind w:left="1152" w:right="1152"/>
      <w:jc w:val="both"/>
    </w:pPr>
    <w:rPr>
      <w:i/>
      <w:iCs/>
    </w:rPr>
  </w:style>
  <w:style w:type="character" w:customStyle="1" w:styleId="50">
    <w:name w:val="明显引用 Char"/>
    <w:basedOn w:val="27"/>
    <w:link w:val="49"/>
    <w:qFormat/>
    <w:uiPriority w:val="30"/>
    <w:rPr>
      <w:i/>
      <w:iCs/>
    </w:rPr>
  </w:style>
  <w:style w:type="character" w:customStyle="1" w:styleId="51">
    <w:name w:val="不明显强调1"/>
    <w:qFormat/>
    <w:uiPriority w:val="19"/>
    <w:rPr>
      <w:i/>
      <w:iCs/>
    </w:rPr>
  </w:style>
  <w:style w:type="character" w:customStyle="1" w:styleId="52">
    <w:name w:val="明显强调1"/>
    <w:qFormat/>
    <w:uiPriority w:val="21"/>
    <w:rPr>
      <w:b/>
      <w:bCs/>
      <w:i/>
      <w:iCs/>
    </w:rPr>
  </w:style>
  <w:style w:type="character" w:customStyle="1" w:styleId="53">
    <w:name w:val="不明显参考1"/>
    <w:basedOn w:val="27"/>
    <w:qFormat/>
    <w:uiPriority w:val="31"/>
    <w:rPr>
      <w:smallCaps/>
    </w:rPr>
  </w:style>
  <w:style w:type="character" w:customStyle="1" w:styleId="54">
    <w:name w:val="明显参考1"/>
    <w:qFormat/>
    <w:uiPriority w:val="32"/>
    <w:rPr>
      <w:b/>
      <w:bCs/>
      <w:smallCaps/>
    </w:rPr>
  </w:style>
  <w:style w:type="character" w:customStyle="1" w:styleId="55">
    <w:name w:val="书籍标题1"/>
    <w:basedOn w:val="27"/>
    <w:qFormat/>
    <w:uiPriority w:val="33"/>
    <w:rPr>
      <w:i/>
      <w:iCs/>
      <w:smallCaps/>
      <w:spacing w:val="5"/>
    </w:rPr>
  </w:style>
  <w:style w:type="paragraph" w:customStyle="1" w:styleId="56">
    <w:name w:val="TOC 标题1"/>
    <w:basedOn w:val="3"/>
    <w:next w:val="1"/>
    <w:semiHidden/>
    <w:unhideWhenUsed/>
    <w:qFormat/>
    <w:uiPriority w:val="39"/>
    <w:pPr>
      <w:outlineLvl w:val="9"/>
    </w:pPr>
    <w:rPr>
      <w:lang w:bidi="en-US"/>
    </w:rPr>
  </w:style>
  <w:style w:type="character" w:customStyle="1" w:styleId="57">
    <w:name w:val="无间隔 Char"/>
    <w:basedOn w:val="27"/>
    <w:link w:val="45"/>
    <w:qFormat/>
    <w:uiPriority w:val="1"/>
  </w:style>
  <w:style w:type="paragraph" w:customStyle="1" w:styleId="58">
    <w:name w:val="Personal Name"/>
    <w:basedOn w:val="23"/>
    <w:qFormat/>
    <w:uiPriority w:val="0"/>
    <w:rPr>
      <w:b/>
      <w:caps/>
      <w:color w:val="000000"/>
      <w:sz w:val="28"/>
      <w:szCs w:val="28"/>
    </w:rPr>
  </w:style>
  <w:style w:type="character" w:customStyle="1" w:styleId="59">
    <w:name w:val="正文2 Char Char"/>
    <w:link w:val="60"/>
    <w:qFormat/>
    <w:uiPriority w:val="0"/>
    <w:rPr>
      <w:rFonts w:ascii="仿宋" w:hAnsi="仿宋" w:eastAsia="仿宋"/>
      <w:sz w:val="24"/>
      <w:szCs w:val="24"/>
    </w:rPr>
  </w:style>
  <w:style w:type="paragraph" w:customStyle="1" w:styleId="60">
    <w:name w:val="正文2"/>
    <w:basedOn w:val="1"/>
    <w:link w:val="59"/>
    <w:qFormat/>
    <w:uiPriority w:val="0"/>
    <w:pPr>
      <w:spacing w:line="360" w:lineRule="auto"/>
    </w:pPr>
  </w:style>
  <w:style w:type="character" w:customStyle="1" w:styleId="61">
    <w:name w:val="正文缩进 Char"/>
    <w:link w:val="11"/>
    <w:qFormat/>
    <w:uiPriority w:val="0"/>
    <w:rPr>
      <w:rFonts w:ascii="宋体" w:hAnsi="Times New Roman" w:eastAsia="宋体" w:cs="Times New Roman"/>
      <w:snapToGrid w:val="0"/>
      <w:color w:val="000000"/>
      <w:kern w:val="28"/>
      <w:sz w:val="28"/>
      <w:szCs w:val="20"/>
    </w:rPr>
  </w:style>
  <w:style w:type="character" w:customStyle="1" w:styleId="62">
    <w:name w:val="纯文本 Char"/>
    <w:basedOn w:val="27"/>
    <w:link w:val="16"/>
    <w:qFormat/>
    <w:uiPriority w:val="0"/>
    <w:rPr>
      <w:rFonts w:ascii="宋体" w:hAnsi="Courier New" w:eastAsia="宋体" w:cs="Arial"/>
      <w:snapToGrid w:val="0"/>
      <w:kern w:val="2"/>
      <w:sz w:val="21"/>
      <w:szCs w:val="21"/>
    </w:rPr>
  </w:style>
  <w:style w:type="character" w:customStyle="1" w:styleId="63">
    <w:name w:val="正文文本缩进 Char"/>
    <w:basedOn w:val="27"/>
    <w:semiHidden/>
    <w:qFormat/>
    <w:uiPriority w:val="99"/>
    <w:rPr>
      <w:rFonts w:ascii="仿宋" w:hAnsi="仿宋" w:eastAsia="仿宋"/>
      <w:sz w:val="24"/>
      <w:szCs w:val="24"/>
    </w:rPr>
  </w:style>
  <w:style w:type="character" w:customStyle="1" w:styleId="64">
    <w:name w:val="正文文本缩进 Char1"/>
    <w:link w:val="15"/>
    <w:qFormat/>
    <w:uiPriority w:val="0"/>
    <w:rPr>
      <w:rFonts w:ascii="宋体" w:hAnsi="宋体" w:eastAsia="宋体" w:cs="Times New Roman"/>
      <w:kern w:val="2"/>
      <w:sz w:val="24"/>
      <w:szCs w:val="24"/>
    </w:rPr>
  </w:style>
  <w:style w:type="character" w:customStyle="1" w:styleId="65">
    <w:name w:val="标题 Char2"/>
    <w:qFormat/>
    <w:uiPriority w:val="10"/>
    <w:rPr>
      <w:b/>
      <w:sz w:val="24"/>
      <w:lang w:val="en-GB"/>
    </w:rPr>
  </w:style>
  <w:style w:type="character" w:customStyle="1" w:styleId="66">
    <w:name w:val="纯文本 Char1"/>
    <w:link w:val="67"/>
    <w:qFormat/>
    <w:uiPriority w:val="0"/>
    <w:rPr>
      <w:rFonts w:ascii="宋体" w:hAnsi="Courier New"/>
    </w:rPr>
  </w:style>
  <w:style w:type="paragraph" w:customStyle="1" w:styleId="67">
    <w:name w:val="纯文本1"/>
    <w:basedOn w:val="1"/>
    <w:link w:val="66"/>
    <w:qFormat/>
    <w:uiPriority w:val="0"/>
    <w:pPr>
      <w:widowControl w:val="0"/>
      <w:spacing w:after="0"/>
      <w:jc w:val="both"/>
    </w:pPr>
    <w:rPr>
      <w:rFonts w:ascii="宋体" w:hAnsi="Courier New" w:eastAsiaTheme="majorEastAsia"/>
      <w:sz w:val="22"/>
      <w:szCs w:val="22"/>
    </w:rPr>
  </w:style>
  <w:style w:type="character" w:customStyle="1" w:styleId="68">
    <w:name w:val="页脚 Char2"/>
    <w:qFormat/>
    <w:locked/>
    <w:uiPriority w:val="99"/>
    <w:rPr>
      <w:kern w:val="2"/>
      <w:sz w:val="18"/>
      <w:szCs w:val="18"/>
    </w:rPr>
  </w:style>
  <w:style w:type="character" w:customStyle="1" w:styleId="69">
    <w:name w:val="页眉 Char2"/>
    <w:qFormat/>
    <w:uiPriority w:val="99"/>
    <w:rPr>
      <w:kern w:val="2"/>
      <w:sz w:val="18"/>
      <w:szCs w:val="18"/>
    </w:rPr>
  </w:style>
  <w:style w:type="paragraph" w:customStyle="1" w:styleId="70">
    <w:name w:val="索引 11"/>
    <w:basedOn w:val="1"/>
    <w:next w:val="1"/>
    <w:qFormat/>
    <w:uiPriority w:val="99"/>
    <w:pPr>
      <w:widowControl w:val="0"/>
      <w:spacing w:after="0" w:line="360" w:lineRule="auto"/>
      <w:jc w:val="both"/>
    </w:pPr>
    <w:rPr>
      <w:rFonts w:ascii="仿宋_GB2312" w:hAnsi="Times New Roman" w:eastAsia="仿宋_GB2312" w:cs="Times New Roman"/>
      <w:kern w:val="2"/>
      <w:szCs w:val="20"/>
    </w:rPr>
  </w:style>
  <w:style w:type="paragraph" w:customStyle="1" w:styleId="71">
    <w:name w:val="正文缩进1"/>
    <w:basedOn w:val="1"/>
    <w:next w:val="15"/>
    <w:qFormat/>
    <w:uiPriority w:val="0"/>
    <w:pPr>
      <w:widowControl w:val="0"/>
      <w:autoSpaceDE w:val="0"/>
      <w:autoSpaceDN w:val="0"/>
      <w:adjustRightInd w:val="0"/>
      <w:snapToGrid w:val="0"/>
      <w:spacing w:after="120" w:line="360" w:lineRule="auto"/>
      <w:ind w:left="420" w:leftChars="200" w:firstLine="480" w:firstLineChars="200"/>
      <w:jc w:val="both"/>
    </w:pPr>
    <w:rPr>
      <w:rFonts w:ascii="Times New Roman" w:hAnsi="Times New Roman" w:eastAsia="宋体" w:cs="Times New Roman"/>
      <w:kern w:val="2"/>
      <w:szCs w:val="21"/>
    </w:rPr>
  </w:style>
  <w:style w:type="paragraph" w:customStyle="1" w:styleId="72">
    <w:name w:val="text-tag"/>
    <w:basedOn w:val="1"/>
    <w:semiHidden/>
    <w:qFormat/>
    <w:uiPriority w:val="99"/>
    <w:pPr>
      <w:spacing w:before="100" w:beforeAutospacing="1" w:after="100" w:afterAutospacing="1"/>
    </w:pPr>
    <w:rPr>
      <w:rFonts w:ascii="宋体" w:hAnsi="宋体" w:eastAsia="宋体" w:cs="宋体"/>
    </w:rPr>
  </w:style>
  <w:style w:type="character" w:customStyle="1" w:styleId="73">
    <w:name w:val="纯文本 Char_0"/>
    <w:link w:val="74"/>
    <w:qFormat/>
    <w:uiPriority w:val="0"/>
    <w:rPr>
      <w:rFonts w:ascii="宋体" w:hAnsi="Courier New"/>
      <w:kern w:val="2"/>
      <w:sz w:val="21"/>
      <w:szCs w:val="21"/>
    </w:rPr>
  </w:style>
  <w:style w:type="paragraph" w:customStyle="1" w:styleId="74">
    <w:name w:val="纯文本_0_0"/>
    <w:basedOn w:val="1"/>
    <w:link w:val="73"/>
    <w:qFormat/>
    <w:uiPriority w:val="0"/>
    <w:pPr>
      <w:widowControl w:val="0"/>
      <w:spacing w:after="0"/>
      <w:jc w:val="both"/>
    </w:pPr>
    <w:rPr>
      <w:rFonts w:ascii="宋体" w:hAnsi="Courier New" w:eastAsiaTheme="majorEastAsia"/>
      <w:kern w:val="2"/>
      <w:sz w:val="21"/>
      <w:szCs w:val="21"/>
    </w:rPr>
  </w:style>
  <w:style w:type="paragraph" w:customStyle="1" w:styleId="75">
    <w:name w:val="部分1"/>
    <w:basedOn w:val="1"/>
    <w:qFormat/>
    <w:uiPriority w:val="0"/>
    <w:pPr>
      <w:keepNext/>
      <w:pageBreakBefore/>
      <w:widowControl w:val="0"/>
      <w:tabs>
        <w:tab w:val="left" w:pos="720"/>
      </w:tabs>
      <w:adjustRightInd w:val="0"/>
      <w:spacing w:after="0" w:line="360" w:lineRule="auto"/>
      <w:jc w:val="center"/>
      <w:outlineLvl w:val="0"/>
    </w:pPr>
    <w:rPr>
      <w:rFonts w:ascii="Times New Roman" w:hAnsi="Times New Roman" w:eastAsia="黑体" w:cs="Times New Roman"/>
      <w:b/>
      <w:kern w:val="44"/>
      <w:sz w:val="36"/>
      <w:szCs w:val="20"/>
    </w:rPr>
  </w:style>
  <w:style w:type="character" w:customStyle="1" w:styleId="76">
    <w:name w:val="批注框文本 Char"/>
    <w:basedOn w:val="27"/>
    <w:link w:val="17"/>
    <w:semiHidden/>
    <w:qFormat/>
    <w:uiPriority w:val="99"/>
    <w:rPr>
      <w:rFonts w:ascii="仿宋" w:hAnsi="仿宋" w:eastAsia="仿宋"/>
      <w:sz w:val="18"/>
      <w:szCs w:val="18"/>
    </w:rPr>
  </w:style>
  <w:style w:type="paragraph" w:customStyle="1" w:styleId="77">
    <w:name w:val="3级"/>
    <w:basedOn w:val="1"/>
    <w:qFormat/>
    <w:uiPriority w:val="0"/>
    <w:pPr>
      <w:numPr>
        <w:ilvl w:val="0"/>
        <w:numId w:val="1"/>
      </w:numPr>
      <w:spacing w:line="360" w:lineRule="auto"/>
      <w:outlineLvl w:val="2"/>
    </w:pPr>
    <w:rPr>
      <w:rFonts w:ascii="仿宋" w:hAnsi="仿宋" w:eastAsia="仿宋"/>
      <w:b/>
      <w:sz w:val="24"/>
    </w:rPr>
  </w:style>
  <w:style w:type="paragraph" w:customStyle="1" w:styleId="78">
    <w:name w:val="zhengwen"/>
    <w:basedOn w:val="1"/>
    <w:qFormat/>
    <w:uiPriority w:val="0"/>
    <w:pPr>
      <w:spacing w:line="360" w:lineRule="auto"/>
      <w:ind w:left="-2" w:leftChars="-1" w:firstLine="425" w:firstLineChars="177"/>
    </w:pPr>
    <w:rPr>
      <w:rFonts w:ascii="仿宋" w:hAnsi="仿宋" w:eastAsia="仿宋"/>
      <w:sz w:val="24"/>
    </w:rPr>
  </w:style>
  <w:style w:type="paragraph" w:customStyle="1" w:styleId="79">
    <w:name w:val="文档正文"/>
    <w:basedOn w:val="1"/>
    <w:qFormat/>
    <w:uiPriority w:val="0"/>
    <w:pPr>
      <w:spacing w:line="480" w:lineRule="atLeast"/>
      <w:ind w:firstLine="567"/>
      <w:textAlignment w:val="baseline"/>
    </w:pPr>
    <w:rPr>
      <w:kern w:val="0"/>
      <w:sz w:val="24"/>
      <w:szCs w:val="20"/>
    </w:rPr>
  </w:style>
  <w:style w:type="paragraph" w:customStyle="1" w:styleId="80">
    <w:name w:val="正常"/>
    <w:qFormat/>
    <w:uiPriority w:val="0"/>
    <w:pPr>
      <w:widowControl w:val="0"/>
      <w:jc w:val="both"/>
    </w:pPr>
    <w:rPr>
      <w:rFonts w:ascii="宋体" w:hAnsi="宋体" w:eastAsia="宋体" w:cs="Times New Roman"/>
      <w:snapToGrid w:val="0"/>
      <w:sz w:val="24"/>
      <w:szCs w:val="24"/>
      <w:lang w:val="en-US" w:eastAsia="zh-CN" w:bidi="ar-SA"/>
    </w:rPr>
  </w:style>
  <w:style w:type="paragraph" w:customStyle="1" w:styleId="81">
    <w:name w:val="首行缩进"/>
    <w:qFormat/>
    <w:uiPriority w:val="0"/>
    <w:pPr>
      <w:widowControl w:val="0"/>
      <w:adjustRightInd w:val="0"/>
      <w:spacing w:line="360" w:lineRule="auto"/>
      <w:ind w:firstLine="480" w:firstLineChars="200"/>
      <w:jc w:val="both"/>
    </w:pPr>
    <w:rPr>
      <w:rFonts w:ascii="宋体" w:hAnsi="Times New Roman" w:eastAsia="宋体" w:cs="Times New Roman"/>
      <w:kern w:val="2"/>
      <w:sz w:val="24"/>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D77298-1B9C-4AA4-83E5-07C83CF8F6CC}">
  <ds:schemaRefs/>
</ds:datastoreItem>
</file>

<file path=docProps/app.xml><?xml version="1.0" encoding="utf-8"?>
<Properties xmlns="http://schemas.openxmlformats.org/officeDocument/2006/extended-properties" xmlns:vt="http://schemas.openxmlformats.org/officeDocument/2006/docPropsVTypes">
  <Template>Normal.dotm</Template>
  <Pages>119</Pages>
  <Words>58645</Words>
  <Characters>61773</Characters>
  <Lines>306</Lines>
  <Paragraphs>86</Paragraphs>
  <TotalTime>43</TotalTime>
  <ScaleCrop>false</ScaleCrop>
  <LinksUpToDate>false</LinksUpToDate>
  <CharactersWithSpaces>67556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2022-06-10T07:30:00Z</dcterms:created>
  <dc:creator>admin</dc:creator>
  <cp:lastModifiedBy>豐</cp:lastModifiedBy>
  <cp:lastPrinted>2022-06-10T09:02:00Z</cp:lastPrinted>
  <dcterms:modified xsi:type="dcterms:W3CDTF">2022-11-20T12:19:56Z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7C7FF7CB622B4EC489D80390DC7C3DAF</vt:lpwstr>
  </property>
</Properties>
</file>