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仿宋" w:hAnsi="仿宋" w:eastAsia="仿宋" w:cs="仿宋"/>
          <w:b/>
          <w:sz w:val="24"/>
        </w:rPr>
      </w:pPr>
    </w:p>
    <w:p>
      <w:pPr>
        <w:adjustRightInd/>
        <w:spacing w:line="360" w:lineRule="auto"/>
        <w:ind w:firstLine="883"/>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河上镇众联村智慧路灯采购项目</w:t>
      </w:r>
    </w:p>
    <w:p>
      <w:pPr>
        <w:adjustRightInd/>
        <w:spacing w:line="360" w:lineRule="auto"/>
        <w:jc w:val="center"/>
        <w:rPr>
          <w:rFonts w:ascii="仿宋" w:hAnsi="仿宋" w:eastAsia="仿宋" w:cs="仿宋"/>
          <w:b/>
          <w:sz w:val="28"/>
          <w:szCs w:val="28"/>
        </w:rPr>
      </w:pPr>
    </w:p>
    <w:p>
      <w:pPr>
        <w:pStyle w:val="2"/>
        <w:rPr>
          <w:rFonts w:ascii="仿宋" w:hAnsi="仿宋" w:eastAsia="仿宋" w:cs="仿宋"/>
        </w:rPr>
      </w:pPr>
    </w:p>
    <w:p>
      <w:pPr>
        <w:adjustRightInd/>
        <w:spacing w:line="360" w:lineRule="auto"/>
        <w:jc w:val="center"/>
        <w:rPr>
          <w:rFonts w:ascii="仿宋" w:hAnsi="仿宋" w:eastAsia="仿宋" w:cs="仿宋"/>
          <w:b/>
          <w:sz w:val="28"/>
          <w:szCs w:val="28"/>
        </w:rPr>
      </w:pPr>
    </w:p>
    <w:p>
      <w:pPr>
        <w:adjustRightInd/>
        <w:spacing w:line="360" w:lineRule="auto"/>
        <w:jc w:val="center"/>
        <w:rPr>
          <w:rFonts w:ascii="仿宋" w:hAnsi="仿宋" w:eastAsia="仿宋" w:cs="仿宋"/>
          <w:b/>
          <w:sz w:val="28"/>
          <w:szCs w:val="28"/>
        </w:rPr>
      </w:pPr>
      <w:r>
        <w:rPr>
          <w:rFonts w:hint="eastAsia" w:ascii="仿宋" w:hAnsi="仿宋" w:eastAsia="仿宋" w:cs="仿宋"/>
          <w:b/>
          <w:sz w:val="28"/>
          <w:szCs w:val="28"/>
        </w:rPr>
        <w:t>招标文件</w:t>
      </w:r>
      <w:r>
        <w:rPr>
          <w:rFonts w:hint="eastAsia" w:ascii="仿宋" w:hAnsi="仿宋" w:eastAsia="仿宋" w:cs="仿宋"/>
          <w:b/>
          <w:sz w:val="28"/>
          <w:szCs w:val="28"/>
        </w:rPr>
        <w:br w:type="textWrapping"/>
      </w:r>
      <w:r>
        <w:rPr>
          <w:rFonts w:hint="eastAsia" w:ascii="仿宋" w:hAnsi="仿宋" w:eastAsia="仿宋" w:cs="仿宋"/>
          <w:b/>
          <w:sz w:val="28"/>
          <w:szCs w:val="28"/>
        </w:rPr>
        <w:t>（电子招投标）</w:t>
      </w:r>
    </w:p>
    <w:p>
      <w:pPr>
        <w:spacing w:line="360" w:lineRule="auto"/>
        <w:ind w:firstLine="482"/>
        <w:jc w:val="center"/>
        <w:rPr>
          <w:rFonts w:ascii="仿宋" w:hAnsi="仿宋" w:eastAsia="仿宋" w:cs="仿宋"/>
          <w:b/>
          <w:sz w:val="28"/>
          <w:szCs w:val="28"/>
        </w:rPr>
      </w:pPr>
    </w:p>
    <w:p>
      <w:pPr>
        <w:pStyle w:val="2"/>
        <w:jc w:val="center"/>
        <w:rPr>
          <w:rFonts w:ascii="仿宋" w:hAnsi="仿宋" w:eastAsia="仿宋" w:cs="仿宋"/>
        </w:rPr>
      </w:pPr>
    </w:p>
    <w:p>
      <w:pPr>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编号:HSZ-2022080</w:t>
      </w:r>
      <w:r>
        <w:rPr>
          <w:rFonts w:hint="eastAsia" w:ascii="仿宋" w:hAnsi="仿宋" w:eastAsia="仿宋" w:cs="仿宋"/>
          <w:sz w:val="28"/>
          <w:szCs w:val="28"/>
          <w:lang w:val="en-US" w:eastAsia="zh-CN"/>
        </w:rPr>
        <w:t>3</w:t>
      </w:r>
    </w:p>
    <w:p>
      <w:pPr>
        <w:snapToGrid w:val="0"/>
        <w:spacing w:line="360" w:lineRule="auto"/>
        <w:jc w:val="center"/>
        <w:rPr>
          <w:rFonts w:ascii="仿宋" w:hAnsi="仿宋" w:eastAsia="仿宋" w:cs="仿宋"/>
          <w:sz w:val="28"/>
          <w:szCs w:val="28"/>
        </w:rPr>
      </w:pPr>
    </w:p>
    <w:p>
      <w:pPr>
        <w:spacing w:line="360" w:lineRule="auto"/>
        <w:ind w:firstLine="480"/>
        <w:jc w:val="center"/>
        <w:rPr>
          <w:rFonts w:ascii="仿宋" w:hAnsi="仿宋" w:eastAsia="仿宋" w:cs="仿宋"/>
          <w:sz w:val="28"/>
          <w:szCs w:val="28"/>
        </w:rPr>
      </w:pPr>
    </w:p>
    <w:p>
      <w:pPr>
        <w:pStyle w:val="2"/>
        <w:rPr>
          <w:rFonts w:ascii="仿宋" w:hAnsi="仿宋" w:eastAsia="仿宋" w:cs="仿宋"/>
        </w:rPr>
      </w:pPr>
    </w:p>
    <w:p>
      <w:pPr>
        <w:spacing w:line="360" w:lineRule="auto"/>
        <w:ind w:firstLine="480"/>
        <w:jc w:val="center"/>
        <w:rPr>
          <w:rFonts w:ascii="仿宋" w:hAnsi="仿宋" w:eastAsia="仿宋" w:cs="仿宋"/>
          <w:sz w:val="28"/>
          <w:szCs w:val="28"/>
        </w:rPr>
      </w:pPr>
    </w:p>
    <w:p>
      <w:pPr>
        <w:spacing w:line="360" w:lineRule="auto"/>
        <w:ind w:firstLine="480"/>
        <w:jc w:val="center"/>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360" w:lineRule="auto"/>
        <w:ind w:firstLine="640"/>
        <w:rPr>
          <w:rFonts w:ascii="仿宋" w:hAnsi="仿宋" w:eastAsia="仿宋" w:cs="仿宋"/>
          <w:sz w:val="28"/>
          <w:szCs w:val="28"/>
        </w:rPr>
      </w:pPr>
    </w:p>
    <w:p>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杭州萧山河上众联股份经济联合社</w:t>
      </w:r>
    </w:p>
    <w:p>
      <w:pPr>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浙江经济建设投资咨询中心有限公司</w:t>
      </w:r>
    </w:p>
    <w:p>
      <w:pPr>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2022年0</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03</w:t>
      </w:r>
      <w:r>
        <w:rPr>
          <w:rFonts w:hint="eastAsia" w:ascii="仿宋" w:hAnsi="仿宋" w:eastAsia="仿宋" w:cs="仿宋"/>
          <w:bCs/>
          <w:sz w:val="28"/>
          <w:szCs w:val="28"/>
        </w:rPr>
        <w:t>日</w:t>
      </w:r>
    </w:p>
    <w:p>
      <w:pPr>
        <w:snapToGrid w:val="0"/>
        <w:spacing w:line="360" w:lineRule="auto"/>
        <w:ind w:firstLine="640"/>
        <w:jc w:val="center"/>
        <w:rPr>
          <w:rFonts w:ascii="仿宋" w:hAnsi="仿宋" w:eastAsia="仿宋" w:cs="仿宋"/>
          <w:bCs/>
          <w:sz w:val="24"/>
        </w:rPr>
      </w:pPr>
    </w:p>
    <w:p>
      <w:pPr>
        <w:snapToGrid w:val="0"/>
        <w:spacing w:line="360" w:lineRule="auto"/>
        <w:ind w:firstLine="640"/>
        <w:jc w:val="center"/>
        <w:rPr>
          <w:rFonts w:ascii="仿宋" w:hAnsi="仿宋" w:eastAsia="仿宋" w:cs="仿宋"/>
          <w:bCs/>
          <w:sz w:val="24"/>
        </w:rPr>
      </w:pPr>
    </w:p>
    <w:p>
      <w:pPr>
        <w:spacing w:line="360" w:lineRule="auto"/>
        <w:ind w:firstLine="480"/>
        <w:jc w:val="center"/>
        <w:rPr>
          <w:rFonts w:ascii="仿宋" w:hAnsi="仿宋" w:eastAsia="仿宋" w:cs="仿宋"/>
          <w:sz w:val="24"/>
        </w:rPr>
      </w:pPr>
    </w:p>
    <w:p>
      <w:pPr>
        <w:spacing w:line="360" w:lineRule="auto"/>
        <w:ind w:firstLine="480"/>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ind w:firstLine="480"/>
        <w:jc w:val="center"/>
        <w:rPr>
          <w:rFonts w:ascii="仿宋" w:hAnsi="仿宋" w:eastAsia="仿宋" w:cs="仿宋"/>
          <w:sz w:val="24"/>
        </w:rPr>
      </w:pPr>
    </w:p>
    <w:p>
      <w:pPr>
        <w:spacing w:line="360" w:lineRule="auto"/>
        <w:ind w:firstLine="964"/>
        <w:jc w:val="center"/>
        <w:rPr>
          <w:rFonts w:ascii="仿宋" w:hAnsi="仿宋" w:eastAsia="仿宋" w:cs="仿宋"/>
          <w:b/>
          <w:sz w:val="24"/>
        </w:rPr>
      </w:pPr>
      <w:r>
        <w:rPr>
          <w:rFonts w:hint="eastAsia" w:ascii="仿宋" w:hAnsi="仿宋" w:eastAsia="仿宋" w:cs="仿宋"/>
          <w:b/>
          <w:sz w:val="24"/>
        </w:rPr>
        <w:t>目  录</w:t>
      </w:r>
    </w:p>
    <w:p>
      <w:pPr>
        <w:spacing w:line="360" w:lineRule="auto"/>
        <w:ind w:firstLine="640"/>
        <w:rPr>
          <w:rFonts w:ascii="仿宋" w:hAnsi="仿宋" w:eastAsia="仿宋" w:cs="仿宋"/>
          <w:sz w:val="24"/>
        </w:rPr>
      </w:pPr>
    </w:p>
    <w:p>
      <w:pPr>
        <w:spacing w:line="360" w:lineRule="auto"/>
        <w:ind w:firstLine="640"/>
        <w:rPr>
          <w:rFonts w:ascii="仿宋" w:hAnsi="仿宋" w:eastAsia="仿宋" w:cs="仿宋"/>
          <w:sz w:val="24"/>
        </w:rPr>
      </w:pPr>
    </w:p>
    <w:p>
      <w:pPr>
        <w:spacing w:line="360" w:lineRule="auto"/>
        <w:ind w:firstLine="960" w:firstLineChars="400"/>
        <w:rPr>
          <w:rFonts w:ascii="仿宋" w:hAnsi="仿宋" w:eastAsia="仿宋" w:cs="仿宋"/>
          <w:sz w:val="24"/>
        </w:rPr>
      </w:pPr>
      <w:r>
        <w:rPr>
          <w:rFonts w:hint="eastAsia" w:ascii="仿宋" w:hAnsi="仿宋" w:eastAsia="仿宋" w:cs="仿宋"/>
          <w:sz w:val="24"/>
        </w:rPr>
        <w:t>第一部分      招标公告</w:t>
      </w:r>
    </w:p>
    <w:p>
      <w:pPr>
        <w:spacing w:line="360" w:lineRule="auto"/>
        <w:ind w:firstLine="960" w:firstLineChars="400"/>
        <w:rPr>
          <w:rFonts w:ascii="仿宋" w:hAnsi="仿宋" w:eastAsia="仿宋" w:cs="仿宋"/>
          <w:sz w:val="24"/>
        </w:rPr>
      </w:pPr>
      <w:r>
        <w:rPr>
          <w:rFonts w:hint="eastAsia" w:ascii="仿宋" w:hAnsi="仿宋" w:eastAsia="仿宋" w:cs="仿宋"/>
          <w:sz w:val="24"/>
        </w:rPr>
        <w:t>第二部分      投标人须知</w:t>
      </w:r>
    </w:p>
    <w:p>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pPr>
        <w:spacing w:line="360" w:lineRule="auto"/>
        <w:ind w:firstLine="960" w:firstLineChars="400"/>
        <w:rPr>
          <w:rFonts w:ascii="仿宋" w:hAnsi="仿宋" w:eastAsia="仿宋" w:cs="仿宋"/>
          <w:sz w:val="24"/>
        </w:rPr>
      </w:pPr>
      <w:r>
        <w:rPr>
          <w:rFonts w:hint="eastAsia" w:ascii="仿宋" w:hAnsi="仿宋" w:eastAsia="仿宋" w:cs="仿宋"/>
          <w:sz w:val="24"/>
        </w:rPr>
        <w:t>第四部分      评标方法及评分标准</w:t>
      </w:r>
    </w:p>
    <w:p>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480"/>
        <w:rPr>
          <w:rFonts w:ascii="仿宋" w:hAnsi="仿宋" w:eastAsia="仿宋" w:cs="仿宋"/>
          <w:sz w:val="24"/>
        </w:rPr>
      </w:pPr>
    </w:p>
    <w:p>
      <w:pPr>
        <w:pStyle w:val="3"/>
        <w:ind w:firstLine="723"/>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
          <w:color w:val="auto"/>
        </w:rPr>
        <w:t>第一部分 招标公告</w:t>
      </w:r>
    </w:p>
    <w:p>
      <w:pPr>
        <w:pBdr>
          <w:top w:val="single" w:color="auto" w:sz="4" w:space="1"/>
          <w:left w:val="single" w:color="auto" w:sz="4" w:space="4"/>
          <w:bottom w:val="single" w:color="auto" w:sz="4" w:space="1"/>
          <w:right w:val="single" w:color="auto" w:sz="4" w:space="4"/>
        </w:pBdr>
        <w:ind w:left="840" w:firstLine="48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ind w:left="840" w:firstLine="480"/>
        <w:rPr>
          <w:rFonts w:ascii="仿宋" w:hAnsi="仿宋" w:eastAsia="仿宋" w:cs="仿宋"/>
          <w:sz w:val="24"/>
        </w:rPr>
      </w:pPr>
      <w:r>
        <w:rPr>
          <w:rFonts w:hint="eastAsia" w:ascii="仿宋" w:hAnsi="仿宋" w:eastAsia="仿宋" w:cs="仿宋"/>
          <w:sz w:val="24"/>
          <w:u w:val="single"/>
        </w:rPr>
        <w:t>河上镇众联村智慧路灯采购项目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69"/>
          <w:rFonts w:hint="eastAsia" w:ascii="仿宋" w:hAnsi="仿宋" w:eastAsia="仿宋" w:cs="仿宋"/>
          <w:color w:val="auto"/>
          <w:sz w:val="24"/>
          <w:szCs w:val="24"/>
        </w:rPr>
        <w:t>https://www.zcygov.cn/）获取（下载）招标文件，并于2022年</w:t>
      </w:r>
      <w:r>
        <w:rPr>
          <w:rStyle w:val="69"/>
          <w:rFonts w:hint="eastAsia" w:ascii="仿宋" w:hAnsi="仿宋" w:eastAsia="仿宋" w:cs="仿宋"/>
          <w:color w:val="auto"/>
          <w:sz w:val="24"/>
          <w:szCs w:val="24"/>
        </w:rPr>
        <w:fldChar w:fldCharType="end"/>
      </w:r>
      <w:r>
        <w:rPr>
          <w:rStyle w:val="69"/>
          <w:rFonts w:hint="eastAsia" w:ascii="仿宋" w:hAnsi="仿宋" w:eastAsia="仿宋" w:cs="仿宋"/>
          <w:color w:val="auto"/>
          <w:sz w:val="24"/>
          <w:szCs w:val="24"/>
        </w:rPr>
        <w:t>0</w:t>
      </w:r>
      <w:r>
        <w:rPr>
          <w:rStyle w:val="69"/>
          <w:rFonts w:hint="eastAsia" w:ascii="仿宋" w:hAnsi="仿宋" w:eastAsia="仿宋" w:cs="仿宋"/>
          <w:color w:val="auto"/>
          <w:sz w:val="24"/>
          <w:szCs w:val="24"/>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日  </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递交（上传）投标文件</w:t>
      </w:r>
    </w:p>
    <w:p>
      <w:pPr>
        <w:pStyle w:val="4"/>
        <w:numPr>
          <w:ilvl w:val="0"/>
          <w:numId w:val="0"/>
        </w:numPr>
        <w:rPr>
          <w:color w:val="auto"/>
        </w:rPr>
      </w:pPr>
      <w:bookmarkStart w:id="11" w:name="_Toc28359002"/>
      <w:bookmarkStart w:id="12" w:name="_Toc35393621"/>
      <w:bookmarkStart w:id="13" w:name="_Toc28359079"/>
      <w:bookmarkStart w:id="14" w:name="_Toc35393790"/>
      <w:bookmarkStart w:id="15" w:name="_Hlk24379207"/>
      <w:r>
        <w:rPr>
          <w:rFonts w:hint="eastAsia"/>
          <w:color w:val="auto"/>
        </w:rPr>
        <w:t>一、项目基本情况</w:t>
      </w:r>
      <w:bookmarkEnd w:id="11"/>
      <w:bookmarkEnd w:id="12"/>
      <w:bookmarkEnd w:id="13"/>
      <w:bookmarkEnd w:id="14"/>
    </w:p>
    <w:p>
      <w:pPr>
        <w:spacing w:line="360" w:lineRule="auto"/>
        <w:ind w:left="420" w:leftChars="200" w:firstLine="480"/>
        <w:jc w:val="left"/>
        <w:rPr>
          <w:rFonts w:hint="eastAsia" w:ascii="仿宋" w:hAnsi="仿宋" w:eastAsia="仿宋" w:cs="仿宋"/>
          <w:sz w:val="24"/>
          <w:lang w:eastAsia="zh-CN"/>
        </w:rPr>
      </w:pPr>
      <w:r>
        <w:rPr>
          <w:rFonts w:hint="eastAsia" w:ascii="仿宋" w:hAnsi="仿宋" w:eastAsia="仿宋" w:cs="仿宋"/>
          <w:sz w:val="24"/>
        </w:rPr>
        <w:t>项目编号：HSZ-2022080</w:t>
      </w:r>
      <w:r>
        <w:rPr>
          <w:rFonts w:hint="eastAsia" w:ascii="仿宋" w:hAnsi="仿宋" w:eastAsia="仿宋" w:cs="仿宋"/>
          <w:sz w:val="24"/>
          <w:lang w:val="en-US" w:eastAsia="zh-CN"/>
        </w:rPr>
        <w:t>3</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项目名称：</w:t>
      </w:r>
      <w:bookmarkEnd w:id="15"/>
      <w:r>
        <w:rPr>
          <w:rFonts w:hint="eastAsia" w:ascii="仿宋" w:hAnsi="仿宋" w:eastAsia="仿宋" w:cs="仿宋"/>
          <w:sz w:val="24"/>
        </w:rPr>
        <w:t>河上镇众联村智慧路灯采购项目</w:t>
      </w:r>
    </w:p>
    <w:p>
      <w:pPr>
        <w:spacing w:line="360" w:lineRule="auto"/>
        <w:ind w:left="420" w:leftChars="200" w:firstLine="480"/>
        <w:jc w:val="left"/>
        <w:rPr>
          <w:rFonts w:ascii="仿宋" w:hAnsi="仿宋" w:eastAsia="仿宋" w:cs="仿宋"/>
          <w:color w:val="0000FF"/>
          <w:sz w:val="24"/>
        </w:rPr>
      </w:pPr>
      <w:r>
        <w:rPr>
          <w:rFonts w:hint="eastAsia" w:ascii="仿宋" w:hAnsi="仿宋" w:eastAsia="仿宋" w:cs="仿宋"/>
          <w:sz w:val="24"/>
        </w:rPr>
        <w:t>预算金额：</w:t>
      </w:r>
      <w:r>
        <w:rPr>
          <w:rFonts w:hint="eastAsia" w:ascii="仿宋" w:hAnsi="仿宋" w:eastAsia="仿宋" w:cs="仿宋"/>
          <w:color w:val="0000FF"/>
          <w:sz w:val="24"/>
          <w:lang w:val="en-US" w:eastAsia="zh-CN"/>
        </w:rPr>
        <w:t>55</w:t>
      </w:r>
      <w:r>
        <w:rPr>
          <w:rFonts w:hint="eastAsia" w:ascii="仿宋" w:hAnsi="仿宋" w:eastAsia="仿宋" w:cs="仿宋"/>
          <w:color w:val="0000FF"/>
          <w:sz w:val="24"/>
        </w:rPr>
        <w:t>万元</w:t>
      </w:r>
    </w:p>
    <w:p>
      <w:pPr>
        <w:spacing w:line="360" w:lineRule="auto"/>
        <w:ind w:left="420" w:leftChars="200" w:firstLine="480"/>
        <w:jc w:val="left"/>
        <w:rPr>
          <w:rFonts w:ascii="仿宋" w:hAnsi="仿宋" w:eastAsia="仿宋" w:cs="仿宋"/>
          <w:color w:val="0000FF"/>
          <w:sz w:val="24"/>
        </w:rPr>
      </w:pPr>
      <w:r>
        <w:rPr>
          <w:rFonts w:hint="eastAsia" w:ascii="仿宋" w:hAnsi="仿宋" w:eastAsia="仿宋" w:cs="仿宋"/>
          <w:color w:val="0000FF"/>
          <w:sz w:val="24"/>
        </w:rPr>
        <w:t>最高限价：</w:t>
      </w:r>
      <w:r>
        <w:rPr>
          <w:rFonts w:hint="eastAsia" w:ascii="仿宋" w:hAnsi="仿宋" w:eastAsia="仿宋" w:cs="仿宋"/>
          <w:color w:val="0000FF"/>
          <w:sz w:val="24"/>
          <w:lang w:val="en-US" w:eastAsia="zh-CN"/>
        </w:rPr>
        <w:t>55</w:t>
      </w:r>
      <w:r>
        <w:rPr>
          <w:rFonts w:hint="eastAsia" w:ascii="仿宋" w:hAnsi="仿宋" w:eastAsia="仿宋" w:cs="仿宋"/>
          <w:color w:val="0000FF"/>
          <w:sz w:val="24"/>
        </w:rPr>
        <w:t>万元</w:t>
      </w:r>
    </w:p>
    <w:p>
      <w:pPr>
        <w:spacing w:line="360" w:lineRule="auto"/>
        <w:ind w:left="420" w:leftChars="200" w:firstLine="480"/>
        <w:jc w:val="left"/>
        <w:rPr>
          <w:rFonts w:ascii="仿宋" w:hAnsi="仿宋" w:eastAsia="仿宋" w:cs="仿宋"/>
          <w:b/>
          <w:color w:val="0000FF"/>
          <w:sz w:val="24"/>
        </w:rPr>
      </w:pPr>
      <w:r>
        <w:rPr>
          <w:rFonts w:hint="eastAsia" w:ascii="仿宋" w:hAnsi="仿宋" w:eastAsia="仿宋" w:cs="仿宋"/>
          <w:color w:val="0000FF"/>
          <w:sz w:val="24"/>
        </w:rPr>
        <w:t>采购需求：</w:t>
      </w:r>
      <w:r>
        <w:rPr>
          <w:rFonts w:hint="eastAsia" w:ascii="仿宋" w:hAnsi="仿宋" w:eastAsia="仿宋" w:cs="仿宋"/>
          <w:b/>
          <w:color w:val="0000FF"/>
          <w:sz w:val="24"/>
        </w:rPr>
        <w:t>详见采购需求</w:t>
      </w:r>
    </w:p>
    <w:p>
      <w:pPr>
        <w:spacing w:line="360" w:lineRule="auto"/>
        <w:ind w:left="420" w:leftChars="200" w:firstLine="480"/>
        <w:jc w:val="left"/>
        <w:rPr>
          <w:rFonts w:ascii="仿宋" w:hAnsi="仿宋" w:eastAsia="仿宋" w:cs="仿宋"/>
          <w:color w:val="0000FF"/>
          <w:sz w:val="24"/>
        </w:rPr>
      </w:pPr>
      <w:r>
        <w:rPr>
          <w:rFonts w:hint="eastAsia" w:ascii="仿宋" w:hAnsi="仿宋" w:eastAsia="仿宋" w:cs="仿宋"/>
          <w:color w:val="0000FF"/>
          <w:sz w:val="24"/>
        </w:rPr>
        <w:t>标项名称: 河上镇众联村智慧路灯采购项目</w:t>
      </w:r>
    </w:p>
    <w:p>
      <w:pPr>
        <w:spacing w:line="360" w:lineRule="auto"/>
        <w:ind w:left="420" w:leftChars="200" w:firstLine="480"/>
        <w:jc w:val="left"/>
        <w:rPr>
          <w:rFonts w:ascii="仿宋" w:hAnsi="仿宋" w:eastAsia="仿宋" w:cs="仿宋"/>
          <w:color w:val="0000FF"/>
          <w:sz w:val="24"/>
        </w:rPr>
      </w:pPr>
      <w:r>
        <w:rPr>
          <w:rFonts w:hint="eastAsia" w:ascii="仿宋" w:hAnsi="仿宋" w:eastAsia="仿宋" w:cs="仿宋"/>
          <w:color w:val="0000FF"/>
          <w:sz w:val="24"/>
        </w:rPr>
        <w:t xml:space="preserve">数量: 1  </w:t>
      </w:r>
    </w:p>
    <w:p>
      <w:pPr>
        <w:spacing w:line="360" w:lineRule="auto"/>
        <w:ind w:left="420" w:leftChars="200" w:firstLine="480"/>
        <w:jc w:val="left"/>
        <w:rPr>
          <w:rFonts w:ascii="仿宋" w:hAnsi="仿宋" w:eastAsia="仿宋" w:cs="仿宋"/>
          <w:color w:val="0000FF"/>
          <w:sz w:val="24"/>
        </w:rPr>
      </w:pPr>
      <w:r>
        <w:rPr>
          <w:rFonts w:hint="eastAsia" w:ascii="仿宋" w:hAnsi="仿宋" w:eastAsia="仿宋" w:cs="仿宋"/>
          <w:color w:val="0000FF"/>
          <w:sz w:val="24"/>
        </w:rPr>
        <w:t>预算金额（元）:</w:t>
      </w:r>
      <w:r>
        <w:rPr>
          <w:rFonts w:hint="eastAsia" w:ascii="仿宋" w:hAnsi="仿宋" w:eastAsia="仿宋" w:cs="仿宋"/>
          <w:color w:val="0000FF"/>
          <w:sz w:val="24"/>
          <w:lang w:val="en-US" w:eastAsia="zh-CN"/>
        </w:rPr>
        <w:t>55</w:t>
      </w:r>
      <w:r>
        <w:rPr>
          <w:rFonts w:hint="eastAsia" w:ascii="仿宋" w:hAnsi="仿宋" w:eastAsia="仿宋" w:cs="仿宋"/>
          <w:color w:val="0000FF"/>
          <w:sz w:val="24"/>
        </w:rPr>
        <w:t>万元</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简要规格描述或项目基本概况介绍、用途：</w:t>
      </w:r>
    </w:p>
    <w:p>
      <w:pPr>
        <w:spacing w:line="360" w:lineRule="auto"/>
        <w:ind w:left="420" w:leftChars="200" w:firstLine="480"/>
        <w:jc w:val="left"/>
        <w:rPr>
          <w:rFonts w:ascii="仿宋" w:hAnsi="仿宋" w:eastAsia="仿宋" w:cs="仿宋"/>
          <w:sz w:val="24"/>
          <w:highlight w:val="yellow"/>
        </w:rPr>
      </w:pPr>
      <w:r>
        <w:rPr>
          <w:rFonts w:hint="eastAsia" w:ascii="仿宋" w:hAnsi="仿宋" w:eastAsia="仿宋" w:cs="仿宋"/>
          <w:sz w:val="24"/>
        </w:rPr>
        <w:t>备注：</w:t>
      </w:r>
    </w:p>
    <w:p>
      <w:pPr>
        <w:spacing w:line="360" w:lineRule="auto"/>
        <w:ind w:left="420" w:leftChars="200" w:firstLine="480"/>
        <w:jc w:val="left"/>
        <w:rPr>
          <w:rFonts w:ascii="仿宋" w:hAnsi="仿宋" w:eastAsia="仿宋" w:cs="仿宋"/>
          <w:sz w:val="24"/>
        </w:rPr>
      </w:pPr>
      <w:r>
        <w:rPr>
          <w:rFonts w:hint="eastAsia" w:ascii="仿宋" w:hAnsi="仿宋" w:eastAsia="仿宋" w:cs="仿宋"/>
          <w:b/>
          <w:sz w:val="24"/>
        </w:rPr>
        <w:t>合同履约期限：</w:t>
      </w:r>
      <w:r>
        <w:rPr>
          <w:rFonts w:hint="eastAsia" w:ascii="仿宋" w:hAnsi="仿宋" w:eastAsia="仿宋" w:cs="仿宋"/>
          <w:sz w:val="24"/>
        </w:rPr>
        <w:t>详见采购需求</w:t>
      </w:r>
    </w:p>
    <w:p>
      <w:pPr>
        <w:spacing w:line="360" w:lineRule="auto"/>
        <w:ind w:left="420" w:leftChars="200" w:firstLine="480"/>
        <w:jc w:val="left"/>
        <w:rPr>
          <w:rFonts w:ascii="仿宋" w:hAnsi="仿宋" w:eastAsia="仿宋" w:cs="仿宋"/>
          <w:b/>
          <w:sz w:val="24"/>
        </w:rPr>
      </w:pPr>
      <w:r>
        <w:rPr>
          <w:rFonts w:hint="eastAsia" w:ascii="仿宋" w:hAnsi="仿宋" w:eastAsia="仿宋" w:cs="仿宋"/>
          <w:b/>
          <w:sz w:val="24"/>
        </w:rPr>
        <w:t xml:space="preserve">本项目是否接受联合体投标：（ ）是；（√）否 </w:t>
      </w:r>
    </w:p>
    <w:p>
      <w:pPr>
        <w:pStyle w:val="4"/>
        <w:numPr>
          <w:ilvl w:val="0"/>
          <w:numId w:val="0"/>
        </w:numPr>
        <w:rPr>
          <w:color w:val="auto"/>
        </w:rPr>
      </w:pPr>
      <w:r>
        <w:rPr>
          <w:rFonts w:hint="eastAsia"/>
          <w:color w:val="auto"/>
        </w:rPr>
        <w:t>二、</w:t>
      </w:r>
      <w:bookmarkStart w:id="16" w:name="_Toc35393791"/>
      <w:bookmarkStart w:id="17" w:name="_Toc35393622"/>
      <w:bookmarkStart w:id="18" w:name="_Toc28359080"/>
      <w:bookmarkStart w:id="19" w:name="_Toc28359003"/>
      <w:r>
        <w:rPr>
          <w:rFonts w:hint="eastAsia"/>
          <w:color w:val="auto"/>
        </w:rPr>
        <w:t>申请人的资格要求：</w:t>
      </w:r>
      <w:bookmarkEnd w:id="16"/>
      <w:bookmarkEnd w:id="17"/>
      <w:bookmarkEnd w:id="18"/>
      <w:bookmarkEnd w:id="19"/>
    </w:p>
    <w:p>
      <w:pPr>
        <w:spacing w:line="360" w:lineRule="auto"/>
        <w:ind w:firstLine="480" w:firstLineChars="200"/>
        <w:rPr>
          <w:rFonts w:ascii="仿宋" w:hAnsi="仿宋" w:eastAsia="仿宋" w:cs="仿宋"/>
          <w:sz w:val="24"/>
        </w:rPr>
      </w:pPr>
      <w:bookmarkStart w:id="20" w:name="_Toc35393623"/>
      <w:bookmarkStart w:id="21" w:name="_Toc35393792"/>
      <w:bookmarkStart w:id="22" w:name="_Toc28359004"/>
      <w:bookmarkStart w:id="23" w:name="_Toc28359081"/>
      <w:r>
        <w:rPr>
          <w:rFonts w:hint="eastAsia" w:ascii="仿宋" w:hAnsi="仿宋" w:eastAsia="仿宋" w:cs="仿宋"/>
          <w:sz w:val="24"/>
        </w:rPr>
        <w:t>1.满足《中华人民共和国政府采购法》第二十二条规定；</w:t>
      </w:r>
    </w:p>
    <w:p>
      <w:pPr>
        <w:pStyle w:val="4"/>
        <w:numPr>
          <w:ilvl w:val="0"/>
          <w:numId w:val="0"/>
        </w:numPr>
        <w:ind w:left="432"/>
        <w:rPr>
          <w:color w:val="auto"/>
          <w:sz w:val="24"/>
          <w:szCs w:val="24"/>
        </w:rPr>
      </w:pPr>
      <w:r>
        <w:rPr>
          <w:rFonts w:hint="eastAsia"/>
          <w:color w:val="auto"/>
          <w:sz w:val="24"/>
          <w:szCs w:val="24"/>
        </w:rPr>
        <w:t>2.单位负责人为同一人或者存在直接控股、管理关系的不同供应商，不得参加同一合同项下的政府采购活动。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3.落实政府采购政策需满足的资格要求：</w:t>
      </w:r>
      <w:r>
        <w:rPr>
          <w:rFonts w:hint="eastAsia" w:ascii="仿宋" w:hAnsi="仿宋" w:eastAsia="仿宋" w:cs="仿宋"/>
          <w:b/>
          <w:sz w:val="24"/>
        </w:rPr>
        <w:t>（√）</w:t>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pStyle w:val="4"/>
        <w:numPr>
          <w:ilvl w:val="0"/>
          <w:numId w:val="0"/>
        </w:numPr>
        <w:rPr>
          <w:color w:val="auto"/>
        </w:rPr>
      </w:pPr>
      <w:r>
        <w:rPr>
          <w:rFonts w:hint="eastAsia"/>
          <w:color w:val="auto"/>
        </w:rPr>
        <w:t>三、获取招标文件</w:t>
      </w:r>
      <w:bookmarkEnd w:id="20"/>
      <w:bookmarkEnd w:id="21"/>
      <w:bookmarkEnd w:id="22"/>
      <w:bookmarkEnd w:id="23"/>
    </w:p>
    <w:p>
      <w:pPr>
        <w:spacing w:line="360" w:lineRule="auto"/>
        <w:ind w:firstLine="482" w:firstLineChars="200"/>
        <w:rPr>
          <w:rFonts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4"/>
        <w:numPr>
          <w:ilvl w:val="0"/>
          <w:numId w:val="0"/>
        </w:numPr>
        <w:rPr>
          <w:color w:val="auto"/>
        </w:rPr>
      </w:pPr>
      <w:r>
        <w:rPr>
          <w:rFonts w:hint="eastAsia"/>
          <w:color w:val="auto"/>
        </w:rPr>
        <w:t>四、提交投标文件</w:t>
      </w:r>
      <w:bookmarkEnd w:id="24"/>
      <w:bookmarkEnd w:id="25"/>
      <w:r>
        <w:rPr>
          <w:rFonts w:hint="eastAsia"/>
          <w:color w:val="auto"/>
        </w:rPr>
        <w:t>截止时间、开标时间和地点</w:t>
      </w:r>
      <w:bookmarkEnd w:id="26"/>
      <w:bookmarkEnd w:id="27"/>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2022年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点</w:t>
      </w:r>
      <w:r>
        <w:rPr>
          <w:rFonts w:hint="eastAsia" w:ascii="仿宋" w:hAnsi="仿宋" w:eastAsia="仿宋" w:cs="仿宋"/>
          <w:sz w:val="24"/>
          <w:lang w:val="en-US" w:eastAsia="zh-CN"/>
        </w:rPr>
        <w:t>30</w:t>
      </w:r>
      <w:r>
        <w:rPr>
          <w:rFonts w:hint="eastAsia" w:ascii="仿宋" w:hAnsi="仿宋" w:eastAsia="仿宋" w:cs="仿宋"/>
          <w:sz w:val="24"/>
        </w:rPr>
        <w:t>分</w:t>
      </w:r>
      <w:r>
        <w:rPr>
          <w:rFonts w:hint="eastAsia" w:ascii="仿宋" w:hAnsi="仿宋" w:eastAsia="仿宋" w:cs="仿宋"/>
          <w:sz w:val="24"/>
          <w:lang w:val="en-US" w:eastAsia="zh-CN"/>
        </w:rPr>
        <w:t>00</w:t>
      </w:r>
      <w:r>
        <w:rPr>
          <w:rFonts w:hint="eastAsia" w:ascii="仿宋" w:hAnsi="仿宋" w:eastAsia="仿宋" w:cs="仿宋"/>
          <w:sz w:val="24"/>
        </w:rPr>
        <w:t>秒（北京时间）</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rPr>
        <w:t>2022年0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日9点30分00秒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政采云平台网上递交</w:t>
      </w:r>
    </w:p>
    <w:p>
      <w:pPr>
        <w:pStyle w:val="4"/>
        <w:numPr>
          <w:ilvl w:val="0"/>
          <w:numId w:val="0"/>
        </w:numPr>
        <w:rPr>
          <w:color w:val="auto"/>
        </w:rPr>
      </w:pPr>
      <w:bookmarkStart w:id="28" w:name="_Toc35393794"/>
      <w:bookmarkStart w:id="29" w:name="_Toc28359007"/>
      <w:bookmarkStart w:id="30" w:name="_Toc28359084"/>
      <w:bookmarkStart w:id="31" w:name="_Toc35393625"/>
      <w:r>
        <w:rPr>
          <w:rFonts w:hint="eastAsia"/>
          <w:color w:val="auto"/>
        </w:rPr>
        <w:t>五、公告期限</w:t>
      </w:r>
      <w:bookmarkEnd w:id="28"/>
      <w:bookmarkEnd w:id="29"/>
      <w:bookmarkEnd w:id="30"/>
      <w:bookmarkEnd w:id="31"/>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pPr>
        <w:pStyle w:val="4"/>
        <w:numPr>
          <w:ilvl w:val="0"/>
          <w:numId w:val="0"/>
        </w:numPr>
        <w:rPr>
          <w:color w:val="auto"/>
        </w:rPr>
      </w:pPr>
      <w:bookmarkStart w:id="32" w:name="_Toc35393795"/>
      <w:bookmarkStart w:id="33" w:name="_Toc35393626"/>
      <w:r>
        <w:rPr>
          <w:rFonts w:hint="eastAsia"/>
          <w:color w:val="auto"/>
        </w:rPr>
        <w:t>六、其他补充事宜</w:t>
      </w:r>
      <w:bookmarkEnd w:id="32"/>
      <w:bookmarkEnd w:id="33"/>
    </w:p>
    <w:p>
      <w:pPr>
        <w:spacing w:line="360" w:lineRule="auto"/>
        <w:ind w:firstLine="480" w:firstLineChars="200"/>
        <w:rPr>
          <w:rFonts w:ascii="仿宋" w:hAnsi="仿宋" w:eastAsia="仿宋" w:cs="仿宋"/>
          <w:sz w:val="24"/>
        </w:rPr>
      </w:pPr>
      <w:bookmarkStart w:id="34" w:name="_Toc28359008"/>
      <w:bookmarkStart w:id="35" w:name="_Toc35393627"/>
      <w:bookmarkStart w:id="36" w:name="_Toc28359085"/>
      <w:bookmarkStart w:id="37" w:name="_Toc35393796"/>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 需要落实的政府采购政策：无。</w:t>
      </w:r>
    </w:p>
    <w:p>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备份投标文件的制作、存储、密封详见招标文件第二部分。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4"/>
        <w:numPr>
          <w:ilvl w:val="0"/>
          <w:numId w:val="0"/>
        </w:numPr>
        <w:rPr>
          <w:color w:val="auto"/>
        </w:rPr>
      </w:pPr>
      <w:r>
        <w:rPr>
          <w:rFonts w:hint="eastAsia"/>
          <w:color w:val="auto"/>
        </w:rPr>
        <w:t>七、对本次招标提出询问，请按以下方式联系。</w:t>
      </w:r>
      <w:bookmarkEnd w:id="34"/>
      <w:bookmarkEnd w:id="35"/>
      <w:bookmarkEnd w:id="36"/>
      <w:bookmarkEnd w:id="37"/>
    </w:p>
    <w:p>
      <w:pPr>
        <w:widowControl/>
        <w:spacing w:line="360" w:lineRule="auto"/>
        <w:ind w:firstLine="480"/>
        <w:jc w:val="left"/>
        <w:rPr>
          <w:rFonts w:ascii="仿宋" w:hAnsi="仿宋" w:eastAsia="仿宋" w:cs="仿宋"/>
          <w:sz w:val="24"/>
        </w:rPr>
      </w:pPr>
      <w:r>
        <w:rPr>
          <w:rFonts w:hint="eastAsia" w:ascii="仿宋" w:hAnsi="仿宋" w:eastAsia="仿宋" w:cs="仿宋"/>
          <w:sz w:val="24"/>
        </w:rPr>
        <w:t>1.采购人信息</w:t>
      </w:r>
    </w:p>
    <w:p>
      <w:pPr>
        <w:spacing w:line="360" w:lineRule="auto"/>
        <w:ind w:firstLine="420" w:firstLineChars="175"/>
        <w:jc w:val="left"/>
        <w:rPr>
          <w:rFonts w:ascii="仿宋" w:hAnsi="仿宋" w:eastAsia="仿宋" w:cs="仿宋"/>
          <w:sz w:val="24"/>
        </w:rPr>
      </w:pPr>
      <w:bookmarkStart w:id="38" w:name="_Toc28359086"/>
      <w:bookmarkStart w:id="39" w:name="_Toc28359009"/>
      <w:r>
        <w:rPr>
          <w:rFonts w:hint="eastAsia" w:ascii="仿宋" w:hAnsi="仿宋" w:eastAsia="仿宋" w:cs="仿宋"/>
          <w:sz w:val="24"/>
        </w:rPr>
        <w:t>名 称：杭州萧山河上众联股份经济联合社</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地址：杭州萧山河上众联股份经济联合社</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传真：/</w:t>
      </w:r>
    </w:p>
    <w:p>
      <w:pPr>
        <w:spacing w:line="360" w:lineRule="auto"/>
        <w:ind w:firstLine="420" w:firstLineChars="175"/>
        <w:jc w:val="left"/>
        <w:rPr>
          <w:rFonts w:ascii="仿宋" w:hAnsi="仿宋" w:eastAsia="仿宋" w:cs="仿宋"/>
          <w:sz w:val="24"/>
          <w:szCs w:val="28"/>
        </w:rPr>
      </w:pPr>
      <w:r>
        <w:rPr>
          <w:rFonts w:hint="eastAsia" w:ascii="仿宋" w:hAnsi="仿宋" w:eastAsia="仿宋" w:cs="仿宋"/>
          <w:sz w:val="24"/>
        </w:rPr>
        <w:t>项目联系人：俞伟达</w:t>
      </w:r>
    </w:p>
    <w:p>
      <w:pPr>
        <w:spacing w:line="360" w:lineRule="auto"/>
        <w:ind w:firstLine="420" w:firstLineChars="175"/>
        <w:jc w:val="left"/>
        <w:rPr>
          <w:rFonts w:ascii="仿宋" w:hAnsi="仿宋" w:eastAsia="仿宋" w:cs="仿宋"/>
          <w:sz w:val="24"/>
          <w:szCs w:val="28"/>
        </w:rPr>
      </w:pPr>
      <w:r>
        <w:rPr>
          <w:rFonts w:hint="eastAsia" w:ascii="仿宋" w:hAnsi="仿宋" w:eastAsia="仿宋" w:cs="仿宋"/>
          <w:sz w:val="24"/>
          <w:szCs w:val="28"/>
        </w:rPr>
        <w:t>项目联系方式：</w:t>
      </w:r>
      <w:r>
        <w:rPr>
          <w:rFonts w:hint="eastAsia" w:ascii="仿宋" w:hAnsi="仿宋" w:eastAsia="仿宋" w:cs="仿宋"/>
          <w:color w:val="000000"/>
          <w:sz w:val="24"/>
        </w:rPr>
        <w:t>13906713175</w:t>
      </w:r>
    </w:p>
    <w:p>
      <w:pPr>
        <w:spacing w:line="360" w:lineRule="auto"/>
        <w:ind w:firstLine="420" w:firstLineChars="175"/>
        <w:jc w:val="left"/>
        <w:rPr>
          <w:rFonts w:ascii="仿宋" w:hAnsi="仿宋" w:eastAsia="仿宋" w:cs="仿宋"/>
          <w:sz w:val="24"/>
        </w:rPr>
      </w:pPr>
    </w:p>
    <w:p>
      <w:pPr>
        <w:spacing w:line="360" w:lineRule="auto"/>
        <w:ind w:firstLine="480"/>
        <w:jc w:val="left"/>
        <w:rPr>
          <w:rFonts w:ascii="仿宋" w:hAnsi="仿宋" w:eastAsia="仿宋" w:cs="仿宋"/>
          <w:sz w:val="24"/>
        </w:rPr>
      </w:pPr>
      <w:r>
        <w:rPr>
          <w:rFonts w:hint="eastAsia" w:ascii="仿宋" w:hAnsi="仿宋" w:eastAsia="仿宋" w:cs="仿宋"/>
          <w:sz w:val="24"/>
        </w:rPr>
        <w:t>2.采购代理机构信息</w:t>
      </w:r>
      <w:bookmarkEnd w:id="38"/>
      <w:bookmarkEnd w:id="39"/>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名 称：浙江经济建设投资咨询中心有限公司</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地址：杭州市萧山区浙江民营企业发展大厦A座12楼</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传真：/</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项目联系人：</w:t>
      </w:r>
      <w:r>
        <w:rPr>
          <w:rFonts w:hint="eastAsia" w:ascii="仿宋" w:hAnsi="仿宋" w:eastAsia="仿宋" w:cs="仿宋"/>
          <w:color w:val="000000"/>
          <w:sz w:val="24"/>
        </w:rPr>
        <w:t>高杰</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项目联系方式：</w:t>
      </w:r>
      <w:r>
        <w:rPr>
          <w:rFonts w:hint="eastAsia" w:ascii="仿宋" w:hAnsi="仿宋" w:eastAsia="仿宋" w:cs="仿宋"/>
          <w:color w:val="000000"/>
          <w:sz w:val="24"/>
        </w:rPr>
        <w:t>13867138864</w:t>
      </w:r>
    </w:p>
    <w:p>
      <w:pPr>
        <w:spacing w:line="360" w:lineRule="auto"/>
        <w:ind w:firstLine="480"/>
        <w:jc w:val="left"/>
        <w:rPr>
          <w:rFonts w:ascii="仿宋" w:hAnsi="仿宋" w:eastAsia="仿宋" w:cs="仿宋"/>
          <w:sz w:val="24"/>
        </w:rPr>
      </w:pPr>
      <w:r>
        <w:rPr>
          <w:rFonts w:hint="eastAsia" w:ascii="仿宋" w:hAnsi="仿宋" w:eastAsia="仿宋" w:cs="仿宋"/>
          <w:sz w:val="24"/>
        </w:rPr>
        <w:t>   </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57"/>
        <w:ind w:firstLine="482"/>
        <w:jc w:val="both"/>
        <w:rPr>
          <w:rFonts w:ascii="仿宋" w:hAnsi="仿宋" w:eastAsia="仿宋" w:cs="仿宋"/>
          <w:lang w:val="en-US"/>
        </w:rPr>
      </w:pPr>
    </w:p>
    <w:p>
      <w:pPr>
        <w:pStyle w:val="3"/>
        <w:ind w:firstLine="723"/>
        <w:rPr>
          <w:rFonts w:cs="仿宋"/>
          <w:color w:val="auto"/>
        </w:rPr>
      </w:pPr>
      <w:r>
        <w:rPr>
          <w:rFonts w:hint="eastAsia" w:cs="仿宋"/>
          <w:color w:val="auto"/>
        </w:rPr>
        <w:br w:type="page"/>
      </w:r>
      <w:r>
        <w:rPr>
          <w:rFonts w:hint="eastAsia" w:cs="仿宋"/>
          <w:color w:val="auto"/>
        </w:rPr>
        <w:t>第二部分</w:t>
      </w:r>
      <w:bookmarkEnd w:id="8"/>
      <w:r>
        <w:rPr>
          <w:rFonts w:hint="eastAsia" w:cs="仿宋"/>
          <w:color w:val="auto"/>
        </w:rPr>
        <w:t xml:space="preserve"> 投标人须知</w:t>
      </w:r>
      <w:bookmarkEnd w:id="9"/>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事项</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ind w:firstLine="482"/>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报价要求</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有关本项目开展所需的</w:t>
            </w:r>
            <w:r>
              <w:rPr>
                <w:rFonts w:hint="eastAsia" w:ascii="仿宋" w:hAnsi="仿宋" w:eastAsia="仿宋" w:cs="仿宋"/>
                <w:sz w:val="24"/>
              </w:rPr>
              <w:t>所有</w:t>
            </w:r>
            <w:r>
              <w:rPr>
                <w:rFonts w:hint="eastAsia" w:ascii="仿宋" w:hAnsi="仿宋" w:eastAsia="仿宋" w:cs="仿宋"/>
                <w:kern w:val="0"/>
                <w:sz w:val="24"/>
                <w:lang w:val="zh-CN"/>
              </w:rPr>
              <w:t>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jc w:val="lef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sz w:val="24"/>
              </w:rPr>
              <w:t>▲《投标（开标）一览表》填写不完整或字迹不能辨认或有漏项的；</w:t>
            </w:r>
          </w:p>
          <w:p>
            <w:pPr>
              <w:spacing w:line="360" w:lineRule="auto"/>
              <w:jc w:val="left"/>
              <w:rPr>
                <w:rFonts w:ascii="仿宋" w:hAnsi="仿宋" w:eastAsia="仿宋" w:cs="仿宋"/>
                <w:b/>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kern w:val="0"/>
                <w:sz w:val="24"/>
              </w:rPr>
              <w:t>▲资格文件、商务技术文件与报价文件未分开制作</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分包或转包</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仿宋" w:hAnsi="仿宋" w:eastAsia="仿宋" w:cs="仿宋"/>
                <w:sz w:val="24"/>
              </w:rPr>
            </w:pPr>
          </w:p>
          <w:p>
            <w:pPr>
              <w:snapToGrid w:val="0"/>
              <w:ind w:firstLine="48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投标人应当提供的资格、资信证明等文件</w:t>
            </w:r>
          </w:p>
        </w:tc>
        <w:tc>
          <w:tcPr>
            <w:tcW w:w="630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见招标文件第二部分11.1。</w:t>
            </w:r>
          </w:p>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开标前答疑会或现场考察</w:t>
            </w:r>
          </w:p>
        </w:tc>
        <w:tc>
          <w:tcPr>
            <w:tcW w:w="630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样品提供</w:t>
            </w:r>
          </w:p>
        </w:tc>
        <w:tc>
          <w:tcPr>
            <w:tcW w:w="6309"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Cs/>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投标文件的份数</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line="360" w:lineRule="auto"/>
              <w:rPr>
                <w:rFonts w:ascii="仿宋" w:hAnsi="仿宋" w:eastAsia="仿宋" w:cs="仿宋"/>
                <w:sz w:val="24"/>
              </w:rPr>
            </w:pPr>
            <w:r>
              <w:rPr>
                <w:rFonts w:hint="eastAsia" w:ascii="仿宋" w:hAnsi="仿宋" w:eastAsia="仿宋" w:cs="仿宋"/>
                <w:sz w:val="24"/>
              </w:rPr>
              <w:t>本项目实行电子投标。</w:t>
            </w:r>
          </w:p>
          <w:p>
            <w:pPr>
              <w:pStyle w:val="32"/>
              <w:snapToGrid w:val="0"/>
              <w:spacing w:line="360" w:lineRule="auto"/>
              <w:rPr>
                <w:rFonts w:ascii="仿宋" w:hAnsi="仿宋" w:eastAsia="仿宋" w:cs="仿宋"/>
                <w:sz w:val="24"/>
              </w:rPr>
            </w:pPr>
            <w:r>
              <w:rPr>
                <w:rFonts w:hint="eastAsia" w:ascii="仿宋" w:hAnsi="仿宋" w:eastAsia="仿宋" w:cs="仿宋"/>
                <w:sz w:val="24"/>
              </w:rPr>
              <w:t>供应商应准备电子投标文件参与投标：</w:t>
            </w:r>
          </w:p>
          <w:p>
            <w:pPr>
              <w:pStyle w:val="32"/>
              <w:snapToGrid w:val="0"/>
              <w:spacing w:line="360" w:lineRule="auto"/>
              <w:rPr>
                <w:rFonts w:ascii="仿宋" w:hAnsi="仿宋" w:eastAsia="仿宋" w:cs="仿宋"/>
                <w:sz w:val="24"/>
              </w:rPr>
            </w:pPr>
            <w:r>
              <w:rPr>
                <w:rFonts w:hint="eastAsia" w:ascii="仿宋" w:hAnsi="仿宋" w:eastAsia="仿宋" w:cs="仿宋"/>
                <w:sz w:val="24"/>
              </w:rPr>
              <w:t>（1）电子投标文件，按政采云平台项目采购-电子招投标操作指南及本招标文件要求递交。</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b/>
                <w:sz w:val="24"/>
              </w:rPr>
            </w:pPr>
            <w:r>
              <w:rPr>
                <w:rFonts w:hint="eastAsia" w:ascii="仿宋" w:hAnsi="仿宋" w:eastAsia="仿宋" w:cs="仿宋"/>
                <w:b/>
                <w:sz w:val="24"/>
              </w:rPr>
              <w:t>▲未在系统解密时间内完成解密的，视为投标人自行放弃投标，投标无效。</w:t>
            </w:r>
          </w:p>
          <w:p>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3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FF"/>
                <w:sz w:val="24"/>
              </w:rPr>
            </w:pPr>
            <w:r>
              <w:rPr>
                <w:rFonts w:hint="eastAsia" w:ascii="仿宋" w:hAnsi="仿宋" w:eastAsia="仿宋" w:cs="仿宋"/>
                <w:bCs/>
                <w:sz w:val="24"/>
              </w:rPr>
              <w:t>（√）B要求演示，</w:t>
            </w:r>
          </w:p>
          <w:p>
            <w:pPr>
              <w:spacing w:line="360" w:lineRule="auto"/>
              <w:rPr>
                <w:rFonts w:ascii="仿宋" w:hAnsi="仿宋" w:eastAsia="仿宋" w:cs="仿宋"/>
                <w:color w:val="0000FF"/>
                <w:sz w:val="24"/>
              </w:rPr>
            </w:pPr>
            <w:r>
              <w:rPr>
                <w:rFonts w:hint="eastAsia" w:ascii="仿宋" w:hAnsi="仿宋" w:eastAsia="仿宋" w:cs="仿宋"/>
                <w:color w:val="0000FF"/>
                <w:sz w:val="24"/>
              </w:rPr>
              <w:t>以录屏方式演示。演示内容以U盘形式提供，演示时长不超过15分钟，提交方式如下：</w:t>
            </w:r>
          </w:p>
          <w:p>
            <w:pPr>
              <w:spacing w:line="360" w:lineRule="auto"/>
              <w:rPr>
                <w:rFonts w:ascii="仿宋" w:hAnsi="仿宋" w:eastAsia="仿宋" w:cs="仿宋"/>
                <w:color w:val="0000FF"/>
                <w:sz w:val="24"/>
              </w:rPr>
            </w:pPr>
            <w:r>
              <w:rPr>
                <w:rFonts w:hint="eastAsia" w:ascii="仿宋" w:hAnsi="仿宋" w:eastAsia="仿宋" w:cs="仿宋"/>
                <w:color w:val="0000FF"/>
                <w:sz w:val="24"/>
              </w:rPr>
              <w:t>（一）现场提交</w:t>
            </w:r>
          </w:p>
          <w:p>
            <w:pPr>
              <w:spacing w:line="360" w:lineRule="auto"/>
              <w:rPr>
                <w:rFonts w:ascii="仿宋" w:hAnsi="仿宋" w:eastAsia="仿宋" w:cs="仿宋"/>
                <w:color w:val="0000FF"/>
                <w:sz w:val="24"/>
              </w:rPr>
            </w:pPr>
            <w:r>
              <w:rPr>
                <w:rFonts w:hint="eastAsia" w:ascii="仿宋" w:hAnsi="仿宋" w:eastAsia="仿宋" w:cs="仿宋"/>
                <w:color w:val="0000FF"/>
                <w:sz w:val="24"/>
              </w:rPr>
              <w:t>开标当天8：30分至9：30分，提交演示U盘（需密封，密封袋上需标注项目名称、项目编号、投标人名称并加盖公章）到杭州萧山河上众联股份经济联合社一楼会议室。</w:t>
            </w:r>
          </w:p>
          <w:p>
            <w:pPr>
              <w:spacing w:line="360" w:lineRule="auto"/>
              <w:rPr>
                <w:rFonts w:ascii="仿宋" w:hAnsi="仿宋" w:eastAsia="仿宋" w:cs="仿宋"/>
                <w:color w:val="0000FF"/>
                <w:sz w:val="24"/>
              </w:rPr>
            </w:pPr>
            <w:r>
              <w:rPr>
                <w:rFonts w:hint="eastAsia" w:ascii="仿宋" w:hAnsi="仿宋" w:eastAsia="仿宋" w:cs="仿宋"/>
                <w:color w:val="0000FF"/>
                <w:sz w:val="24"/>
              </w:rPr>
              <w:t>请提交人做好疫情防控，进场时戴好口罩，出示健康码。</w:t>
            </w:r>
          </w:p>
          <w:p>
            <w:pPr>
              <w:spacing w:line="360" w:lineRule="auto"/>
              <w:rPr>
                <w:rFonts w:ascii="仿宋" w:hAnsi="仿宋" w:eastAsia="仿宋" w:cs="仿宋"/>
                <w:color w:val="0000FF"/>
                <w:sz w:val="24"/>
              </w:rPr>
            </w:pPr>
            <w:r>
              <w:rPr>
                <w:rFonts w:hint="eastAsia" w:ascii="仿宋" w:hAnsi="仿宋" w:eastAsia="仿宋" w:cs="仿宋"/>
                <w:color w:val="0000FF"/>
                <w:sz w:val="24"/>
              </w:rPr>
              <w:t>（二）邮寄</w:t>
            </w:r>
          </w:p>
          <w:p>
            <w:pPr>
              <w:spacing w:line="360" w:lineRule="auto"/>
              <w:rPr>
                <w:rFonts w:ascii="仿宋" w:hAnsi="仿宋" w:eastAsia="仿宋" w:cs="仿宋"/>
                <w:color w:val="0000FF"/>
                <w:sz w:val="24"/>
              </w:rPr>
            </w:pPr>
            <w:r>
              <w:rPr>
                <w:rFonts w:hint="eastAsia" w:ascii="仿宋" w:hAnsi="仿宋" w:eastAsia="仿宋" w:cs="仿宋"/>
                <w:color w:val="0000FF"/>
                <w:sz w:val="24"/>
              </w:rPr>
              <w:t>演示内容以U盘形式邮寄，投标人可在投标截止时间前将视频文件装袋密封后邮寄至浙江经济建设投资咨询中心有限公司，密封袋上需标注项目名称、项目编号、投标人名称并加盖公章（地址：杭州市萧山区民营企业大厦A座12楼1201），收件人：高先生，联系电话：13867138864，快递以签收时间为准）。邮寄公司推荐采用EMS或顺丰，快递费用由投标供应商承担，如投标供应商选择快递费到付，机构将拒签并退回，逾期送达或未密封的将被拒收。</w:t>
            </w:r>
          </w:p>
          <w:p>
            <w:pPr>
              <w:spacing w:line="360" w:lineRule="auto"/>
              <w:rPr>
                <w:rFonts w:ascii="仿宋" w:hAnsi="仿宋" w:eastAsia="仿宋" w:cs="仿宋"/>
                <w:b/>
                <w:sz w:val="24"/>
              </w:rPr>
            </w:pPr>
            <w:r>
              <w:rPr>
                <w:rFonts w:hint="eastAsia" w:ascii="仿宋" w:hAnsi="仿宋" w:eastAsia="仿宋" w:cs="仿宋"/>
                <w:sz w:val="24"/>
              </w:rPr>
              <w:t>注：因投标人自身原因导致无法按时提交U盘演示或者演示效果不理想的，责任自负。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采购机构代理费用</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无</w:t>
            </w:r>
            <w:r>
              <w:rPr>
                <w:rFonts w:hint="eastAsia" w:ascii="仿宋" w:hAnsi="仿宋" w:eastAsia="仿宋" w:cs="仿宋"/>
                <w:snapToGrid w:val="0"/>
                <w:kern w:val="28"/>
                <w:sz w:val="24"/>
                <w:szCs w:val="20"/>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投标保证金</w:t>
            </w:r>
          </w:p>
          <w:p>
            <w:pPr>
              <w:jc w:val="center"/>
              <w:rPr>
                <w:rFonts w:ascii="仿宋" w:hAnsi="仿宋" w:eastAsia="仿宋" w:cs="仿宋"/>
                <w:b/>
                <w:sz w:val="24"/>
              </w:rPr>
            </w:pPr>
            <w:r>
              <w:rPr>
                <w:rFonts w:hint="eastAsia" w:ascii="仿宋" w:hAnsi="仿宋" w:eastAsia="仿宋" w:cs="仿宋"/>
                <w:b/>
                <w:sz w:val="24"/>
              </w:rPr>
              <w:t>履约保证金</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pPr>
              <w:pStyle w:val="16"/>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履约保证金：收取1%</w:t>
            </w:r>
          </w:p>
          <w:p>
            <w:pPr>
              <w:pStyle w:val="16"/>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资格审查及信用信息查询</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16"/>
              <w:spacing w:line="24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质疑接收人及答复</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 xml:space="preserve">：李伟军 </w:t>
            </w:r>
            <w:r>
              <w:rPr>
                <w:rFonts w:hint="eastAsia" w:ascii="仿宋" w:hAnsi="仿宋" w:eastAsia="仿宋" w:cs="仿宋"/>
                <w:sz w:val="24"/>
              </w:rPr>
              <w:t>联系方式：</w:t>
            </w:r>
            <w:r>
              <w:rPr>
                <w:rFonts w:hint="eastAsia" w:ascii="仿宋" w:hAnsi="仿宋" w:eastAsia="仿宋" w:cs="仿宋"/>
                <w:sz w:val="24"/>
                <w:u w:val="single"/>
              </w:rPr>
              <w:t xml:space="preserve"> 13819189068</w:t>
            </w:r>
          </w:p>
          <w:p>
            <w:pPr>
              <w:snapToGrid w:val="0"/>
              <w:spacing w:line="360" w:lineRule="auto"/>
              <w:rPr>
                <w:rFonts w:ascii="仿宋" w:hAnsi="仿宋" w:eastAsia="仿宋" w:cs="仿宋"/>
                <w:sz w:val="24"/>
                <w:u w:val="single"/>
              </w:rPr>
            </w:pPr>
            <w:r>
              <w:rPr>
                <w:rFonts w:hint="eastAsia" w:ascii="仿宋" w:hAnsi="仿宋" w:eastAsia="仿宋" w:cs="仿宋"/>
                <w:sz w:val="24"/>
                <w:u w:val="single"/>
              </w:rPr>
              <w:t xml:space="preserve">地址：杭州市萧山区民营企业大厦A座12楼1201    </w:t>
            </w:r>
          </w:p>
          <w:p>
            <w:pPr>
              <w:snapToGrid w:val="0"/>
              <w:spacing w:line="360" w:lineRule="auto"/>
              <w:rPr>
                <w:rFonts w:ascii="仿宋" w:hAnsi="仿宋" w:eastAsia="仿宋" w:cs="仿宋"/>
                <w:sz w:val="24"/>
                <w:u w:val="single"/>
              </w:rPr>
            </w:pPr>
            <w:r>
              <w:rPr>
                <w:rFonts w:hint="eastAsia" w:ascii="仿宋" w:hAnsi="仿宋" w:eastAsia="仿宋" w:cs="仿宋"/>
                <w:sz w:val="24"/>
                <w:u w:val="single"/>
              </w:rPr>
              <w:t>邮箱：</w:t>
            </w:r>
            <w:r>
              <w:rPr>
                <w:rFonts w:hint="eastAsia" w:ascii="仿宋" w:hAnsi="仿宋" w:eastAsia="仿宋" w:cs="仿宋"/>
                <w:sz w:val="24"/>
              </w:rPr>
              <w:fldChar w:fldCharType="begin"/>
            </w:r>
            <w:r>
              <w:rPr>
                <w:rFonts w:hint="eastAsia" w:ascii="仿宋" w:hAnsi="仿宋" w:eastAsia="仿宋" w:cs="仿宋"/>
                <w:sz w:val="24"/>
              </w:rPr>
              <w:instrText xml:space="preserve"> HYPERLINK "mailto:249268371@qq.com" </w:instrText>
            </w:r>
            <w:r>
              <w:rPr>
                <w:rFonts w:hint="eastAsia" w:ascii="仿宋" w:hAnsi="仿宋" w:eastAsia="仿宋" w:cs="仿宋"/>
                <w:sz w:val="24"/>
              </w:rPr>
              <w:fldChar w:fldCharType="separate"/>
            </w:r>
            <w:r>
              <w:rPr>
                <w:rFonts w:hint="eastAsia" w:ascii="仿宋" w:hAnsi="仿宋" w:eastAsia="仿宋" w:cs="仿宋"/>
                <w:sz w:val="24"/>
                <w:u w:val="single"/>
              </w:rPr>
              <w:t>343441369@qq.com</w:t>
            </w:r>
            <w:r>
              <w:rPr>
                <w:rFonts w:hint="eastAsia" w:ascii="仿宋" w:hAnsi="仿宋" w:eastAsia="仿宋" w:cs="仿宋"/>
                <w:sz w:val="24"/>
                <w:u w:val="single"/>
              </w:rPr>
              <w:fldChar w:fldCharType="end"/>
            </w:r>
          </w:p>
          <w:p>
            <w:pPr>
              <w:snapToGrid w:val="0"/>
              <w:spacing w:line="360" w:lineRule="auto"/>
              <w:rPr>
                <w:rFonts w:ascii="仿宋" w:hAnsi="仿宋" w:eastAsia="仿宋" w:cs="仿宋"/>
                <w:b/>
                <w:sz w:val="24"/>
              </w:rPr>
            </w:pPr>
            <w:r>
              <w:rPr>
                <w:rFonts w:hint="eastAsia" w:ascii="仿宋" w:hAnsi="仿宋" w:eastAsia="仿宋" w:cs="仿宋"/>
                <w:b/>
                <w:sz w:val="24"/>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pPr>
              <w:snapToGrid w:val="0"/>
              <w:spacing w:line="360" w:lineRule="auto"/>
              <w:rPr>
                <w:rFonts w:ascii="仿宋" w:hAnsi="仿宋" w:eastAsia="仿宋" w:cs="仿宋"/>
                <w:kern w:val="0"/>
                <w:sz w:val="24"/>
              </w:rPr>
            </w:pPr>
            <w:r>
              <w:rPr>
                <w:rFonts w:hint="eastAsia" w:ascii="仿宋" w:hAnsi="仿宋" w:eastAsia="仿宋" w:cs="仿宋"/>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项目采购类型</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货物类</w:t>
            </w:r>
            <w:r>
              <w:rPr>
                <w:rFonts w:hint="eastAsia" w:ascii="仿宋" w:hAnsi="仿宋" w:eastAsia="仿宋" w:cs="仿宋"/>
                <w:sz w:val="24"/>
              </w:rPr>
              <w:t>采购项目</w:t>
            </w:r>
          </w:p>
          <w:p>
            <w:pPr>
              <w:snapToGrid w:val="0"/>
            </w:pPr>
            <w:r>
              <w:rPr>
                <w:rFonts w:hint="eastAsia" w:ascii="仿宋" w:hAnsi="仿宋" w:eastAsia="仿宋" w:cs="仿宋"/>
                <w:sz w:val="24"/>
              </w:rPr>
              <w:t>货物类：本项目货物类产品</w:t>
            </w:r>
            <w:r>
              <w:rPr>
                <w:rFonts w:hint="eastAsia" w:ascii="仿宋" w:hAnsi="仿宋" w:eastAsia="仿宋" w:cs="仿宋"/>
                <w:sz w:val="24"/>
                <w:u w:val="single"/>
              </w:rPr>
              <w:t>不接受</w:t>
            </w:r>
            <w:r>
              <w:rPr>
                <w:rFonts w:hint="eastAsia" w:ascii="仿宋" w:hAnsi="仿宋" w:eastAsia="仿宋" w:cs="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评标方法</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u w:val="single"/>
              </w:rPr>
              <w:t>综合评分法</w:t>
            </w:r>
            <w:r>
              <w:rPr>
                <w:rFonts w:hint="eastAsia" w:ascii="仿宋" w:hAnsi="仿宋" w:eastAsia="仿宋" w:cs="仿宋"/>
                <w:sz w:val="24"/>
              </w:rPr>
              <w:t>采购项目</w:t>
            </w:r>
          </w:p>
        </w:tc>
      </w:tr>
    </w:tbl>
    <w:p>
      <w:pPr>
        <w:spacing w:line="360" w:lineRule="auto"/>
        <w:ind w:left="420" w:leftChars="200" w:right="250" w:rightChars="119"/>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pPr>
        <w:adjustRightInd/>
        <w:spacing w:line="360" w:lineRule="auto"/>
        <w:jc w:val="center"/>
        <w:outlineLvl w:val="0"/>
        <w:rPr>
          <w:rFonts w:ascii="仿宋" w:hAnsi="仿宋" w:eastAsia="仿宋" w:cs="仿宋"/>
          <w:b/>
          <w:sz w:val="24"/>
        </w:rPr>
      </w:pPr>
      <w:r>
        <w:rPr>
          <w:rFonts w:hint="eastAsia" w:ascii="仿宋" w:hAnsi="仿宋" w:eastAsia="仿宋" w:cs="仿宋"/>
          <w:b/>
          <w:sz w:val="24"/>
        </w:rPr>
        <w:br w:type="page"/>
      </w:r>
      <w:bookmarkEnd w:id="10"/>
      <w:bookmarkStart w:id="40" w:name="第三部分"/>
      <w:bookmarkStart w:id="41" w:name="_Toc164416483"/>
      <w:r>
        <w:rPr>
          <w:rFonts w:hint="eastAsia" w:ascii="仿宋" w:hAnsi="仿宋" w:eastAsia="仿宋" w:cs="仿宋"/>
          <w:b/>
          <w:sz w:val="24"/>
        </w:rPr>
        <w:t xml:space="preserve"> 一、总则</w:t>
      </w:r>
    </w:p>
    <w:p>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采购项目需要落实的政府采购政策：无</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r>
        <w:rPr>
          <w:rFonts w:hint="eastAsia" w:ascii="仿宋" w:hAnsi="仿宋" w:eastAsia="仿宋" w:cs="仿宋"/>
          <w:kern w:val="0"/>
          <w:sz w:val="24"/>
          <w:lang w:val="zh-CN"/>
        </w:rPr>
        <w:t xml:space="preserve">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32"/>
        <w:spacing w:line="360" w:lineRule="auto"/>
        <w:ind w:firstLine="480" w:firstLineChars="200"/>
        <w:rPr>
          <w:rFonts w:ascii="仿宋" w:hAnsi="仿宋" w:eastAsia="仿宋" w:cs="仿宋"/>
          <w:sz w:val="24"/>
        </w:rPr>
      </w:pPr>
    </w:p>
    <w:p>
      <w:pPr>
        <w:pStyle w:val="615"/>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5"/>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615"/>
        <w:shd w:val="clear" w:color="auto" w:fill="FFFFFF"/>
        <w:snapToGrid w:val="0"/>
        <w:spacing w:before="0" w:beforeAutospacing="0" w:after="0" w:afterAutospacing="0" w:line="360" w:lineRule="auto"/>
        <w:ind w:firstLine="480" w:firstLineChars="200"/>
        <w:contextualSpacing/>
        <w:rPr>
          <w:rFonts w:ascii="仿宋" w:hAnsi="仿宋" w:eastAsia="仿宋" w:cs="仿宋"/>
        </w:rPr>
      </w:pPr>
    </w:p>
    <w:p>
      <w:pPr>
        <w:pStyle w:val="217"/>
        <w:snapToGrid w:val="0"/>
        <w:spacing w:before="0"/>
        <w:ind w:firstLine="360"/>
        <w:rPr>
          <w:rFonts w:ascii="仿宋" w:hAnsi="仿宋" w:eastAsia="仿宋" w:cs="仿宋"/>
          <w:sz w:val="18"/>
          <w:szCs w:val="18"/>
        </w:rPr>
      </w:pPr>
    </w:p>
    <w:p>
      <w:pPr>
        <w:adjustRightInd/>
        <w:spacing w:line="360" w:lineRule="auto"/>
        <w:ind w:firstLine="482" w:firstLineChars="200"/>
        <w:jc w:val="center"/>
        <w:outlineLvl w:val="0"/>
        <w:rPr>
          <w:rFonts w:ascii="仿宋" w:hAnsi="仿宋" w:eastAsia="仿宋" w:cs="仿宋"/>
          <w:b/>
          <w:sz w:val="24"/>
        </w:rPr>
      </w:pPr>
      <w:bookmarkStart w:id="42" w:name="_Hlt74730295"/>
      <w:bookmarkEnd w:id="42"/>
      <w:bookmarkStart w:id="43" w:name="_Hlt74707468"/>
      <w:bookmarkEnd w:id="43"/>
      <w:bookmarkStart w:id="44" w:name="_Hlt75236290"/>
      <w:bookmarkEnd w:id="44"/>
      <w:bookmarkStart w:id="45" w:name="_Hlt68072990"/>
      <w:bookmarkEnd w:id="45"/>
      <w:bookmarkStart w:id="46" w:name="_Hlt74729768"/>
      <w:bookmarkEnd w:id="46"/>
      <w:bookmarkStart w:id="47" w:name="_Hlt68057669"/>
      <w:bookmarkEnd w:id="47"/>
      <w:bookmarkStart w:id="48" w:name="_Hlt74714665"/>
      <w:bookmarkEnd w:id="48"/>
      <w:bookmarkStart w:id="49" w:name="_Toc91899879"/>
      <w:r>
        <w:rPr>
          <w:rFonts w:hint="eastAsia" w:ascii="仿宋" w:hAnsi="仿宋" w:eastAsia="仿宋" w:cs="仿宋"/>
          <w:b/>
          <w:sz w:val="24"/>
        </w:rPr>
        <w:t>二、招标文件</w:t>
      </w:r>
      <w:bookmarkEnd w:id="49"/>
      <w:r>
        <w:rPr>
          <w:rFonts w:hint="eastAsia" w:ascii="仿宋" w:hAnsi="仿宋" w:eastAsia="仿宋" w:cs="仿宋"/>
          <w:b/>
          <w:sz w:val="24"/>
        </w:rPr>
        <w:t>的构成、澄清、修改</w:t>
      </w:r>
    </w:p>
    <w:p>
      <w:pPr>
        <w:pStyle w:val="32"/>
        <w:spacing w:line="360" w:lineRule="auto"/>
        <w:ind w:firstLine="482" w:firstLineChars="200"/>
        <w:rPr>
          <w:rFonts w:ascii="仿宋" w:hAnsi="仿宋" w:eastAsia="仿宋" w:cs="仿宋"/>
          <w:b/>
          <w:sz w:val="24"/>
          <w:szCs w:val="24"/>
        </w:rPr>
      </w:pPr>
      <w:bookmarkStart w:id="50" w:name="_Hlt74730307"/>
      <w:bookmarkStart w:id="51" w:name="_Toc91899880"/>
      <w:r>
        <w:rPr>
          <w:rFonts w:hint="eastAsia" w:ascii="仿宋" w:hAnsi="仿宋" w:eastAsia="仿宋" w:cs="仿宋"/>
          <w:b/>
          <w:sz w:val="24"/>
          <w:szCs w:val="24"/>
        </w:rPr>
        <w:t>5．招标文件的构成</w:t>
      </w:r>
      <w:bookmarkEnd w:id="50"/>
      <w:bookmarkEnd w:id="51"/>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第一部分 招标公告</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第二部分 投标人须知</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32"/>
        <w:numPr>
          <w:ilvl w:val="0"/>
          <w:numId w:val="4"/>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澄清或者修改等公告、内容亦为招标文件的组成部分，投标人须自行于招标公告所在网站获取相关信息（浙江政府采购网）</w:t>
      </w:r>
      <w:r>
        <w:rPr>
          <w:rFonts w:hint="eastAsia" w:ascii="仿宋" w:hAnsi="仿宋" w:eastAsia="仿宋" w:cs="仿宋"/>
          <w:sz w:val="24"/>
        </w:rPr>
        <w:t>。</w:t>
      </w:r>
    </w:p>
    <w:p>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 招标文件的澄清、修改</w:t>
      </w:r>
    </w:p>
    <w:p>
      <w:pPr>
        <w:pStyle w:val="217"/>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17"/>
        <w:snapToGrid w:val="0"/>
        <w:spacing w:before="0"/>
        <w:ind w:firstLine="480"/>
        <w:rPr>
          <w:rFonts w:ascii="仿宋" w:hAnsi="仿宋" w:eastAsia="仿宋" w:cs="仿宋"/>
        </w:rPr>
      </w:pPr>
      <w:r>
        <w:rPr>
          <w:rFonts w:hint="eastAsia" w:ascii="仿宋" w:hAnsi="仿宋" w:eastAsia="仿宋" w:cs="仿宋"/>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▲投标文件未按招标文件更正、补遗公告的澄清、修改的内容编制，又不符合实质性要求的，投标无效。</w:t>
      </w:r>
    </w:p>
    <w:p>
      <w:pPr>
        <w:pStyle w:val="2"/>
        <w:ind w:firstLine="480" w:firstLineChars="200"/>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ind w:firstLine="482" w:firstLineChars="200"/>
        <w:jc w:val="center"/>
        <w:outlineLvl w:val="0"/>
        <w:rPr>
          <w:rFonts w:ascii="仿宋" w:hAnsi="仿宋" w:eastAsia="仿宋" w:cs="仿宋"/>
          <w:b/>
          <w:sz w:val="24"/>
        </w:rPr>
      </w:pPr>
      <w:bookmarkStart w:id="52" w:name="_Hlt75236011"/>
      <w:bookmarkEnd w:id="52"/>
      <w:bookmarkStart w:id="53" w:name="_Toc91899884"/>
      <w:r>
        <w:rPr>
          <w:rFonts w:hint="eastAsia" w:ascii="仿宋" w:hAnsi="仿宋" w:eastAsia="仿宋" w:cs="仿宋"/>
          <w:b/>
          <w:sz w:val="24"/>
        </w:rPr>
        <w:t>三、投标</w:t>
      </w:r>
      <w:bookmarkEnd w:id="53"/>
    </w:p>
    <w:p>
      <w:pPr>
        <w:pStyle w:val="32"/>
        <w:spacing w:line="360" w:lineRule="auto"/>
        <w:ind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▲未按照公告要求完成采购文件获取的，投标无效。</w:t>
      </w:r>
    </w:p>
    <w:p>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pPr>
        <w:pStyle w:val="32"/>
        <w:spacing w:line="360" w:lineRule="auto"/>
        <w:ind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pPr>
        <w:pStyle w:val="217"/>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bookmarkStart w:id="56"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11.3.1开标一览表（报价表）；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投标人提供虚假材料投标的，投标无效。</w:t>
      </w:r>
    </w:p>
    <w:p>
      <w:pPr>
        <w:pStyle w:val="217"/>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▲投标文件未按本条规定的格式编制的，投标无效；</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bookmarkEnd w:id="56"/>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pStyle w:val="217"/>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pPr>
        <w:pStyle w:val="217"/>
        <w:snapToGrid w:val="0"/>
        <w:spacing w:before="0"/>
        <w:ind w:firstLine="480"/>
        <w:rPr>
          <w:rFonts w:ascii="仿宋" w:hAnsi="仿宋" w:eastAsia="仿宋" w:cs="仿宋"/>
          <w:szCs w:val="24"/>
        </w:rPr>
      </w:pPr>
      <w:r>
        <w:rPr>
          <w:rFonts w:hint="eastAsia" w:ascii="仿宋" w:hAnsi="仿宋" w:eastAsia="仿宋" w:cs="仿宋"/>
          <w:szCs w:val="24"/>
        </w:rPr>
        <w:t>12.4.1投标人制作纸质投标文件须在投标文件封面上标明“正本”与“副本”字样、项目名称与标项号，并加盖投标人公章。正本内容与副本不一致时，以正本为准。</w:t>
      </w:r>
    </w:p>
    <w:p>
      <w:pPr>
        <w:pStyle w:val="217"/>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pPr>
        <w:pStyle w:val="21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17"/>
        <w:snapToGrid w:val="0"/>
        <w:spacing w:before="0"/>
        <w:ind w:firstLine="480"/>
        <w:rPr>
          <w:rFonts w:ascii="仿宋" w:hAnsi="仿宋" w:eastAsia="仿宋" w:cs="仿宋"/>
          <w:szCs w:val="24"/>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pPr>
        <w:pStyle w:val="217"/>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13.3招标文件对投标文件签署、盖章的要求适用于电子签章（盖章）。</w:t>
      </w:r>
    </w:p>
    <w:p>
      <w:pPr>
        <w:pStyle w:val="217"/>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pPr>
        <w:pStyle w:val="217"/>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17"/>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ascii="仿宋" w:hAnsi="仿宋" w:eastAsia="仿宋" w:cs="仿宋"/>
          <w:szCs w:val="24"/>
        </w:rPr>
      </w:pPr>
      <w:r>
        <w:rPr>
          <w:rFonts w:hint="eastAsia" w:ascii="仿宋" w:hAnsi="仿宋" w:eastAsia="仿宋" w:cs="仿宋"/>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spacing w:before="0"/>
        <w:ind w:firstLine="480"/>
        <w:rPr>
          <w:rFonts w:ascii="仿宋" w:hAnsi="仿宋" w:eastAsia="仿宋" w:cs="仿宋"/>
          <w:szCs w:val="24"/>
        </w:rPr>
      </w:pPr>
      <w:r>
        <w:rPr>
          <w:rFonts w:hint="eastAsia" w:ascii="仿宋" w:hAnsi="仿宋" w:eastAsia="仿宋" w:cs="仿宋"/>
          <w:szCs w:val="24"/>
        </w:rPr>
        <w:t>14.4.1 投标人的补充、修改文件，应按本须知规定编制、密封、标志和递交，如果一份投标文件有几份函件时，应注明哪一份有效，否则所作修改视为无效。</w:t>
      </w:r>
    </w:p>
    <w:p>
      <w:pPr>
        <w:pStyle w:val="217"/>
        <w:spacing w:before="0"/>
        <w:ind w:firstLine="480"/>
        <w:rPr>
          <w:rFonts w:ascii="仿宋" w:hAnsi="仿宋" w:eastAsia="仿宋" w:cs="仿宋"/>
          <w:szCs w:val="24"/>
        </w:rPr>
      </w:pPr>
      <w:r>
        <w:rPr>
          <w:rFonts w:hint="eastAsia" w:ascii="仿宋" w:hAnsi="仿宋" w:eastAsia="仿宋" w:cs="仿宋"/>
          <w:szCs w:val="24"/>
        </w:rPr>
        <w:t>14.4.2投标人对投标文件的修改均要加以说明，否则其修改将被视为无效。</w:t>
      </w:r>
    </w:p>
    <w:p>
      <w:pPr>
        <w:pStyle w:val="217"/>
        <w:spacing w:before="0"/>
        <w:ind w:firstLine="480"/>
        <w:rPr>
          <w:rFonts w:ascii="仿宋" w:hAnsi="仿宋" w:eastAsia="仿宋" w:cs="仿宋"/>
          <w:szCs w:val="24"/>
        </w:rPr>
      </w:pPr>
      <w:r>
        <w:rPr>
          <w:rFonts w:hint="eastAsia" w:ascii="仿宋" w:hAnsi="仿宋" w:eastAsia="仿宋" w:cs="仿宋"/>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，投标人不能撤销投标文件。</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15. 备份投标文件（如有）以及投标文件的递交</w:t>
      </w:r>
    </w:p>
    <w:p>
      <w:pPr>
        <w:pStyle w:val="217"/>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szCs w:val="24"/>
        </w:rPr>
        <w:t>。没有密封包装的投标文件，将被拒收。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▲投标人仅提交备份投标文件，没有在电子交易平台传输递交投标文件的，投标无效。</w:t>
      </w:r>
    </w:p>
    <w:p>
      <w:pPr>
        <w:pStyle w:val="217"/>
        <w:spacing w:before="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投标人应按“招标公告”及前附表规定的时间、地点完成采购文件获取手续并将投标文件提交给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将拒绝接受逾期送达的投标文件和未按公告要求完成采购文件获取的投标人递交的投标文件。</w:t>
      </w:r>
      <w:bookmarkEnd w:id="54"/>
      <w:bookmarkEnd w:id="55"/>
    </w:p>
    <w:p>
      <w:pPr>
        <w:pStyle w:val="217"/>
        <w:spacing w:before="0"/>
        <w:ind w:firstLine="482"/>
        <w:rPr>
          <w:rFonts w:ascii="仿宋" w:hAnsi="仿宋" w:eastAsia="仿宋" w:cs="仿宋"/>
          <w:b/>
          <w:szCs w:val="24"/>
        </w:rPr>
      </w:pPr>
      <w:r>
        <w:rPr>
          <w:rFonts w:hint="eastAsia" w:ascii="仿宋" w:hAnsi="仿宋" w:eastAsia="仿宋" w:cs="仿宋"/>
          <w:b/>
          <w:szCs w:val="24"/>
        </w:rPr>
        <w:t>16.投标文件的无效处理</w:t>
      </w:r>
    </w:p>
    <w:p>
      <w:pPr>
        <w:pStyle w:val="23"/>
        <w:spacing w:line="360" w:lineRule="auto"/>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17"/>
        <w:spacing w:before="0"/>
        <w:ind w:firstLine="482"/>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21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17"/>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17.3在原定投标有效期满之前，如果出现特殊情况，采购机构可以以公告形式通知投标人延长投标有效期。投标人同意延长的，不得要求或被允许修改其投标文件，投标人拒绝延长的，其投标无效。</w:t>
      </w:r>
    </w:p>
    <w:p>
      <w:pPr>
        <w:pStyle w:val="217"/>
        <w:spacing w:before="0"/>
        <w:ind w:firstLine="0" w:firstLineChars="0"/>
        <w:jc w:val="center"/>
        <w:rPr>
          <w:rFonts w:ascii="仿宋" w:hAnsi="仿宋" w:eastAsia="仿宋" w:cs="仿宋"/>
          <w:b/>
          <w:sz w:val="32"/>
        </w:rPr>
      </w:pPr>
      <w:bookmarkStart w:id="57" w:name="_Toc91899897"/>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pPr>
        <w:pStyle w:val="498"/>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18.2开标时，电子交易平台按开标时间自动提取所有投标文件。采购机构依托电子交易平台发起开始解密指令，投标人按照平台提示和招标文件的规定在半小时内完成在线解密。</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备份投标文件的接收在招标文件确定的时间、地点进行。</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19、资格审查</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17"/>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17"/>
        <w:spacing w:before="0"/>
        <w:ind w:firstLine="480"/>
        <w:rPr>
          <w:rFonts w:ascii="仿宋" w:hAnsi="仿宋" w:eastAsia="仿宋" w:cs="仿宋"/>
        </w:rPr>
      </w:pPr>
      <w:r>
        <w:rPr>
          <w:rFonts w:hint="eastAsia" w:ascii="仿宋" w:hAnsi="仿宋" w:eastAsia="仿宋" w:cs="仿宋"/>
        </w:rPr>
        <w:t>19.4对未通过资格审查的投标人，采购人或采购机构告知其未通过的原因。</w:t>
      </w:r>
    </w:p>
    <w:p>
      <w:pPr>
        <w:pStyle w:val="217"/>
        <w:spacing w:before="0"/>
        <w:ind w:firstLine="480"/>
        <w:rPr>
          <w:rFonts w:ascii="仿宋" w:hAnsi="仿宋" w:eastAsia="仿宋" w:cs="仿宋"/>
        </w:rPr>
      </w:pPr>
      <w:r>
        <w:rPr>
          <w:rFonts w:hint="eastAsia" w:ascii="仿宋" w:hAnsi="仿宋" w:eastAsia="仿宋" w:cs="仿宋"/>
        </w:rPr>
        <w:t>19.5合格投标人不足3家的，不再评标。</w:t>
      </w:r>
    </w:p>
    <w:p>
      <w:pPr>
        <w:pStyle w:val="217"/>
        <w:spacing w:before="0"/>
        <w:ind w:firstLine="482"/>
        <w:rPr>
          <w:rFonts w:ascii="仿宋" w:hAnsi="仿宋" w:eastAsia="仿宋" w:cs="仿宋"/>
          <w:b/>
          <w:szCs w:val="24"/>
        </w:rPr>
      </w:pPr>
      <w:r>
        <w:rPr>
          <w:rFonts w:hint="eastAsia" w:ascii="仿宋" w:hAnsi="仿宋" w:eastAsia="仿宋" w:cs="仿宋"/>
          <w:b/>
          <w:szCs w:val="24"/>
        </w:rPr>
        <w:t>20、信用信息查询</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20.1信用信息查询渠道及截止时间：采购人或采购机构将通过“信用中国”网站(www.creditchina.gov.cn)、中国政府采购网(www.ccgp.gov.cn)渠道查询投标人投标截止时间前的信用记录。</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17"/>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17"/>
        <w:spacing w:before="0"/>
        <w:ind w:firstLine="480"/>
        <w:rPr>
          <w:rFonts w:ascii="仿宋" w:hAnsi="仿宋" w:eastAsia="仿宋" w:cs="仿宋"/>
          <w:kern w:val="0"/>
          <w:szCs w:val="24"/>
        </w:rPr>
      </w:pPr>
    </w:p>
    <w:p>
      <w:pPr>
        <w:snapToGrid w:val="0"/>
        <w:spacing w:line="360" w:lineRule="auto"/>
        <w:ind w:firstLine="482" w:firstLineChars="200"/>
        <w:jc w:val="center"/>
        <w:outlineLvl w:val="0"/>
        <w:rPr>
          <w:rFonts w:ascii="仿宋" w:hAnsi="仿宋" w:eastAsia="仿宋" w:cs="仿宋"/>
          <w:b/>
          <w:sz w:val="24"/>
        </w:rPr>
      </w:pPr>
      <w:bookmarkStart w:id="58" w:name="_Hlt75236101"/>
      <w:bookmarkEnd w:id="58"/>
      <w:bookmarkStart w:id="59" w:name="_Toc91899902"/>
      <w:r>
        <w:rPr>
          <w:rFonts w:hint="eastAsia" w:ascii="仿宋" w:hAnsi="仿宋" w:eastAsia="仿宋" w:cs="仿宋"/>
          <w:b/>
          <w:sz w:val="24"/>
        </w:rPr>
        <w:t>五、评标</w:t>
      </w:r>
      <w:bookmarkEnd w:id="59"/>
    </w:p>
    <w:p>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napToGrid w:val="0"/>
        <w:spacing w:line="360" w:lineRule="auto"/>
        <w:ind w:firstLine="482" w:firstLineChars="200"/>
        <w:jc w:val="center"/>
        <w:outlineLvl w:val="0"/>
        <w:rPr>
          <w:rFonts w:ascii="仿宋" w:hAnsi="仿宋" w:eastAsia="仿宋" w:cs="仿宋"/>
          <w:b/>
          <w:sz w:val="24"/>
        </w:rPr>
      </w:pPr>
      <w:r>
        <w:rPr>
          <w:rFonts w:hint="eastAsia" w:ascii="仿宋" w:hAnsi="仿宋" w:eastAsia="仿宋" w:cs="仿宋"/>
          <w:b/>
          <w:sz w:val="24"/>
        </w:rPr>
        <w:t>六、定 标</w:t>
      </w:r>
    </w:p>
    <w:p>
      <w:pPr>
        <w:pStyle w:val="23"/>
        <w:spacing w:line="360" w:lineRule="auto"/>
        <w:ind w:firstLine="482"/>
        <w:rPr>
          <w:rFonts w:ascii="仿宋" w:hAnsi="仿宋" w:eastAsia="仿宋" w:cs="仿宋"/>
          <w:b/>
        </w:rPr>
      </w:pPr>
      <w:r>
        <w:rPr>
          <w:rFonts w:hint="eastAsia" w:ascii="仿宋" w:hAnsi="仿宋" w:eastAsia="仿宋" w:cs="仿宋"/>
          <w:b/>
        </w:rPr>
        <w:t>22. 确定中标供应商</w:t>
      </w:r>
    </w:p>
    <w:p>
      <w:pPr>
        <w:pStyle w:val="217"/>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pPr>
        <w:pStyle w:val="217"/>
        <w:snapToGrid w:val="0"/>
        <w:spacing w:before="0"/>
        <w:ind w:firstLine="482"/>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23.1采购机构将在自中标人确定之日起2个工作日内，发布招标公告的网站上公告中标结果，同时发出中标通知书。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七、合同授予</w:t>
      </w:r>
    </w:p>
    <w:p>
      <w:pPr>
        <w:pStyle w:val="23"/>
        <w:spacing w:line="360" w:lineRule="auto"/>
        <w:ind w:firstLine="482"/>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3"/>
        <w:spacing w:line="360" w:lineRule="auto"/>
        <w:ind w:firstLine="482"/>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w:t>
      </w:r>
    </w:p>
    <w:p>
      <w:pPr>
        <w:pStyle w:val="21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1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3"/>
        <w:spacing w:line="360" w:lineRule="auto"/>
        <w:ind w:firstLine="482"/>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。履约保证金的数额不得超过政府采购合同金额的2.5%。 </w:t>
      </w:r>
    </w:p>
    <w:p>
      <w:pPr>
        <w:snapToGrid w:val="0"/>
        <w:spacing w:line="360" w:lineRule="auto"/>
        <w:jc w:val="center"/>
        <w:rPr>
          <w:rFonts w:ascii="仿宋" w:hAnsi="仿宋" w:eastAsia="仿宋" w:cs="仿宋"/>
          <w:b/>
          <w:sz w:val="24"/>
        </w:rPr>
      </w:pPr>
      <w:r>
        <w:rPr>
          <w:rFonts w:hint="eastAsia" w:ascii="仿宋" w:hAnsi="仿宋" w:eastAsia="仿宋" w:cs="仿宋"/>
          <w:b/>
          <w:sz w:val="24"/>
        </w:rPr>
        <w:t>八、电子交易活动的中止</w:t>
      </w:r>
    </w:p>
    <w:p>
      <w:pPr>
        <w:pStyle w:val="217"/>
        <w:snapToGrid w:val="0"/>
        <w:spacing w:before="0"/>
        <w:ind w:firstLine="482"/>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17"/>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17"/>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17"/>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17"/>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17"/>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17"/>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九、验收</w:t>
      </w:r>
    </w:p>
    <w:p>
      <w:pPr>
        <w:pStyle w:val="23"/>
        <w:spacing w:line="360" w:lineRule="auto"/>
        <w:ind w:firstLine="482"/>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28.1</w:t>
      </w:r>
      <w:bookmarkEnd w:id="40"/>
      <w:bookmarkEnd w:id="41"/>
      <w:r>
        <w:rPr>
          <w:rFonts w:hint="eastAsia" w:ascii="仿宋" w:hAnsi="仿宋" w:eastAsia="仿宋" w:cs="仿宋"/>
          <w:kern w:val="0"/>
          <w:sz w:val="24"/>
        </w:rPr>
        <w:t>采购人应当组织对供应商履约的验收。验收标准按区相关政策文件执行</w:t>
      </w:r>
    </w:p>
    <w:p>
      <w:pPr>
        <w:adjustRightInd/>
        <w:spacing w:line="360" w:lineRule="auto"/>
        <w:ind w:firstLine="2884" w:firstLineChars="1197"/>
        <w:outlineLvl w:val="0"/>
        <w:rPr>
          <w:rFonts w:ascii="仿宋" w:hAnsi="仿宋" w:eastAsia="仿宋" w:cs="仿宋"/>
          <w:b/>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3"/>
        <w:ind w:firstLine="723"/>
        <w:rPr>
          <w:rFonts w:cs="仿宋"/>
          <w:color w:val="auto"/>
        </w:rPr>
      </w:pPr>
      <w:bookmarkStart w:id="60" w:name="第四部分"/>
      <w:r>
        <w:rPr>
          <w:rFonts w:hint="eastAsia" w:cs="仿宋"/>
          <w:color w:val="auto"/>
        </w:rPr>
        <w:t>第三部分   采购需求</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属于实质性要求条款的，请用符号“▲”标明，否则属于非实质性要求。</w:t>
      </w:r>
    </w:p>
    <w:p>
      <w:pPr>
        <w:snapToGrid w:val="0"/>
        <w:spacing w:line="360" w:lineRule="auto"/>
        <w:ind w:firstLine="480"/>
        <w:jc w:val="left"/>
        <w:rPr>
          <w:rFonts w:ascii="仿宋" w:hAnsi="仿宋" w:eastAsia="仿宋" w:cs="仿宋"/>
          <w:b/>
          <w:sz w:val="32"/>
        </w:rPr>
      </w:pPr>
      <w:r>
        <w:rPr>
          <w:rFonts w:hint="eastAsia" w:ascii="仿宋" w:hAnsi="仿宋" w:eastAsia="仿宋" w:cs="仿宋"/>
          <w:sz w:val="24"/>
        </w:rPr>
        <w:t>“★”系产品采购项目中单一产品或核心产品。</w:t>
      </w:r>
    </w:p>
    <w:p>
      <w:pPr>
        <w:snapToGrid w:val="0"/>
        <w:spacing w:line="360" w:lineRule="auto"/>
        <w:ind w:firstLine="723"/>
        <w:jc w:val="center"/>
        <w:outlineLvl w:val="0"/>
        <w:rPr>
          <w:rFonts w:ascii="仿宋" w:hAnsi="仿宋" w:eastAsia="仿宋" w:cs="仿宋"/>
          <w:b/>
          <w:sz w:val="32"/>
        </w:rPr>
      </w:pPr>
      <w:r>
        <w:rPr>
          <w:rFonts w:hint="eastAsia" w:ascii="仿宋" w:hAnsi="仿宋" w:eastAsia="仿宋" w:cs="仿宋"/>
          <w:b/>
          <w:sz w:val="32"/>
        </w:rPr>
        <w:t>一、招标一览表</w:t>
      </w:r>
    </w:p>
    <w:p>
      <w:pPr>
        <w:widowControl/>
        <w:spacing w:line="360" w:lineRule="auto"/>
        <w:ind w:firstLine="241" w:firstLineChars="100"/>
        <w:rPr>
          <w:rFonts w:ascii="仿宋" w:hAnsi="仿宋" w:eastAsia="仿宋" w:cs="仿宋"/>
          <w:b/>
          <w:bCs/>
          <w:sz w:val="24"/>
        </w:rPr>
      </w:pPr>
      <w:r>
        <w:rPr>
          <w:rFonts w:hint="eastAsia" w:ascii="仿宋" w:hAnsi="仿宋" w:eastAsia="仿宋" w:cs="仿宋"/>
          <w:b/>
          <w:bCs/>
          <w:sz w:val="24"/>
        </w:rPr>
        <w:t>标项：1</w:t>
      </w:r>
    </w:p>
    <w:tbl>
      <w:tblPr>
        <w:tblStyle w:val="61"/>
        <w:tblpPr w:leftFromText="180" w:rightFromText="180" w:vertAnchor="text" w:horzAnchor="page" w:tblpX="1572" w:tblpY="8"/>
        <w:tblOverlap w:val="never"/>
        <w:tblW w:w="8947" w:type="dxa"/>
        <w:tblInd w:w="0" w:type="dxa"/>
        <w:tblLayout w:type="fixed"/>
        <w:tblCellMar>
          <w:top w:w="0" w:type="dxa"/>
          <w:left w:w="0" w:type="dxa"/>
          <w:bottom w:w="0" w:type="dxa"/>
          <w:right w:w="0" w:type="dxa"/>
        </w:tblCellMar>
      </w:tblPr>
      <w:tblGrid>
        <w:gridCol w:w="654"/>
        <w:gridCol w:w="3645"/>
        <w:gridCol w:w="2071"/>
        <w:gridCol w:w="804"/>
        <w:gridCol w:w="777"/>
        <w:gridCol w:w="996"/>
      </w:tblGrid>
      <w:tr>
        <w:tblPrEx>
          <w:tblCellMar>
            <w:top w:w="0" w:type="dxa"/>
            <w:left w:w="0" w:type="dxa"/>
            <w:bottom w:w="0" w:type="dxa"/>
            <w:right w:w="0" w:type="dxa"/>
          </w:tblCellMar>
        </w:tblPrEx>
        <w:trPr>
          <w:cantSplit/>
          <w:trHeight w:val="540" w:hRule="atLeast"/>
        </w:trPr>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36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名称</w:t>
            </w:r>
          </w:p>
        </w:tc>
        <w:tc>
          <w:tcPr>
            <w:tcW w:w="20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具体服务要求内容</w:t>
            </w:r>
          </w:p>
        </w:tc>
        <w:tc>
          <w:tcPr>
            <w:tcW w:w="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单位</w:t>
            </w: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数量</w:t>
            </w:r>
          </w:p>
        </w:tc>
        <w:tc>
          <w:tcPr>
            <w:tcW w:w="9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CellMar>
            <w:top w:w="0" w:type="dxa"/>
            <w:left w:w="0" w:type="dxa"/>
            <w:bottom w:w="0" w:type="dxa"/>
            <w:right w:w="0" w:type="dxa"/>
          </w:tblCellMar>
        </w:tblPrEx>
        <w:trPr>
          <w:cantSplit/>
          <w:trHeight w:val="642" w:hRule="atLeast"/>
        </w:trPr>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1</w:t>
            </w:r>
          </w:p>
        </w:tc>
        <w:tc>
          <w:tcPr>
            <w:tcW w:w="36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河上镇众联村智慧路灯采购项目</w:t>
            </w:r>
          </w:p>
        </w:tc>
        <w:tc>
          <w:tcPr>
            <w:tcW w:w="20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详见招标需求</w:t>
            </w:r>
          </w:p>
        </w:tc>
        <w:tc>
          <w:tcPr>
            <w:tcW w:w="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项</w:t>
            </w: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1</w:t>
            </w:r>
          </w:p>
        </w:tc>
        <w:tc>
          <w:tcPr>
            <w:tcW w:w="9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24"/>
              </w:rPr>
            </w:pPr>
          </w:p>
        </w:tc>
      </w:tr>
    </w:tbl>
    <w:p>
      <w:pPr>
        <w:snapToGrid w:val="0"/>
        <w:spacing w:line="360" w:lineRule="auto"/>
        <w:ind w:firstLine="723"/>
        <w:jc w:val="center"/>
        <w:outlineLvl w:val="0"/>
        <w:rPr>
          <w:rFonts w:ascii="仿宋" w:hAnsi="仿宋" w:eastAsia="仿宋" w:cs="仿宋"/>
          <w:b/>
          <w:sz w:val="32"/>
        </w:rPr>
      </w:pPr>
    </w:p>
    <w:p>
      <w:pPr>
        <w:snapToGrid w:val="0"/>
        <w:spacing w:line="360" w:lineRule="auto"/>
        <w:ind w:firstLine="723"/>
        <w:jc w:val="center"/>
        <w:outlineLvl w:val="0"/>
        <w:rPr>
          <w:rFonts w:ascii="仿宋" w:hAnsi="仿宋" w:eastAsia="仿宋" w:cs="仿宋"/>
          <w:b/>
          <w:sz w:val="32"/>
        </w:rPr>
      </w:pPr>
      <w:r>
        <w:rPr>
          <w:rFonts w:hint="eastAsia" w:ascii="仿宋" w:hAnsi="仿宋" w:eastAsia="仿宋" w:cs="仿宋"/>
          <w:b/>
          <w:sz w:val="32"/>
        </w:rPr>
        <w:t>二、招标需求</w:t>
      </w:r>
    </w:p>
    <w:p>
      <w:pPr>
        <w:spacing w:before="120" w:beforeLines="50" w:line="360" w:lineRule="auto"/>
        <w:rPr>
          <w:rFonts w:ascii="仿宋" w:hAnsi="仿宋" w:eastAsia="仿宋" w:cs="仿宋"/>
          <w:b/>
          <w:sz w:val="24"/>
        </w:rPr>
      </w:pPr>
      <w:r>
        <w:rPr>
          <w:rFonts w:hint="eastAsia" w:ascii="仿宋" w:hAnsi="仿宋" w:eastAsia="仿宋" w:cs="仿宋"/>
          <w:b/>
          <w:sz w:val="24"/>
        </w:rPr>
        <w:t>1智慧杆子系统要求</w:t>
      </w:r>
    </w:p>
    <w:p>
      <w:pPr>
        <w:spacing w:before="120" w:beforeLines="50" w:line="360" w:lineRule="auto"/>
        <w:rPr>
          <w:rFonts w:ascii="仿宋" w:hAnsi="仿宋" w:eastAsia="仿宋" w:cs="仿宋"/>
          <w:b/>
          <w:sz w:val="24"/>
        </w:rPr>
      </w:pPr>
      <w:r>
        <w:rPr>
          <w:rFonts w:hint="eastAsia" w:ascii="仿宋" w:hAnsi="仿宋" w:eastAsia="仿宋" w:cs="仿宋"/>
          <w:b/>
          <w:sz w:val="24"/>
        </w:rPr>
        <w:t>1.1道路照明设计规范</w:t>
      </w:r>
    </w:p>
    <w:p>
      <w:pPr>
        <w:spacing w:before="120" w:beforeLines="50" w:line="360" w:lineRule="auto"/>
        <w:jc w:val="left"/>
        <w:rPr>
          <w:rFonts w:ascii="仿宋" w:hAnsi="仿宋" w:eastAsia="仿宋" w:cs="仿宋"/>
          <w:b/>
          <w:sz w:val="24"/>
        </w:rPr>
      </w:pPr>
      <w:r>
        <w:rPr>
          <w:rFonts w:hint="eastAsia" w:ascii="仿宋" w:hAnsi="仿宋" w:eastAsia="仿宋" w:cs="仿宋"/>
          <w:b/>
          <w:sz w:val="24"/>
        </w:rPr>
        <w:t>1.1.1道路照明设计要求</w:t>
      </w:r>
    </w:p>
    <w:p>
      <w:pPr>
        <w:spacing w:before="120" w:beforeLines="50" w:after="120" w:afterLines="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本项目要打造行业一流照明效果，道路照明设计标准要符合国家相关照明技术标准要求。根据规范《城市道路照明设计标准》（CJJ45-2015），并结合项目自身特点，智慧路灯安装后，照明标准不得低于下列表格中注明的数值。 </w:t>
      </w:r>
    </w:p>
    <w:p>
      <w:pPr>
        <w:snapToGrid w:val="0"/>
        <w:spacing w:line="360" w:lineRule="auto"/>
        <w:rPr>
          <w:rFonts w:ascii="仿宋" w:hAnsi="仿宋" w:eastAsia="仿宋" w:cs="仿宋"/>
          <w:b/>
          <w:sz w:val="24"/>
        </w:rPr>
      </w:pPr>
      <w:r>
        <w:rPr>
          <w:rFonts w:hint="eastAsia" w:ascii="仿宋" w:hAnsi="仿宋" w:eastAsia="仿宋" w:cs="仿宋"/>
          <w:b/>
          <w:sz w:val="24"/>
        </w:rPr>
        <w:t>1.1.2道路照明分类</w:t>
      </w:r>
    </w:p>
    <w:p>
      <w:pPr>
        <w:snapToGrid w:val="0"/>
        <w:spacing w:line="360" w:lineRule="auto"/>
        <w:ind w:firstLine="240" w:firstLineChars="100"/>
        <w:rPr>
          <w:rFonts w:ascii="仿宋" w:hAnsi="仿宋" w:eastAsia="仿宋" w:cs="仿宋"/>
          <w:b/>
          <w:sz w:val="24"/>
        </w:rPr>
      </w:pPr>
      <w:r>
        <w:rPr>
          <w:rFonts w:hint="eastAsia" w:ascii="仿宋" w:hAnsi="仿宋" w:eastAsia="仿宋" w:cs="仿宋"/>
          <w:color w:val="000000"/>
          <w:sz w:val="24"/>
        </w:rPr>
        <w:t>（1）根据道路使用功能，城市道路照明可分为主要供机动车使用的机动车交通道路照明和主要供非机动车与行人的人行道路照明两类。</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（2）机动车交通道路照明应按快速路与主干路、次干路、支路分为三级。</w:t>
      </w:r>
    </w:p>
    <w:p>
      <w:pPr>
        <w:snapToGrid w:val="0"/>
        <w:spacing w:line="360" w:lineRule="auto"/>
        <w:rPr>
          <w:rFonts w:ascii="仿宋" w:hAnsi="仿宋" w:eastAsia="仿宋" w:cs="仿宋"/>
          <w:b/>
          <w:sz w:val="24"/>
        </w:rPr>
      </w:pPr>
      <w:r>
        <w:rPr>
          <w:rFonts w:hint="eastAsia" w:ascii="仿宋" w:hAnsi="仿宋" w:eastAsia="仿宋" w:cs="仿宋"/>
          <w:b/>
          <w:sz w:val="24"/>
        </w:rPr>
        <w:t>1.1.3道路照明评价指标</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（1）机动车交通道路照明应以路面平均亮度（路面平均照度）、路面亮度均匀度和纵向均匀度（或路面照度均匀度）、眩光限制、环境比和诱导性为评价指标。</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（2）人行道路照明应以路面平均照度、路面最小照度和垂直照度为评价指标。</w:t>
      </w:r>
    </w:p>
    <w:p>
      <w:pPr>
        <w:snapToGrid w:val="0"/>
        <w:spacing w:line="360" w:lineRule="auto"/>
        <w:rPr>
          <w:rFonts w:ascii="仿宋" w:hAnsi="仿宋" w:eastAsia="仿宋" w:cs="仿宋"/>
          <w:b/>
          <w:sz w:val="24"/>
        </w:rPr>
      </w:pPr>
      <w:r>
        <w:rPr>
          <w:rFonts w:hint="eastAsia" w:ascii="仿宋" w:hAnsi="仿宋" w:eastAsia="仿宋" w:cs="仿宋"/>
          <w:b/>
          <w:sz w:val="24"/>
        </w:rPr>
        <w:t>1.1.4机动车交通照明标准值</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 xml:space="preserve">（1）设置连续照明的机动车交通道路的照明标准值应符合表1的规定。 </w:t>
      </w:r>
    </w:p>
    <w:p>
      <w:pPr>
        <w:spacing w:line="360" w:lineRule="auto"/>
        <w:rPr>
          <w:rFonts w:ascii="仿宋" w:hAnsi="仿宋" w:eastAsia="仿宋" w:cs="仿宋"/>
          <w:b/>
          <w:sz w:val="24"/>
        </w:rPr>
      </w:pPr>
      <w:r>
        <w:rPr>
          <w:rFonts w:hint="eastAsia" w:ascii="仿宋" w:hAnsi="仿宋" w:eastAsia="仿宋" w:cs="仿宋"/>
          <w:b/>
          <w:sz w:val="24"/>
        </w:rPr>
        <w:t>表1    机动车交通道路照明标准值</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75"/>
        <w:gridCol w:w="1031"/>
        <w:gridCol w:w="1129"/>
        <w:gridCol w:w="1281"/>
        <w:gridCol w:w="992"/>
        <w:gridCol w:w="967"/>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3" w:type="dxa"/>
            <w:vMerge w:val="restart"/>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级别</w:t>
            </w:r>
          </w:p>
        </w:tc>
        <w:tc>
          <w:tcPr>
            <w:tcW w:w="875" w:type="dxa"/>
            <w:vMerge w:val="restart"/>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道路类型</w:t>
            </w:r>
          </w:p>
        </w:tc>
        <w:tc>
          <w:tcPr>
            <w:tcW w:w="3441" w:type="dxa"/>
            <w:gridSpan w:val="3"/>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路面亮度</w:t>
            </w:r>
          </w:p>
        </w:tc>
        <w:tc>
          <w:tcPr>
            <w:tcW w:w="1959" w:type="dxa"/>
            <w:gridSpan w:val="2"/>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b/>
                <w:sz w:val="24"/>
              </w:rPr>
              <w:t>路面照度</w:t>
            </w:r>
          </w:p>
        </w:tc>
        <w:tc>
          <w:tcPr>
            <w:tcW w:w="1080" w:type="dxa"/>
            <w:vMerge w:val="restart"/>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眩光限制</w:t>
            </w:r>
          </w:p>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TI（%）</w:t>
            </w:r>
          </w:p>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最大初始值</w:t>
            </w:r>
          </w:p>
        </w:tc>
        <w:tc>
          <w:tcPr>
            <w:tcW w:w="900" w:type="dxa"/>
            <w:vMerge w:val="restart"/>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环境比</w:t>
            </w:r>
            <w:r>
              <w:rPr>
                <w:rFonts w:hint="eastAsia" w:ascii="仿宋" w:hAnsi="仿宋" w:eastAsia="仿宋" w:cs="仿宋"/>
                <w:sz w:val="24"/>
              </w:rPr>
              <w:t>SR</w:t>
            </w:r>
          </w:p>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673" w:type="dxa"/>
            <w:vMerge w:val="continue"/>
            <w:vAlign w:val="center"/>
          </w:tcPr>
          <w:p>
            <w:pPr>
              <w:spacing w:before="24" w:beforeLines="10" w:after="24" w:afterLines="10" w:line="360" w:lineRule="auto"/>
              <w:jc w:val="center"/>
              <w:rPr>
                <w:rFonts w:ascii="仿宋" w:hAnsi="仿宋" w:eastAsia="仿宋" w:cs="仿宋"/>
                <w:sz w:val="24"/>
              </w:rPr>
            </w:pPr>
          </w:p>
        </w:tc>
        <w:tc>
          <w:tcPr>
            <w:tcW w:w="875" w:type="dxa"/>
            <w:vMerge w:val="continue"/>
            <w:vAlign w:val="center"/>
          </w:tcPr>
          <w:p>
            <w:pPr>
              <w:spacing w:before="24" w:beforeLines="10" w:after="24" w:afterLines="10" w:line="360" w:lineRule="auto"/>
              <w:jc w:val="center"/>
              <w:rPr>
                <w:rFonts w:ascii="仿宋" w:hAnsi="仿宋" w:eastAsia="仿宋" w:cs="仿宋"/>
                <w:sz w:val="24"/>
              </w:rPr>
            </w:pPr>
          </w:p>
        </w:tc>
        <w:tc>
          <w:tcPr>
            <w:tcW w:w="103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平均亮度</w:t>
            </w:r>
          </w:p>
          <w:p>
            <w:pPr>
              <w:spacing w:line="360" w:lineRule="auto"/>
              <w:jc w:val="center"/>
              <w:rPr>
                <w:rFonts w:ascii="仿宋" w:hAnsi="仿宋" w:eastAsia="仿宋" w:cs="仿宋"/>
                <w:sz w:val="24"/>
              </w:rPr>
            </w:pPr>
            <w:r>
              <w:rPr>
                <w:rFonts w:hint="eastAsia" w:ascii="仿宋" w:hAnsi="仿宋" w:eastAsia="仿宋" w:cs="仿宋"/>
                <w:sz w:val="24"/>
              </w:rPr>
              <w:t>Lav（cd/m</w:t>
            </w:r>
            <w:r>
              <w:rPr>
                <w:rFonts w:hint="eastAsia" w:ascii="仿宋" w:hAnsi="仿宋" w:eastAsia="仿宋" w:cs="仿宋"/>
                <w:sz w:val="24"/>
                <w:vertAlign w:val="superscript"/>
              </w:rPr>
              <w:t>2</w:t>
            </w:r>
            <w:r>
              <w:rPr>
                <w:rFonts w:hint="eastAsia" w:ascii="仿宋" w:hAnsi="仿宋" w:eastAsia="仿宋" w:cs="仿宋"/>
                <w:sz w:val="24"/>
              </w:rPr>
              <w:t>）</w:t>
            </w:r>
          </w:p>
          <w:p>
            <w:pPr>
              <w:spacing w:line="360" w:lineRule="auto"/>
              <w:jc w:val="center"/>
              <w:rPr>
                <w:rFonts w:ascii="仿宋" w:hAnsi="仿宋" w:eastAsia="仿宋" w:cs="仿宋"/>
                <w:sz w:val="24"/>
              </w:rPr>
            </w:pPr>
            <w:r>
              <w:rPr>
                <w:rFonts w:hint="eastAsia" w:ascii="仿宋" w:hAnsi="仿宋" w:eastAsia="仿宋" w:cs="仿宋"/>
                <w:sz w:val="24"/>
              </w:rPr>
              <w:t>维持值</w:t>
            </w:r>
          </w:p>
        </w:tc>
        <w:tc>
          <w:tcPr>
            <w:tcW w:w="1129" w:type="dxa"/>
            <w:vAlign w:val="center"/>
          </w:tcPr>
          <w:p>
            <w:pPr>
              <w:spacing w:line="360" w:lineRule="auto"/>
              <w:jc w:val="center"/>
              <w:rPr>
                <w:rFonts w:ascii="仿宋" w:hAnsi="仿宋" w:eastAsia="仿宋" w:cs="仿宋"/>
                <w:sz w:val="24"/>
              </w:rPr>
            </w:pPr>
            <w:r>
              <w:rPr>
                <w:rFonts w:hint="eastAsia" w:ascii="仿宋" w:hAnsi="仿宋" w:eastAsia="仿宋" w:cs="仿宋"/>
                <w:b/>
                <w:sz w:val="24"/>
              </w:rPr>
              <w:t>总均匀度</w:t>
            </w:r>
            <w:r>
              <w:rPr>
                <w:rFonts w:hint="eastAsia" w:ascii="仿宋" w:hAnsi="仿宋" w:eastAsia="仿宋" w:cs="仿宋"/>
                <w:sz w:val="24"/>
              </w:rPr>
              <w:t>Uo</w:t>
            </w:r>
          </w:p>
          <w:p>
            <w:pPr>
              <w:spacing w:line="360" w:lineRule="auto"/>
              <w:jc w:val="center"/>
              <w:rPr>
                <w:rFonts w:ascii="仿宋" w:hAnsi="仿宋" w:eastAsia="仿宋" w:cs="仿宋"/>
                <w:sz w:val="24"/>
              </w:rPr>
            </w:pPr>
            <w:r>
              <w:rPr>
                <w:rFonts w:hint="eastAsia" w:ascii="仿宋" w:hAnsi="仿宋" w:eastAsia="仿宋" w:cs="仿宋"/>
                <w:sz w:val="24"/>
              </w:rPr>
              <w:t>最小值</w:t>
            </w:r>
          </w:p>
        </w:tc>
        <w:tc>
          <w:tcPr>
            <w:tcW w:w="1281" w:type="dxa"/>
            <w:vAlign w:val="center"/>
          </w:tcPr>
          <w:p>
            <w:pPr>
              <w:spacing w:line="360" w:lineRule="auto"/>
              <w:jc w:val="center"/>
              <w:rPr>
                <w:rFonts w:ascii="仿宋" w:hAnsi="仿宋" w:eastAsia="仿宋" w:cs="仿宋"/>
                <w:sz w:val="24"/>
              </w:rPr>
            </w:pPr>
            <w:r>
              <w:rPr>
                <w:rFonts w:hint="eastAsia" w:ascii="仿宋" w:hAnsi="仿宋" w:eastAsia="仿宋" w:cs="仿宋"/>
                <w:b/>
                <w:sz w:val="24"/>
              </w:rPr>
              <w:t>纵向均匀度</w:t>
            </w:r>
            <w:r>
              <w:rPr>
                <w:rFonts w:hint="eastAsia" w:ascii="仿宋" w:hAnsi="仿宋" w:eastAsia="仿宋" w:cs="仿宋"/>
                <w:sz w:val="24"/>
              </w:rPr>
              <w:t>U</w:t>
            </w:r>
            <w:r>
              <w:rPr>
                <w:rFonts w:hint="eastAsia" w:ascii="仿宋" w:hAnsi="仿宋" w:eastAsia="仿宋" w:cs="仿宋"/>
                <w:sz w:val="24"/>
                <w:vertAlign w:val="subscript"/>
              </w:rPr>
              <w:t>L</w:t>
            </w:r>
          </w:p>
          <w:p>
            <w:pPr>
              <w:spacing w:line="360" w:lineRule="auto"/>
              <w:jc w:val="center"/>
              <w:rPr>
                <w:rFonts w:ascii="仿宋" w:hAnsi="仿宋" w:eastAsia="仿宋" w:cs="仿宋"/>
                <w:sz w:val="24"/>
              </w:rPr>
            </w:pPr>
            <w:r>
              <w:rPr>
                <w:rFonts w:hint="eastAsia" w:ascii="仿宋" w:hAnsi="仿宋" w:eastAsia="仿宋" w:cs="仿宋"/>
                <w:sz w:val="24"/>
              </w:rPr>
              <w:t>最小值</w:t>
            </w:r>
          </w:p>
        </w:tc>
        <w:tc>
          <w:tcPr>
            <w:tcW w:w="99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平均照度</w:t>
            </w:r>
          </w:p>
          <w:p>
            <w:pPr>
              <w:spacing w:line="360" w:lineRule="auto"/>
              <w:jc w:val="center"/>
              <w:rPr>
                <w:rFonts w:ascii="仿宋" w:hAnsi="仿宋" w:eastAsia="仿宋" w:cs="仿宋"/>
                <w:sz w:val="24"/>
              </w:rPr>
            </w:pPr>
            <w:r>
              <w:rPr>
                <w:rFonts w:hint="eastAsia" w:ascii="仿宋" w:hAnsi="仿宋" w:eastAsia="仿宋" w:cs="仿宋"/>
                <w:sz w:val="24"/>
              </w:rPr>
              <w:t>Eav（lx）</w:t>
            </w:r>
          </w:p>
          <w:p>
            <w:pPr>
              <w:spacing w:line="360" w:lineRule="auto"/>
              <w:jc w:val="center"/>
              <w:rPr>
                <w:rFonts w:ascii="仿宋" w:hAnsi="仿宋" w:eastAsia="仿宋" w:cs="仿宋"/>
                <w:sz w:val="24"/>
              </w:rPr>
            </w:pPr>
            <w:r>
              <w:rPr>
                <w:rFonts w:hint="eastAsia" w:ascii="仿宋" w:hAnsi="仿宋" w:eastAsia="仿宋" w:cs="仿宋"/>
                <w:sz w:val="24"/>
              </w:rPr>
              <w:t>维持值</w:t>
            </w:r>
          </w:p>
        </w:tc>
        <w:tc>
          <w:tcPr>
            <w:tcW w:w="96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均匀度</w:t>
            </w:r>
            <w:r>
              <w:rPr>
                <w:rFonts w:hint="eastAsia" w:ascii="仿宋" w:hAnsi="仿宋" w:eastAsia="仿宋" w:cs="仿宋"/>
                <w:sz w:val="24"/>
              </w:rPr>
              <w:t>U</w:t>
            </w:r>
            <w:r>
              <w:rPr>
                <w:rFonts w:hint="eastAsia" w:ascii="仿宋" w:hAnsi="仿宋" w:eastAsia="仿宋" w:cs="仿宋"/>
                <w:sz w:val="24"/>
                <w:vertAlign w:val="subscript"/>
              </w:rPr>
              <w:t>E</w:t>
            </w:r>
          </w:p>
          <w:p>
            <w:pPr>
              <w:spacing w:line="360" w:lineRule="auto"/>
              <w:jc w:val="center"/>
              <w:rPr>
                <w:rFonts w:ascii="仿宋" w:hAnsi="仿宋" w:eastAsia="仿宋" w:cs="仿宋"/>
                <w:sz w:val="24"/>
              </w:rPr>
            </w:pPr>
            <w:r>
              <w:rPr>
                <w:rFonts w:hint="eastAsia" w:ascii="仿宋" w:hAnsi="仿宋" w:eastAsia="仿宋" w:cs="仿宋"/>
                <w:sz w:val="24"/>
              </w:rPr>
              <w:t>最小值</w:t>
            </w:r>
          </w:p>
        </w:tc>
        <w:tc>
          <w:tcPr>
            <w:tcW w:w="1080" w:type="dxa"/>
            <w:vMerge w:val="continue"/>
            <w:vAlign w:val="center"/>
          </w:tcPr>
          <w:p>
            <w:pPr>
              <w:spacing w:before="24" w:beforeLines="10" w:after="24" w:afterLines="10" w:line="360" w:lineRule="auto"/>
              <w:jc w:val="center"/>
              <w:rPr>
                <w:rFonts w:ascii="仿宋" w:hAnsi="仿宋" w:eastAsia="仿宋" w:cs="仿宋"/>
                <w:sz w:val="24"/>
              </w:rPr>
            </w:pPr>
          </w:p>
        </w:tc>
        <w:tc>
          <w:tcPr>
            <w:tcW w:w="900" w:type="dxa"/>
            <w:vMerge w:val="continue"/>
            <w:vAlign w:val="center"/>
          </w:tcPr>
          <w:p>
            <w:pPr>
              <w:spacing w:before="24" w:beforeLines="10" w:after="24" w:afterLines="10"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3" w:type="dxa"/>
            <w:vAlign w:val="center"/>
          </w:tcPr>
          <w:p>
            <w:pPr>
              <w:spacing w:before="24" w:beforeLines="10" w:after="24" w:afterLines="10" w:line="360" w:lineRule="auto"/>
              <w:jc w:val="center"/>
              <w:rPr>
                <w:rFonts w:ascii="仿宋" w:hAnsi="仿宋" w:eastAsia="仿宋" w:cs="仿宋"/>
                <w:kern w:val="0"/>
                <w:sz w:val="24"/>
              </w:rPr>
            </w:pPr>
            <w:r>
              <w:rPr>
                <w:rFonts w:hint="eastAsia" w:ascii="仿宋" w:hAnsi="仿宋" w:eastAsia="仿宋" w:cs="仿宋"/>
                <w:kern w:val="0"/>
                <w:sz w:val="24"/>
              </w:rPr>
              <w:t>Ⅰ</w:t>
            </w:r>
          </w:p>
        </w:tc>
        <w:tc>
          <w:tcPr>
            <w:tcW w:w="875"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快速路/</w:t>
            </w:r>
            <w:r>
              <w:rPr>
                <w:rFonts w:hint="eastAsia" w:ascii="仿宋" w:hAnsi="仿宋" w:eastAsia="仿宋" w:cs="仿宋"/>
                <w:kern w:val="0"/>
                <w:sz w:val="24"/>
              </w:rPr>
              <w:t>主干路</w:t>
            </w:r>
          </w:p>
        </w:tc>
        <w:tc>
          <w:tcPr>
            <w:tcW w:w="1031" w:type="dxa"/>
            <w:vAlign w:val="center"/>
          </w:tcPr>
          <w:p>
            <w:pPr>
              <w:pStyle w:val="421"/>
              <w:spacing w:line="360" w:lineRule="auto"/>
              <w:ind w:firstLine="160"/>
              <w:jc w:val="center"/>
              <w:rPr>
                <w:rFonts w:ascii="仿宋" w:hAnsi="仿宋" w:eastAsia="仿宋" w:cs="仿宋"/>
                <w:color w:val="auto"/>
              </w:rPr>
            </w:pPr>
            <w:r>
              <w:rPr>
                <w:rFonts w:hint="eastAsia" w:ascii="仿宋" w:hAnsi="仿宋" w:eastAsia="仿宋" w:cs="仿宋"/>
              </w:rPr>
              <w:t>1.50/2.00</w:t>
            </w:r>
          </w:p>
        </w:tc>
        <w:tc>
          <w:tcPr>
            <w:tcW w:w="1129"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0.4</w:t>
            </w:r>
          </w:p>
        </w:tc>
        <w:tc>
          <w:tcPr>
            <w:tcW w:w="1281"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0.7</w:t>
            </w:r>
          </w:p>
        </w:tc>
        <w:tc>
          <w:tcPr>
            <w:tcW w:w="992" w:type="dxa"/>
            <w:vAlign w:val="center"/>
          </w:tcPr>
          <w:p>
            <w:pPr>
              <w:pStyle w:val="421"/>
              <w:spacing w:line="360" w:lineRule="auto"/>
              <w:ind w:firstLine="160"/>
              <w:jc w:val="center"/>
              <w:rPr>
                <w:rFonts w:ascii="仿宋" w:hAnsi="仿宋" w:eastAsia="仿宋" w:cs="仿宋"/>
              </w:rPr>
            </w:pPr>
            <w:r>
              <w:rPr>
                <w:rFonts w:hint="eastAsia" w:ascii="仿宋" w:hAnsi="仿宋" w:eastAsia="仿宋" w:cs="仿宋"/>
              </w:rPr>
              <w:t>20/30</w:t>
            </w:r>
          </w:p>
        </w:tc>
        <w:tc>
          <w:tcPr>
            <w:tcW w:w="967"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0.4</w:t>
            </w:r>
          </w:p>
        </w:tc>
        <w:tc>
          <w:tcPr>
            <w:tcW w:w="108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10</w:t>
            </w:r>
          </w:p>
        </w:tc>
        <w:tc>
          <w:tcPr>
            <w:tcW w:w="90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Ⅱ</w:t>
            </w:r>
          </w:p>
        </w:tc>
        <w:tc>
          <w:tcPr>
            <w:tcW w:w="875"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kern w:val="0"/>
                <w:sz w:val="24"/>
              </w:rPr>
              <w:t>次干路</w:t>
            </w:r>
          </w:p>
        </w:tc>
        <w:tc>
          <w:tcPr>
            <w:tcW w:w="1031"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1.00/1.50</w:t>
            </w:r>
          </w:p>
        </w:tc>
        <w:tc>
          <w:tcPr>
            <w:tcW w:w="1129"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0.4</w:t>
            </w:r>
          </w:p>
        </w:tc>
        <w:tc>
          <w:tcPr>
            <w:tcW w:w="1281"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0.5</w:t>
            </w:r>
          </w:p>
        </w:tc>
        <w:tc>
          <w:tcPr>
            <w:tcW w:w="992" w:type="dxa"/>
            <w:vAlign w:val="center"/>
          </w:tcPr>
          <w:p>
            <w:pPr>
              <w:pStyle w:val="421"/>
              <w:spacing w:line="360" w:lineRule="auto"/>
              <w:ind w:firstLine="160"/>
              <w:jc w:val="center"/>
              <w:rPr>
                <w:rFonts w:ascii="仿宋" w:hAnsi="仿宋" w:eastAsia="仿宋" w:cs="仿宋"/>
              </w:rPr>
            </w:pPr>
            <w:r>
              <w:rPr>
                <w:rFonts w:hint="eastAsia" w:ascii="仿宋" w:hAnsi="仿宋" w:eastAsia="仿宋" w:cs="仿宋"/>
              </w:rPr>
              <w:t>15/20</w:t>
            </w:r>
          </w:p>
        </w:tc>
        <w:tc>
          <w:tcPr>
            <w:tcW w:w="967"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0.4</w:t>
            </w:r>
          </w:p>
        </w:tc>
        <w:tc>
          <w:tcPr>
            <w:tcW w:w="108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10</w:t>
            </w:r>
          </w:p>
        </w:tc>
        <w:tc>
          <w:tcPr>
            <w:tcW w:w="90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Ⅲ</w:t>
            </w:r>
          </w:p>
        </w:tc>
        <w:tc>
          <w:tcPr>
            <w:tcW w:w="875"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kern w:val="0"/>
                <w:sz w:val="24"/>
              </w:rPr>
              <w:t>支路</w:t>
            </w:r>
          </w:p>
        </w:tc>
        <w:tc>
          <w:tcPr>
            <w:tcW w:w="1031" w:type="dxa"/>
            <w:vAlign w:val="center"/>
          </w:tcPr>
          <w:p>
            <w:pPr>
              <w:pStyle w:val="421"/>
              <w:spacing w:line="360" w:lineRule="auto"/>
              <w:ind w:firstLine="160"/>
              <w:jc w:val="center"/>
              <w:rPr>
                <w:rFonts w:ascii="仿宋" w:hAnsi="仿宋" w:eastAsia="仿宋" w:cs="仿宋"/>
              </w:rPr>
            </w:pPr>
            <w:r>
              <w:rPr>
                <w:rFonts w:hint="eastAsia" w:ascii="仿宋" w:hAnsi="仿宋" w:eastAsia="仿宋" w:cs="仿宋"/>
              </w:rPr>
              <w:t>0.50/0.75</w:t>
            </w:r>
          </w:p>
        </w:tc>
        <w:tc>
          <w:tcPr>
            <w:tcW w:w="1129"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0.4</w:t>
            </w:r>
          </w:p>
        </w:tc>
        <w:tc>
          <w:tcPr>
            <w:tcW w:w="1281"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w:t>
            </w:r>
          </w:p>
        </w:tc>
        <w:tc>
          <w:tcPr>
            <w:tcW w:w="992" w:type="dxa"/>
            <w:vAlign w:val="center"/>
          </w:tcPr>
          <w:p>
            <w:pPr>
              <w:pStyle w:val="421"/>
              <w:spacing w:line="360" w:lineRule="auto"/>
              <w:ind w:firstLine="160"/>
              <w:jc w:val="center"/>
              <w:rPr>
                <w:rFonts w:ascii="仿宋" w:hAnsi="仿宋" w:eastAsia="仿宋" w:cs="仿宋"/>
              </w:rPr>
            </w:pPr>
            <w:r>
              <w:rPr>
                <w:rFonts w:hint="eastAsia" w:ascii="仿宋" w:hAnsi="仿宋" w:eastAsia="仿宋" w:cs="仿宋"/>
              </w:rPr>
              <w:t>8/10</w:t>
            </w:r>
          </w:p>
        </w:tc>
        <w:tc>
          <w:tcPr>
            <w:tcW w:w="967"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0.3</w:t>
            </w:r>
          </w:p>
        </w:tc>
        <w:tc>
          <w:tcPr>
            <w:tcW w:w="108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15</w:t>
            </w:r>
          </w:p>
        </w:tc>
        <w:tc>
          <w:tcPr>
            <w:tcW w:w="900" w:type="dxa"/>
            <w:vAlign w:val="center"/>
          </w:tcPr>
          <w:p>
            <w:pPr>
              <w:spacing w:before="24" w:beforeLines="10" w:after="24" w:afterLines="10" w:line="360" w:lineRule="auto"/>
              <w:jc w:val="center"/>
              <w:rPr>
                <w:rFonts w:ascii="仿宋" w:hAnsi="仿宋" w:eastAsia="仿宋" w:cs="仿宋"/>
                <w:sz w:val="24"/>
              </w:rPr>
            </w:pPr>
            <w:r>
              <w:rPr>
                <w:rFonts w:hint="eastAsia" w:ascii="仿宋" w:hAnsi="仿宋" w:eastAsia="仿宋" w:cs="仿宋"/>
                <w:sz w:val="24"/>
              </w:rPr>
              <w:t>——</w:t>
            </w:r>
          </w:p>
        </w:tc>
      </w:tr>
    </w:tbl>
    <w:p>
      <w:pPr>
        <w:snapToGrid w:val="0"/>
        <w:spacing w:line="360" w:lineRule="auto"/>
        <w:ind w:firstLine="241" w:firstLineChars="100"/>
        <w:rPr>
          <w:rFonts w:ascii="仿宋" w:hAnsi="仿宋" w:eastAsia="仿宋" w:cs="仿宋"/>
          <w:color w:val="000000"/>
          <w:sz w:val="24"/>
        </w:rPr>
      </w:pPr>
      <w:r>
        <w:rPr>
          <w:rFonts w:hint="eastAsia" w:ascii="仿宋" w:hAnsi="仿宋" w:eastAsia="仿宋" w:cs="仿宋"/>
          <w:b/>
          <w:kern w:val="0"/>
          <w:sz w:val="24"/>
        </w:rPr>
        <w:t>注:</w:t>
      </w:r>
      <w:r>
        <w:rPr>
          <w:rFonts w:hint="eastAsia" w:ascii="仿宋" w:hAnsi="仿宋" w:eastAsia="仿宋" w:cs="仿宋"/>
          <w:kern w:val="0"/>
          <w:sz w:val="24"/>
        </w:rPr>
        <w:t xml:space="preserve"> </w:t>
      </w:r>
      <w:r>
        <w:rPr>
          <w:rFonts w:hint="eastAsia" w:ascii="仿宋" w:hAnsi="仿宋" w:eastAsia="仿宋" w:cs="仿宋"/>
          <w:color w:val="000000"/>
          <w:sz w:val="24"/>
        </w:rPr>
        <w:t>① 表中所列的平均照度适用于各种路面。</w:t>
      </w:r>
    </w:p>
    <w:p>
      <w:pPr>
        <w:snapToGrid w:val="0"/>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② 计算路面的维持平均亮度或维持平均照度时应根据通行车辆和擦拭周期和光源光衰特性，按照本标准维护系数取值为：以每年对灯具进行一次擦拭为前提，维护系数取0.8。</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（2）本项目各条道路照明标准值均按照上述表中“/”右侧高档值效果实现，以保证最好的照明效果。</w:t>
      </w:r>
    </w:p>
    <w:p>
      <w:pPr>
        <w:snapToGrid w:val="0"/>
        <w:spacing w:line="360" w:lineRule="auto"/>
        <w:rPr>
          <w:rFonts w:ascii="仿宋" w:hAnsi="仿宋" w:eastAsia="仿宋" w:cs="仿宋"/>
          <w:b/>
          <w:sz w:val="24"/>
        </w:rPr>
      </w:pPr>
      <w:r>
        <w:rPr>
          <w:rFonts w:hint="eastAsia" w:ascii="仿宋" w:hAnsi="仿宋" w:eastAsia="仿宋" w:cs="仿宋"/>
          <w:b/>
          <w:sz w:val="24"/>
        </w:rPr>
        <w:t>1.1.5交会区照明标准值</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（1）交会区照明宜采用照度作为评价指标。交会区的照明标准值应符合表2的规定。</w:t>
      </w:r>
    </w:p>
    <w:p>
      <w:pPr>
        <w:spacing w:line="360" w:lineRule="auto"/>
        <w:rPr>
          <w:rFonts w:ascii="仿宋" w:hAnsi="仿宋" w:eastAsia="仿宋" w:cs="仿宋"/>
          <w:b/>
          <w:sz w:val="24"/>
        </w:rPr>
      </w:pPr>
      <w:r>
        <w:rPr>
          <w:rFonts w:hint="eastAsia" w:ascii="仿宋" w:hAnsi="仿宋" w:eastAsia="仿宋" w:cs="仿宋"/>
          <w:b/>
          <w:sz w:val="24"/>
        </w:rPr>
        <w:t>表2  交会区照明标准值</w:t>
      </w:r>
    </w:p>
    <w:tbl>
      <w:tblPr>
        <w:tblStyle w:val="6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2403"/>
        <w:gridCol w:w="182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02" w:type="dxa"/>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交会区类型</w:t>
            </w:r>
          </w:p>
        </w:tc>
        <w:tc>
          <w:tcPr>
            <w:tcW w:w="240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路面平均照度</w:t>
            </w:r>
          </w:p>
          <w:p>
            <w:pPr>
              <w:spacing w:line="360" w:lineRule="auto"/>
              <w:jc w:val="center"/>
              <w:rPr>
                <w:rFonts w:ascii="仿宋" w:hAnsi="仿宋" w:eastAsia="仿宋" w:cs="仿宋"/>
                <w:b/>
                <w:sz w:val="24"/>
              </w:rPr>
            </w:pPr>
            <w:r>
              <w:rPr>
                <w:rFonts w:hint="eastAsia" w:ascii="仿宋" w:hAnsi="仿宋" w:eastAsia="仿宋" w:cs="仿宋"/>
                <w:b/>
                <w:sz w:val="24"/>
              </w:rPr>
              <w:t>Eav(lx)，维持值</w:t>
            </w:r>
          </w:p>
        </w:tc>
        <w:tc>
          <w:tcPr>
            <w:tcW w:w="182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照度均匀度</w:t>
            </w:r>
          </w:p>
          <w:p>
            <w:pPr>
              <w:spacing w:line="360" w:lineRule="auto"/>
              <w:jc w:val="center"/>
              <w:rPr>
                <w:rFonts w:ascii="仿宋" w:hAnsi="仿宋" w:eastAsia="仿宋" w:cs="仿宋"/>
                <w:b/>
                <w:sz w:val="24"/>
              </w:rPr>
            </w:pPr>
            <w:r>
              <w:rPr>
                <w:rFonts w:hint="eastAsia" w:ascii="仿宋" w:hAnsi="仿宋" w:eastAsia="仿宋" w:cs="仿宋"/>
                <w:b/>
                <w:sz w:val="24"/>
              </w:rPr>
              <w:t>UE</w:t>
            </w:r>
          </w:p>
        </w:tc>
        <w:tc>
          <w:tcPr>
            <w:tcW w:w="2268" w:type="dxa"/>
            <w:vAlign w:val="center"/>
          </w:tcPr>
          <w:p>
            <w:pPr>
              <w:spacing w:before="24" w:beforeLines="10" w:after="24" w:afterLines="10" w:line="360" w:lineRule="auto"/>
              <w:jc w:val="center"/>
              <w:rPr>
                <w:rFonts w:ascii="仿宋" w:hAnsi="仿宋" w:eastAsia="仿宋" w:cs="仿宋"/>
                <w:b/>
                <w:sz w:val="24"/>
              </w:rPr>
            </w:pPr>
            <w:r>
              <w:rPr>
                <w:rFonts w:hint="eastAsia" w:ascii="仿宋" w:hAnsi="仿宋" w:eastAsia="仿宋" w:cs="仿宋"/>
                <w:b/>
                <w:sz w:val="24"/>
              </w:rPr>
              <w:t>眩光限制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主干路与主干路交会</w:t>
            </w:r>
          </w:p>
        </w:tc>
        <w:tc>
          <w:tcPr>
            <w:tcW w:w="2403"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30/50</w:t>
            </w:r>
          </w:p>
        </w:tc>
        <w:tc>
          <w:tcPr>
            <w:tcW w:w="1824"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0.4</w:t>
            </w:r>
          </w:p>
        </w:tc>
        <w:tc>
          <w:tcPr>
            <w:tcW w:w="2268" w:type="dxa"/>
            <w:vMerge w:val="restart"/>
            <w:vAlign w:val="center"/>
          </w:tcPr>
          <w:p>
            <w:pPr>
              <w:widowControl/>
              <w:spacing w:line="360" w:lineRule="auto"/>
              <w:jc w:val="left"/>
              <w:rPr>
                <w:rFonts w:ascii="仿宋" w:hAnsi="仿宋" w:eastAsia="仿宋" w:cs="仿宋"/>
                <w:sz w:val="24"/>
              </w:rPr>
            </w:pPr>
            <w:r>
              <w:rPr>
                <w:rFonts w:hint="eastAsia" w:ascii="仿宋" w:hAnsi="仿宋" w:eastAsia="仿宋" w:cs="仿宋"/>
                <w:kern w:val="0"/>
                <w:sz w:val="24"/>
              </w:rPr>
              <w:t>驾驶员观看灯具的方位角上，灯具在90°和80°高度角方向上的光强分别不得超过10cd/1000lm和30cd/1000lm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主干路与次干路交会</w:t>
            </w:r>
          </w:p>
        </w:tc>
        <w:tc>
          <w:tcPr>
            <w:tcW w:w="2403" w:type="dxa"/>
            <w:vMerge w:val="continue"/>
            <w:vAlign w:val="center"/>
          </w:tcPr>
          <w:p>
            <w:pPr>
              <w:spacing w:line="360" w:lineRule="auto"/>
              <w:jc w:val="center"/>
              <w:rPr>
                <w:rFonts w:ascii="仿宋" w:hAnsi="仿宋" w:eastAsia="仿宋" w:cs="仿宋"/>
                <w:sz w:val="24"/>
              </w:rPr>
            </w:pPr>
          </w:p>
        </w:tc>
        <w:tc>
          <w:tcPr>
            <w:tcW w:w="1824" w:type="dxa"/>
            <w:vMerge w:val="continue"/>
            <w:vAlign w:val="center"/>
          </w:tcPr>
          <w:p>
            <w:pPr>
              <w:spacing w:line="360" w:lineRule="auto"/>
              <w:jc w:val="center"/>
              <w:rPr>
                <w:rFonts w:ascii="仿宋" w:hAnsi="仿宋" w:eastAsia="仿宋" w:cs="仿宋"/>
                <w:sz w:val="24"/>
              </w:rPr>
            </w:pPr>
          </w:p>
        </w:tc>
        <w:tc>
          <w:tcPr>
            <w:tcW w:w="2268"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主干路与支路交会</w:t>
            </w:r>
          </w:p>
        </w:tc>
        <w:tc>
          <w:tcPr>
            <w:tcW w:w="2403" w:type="dxa"/>
            <w:vMerge w:val="continue"/>
            <w:vAlign w:val="center"/>
          </w:tcPr>
          <w:p>
            <w:pPr>
              <w:spacing w:line="360" w:lineRule="auto"/>
              <w:jc w:val="center"/>
              <w:rPr>
                <w:rFonts w:ascii="仿宋" w:hAnsi="仿宋" w:eastAsia="仿宋" w:cs="仿宋"/>
                <w:sz w:val="24"/>
              </w:rPr>
            </w:pPr>
          </w:p>
        </w:tc>
        <w:tc>
          <w:tcPr>
            <w:tcW w:w="1824" w:type="dxa"/>
            <w:vMerge w:val="continue"/>
            <w:vAlign w:val="center"/>
          </w:tcPr>
          <w:p>
            <w:pPr>
              <w:spacing w:line="360" w:lineRule="auto"/>
              <w:jc w:val="center"/>
              <w:rPr>
                <w:rFonts w:ascii="仿宋" w:hAnsi="仿宋" w:eastAsia="仿宋" w:cs="仿宋"/>
                <w:sz w:val="24"/>
              </w:rPr>
            </w:pPr>
          </w:p>
        </w:tc>
        <w:tc>
          <w:tcPr>
            <w:tcW w:w="2268"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次干路与次干路交会</w:t>
            </w:r>
          </w:p>
        </w:tc>
        <w:tc>
          <w:tcPr>
            <w:tcW w:w="2403"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30/30</w:t>
            </w:r>
          </w:p>
        </w:tc>
        <w:tc>
          <w:tcPr>
            <w:tcW w:w="1824" w:type="dxa"/>
            <w:vMerge w:val="continue"/>
            <w:vAlign w:val="center"/>
          </w:tcPr>
          <w:p>
            <w:pPr>
              <w:spacing w:line="360" w:lineRule="auto"/>
              <w:jc w:val="center"/>
              <w:rPr>
                <w:rFonts w:ascii="仿宋" w:hAnsi="仿宋" w:eastAsia="仿宋" w:cs="仿宋"/>
                <w:sz w:val="24"/>
              </w:rPr>
            </w:pPr>
          </w:p>
        </w:tc>
        <w:tc>
          <w:tcPr>
            <w:tcW w:w="2268"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次干路与支路交会</w:t>
            </w:r>
          </w:p>
        </w:tc>
        <w:tc>
          <w:tcPr>
            <w:tcW w:w="2403" w:type="dxa"/>
            <w:vMerge w:val="continue"/>
            <w:vAlign w:val="center"/>
          </w:tcPr>
          <w:p>
            <w:pPr>
              <w:spacing w:line="360" w:lineRule="auto"/>
              <w:jc w:val="center"/>
              <w:rPr>
                <w:rFonts w:ascii="仿宋" w:hAnsi="仿宋" w:eastAsia="仿宋" w:cs="仿宋"/>
                <w:sz w:val="24"/>
              </w:rPr>
            </w:pPr>
          </w:p>
        </w:tc>
        <w:tc>
          <w:tcPr>
            <w:tcW w:w="1824" w:type="dxa"/>
            <w:vMerge w:val="continue"/>
            <w:vAlign w:val="center"/>
          </w:tcPr>
          <w:p>
            <w:pPr>
              <w:spacing w:line="360" w:lineRule="auto"/>
              <w:jc w:val="center"/>
              <w:rPr>
                <w:rFonts w:ascii="仿宋" w:hAnsi="仿宋" w:eastAsia="仿宋" w:cs="仿宋"/>
                <w:sz w:val="24"/>
              </w:rPr>
            </w:pPr>
          </w:p>
        </w:tc>
        <w:tc>
          <w:tcPr>
            <w:tcW w:w="2268"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2" w:type="dxa"/>
            <w:vAlign w:val="center"/>
          </w:tcPr>
          <w:p>
            <w:pPr>
              <w:spacing w:line="360" w:lineRule="auto"/>
              <w:jc w:val="center"/>
              <w:rPr>
                <w:rFonts w:ascii="仿宋" w:hAnsi="仿宋" w:eastAsia="仿宋" w:cs="仿宋"/>
                <w:sz w:val="24"/>
              </w:rPr>
            </w:pPr>
            <w:r>
              <w:rPr>
                <w:rFonts w:hint="eastAsia" w:ascii="仿宋" w:hAnsi="仿宋" w:eastAsia="仿宋" w:cs="仿宋"/>
                <w:sz w:val="24"/>
              </w:rPr>
              <w:t>支路与支路交会</w:t>
            </w:r>
          </w:p>
        </w:tc>
        <w:tc>
          <w:tcPr>
            <w:tcW w:w="2403" w:type="dxa"/>
            <w:vAlign w:val="center"/>
          </w:tcPr>
          <w:p>
            <w:pPr>
              <w:spacing w:line="360" w:lineRule="auto"/>
              <w:jc w:val="center"/>
              <w:rPr>
                <w:rFonts w:ascii="仿宋" w:hAnsi="仿宋" w:eastAsia="仿宋" w:cs="仿宋"/>
                <w:sz w:val="24"/>
              </w:rPr>
            </w:pPr>
            <w:r>
              <w:rPr>
                <w:rFonts w:hint="eastAsia" w:ascii="仿宋" w:hAnsi="仿宋" w:eastAsia="仿宋" w:cs="仿宋"/>
                <w:sz w:val="24"/>
              </w:rPr>
              <w:t>15/20</w:t>
            </w:r>
          </w:p>
        </w:tc>
        <w:tc>
          <w:tcPr>
            <w:tcW w:w="1824" w:type="dxa"/>
            <w:vMerge w:val="continue"/>
            <w:vAlign w:val="center"/>
          </w:tcPr>
          <w:p>
            <w:pPr>
              <w:spacing w:line="360" w:lineRule="auto"/>
              <w:jc w:val="center"/>
              <w:rPr>
                <w:rFonts w:ascii="仿宋" w:hAnsi="仿宋" w:eastAsia="仿宋" w:cs="仿宋"/>
                <w:sz w:val="24"/>
              </w:rPr>
            </w:pPr>
          </w:p>
        </w:tc>
        <w:tc>
          <w:tcPr>
            <w:tcW w:w="2268" w:type="dxa"/>
            <w:vMerge w:val="continue"/>
            <w:vAlign w:val="center"/>
          </w:tcPr>
          <w:p>
            <w:pPr>
              <w:spacing w:line="360" w:lineRule="auto"/>
              <w:jc w:val="center"/>
              <w:rPr>
                <w:rFonts w:ascii="仿宋" w:hAnsi="仿宋" w:eastAsia="仿宋" w:cs="仿宋"/>
                <w:sz w:val="24"/>
              </w:rPr>
            </w:pPr>
          </w:p>
        </w:tc>
      </w:tr>
    </w:tbl>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注:灯具的高度角是在现场安装使用姿态下度量。</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（2）本项目各条道路交会区照明标准值均按照上述表中“/”右侧高档值效果实现，以保证最好的照明效果。</w:t>
      </w:r>
    </w:p>
    <w:p>
      <w:pPr>
        <w:snapToGrid w:val="0"/>
        <w:spacing w:line="360" w:lineRule="auto"/>
        <w:rPr>
          <w:rFonts w:ascii="仿宋" w:hAnsi="仿宋" w:eastAsia="仿宋" w:cs="仿宋"/>
          <w:b/>
          <w:sz w:val="24"/>
        </w:rPr>
      </w:pPr>
      <w:r>
        <w:rPr>
          <w:rFonts w:hint="eastAsia" w:ascii="仿宋" w:hAnsi="仿宋" w:eastAsia="仿宋" w:cs="仿宋"/>
          <w:b/>
          <w:sz w:val="24"/>
        </w:rPr>
        <w:t>1.1.6人行及非机动车道照明标准值</w:t>
      </w:r>
    </w:p>
    <w:p>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主要供行人和非机动车混合的商业区、居住区人行道路的照明标准值应符合表3的规定。</w:t>
      </w:r>
    </w:p>
    <w:p>
      <w:pPr>
        <w:spacing w:line="360" w:lineRule="auto"/>
        <w:rPr>
          <w:rFonts w:ascii="仿宋" w:hAnsi="仿宋" w:eastAsia="仿宋" w:cs="仿宋"/>
          <w:b/>
          <w:sz w:val="24"/>
        </w:rPr>
      </w:pPr>
      <w:r>
        <w:rPr>
          <w:rFonts w:hint="eastAsia" w:ascii="仿宋" w:hAnsi="仿宋" w:eastAsia="仿宋" w:cs="仿宋"/>
          <w:b/>
          <w:sz w:val="24"/>
        </w:rPr>
        <w:t>表3  人行及非机动车道照明标准值</w:t>
      </w:r>
    </w:p>
    <w:p>
      <w:pPr>
        <w:spacing w:line="360" w:lineRule="auto"/>
        <w:rPr>
          <w:rFonts w:ascii="仿宋" w:hAnsi="仿宋" w:eastAsia="仿宋" w:cs="仿宋"/>
          <w:b/>
          <w:sz w:val="24"/>
        </w:rPr>
      </w:pPr>
    </w:p>
    <w:tbl>
      <w:tblPr>
        <w:tblStyle w:val="61"/>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5"/>
        <w:gridCol w:w="1523"/>
        <w:gridCol w:w="1634"/>
        <w:gridCol w:w="162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vAlign w:val="center"/>
          </w:tcPr>
          <w:p>
            <w:pPr>
              <w:spacing w:line="360" w:lineRule="auto"/>
              <w:jc w:val="center"/>
              <w:rPr>
                <w:rFonts w:ascii="仿宋" w:hAnsi="仿宋" w:eastAsia="仿宋" w:cs="仿宋"/>
                <w:b/>
                <w:kern w:val="0"/>
                <w:sz w:val="24"/>
              </w:rPr>
            </w:pPr>
            <w:r>
              <w:rPr>
                <w:rFonts w:hint="eastAsia" w:ascii="仿宋" w:hAnsi="仿宋" w:eastAsia="仿宋" w:cs="仿宋"/>
                <w:b/>
                <w:kern w:val="0"/>
                <w:sz w:val="24"/>
              </w:rPr>
              <w:t>级别</w:t>
            </w:r>
          </w:p>
        </w:tc>
        <w:tc>
          <w:tcPr>
            <w:tcW w:w="1745" w:type="dxa"/>
            <w:vAlign w:val="center"/>
          </w:tcPr>
          <w:p>
            <w:pPr>
              <w:spacing w:line="360" w:lineRule="auto"/>
              <w:jc w:val="center"/>
              <w:rPr>
                <w:rFonts w:ascii="仿宋" w:hAnsi="仿宋" w:eastAsia="仿宋" w:cs="仿宋"/>
                <w:kern w:val="0"/>
                <w:sz w:val="24"/>
              </w:rPr>
            </w:pPr>
            <w:r>
              <w:rPr>
                <w:rFonts w:hint="eastAsia" w:ascii="仿宋" w:hAnsi="仿宋" w:eastAsia="仿宋" w:cs="仿宋"/>
                <w:b/>
                <w:sz w:val="24"/>
              </w:rPr>
              <w:t>道路类型</w:t>
            </w:r>
          </w:p>
        </w:tc>
        <w:tc>
          <w:tcPr>
            <w:tcW w:w="1523" w:type="dxa"/>
            <w:vAlign w:val="center"/>
          </w:tcPr>
          <w:p>
            <w:pPr>
              <w:spacing w:line="360" w:lineRule="auto"/>
              <w:jc w:val="center"/>
              <w:rPr>
                <w:rFonts w:ascii="仿宋" w:hAnsi="仿宋" w:eastAsia="仿宋" w:cs="仿宋"/>
                <w:b/>
                <w:kern w:val="0"/>
                <w:sz w:val="24"/>
              </w:rPr>
            </w:pPr>
            <w:r>
              <w:rPr>
                <w:rFonts w:hint="eastAsia" w:ascii="仿宋" w:hAnsi="仿宋" w:eastAsia="仿宋" w:cs="仿宋"/>
                <w:b/>
                <w:kern w:val="0"/>
                <w:sz w:val="24"/>
              </w:rPr>
              <w:t>路面平均照度</w:t>
            </w:r>
          </w:p>
          <w:p>
            <w:pPr>
              <w:spacing w:line="360" w:lineRule="auto"/>
              <w:jc w:val="center"/>
              <w:rPr>
                <w:rFonts w:ascii="仿宋" w:hAnsi="仿宋" w:eastAsia="仿宋" w:cs="仿宋"/>
                <w:kern w:val="0"/>
                <w:sz w:val="24"/>
              </w:rPr>
            </w:pPr>
            <w:r>
              <w:rPr>
                <w:rFonts w:hint="eastAsia" w:ascii="仿宋" w:hAnsi="仿宋" w:eastAsia="仿宋" w:cs="仿宋"/>
                <w:kern w:val="0"/>
                <w:sz w:val="24"/>
              </w:rPr>
              <w:t>E</w:t>
            </w:r>
            <w:r>
              <w:rPr>
                <w:rFonts w:hint="eastAsia" w:ascii="仿宋" w:hAnsi="仿宋" w:eastAsia="仿宋" w:cs="仿宋"/>
                <w:kern w:val="0"/>
                <w:sz w:val="24"/>
                <w:vertAlign w:val="subscript"/>
              </w:rPr>
              <w:t>h，av</w:t>
            </w:r>
            <w:r>
              <w:rPr>
                <w:rFonts w:hint="eastAsia" w:ascii="仿宋" w:hAnsi="仿宋" w:eastAsia="仿宋" w:cs="仿宋"/>
                <w:kern w:val="0"/>
                <w:sz w:val="24"/>
              </w:rPr>
              <w:t xml:space="preserve"> (lx)</w:t>
            </w:r>
          </w:p>
          <w:p>
            <w:pPr>
              <w:spacing w:line="360" w:lineRule="auto"/>
              <w:jc w:val="center"/>
              <w:rPr>
                <w:rFonts w:ascii="仿宋" w:hAnsi="仿宋" w:eastAsia="仿宋" w:cs="仿宋"/>
                <w:kern w:val="0"/>
                <w:sz w:val="24"/>
              </w:rPr>
            </w:pPr>
            <w:r>
              <w:rPr>
                <w:rFonts w:hint="eastAsia" w:ascii="仿宋" w:hAnsi="仿宋" w:eastAsia="仿宋" w:cs="仿宋"/>
                <w:kern w:val="0"/>
                <w:sz w:val="24"/>
              </w:rPr>
              <w:t>维持值</w:t>
            </w:r>
          </w:p>
        </w:tc>
        <w:tc>
          <w:tcPr>
            <w:tcW w:w="1634" w:type="dxa"/>
            <w:vAlign w:val="center"/>
          </w:tcPr>
          <w:p>
            <w:pPr>
              <w:spacing w:line="360" w:lineRule="auto"/>
              <w:jc w:val="center"/>
              <w:rPr>
                <w:rFonts w:ascii="仿宋" w:hAnsi="仿宋" w:eastAsia="仿宋" w:cs="仿宋"/>
                <w:b/>
                <w:kern w:val="0"/>
                <w:sz w:val="24"/>
                <w:lang w:val="de-DE"/>
              </w:rPr>
            </w:pPr>
            <w:r>
              <w:rPr>
                <w:rFonts w:hint="eastAsia" w:ascii="仿宋" w:hAnsi="仿宋" w:eastAsia="仿宋" w:cs="仿宋"/>
                <w:b/>
                <w:kern w:val="0"/>
                <w:sz w:val="24"/>
              </w:rPr>
              <w:t>路面最小照度</w:t>
            </w:r>
          </w:p>
          <w:p>
            <w:pPr>
              <w:spacing w:line="360" w:lineRule="auto"/>
              <w:jc w:val="center"/>
              <w:rPr>
                <w:rFonts w:ascii="仿宋" w:hAnsi="仿宋" w:eastAsia="仿宋" w:cs="仿宋"/>
                <w:kern w:val="0"/>
                <w:sz w:val="24"/>
                <w:lang w:val="de-DE"/>
              </w:rPr>
            </w:pPr>
            <w:r>
              <w:rPr>
                <w:rFonts w:hint="eastAsia" w:ascii="仿宋" w:hAnsi="仿宋" w:eastAsia="仿宋" w:cs="仿宋"/>
                <w:kern w:val="0"/>
                <w:sz w:val="24"/>
                <w:lang w:val="de-DE"/>
              </w:rPr>
              <w:t>E</w:t>
            </w:r>
            <w:r>
              <w:rPr>
                <w:rFonts w:hint="eastAsia" w:ascii="仿宋" w:hAnsi="仿宋" w:eastAsia="仿宋" w:cs="仿宋"/>
                <w:kern w:val="0"/>
                <w:sz w:val="24"/>
                <w:vertAlign w:val="subscript"/>
                <w:lang w:val="de-DE"/>
              </w:rPr>
              <w:t xml:space="preserve"> h，min</w:t>
            </w:r>
            <w:r>
              <w:rPr>
                <w:rFonts w:hint="eastAsia" w:ascii="仿宋" w:hAnsi="仿宋" w:eastAsia="仿宋" w:cs="仿宋"/>
                <w:kern w:val="0"/>
                <w:sz w:val="24"/>
                <w:lang w:val="de-DE"/>
              </w:rPr>
              <w:t>(lx)</w:t>
            </w:r>
          </w:p>
          <w:p>
            <w:pPr>
              <w:spacing w:line="360" w:lineRule="auto"/>
              <w:jc w:val="center"/>
              <w:rPr>
                <w:rFonts w:ascii="仿宋" w:hAnsi="仿宋" w:eastAsia="仿宋" w:cs="仿宋"/>
                <w:kern w:val="0"/>
                <w:sz w:val="24"/>
              </w:rPr>
            </w:pPr>
            <w:r>
              <w:rPr>
                <w:rFonts w:hint="eastAsia" w:ascii="仿宋" w:hAnsi="仿宋" w:eastAsia="仿宋" w:cs="仿宋"/>
                <w:kern w:val="0"/>
                <w:sz w:val="24"/>
              </w:rPr>
              <w:t>维持值</w:t>
            </w:r>
          </w:p>
        </w:tc>
        <w:tc>
          <w:tcPr>
            <w:tcW w:w="1622" w:type="dxa"/>
            <w:vAlign w:val="center"/>
          </w:tcPr>
          <w:p>
            <w:pPr>
              <w:spacing w:line="360" w:lineRule="auto"/>
              <w:jc w:val="center"/>
              <w:rPr>
                <w:rFonts w:ascii="仿宋" w:hAnsi="仿宋" w:eastAsia="仿宋" w:cs="仿宋"/>
                <w:b/>
                <w:kern w:val="0"/>
                <w:sz w:val="24"/>
              </w:rPr>
            </w:pPr>
            <w:r>
              <w:rPr>
                <w:rFonts w:hint="eastAsia" w:ascii="仿宋" w:hAnsi="仿宋" w:eastAsia="仿宋" w:cs="仿宋"/>
                <w:b/>
                <w:kern w:val="0"/>
                <w:sz w:val="24"/>
              </w:rPr>
              <w:t>最小垂直照度</w:t>
            </w:r>
          </w:p>
          <w:p>
            <w:pPr>
              <w:spacing w:line="360" w:lineRule="auto"/>
              <w:jc w:val="center"/>
              <w:rPr>
                <w:rFonts w:ascii="仿宋" w:hAnsi="仿宋" w:eastAsia="仿宋" w:cs="仿宋"/>
                <w:kern w:val="0"/>
                <w:sz w:val="24"/>
              </w:rPr>
            </w:pPr>
            <w:r>
              <w:rPr>
                <w:rFonts w:hint="eastAsia" w:ascii="仿宋" w:hAnsi="仿宋" w:eastAsia="仿宋" w:cs="仿宋"/>
                <w:kern w:val="0"/>
                <w:sz w:val="24"/>
              </w:rPr>
              <w:t>E</w:t>
            </w:r>
            <w:r>
              <w:rPr>
                <w:rFonts w:hint="eastAsia" w:ascii="仿宋" w:hAnsi="仿宋" w:eastAsia="仿宋" w:cs="仿宋"/>
                <w:kern w:val="0"/>
                <w:sz w:val="24"/>
                <w:vertAlign w:val="subscript"/>
              </w:rPr>
              <w:t xml:space="preserve"> v，min</w:t>
            </w:r>
            <w:r>
              <w:rPr>
                <w:rFonts w:hint="eastAsia" w:ascii="仿宋" w:hAnsi="仿宋" w:eastAsia="仿宋" w:cs="仿宋"/>
                <w:kern w:val="0"/>
                <w:sz w:val="24"/>
              </w:rPr>
              <w:t>（lx）</w:t>
            </w:r>
          </w:p>
          <w:p>
            <w:pPr>
              <w:spacing w:line="360" w:lineRule="auto"/>
              <w:jc w:val="center"/>
              <w:rPr>
                <w:rFonts w:ascii="仿宋" w:hAnsi="仿宋" w:eastAsia="仿宋" w:cs="仿宋"/>
                <w:b/>
                <w:kern w:val="0"/>
                <w:sz w:val="24"/>
              </w:rPr>
            </w:pPr>
            <w:r>
              <w:rPr>
                <w:rFonts w:hint="eastAsia" w:ascii="仿宋" w:hAnsi="仿宋" w:eastAsia="仿宋" w:cs="仿宋"/>
                <w:kern w:val="0"/>
                <w:sz w:val="24"/>
              </w:rPr>
              <w:t>维持值</w:t>
            </w:r>
          </w:p>
        </w:tc>
        <w:tc>
          <w:tcPr>
            <w:tcW w:w="1754" w:type="dxa"/>
            <w:vAlign w:val="center"/>
          </w:tcPr>
          <w:p>
            <w:pPr>
              <w:spacing w:line="360" w:lineRule="auto"/>
              <w:jc w:val="center"/>
              <w:rPr>
                <w:rFonts w:ascii="仿宋" w:hAnsi="仿宋" w:eastAsia="仿宋" w:cs="仿宋"/>
                <w:b/>
                <w:kern w:val="0"/>
                <w:sz w:val="24"/>
              </w:rPr>
            </w:pPr>
            <w:r>
              <w:rPr>
                <w:rFonts w:hint="eastAsia" w:ascii="仿宋" w:hAnsi="仿宋" w:eastAsia="仿宋" w:cs="仿宋"/>
                <w:b/>
                <w:kern w:val="0"/>
                <w:sz w:val="24"/>
              </w:rPr>
              <w:t>最小半柱面照度</w:t>
            </w:r>
          </w:p>
          <w:p>
            <w:pPr>
              <w:spacing w:line="360" w:lineRule="auto"/>
              <w:jc w:val="center"/>
              <w:rPr>
                <w:rFonts w:ascii="仿宋" w:hAnsi="仿宋" w:eastAsia="仿宋" w:cs="仿宋"/>
                <w:kern w:val="0"/>
                <w:sz w:val="24"/>
              </w:rPr>
            </w:pPr>
            <w:r>
              <w:rPr>
                <w:rFonts w:hint="eastAsia" w:ascii="仿宋" w:hAnsi="仿宋" w:eastAsia="仿宋" w:cs="仿宋"/>
                <w:kern w:val="0"/>
                <w:sz w:val="24"/>
              </w:rPr>
              <w:t>E</w:t>
            </w:r>
            <w:r>
              <w:rPr>
                <w:rFonts w:hint="eastAsia" w:ascii="仿宋" w:hAnsi="仿宋" w:eastAsia="仿宋" w:cs="仿宋"/>
                <w:kern w:val="0"/>
                <w:sz w:val="24"/>
                <w:vertAlign w:val="subscript"/>
              </w:rPr>
              <w:t xml:space="preserve"> sc,min</w:t>
            </w:r>
            <w:r>
              <w:rPr>
                <w:rFonts w:hint="eastAsia" w:ascii="仿宋" w:hAnsi="仿宋" w:eastAsia="仿宋" w:cs="仿宋"/>
                <w:kern w:val="0"/>
                <w:sz w:val="24"/>
              </w:rPr>
              <w:t>（lx）</w:t>
            </w:r>
          </w:p>
          <w:p>
            <w:pPr>
              <w:spacing w:line="360" w:lineRule="auto"/>
              <w:jc w:val="center"/>
              <w:rPr>
                <w:rFonts w:ascii="仿宋" w:hAnsi="仿宋" w:eastAsia="仿宋" w:cs="仿宋"/>
                <w:b/>
                <w:kern w:val="0"/>
                <w:sz w:val="24"/>
              </w:rPr>
            </w:pPr>
            <w:r>
              <w:rPr>
                <w:rFonts w:hint="eastAsia" w:ascii="仿宋" w:hAnsi="仿宋" w:eastAsia="仿宋" w:cs="仿宋"/>
                <w:kern w:val="0"/>
                <w:sz w:val="24"/>
              </w:rPr>
              <w:t>维持值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72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745"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商业步行街；市中心或商业区行人流量高的道路；机动车与行人混合使用、与城市机动车道路连接的居住区出入道路</w:t>
            </w:r>
          </w:p>
        </w:tc>
        <w:tc>
          <w:tcPr>
            <w:tcW w:w="1523"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163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3 </w:t>
            </w:r>
          </w:p>
        </w:tc>
        <w:tc>
          <w:tcPr>
            <w:tcW w:w="1622"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175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Align w:val="center"/>
          </w:tcPr>
          <w:p>
            <w:pPr>
              <w:pStyle w:val="39"/>
              <w:pBdr>
                <w:bottom w:val="none" w:color="auto" w:sz="0" w:space="0"/>
              </w:pBdr>
              <w:tabs>
                <w:tab w:val="clear" w:pos="4153"/>
                <w:tab w:val="clear" w:pos="8306"/>
              </w:tabs>
              <w:snapToGrid/>
              <w:spacing w:line="360" w:lineRule="auto"/>
              <w:rPr>
                <w:rFonts w:ascii="仿宋" w:hAnsi="仿宋" w:eastAsia="仿宋" w:cs="仿宋"/>
                <w:sz w:val="24"/>
                <w:szCs w:val="24"/>
              </w:rPr>
            </w:pPr>
            <w:r>
              <w:rPr>
                <w:rFonts w:hint="eastAsia" w:ascii="仿宋" w:hAnsi="仿宋" w:eastAsia="仿宋" w:cs="仿宋"/>
                <w:sz w:val="24"/>
                <w:szCs w:val="24"/>
              </w:rPr>
              <w:t>2</w:t>
            </w:r>
          </w:p>
        </w:tc>
        <w:tc>
          <w:tcPr>
            <w:tcW w:w="1745"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流量较高的道路</w:t>
            </w:r>
          </w:p>
        </w:tc>
        <w:tc>
          <w:tcPr>
            <w:tcW w:w="1523"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163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622"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75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745"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流量中等的道路</w:t>
            </w:r>
          </w:p>
        </w:tc>
        <w:tc>
          <w:tcPr>
            <w:tcW w:w="1523"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7.5</w:t>
            </w:r>
          </w:p>
        </w:tc>
        <w:tc>
          <w:tcPr>
            <w:tcW w:w="163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1622"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2.5</w:t>
            </w:r>
          </w:p>
        </w:tc>
        <w:tc>
          <w:tcPr>
            <w:tcW w:w="175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745"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流量较低的道路</w:t>
            </w:r>
          </w:p>
        </w:tc>
        <w:tc>
          <w:tcPr>
            <w:tcW w:w="1523"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163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622"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175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r>
    </w:tbl>
    <w:p>
      <w:pPr>
        <w:spacing w:line="360" w:lineRule="auto"/>
        <w:rPr>
          <w:rFonts w:ascii="仿宋" w:hAnsi="仿宋" w:eastAsia="仿宋" w:cs="仿宋"/>
          <w:kern w:val="0"/>
          <w:sz w:val="24"/>
        </w:rPr>
      </w:pPr>
      <w:r>
        <w:rPr>
          <w:rFonts w:hint="eastAsia" w:ascii="仿宋" w:hAnsi="仿宋" w:eastAsia="仿宋" w:cs="仿宋"/>
          <w:kern w:val="0"/>
          <w:sz w:val="24"/>
        </w:rPr>
        <w:t xml:space="preserve">注： </w:t>
      </w:r>
      <w:r>
        <w:rPr>
          <w:rFonts w:hint="eastAsia" w:ascii="仿宋" w:hAnsi="仿宋" w:eastAsia="仿宋" w:cs="仿宋"/>
          <w:color w:val="000000"/>
          <w:sz w:val="24"/>
        </w:rPr>
        <w:t>① 机动车道一侧或两侧设置的、与机动车道无实体分隔的非机动车道的照明应执行机动车道的照明标准；与机动车道有实体分隔的非机动车道的平均照度宜为相邻机动车道的照度值的1/2，但不宜小于相临的人行道（如有）的照度。</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② 机动车道一侧或两侧设置的人行道照明，当人行道与非机动车道混用时，宜采用人行道路照明标准，并满足机动车道路照明的环境比要求。当人行道与非机动车道分设时，人行道的平均照度宜为相邻非机动车道的1/2。同时，人行道照明还应执行表3的规定。当按两种要求分别确定的标准值不一致时, 应选择高标准值。</w:t>
      </w:r>
    </w:p>
    <w:p>
      <w:pPr>
        <w:spacing w:before="240" w:beforeLines="100" w:line="360" w:lineRule="auto"/>
        <w:rPr>
          <w:rFonts w:ascii="仿宋" w:hAnsi="仿宋" w:eastAsia="仿宋" w:cs="仿宋"/>
          <w:b/>
          <w:sz w:val="24"/>
        </w:rPr>
      </w:pPr>
      <w:r>
        <w:rPr>
          <w:rFonts w:hint="eastAsia" w:ascii="仿宋" w:hAnsi="仿宋" w:eastAsia="仿宋" w:cs="仿宋"/>
          <w:b/>
          <w:sz w:val="24"/>
        </w:rPr>
        <w:t>1.2.智慧照明系统技术指标</w:t>
      </w:r>
    </w:p>
    <w:p>
      <w:pPr>
        <w:spacing w:before="120" w:beforeLines="50" w:line="360" w:lineRule="auto"/>
        <w:jc w:val="left"/>
        <w:rPr>
          <w:rFonts w:ascii="仿宋" w:hAnsi="仿宋" w:eastAsia="仿宋" w:cs="仿宋"/>
          <w:b/>
          <w:sz w:val="24"/>
        </w:rPr>
      </w:pPr>
      <w:r>
        <w:rPr>
          <w:rFonts w:hint="eastAsia" w:ascii="仿宋" w:hAnsi="仿宋" w:eastAsia="仿宋" w:cs="仿宋"/>
          <w:b/>
          <w:sz w:val="24"/>
        </w:rPr>
        <w:t>1.2.1智慧照明灯具采用标准规范</w:t>
      </w:r>
    </w:p>
    <w:p>
      <w:pPr>
        <w:pStyle w:val="59"/>
        <w:ind w:firstLine="480"/>
        <w:rPr>
          <w:rFonts w:ascii="仿宋" w:hAnsi="仿宋" w:eastAsia="仿宋" w:cs="仿宋"/>
          <w:szCs w:val="24"/>
        </w:rPr>
      </w:pPr>
      <w:r>
        <w:rPr>
          <w:rFonts w:hint="eastAsia" w:ascii="仿宋" w:hAnsi="仿宋" w:eastAsia="仿宋" w:cs="仿宋"/>
          <w:szCs w:val="24"/>
        </w:rPr>
        <w:t>GB 7000.1-2015   《灯具 第1部分：一般要求与试验》</w:t>
      </w:r>
    </w:p>
    <w:p>
      <w:pPr>
        <w:pStyle w:val="59"/>
        <w:ind w:firstLine="480"/>
        <w:rPr>
          <w:rFonts w:ascii="仿宋" w:hAnsi="仿宋" w:eastAsia="仿宋" w:cs="仿宋"/>
          <w:szCs w:val="24"/>
        </w:rPr>
      </w:pPr>
      <w:r>
        <w:rPr>
          <w:rFonts w:hint="eastAsia" w:ascii="仿宋" w:hAnsi="仿宋" w:eastAsia="仿宋" w:cs="仿宋"/>
          <w:szCs w:val="24"/>
        </w:rPr>
        <w:t>GB 7000.203-2013 《灯具 第2-3部分：特殊要求 道路与街路照明灯具》</w:t>
      </w:r>
    </w:p>
    <w:p>
      <w:pPr>
        <w:pStyle w:val="59"/>
        <w:ind w:firstLine="480"/>
        <w:rPr>
          <w:rFonts w:ascii="仿宋" w:hAnsi="仿宋" w:eastAsia="仿宋" w:cs="仿宋"/>
          <w:szCs w:val="24"/>
        </w:rPr>
      </w:pPr>
      <w:r>
        <w:rPr>
          <w:rFonts w:hint="eastAsia" w:ascii="仿宋" w:hAnsi="仿宋" w:eastAsia="仿宋" w:cs="仿宋"/>
          <w:szCs w:val="24"/>
        </w:rPr>
        <w:t>GB/T 17743-2017 《电气照明和类似设备的无线电骚扰特性的限值和测量方法》</w:t>
      </w:r>
    </w:p>
    <w:p>
      <w:pPr>
        <w:pStyle w:val="59"/>
        <w:ind w:firstLine="480"/>
        <w:rPr>
          <w:rFonts w:ascii="仿宋" w:hAnsi="仿宋" w:eastAsia="仿宋" w:cs="仿宋"/>
          <w:szCs w:val="24"/>
        </w:rPr>
      </w:pPr>
      <w:r>
        <w:rPr>
          <w:rFonts w:hint="eastAsia" w:ascii="仿宋" w:hAnsi="仿宋" w:eastAsia="仿宋" w:cs="仿宋"/>
          <w:szCs w:val="24"/>
        </w:rPr>
        <w:t>GB 17625.1-2012   《电磁兼容 限值 谐波电流发射限值（设备每相输入电流≤16A）》</w:t>
      </w:r>
    </w:p>
    <w:p>
      <w:pPr>
        <w:pStyle w:val="59"/>
        <w:ind w:firstLine="480"/>
        <w:rPr>
          <w:rFonts w:ascii="仿宋" w:hAnsi="仿宋" w:eastAsia="仿宋" w:cs="仿宋"/>
          <w:szCs w:val="24"/>
        </w:rPr>
      </w:pPr>
      <w:r>
        <w:rPr>
          <w:rFonts w:hint="eastAsia" w:ascii="仿宋" w:hAnsi="仿宋" w:eastAsia="仿宋" w:cs="仿宋"/>
          <w:szCs w:val="24"/>
        </w:rPr>
        <w:t>GB/T 18595-2014  《一般照明用设备电磁兼容抗扰度要求》</w:t>
      </w:r>
    </w:p>
    <w:p>
      <w:pPr>
        <w:pStyle w:val="59"/>
        <w:ind w:firstLine="480"/>
        <w:rPr>
          <w:rFonts w:ascii="仿宋" w:hAnsi="仿宋" w:eastAsia="仿宋" w:cs="仿宋"/>
          <w:szCs w:val="24"/>
        </w:rPr>
      </w:pPr>
      <w:r>
        <w:rPr>
          <w:rFonts w:hint="eastAsia" w:ascii="仿宋" w:hAnsi="仿宋" w:eastAsia="仿宋" w:cs="仿宋"/>
          <w:szCs w:val="24"/>
        </w:rPr>
        <w:t>CJT527-2018 《道路照明灯杆技术条件》</w:t>
      </w:r>
    </w:p>
    <w:p>
      <w:pPr>
        <w:spacing w:before="120" w:beforeLines="50" w:line="360" w:lineRule="auto"/>
        <w:jc w:val="left"/>
        <w:rPr>
          <w:rFonts w:ascii="仿宋" w:hAnsi="仿宋" w:eastAsia="仿宋" w:cs="仿宋"/>
          <w:b/>
          <w:sz w:val="24"/>
        </w:rPr>
      </w:pPr>
      <w:r>
        <w:rPr>
          <w:rFonts w:hint="eastAsia" w:ascii="仿宋" w:hAnsi="仿宋" w:eastAsia="仿宋" w:cs="仿宋"/>
          <w:b/>
          <w:sz w:val="24"/>
        </w:rPr>
        <w:t>1.2.2智慧照明系统功能要求</w:t>
      </w:r>
    </w:p>
    <w:p>
      <w:pPr>
        <w:spacing w:after="120" w:afterLines="50" w:line="360" w:lineRule="auto"/>
        <w:ind w:firstLine="480" w:firstLineChars="200"/>
        <w:jc w:val="left"/>
        <w:rPr>
          <w:rFonts w:ascii="仿宋" w:hAnsi="仿宋" w:eastAsia="仿宋" w:cs="仿宋"/>
          <w:sz w:val="24"/>
        </w:rPr>
      </w:pPr>
      <w:r>
        <w:rPr>
          <w:rFonts w:hint="eastAsia" w:ascii="仿宋" w:hAnsi="仿宋" w:eastAsia="仿宋" w:cs="仿宋"/>
          <w:sz w:val="24"/>
        </w:rPr>
        <w:t>为了保证智慧照明应用效果，本项目智慧灯杆照明管理系统支持路灯远程开关和亮度控制，支持单灯控制、分组控制、广播控制和回路控制，支持定时、经纬度和传感器等的远程策略和本地策略，支持设备在线/离线状态、开/关/亮度状态和回路状态查询，支持灯具电流、电压、有功功率、无功功率和频率等电参数查询，支持网关合相电流、合相功率及三相电数据查询。</w:t>
      </w:r>
    </w:p>
    <w:p>
      <w:pPr>
        <w:spacing w:before="120" w:beforeLines="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为了保证智慧灯杆整体造型协调美观，本项目要求智慧杆灯头部分采用一体化设计，照明模组及电源系统采用模块化设计，在满足基本照明要求前提条件下，充分考虑可维护性，能实现快速维护。</w:t>
      </w:r>
    </w:p>
    <w:p>
      <w:pPr>
        <w:spacing w:before="120" w:beforeLines="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智慧照明灯具控制功能：</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LED灯具有远程开关灯并能实现亮度调节，兼容（0-10V）、PWM调光两种方式；</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支持单灯控制、分组控制、广播控制和回路控制，支持定时、经纬度和传感器等的远程策略和本地策略；</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支持设备在线/离线状态、开/关/亮度状态和回路状态查询；</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具备电流、电压、功率、功率因素，电能远程读取功能；</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具备亮灯时长统计，故障时长统计，电能累计远程读取功能；</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具备LED灯故障报警、故障检测、故障处理情况追踪功能；</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实现故障报警、故障检测、故障处理情况追踪功能；</w:t>
      </w:r>
    </w:p>
    <w:p>
      <w:pPr>
        <w:spacing w:before="120" w:beforeLines="50" w:line="360" w:lineRule="auto"/>
        <w:jc w:val="left"/>
        <w:rPr>
          <w:rFonts w:ascii="仿宋" w:hAnsi="仿宋" w:eastAsia="仿宋" w:cs="仿宋"/>
          <w:b/>
          <w:sz w:val="24"/>
        </w:rPr>
      </w:pPr>
      <w:r>
        <w:rPr>
          <w:rFonts w:hint="eastAsia" w:ascii="仿宋" w:hAnsi="仿宋" w:eastAsia="仿宋" w:cs="仿宋"/>
          <w:b/>
          <w:sz w:val="24"/>
        </w:rPr>
        <w:t>1.2.3智慧照明灯具技术要求</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为保证光源寿命，本项目LED光源要求采用CREE（科锐）、LUMILEDS（流明）、OSRAM（欧司朗），LED光源一旦中标则不可撤销的LED光源采购合同，不得采用集成式芯片。</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为提高本项目维护性，照明灯具模组与电源必须采用CSA接头连接，可实现电源、模组等部件的快速维护；</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LED模组和电源连接组件整体的防护等级不应低于IP66。</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本项目要求照明灯具电源品牌采用飞利浦、英飞特、茂硕等国内外一线品牌,电源通过CCC强制性安全认证。</w:t>
      </w:r>
    </w:p>
    <w:p>
      <w:pPr>
        <w:pStyle w:val="503"/>
        <w:numPr>
          <w:ilvl w:val="0"/>
          <w:numId w:val="7"/>
        </w:numPr>
        <w:ind w:firstLineChars="0"/>
        <w:rPr>
          <w:rFonts w:ascii="仿宋" w:hAnsi="仿宋" w:eastAsia="仿宋" w:cs="仿宋"/>
          <w:color w:val="000000"/>
        </w:rPr>
      </w:pPr>
      <w:r>
        <w:rPr>
          <w:rFonts w:hint="eastAsia" w:ascii="仿宋" w:hAnsi="仿宋" w:eastAsia="仿宋" w:cs="仿宋"/>
          <w:color w:val="000000"/>
        </w:rPr>
        <w:t>路灯灯具能在电压90-264VAC范围内正常工作，所采用的开关电源能满足5小时以上连续不低于330VAC输入电压条件下灯具能正常工作。</w:t>
      </w:r>
    </w:p>
    <w:p>
      <w:pPr>
        <w:pStyle w:val="503"/>
        <w:numPr>
          <w:ilvl w:val="0"/>
          <w:numId w:val="7"/>
        </w:numPr>
        <w:ind w:left="714" w:hanging="357" w:firstLineChars="0"/>
        <w:rPr>
          <w:rFonts w:ascii="仿宋" w:hAnsi="仿宋" w:eastAsia="仿宋" w:cs="仿宋"/>
          <w:color w:val="000000"/>
        </w:rPr>
      </w:pPr>
      <w:r>
        <w:rPr>
          <w:rFonts w:hint="eastAsia" w:ascii="仿宋" w:hAnsi="仿宋" w:eastAsia="仿宋" w:cs="仿宋"/>
          <w:color w:val="000000"/>
        </w:rPr>
        <w:t>为提高灯具可维护性，采用模组化设计，可方便更换；</w:t>
      </w:r>
    </w:p>
    <w:p>
      <w:pPr>
        <w:pStyle w:val="503"/>
        <w:numPr>
          <w:ilvl w:val="0"/>
          <w:numId w:val="7"/>
        </w:numPr>
        <w:ind w:left="714" w:hanging="357" w:firstLineChars="0"/>
        <w:rPr>
          <w:rFonts w:ascii="仿宋" w:hAnsi="仿宋" w:eastAsia="仿宋" w:cs="仿宋"/>
          <w:color w:val="000000"/>
        </w:rPr>
      </w:pPr>
      <w:r>
        <w:rPr>
          <w:rFonts w:hint="eastAsia" w:ascii="仿宋" w:hAnsi="仿宋" w:eastAsia="仿宋" w:cs="仿宋"/>
          <w:color w:val="000000"/>
        </w:rPr>
        <w:t>为提高灯具可维护性，照明灯具模组与电源采用CSA IP68接器连接，可实现电源、模组等部件的免工具快速维护；</w:t>
      </w:r>
    </w:p>
    <w:p>
      <w:pPr>
        <w:pStyle w:val="503"/>
        <w:numPr>
          <w:ilvl w:val="0"/>
          <w:numId w:val="7"/>
        </w:numPr>
        <w:ind w:left="714" w:hanging="357" w:firstLineChars="0"/>
        <w:rPr>
          <w:rFonts w:ascii="仿宋" w:hAnsi="仿宋" w:eastAsia="仿宋" w:cs="仿宋"/>
          <w:color w:val="000000"/>
        </w:rPr>
      </w:pPr>
      <w:r>
        <w:rPr>
          <w:rFonts w:hint="eastAsia" w:ascii="仿宋" w:hAnsi="仿宋" w:eastAsia="仿宋" w:cs="仿宋"/>
          <w:color w:val="000000"/>
        </w:rPr>
        <w:t>灯具单灯控制器采用NEMA接口，可实现免工具快速安装、维护；</w:t>
      </w:r>
    </w:p>
    <w:p>
      <w:pPr>
        <w:spacing w:before="120" w:beforeLines="50" w:line="360" w:lineRule="auto"/>
        <w:rPr>
          <w:rFonts w:ascii="仿宋" w:hAnsi="仿宋" w:eastAsia="仿宋" w:cs="仿宋"/>
          <w:b/>
          <w:sz w:val="24"/>
        </w:rPr>
      </w:pPr>
    </w:p>
    <w:p>
      <w:pPr>
        <w:spacing w:before="240" w:beforeLines="100" w:line="360" w:lineRule="auto"/>
        <w:rPr>
          <w:rFonts w:ascii="仿宋" w:hAnsi="仿宋" w:eastAsia="仿宋" w:cs="仿宋"/>
          <w:b/>
          <w:sz w:val="24"/>
        </w:rPr>
      </w:pPr>
      <w:r>
        <w:rPr>
          <w:rFonts w:hint="eastAsia" w:ascii="仿宋" w:hAnsi="仿宋" w:eastAsia="仿宋" w:cs="仿宋"/>
          <w:b/>
          <w:sz w:val="24"/>
        </w:rPr>
        <w:t>1.3智能设备技术要求</w:t>
      </w:r>
    </w:p>
    <w:p>
      <w:pPr>
        <w:spacing w:before="120" w:beforeLines="50" w:line="360" w:lineRule="auto"/>
        <w:jc w:val="left"/>
        <w:rPr>
          <w:rFonts w:ascii="仿宋" w:hAnsi="仿宋" w:eastAsia="仿宋" w:cs="仿宋"/>
          <w:b/>
          <w:sz w:val="24"/>
        </w:rPr>
      </w:pPr>
      <w:r>
        <w:rPr>
          <w:rFonts w:hint="eastAsia" w:ascii="仿宋" w:hAnsi="仿宋" w:eastAsia="仿宋" w:cs="仿宋"/>
          <w:b/>
          <w:sz w:val="24"/>
        </w:rPr>
        <w:t>1.3.1无线网络（WIFI设备）技术要求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8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652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标准 </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支持标准的802.11ac协议,采用双路双频设计，可同时工作在802.11a/n/ac和802.11b/g/n模式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天线工作模式 </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 xml:space="preserve">同时具备内置天线和外置天线接口。内置智能天线 2.4G&amp;5.8G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接口 </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 xml:space="preserve">支持2条空间流,2.4单频最大接入速率≥450Mbps,5.8G单频最大接入速率≥1300Mbps，整机最大接入速率≥1750Mbps；提供1个console管理口,1个SFP上联光口，1个10/100/1000Base-T以太网上联接口；1个10/100/1000Base-T下联PoE OUT对外供电接口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工作温度</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防护等级 </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81" w:type="dxa"/>
            <w:vAlign w:val="center"/>
          </w:tcPr>
          <w:p>
            <w:pPr>
              <w:pStyle w:val="421"/>
              <w:spacing w:line="360" w:lineRule="auto"/>
              <w:jc w:val="center"/>
              <w:rPr>
                <w:rFonts w:ascii="仿宋" w:hAnsi="仿宋" w:eastAsia="仿宋" w:cs="仿宋"/>
              </w:rPr>
            </w:pPr>
            <w:r>
              <w:rPr>
                <w:rFonts w:hint="eastAsia" w:ascii="仿宋" w:hAnsi="仿宋" w:eastAsia="仿宋" w:cs="仿宋"/>
              </w:rPr>
              <w:t>品牌</w:t>
            </w:r>
          </w:p>
        </w:tc>
        <w:tc>
          <w:tcPr>
            <w:tcW w:w="6520" w:type="dxa"/>
            <w:vAlign w:val="center"/>
          </w:tcPr>
          <w:p>
            <w:pPr>
              <w:pStyle w:val="421"/>
              <w:spacing w:line="360" w:lineRule="auto"/>
              <w:jc w:val="both"/>
              <w:rPr>
                <w:rFonts w:ascii="仿宋" w:hAnsi="仿宋" w:eastAsia="仿宋" w:cs="仿宋"/>
              </w:rPr>
            </w:pPr>
            <w:r>
              <w:rPr>
                <w:rFonts w:hint="eastAsia" w:ascii="仿宋" w:hAnsi="仿宋" w:eastAsia="仿宋" w:cs="仿宋"/>
              </w:rPr>
              <w:t>华为、中兴、锐捷</w:t>
            </w:r>
          </w:p>
        </w:tc>
      </w:tr>
    </w:tbl>
    <w:p>
      <w:pPr>
        <w:spacing w:line="360" w:lineRule="auto"/>
        <w:rPr>
          <w:rFonts w:ascii="仿宋" w:hAnsi="仿宋" w:eastAsia="仿宋" w:cs="仿宋"/>
          <w:sz w:val="24"/>
        </w:rPr>
      </w:pPr>
    </w:p>
    <w:p>
      <w:pPr>
        <w:spacing w:before="120" w:beforeLines="50" w:line="360" w:lineRule="auto"/>
        <w:jc w:val="left"/>
        <w:rPr>
          <w:rFonts w:ascii="仿宋" w:hAnsi="仿宋" w:eastAsia="仿宋" w:cs="仿宋"/>
          <w:b/>
          <w:sz w:val="24"/>
        </w:rPr>
      </w:pPr>
      <w:r>
        <w:rPr>
          <w:rFonts w:hint="eastAsia" w:ascii="仿宋" w:hAnsi="仿宋" w:eastAsia="仿宋" w:cs="仿宋"/>
          <w:b/>
          <w:sz w:val="24"/>
        </w:rPr>
        <w:t>1.3.2视频监控技术要求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智慧路灯配备的视频监控功能可以对周围的人流量、车流量进行监控；同时，其还能对某些特定的安全情况进行监控。摄像头将采集到的视频、图像信息将直接传送至服务器端。可云台控制，并可定时设置360°图像采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75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568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像素 </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≥400万像素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摄像头大小</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4寸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夜视距离</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支持功能</w:t>
            </w:r>
          </w:p>
        </w:tc>
        <w:tc>
          <w:tcPr>
            <w:tcW w:w="5688" w:type="dxa"/>
            <w:vAlign w:val="center"/>
          </w:tcPr>
          <w:p>
            <w:pPr>
              <w:spacing w:line="360" w:lineRule="auto"/>
              <w:jc w:val="left"/>
              <w:rPr>
                <w:rFonts w:ascii="仿宋" w:hAnsi="仿宋" w:eastAsia="仿宋" w:cs="仿宋"/>
                <w:sz w:val="24"/>
              </w:rPr>
            </w:pPr>
            <w:r>
              <w:rPr>
                <w:rFonts w:hint="eastAsia" w:ascii="仿宋" w:hAnsi="仿宋" w:eastAsia="仿宋" w:cs="仿宋"/>
                <w:sz w:val="24"/>
              </w:rPr>
              <w:t>H.265高效压缩算法，可较大节省存储空间</w:t>
            </w:r>
          </w:p>
          <w:p>
            <w:pPr>
              <w:spacing w:line="360" w:lineRule="auto"/>
              <w:jc w:val="left"/>
              <w:rPr>
                <w:rFonts w:ascii="仿宋" w:hAnsi="仿宋" w:eastAsia="仿宋" w:cs="仿宋"/>
                <w:sz w:val="24"/>
              </w:rPr>
            </w:pPr>
            <w:r>
              <w:rPr>
                <w:rFonts w:hint="eastAsia" w:ascii="仿宋" w:hAnsi="仿宋" w:eastAsia="仿宋" w:cs="仿宋"/>
                <w:sz w:val="24"/>
              </w:rPr>
              <w:t>支持960p@60fps、720p@60fps高帧率输出</w:t>
            </w:r>
          </w:p>
          <w:p>
            <w:pPr>
              <w:spacing w:line="360" w:lineRule="auto"/>
              <w:jc w:val="left"/>
              <w:rPr>
                <w:rFonts w:ascii="仿宋" w:hAnsi="仿宋" w:eastAsia="仿宋" w:cs="仿宋"/>
                <w:sz w:val="24"/>
              </w:rPr>
            </w:pPr>
            <w:r>
              <w:rPr>
                <w:rFonts w:hint="eastAsia" w:ascii="仿宋" w:hAnsi="仿宋" w:eastAsia="仿宋" w:cs="仿宋"/>
                <w:sz w:val="24"/>
              </w:rPr>
              <w:t>支持区域入侵侦测、越界侦测、移动侦测等智能侦测功能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水平旋转范围</w:t>
            </w:r>
          </w:p>
        </w:tc>
        <w:tc>
          <w:tcPr>
            <w:tcW w:w="5688" w:type="dxa"/>
            <w:vAlign w:val="center"/>
          </w:tcPr>
          <w:p>
            <w:pPr>
              <w:spacing w:line="360" w:lineRule="auto"/>
              <w:jc w:val="left"/>
              <w:rPr>
                <w:rFonts w:ascii="仿宋" w:hAnsi="仿宋" w:eastAsia="仿宋" w:cs="仿宋"/>
                <w:sz w:val="24"/>
              </w:rPr>
            </w:pPr>
            <w:r>
              <w:rPr>
                <w:rFonts w:hint="eastAsia" w:ascii="仿宋" w:hAnsi="仿宋" w:eastAsia="仿宋" w:cs="仿宋"/>
                <w:sz w:val="24"/>
              </w:rPr>
              <w:t>360°连续旋转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垂直旋转范围</w:t>
            </w:r>
          </w:p>
        </w:tc>
        <w:tc>
          <w:tcPr>
            <w:tcW w:w="5688" w:type="dxa"/>
            <w:vAlign w:val="center"/>
          </w:tcPr>
          <w:p>
            <w:pPr>
              <w:spacing w:line="360" w:lineRule="auto"/>
              <w:jc w:val="left"/>
              <w:rPr>
                <w:rFonts w:ascii="仿宋" w:hAnsi="仿宋" w:eastAsia="仿宋" w:cs="仿宋"/>
                <w:sz w:val="24"/>
              </w:rPr>
            </w:pPr>
            <w:r>
              <w:rPr>
                <w:rFonts w:hint="eastAsia" w:ascii="仿宋" w:hAnsi="仿宋" w:eastAsia="仿宋" w:cs="仿宋"/>
                <w:sz w:val="24"/>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工作温度</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 xml:space="preserve">防护等级 </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51" w:type="dxa"/>
            <w:vAlign w:val="center"/>
          </w:tcPr>
          <w:p>
            <w:pPr>
              <w:pStyle w:val="421"/>
              <w:spacing w:line="360" w:lineRule="auto"/>
              <w:jc w:val="center"/>
              <w:rPr>
                <w:rFonts w:ascii="仿宋" w:hAnsi="仿宋" w:eastAsia="仿宋" w:cs="仿宋"/>
              </w:rPr>
            </w:pPr>
            <w:r>
              <w:rPr>
                <w:rFonts w:hint="eastAsia" w:ascii="仿宋" w:hAnsi="仿宋" w:eastAsia="仿宋" w:cs="仿宋"/>
              </w:rPr>
              <w:t>品牌</w:t>
            </w:r>
          </w:p>
        </w:tc>
        <w:tc>
          <w:tcPr>
            <w:tcW w:w="5688" w:type="dxa"/>
            <w:vAlign w:val="center"/>
          </w:tcPr>
          <w:p>
            <w:pPr>
              <w:pStyle w:val="421"/>
              <w:spacing w:line="360" w:lineRule="auto"/>
              <w:jc w:val="both"/>
              <w:rPr>
                <w:rFonts w:ascii="仿宋" w:hAnsi="仿宋" w:eastAsia="仿宋" w:cs="仿宋"/>
              </w:rPr>
            </w:pPr>
            <w:r>
              <w:rPr>
                <w:rFonts w:hint="eastAsia" w:ascii="仿宋" w:hAnsi="仿宋" w:eastAsia="仿宋" w:cs="仿宋"/>
              </w:rPr>
              <w:t>海康、大华、宇视</w:t>
            </w:r>
          </w:p>
        </w:tc>
      </w:tr>
    </w:tbl>
    <w:p>
      <w:pPr>
        <w:spacing w:before="120" w:beforeLines="50" w:line="360" w:lineRule="auto"/>
        <w:jc w:val="left"/>
        <w:rPr>
          <w:rFonts w:ascii="仿宋" w:hAnsi="仿宋" w:eastAsia="仿宋" w:cs="仿宋"/>
          <w:b/>
          <w:sz w:val="24"/>
        </w:rPr>
      </w:pPr>
    </w:p>
    <w:p>
      <w:pPr>
        <w:spacing w:before="120" w:beforeLines="50" w:line="360" w:lineRule="auto"/>
        <w:jc w:val="left"/>
        <w:rPr>
          <w:rFonts w:ascii="仿宋" w:hAnsi="仿宋" w:eastAsia="仿宋" w:cs="仿宋"/>
          <w:b/>
          <w:sz w:val="24"/>
        </w:rPr>
      </w:pPr>
      <w:r>
        <w:rPr>
          <w:rFonts w:hint="eastAsia" w:ascii="仿宋" w:hAnsi="仿宋" w:eastAsia="仿宋" w:cs="仿宋"/>
          <w:b/>
          <w:sz w:val="24"/>
        </w:rPr>
        <w:t>1.3.3户外LED显示屏技术要求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智慧路灯上承载的LED 显示屏可作为信息发布的平台，显示信息可包括如商业广告、公益宣传、公共信息发布、紧急情况警告、区域地图显示、周边环境空气污染状况等。</w:t>
      </w:r>
    </w:p>
    <w:tbl>
      <w:tblPr>
        <w:tblStyle w:val="62"/>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73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595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显示尺寸</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分辨率</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≥208*364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像素点间距</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显示亮度</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≥6000cd/m2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驱动方式</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恒流驱动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工作温度</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 xml:space="preserve">防护等级 </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Align w:val="center"/>
          </w:tcPr>
          <w:p>
            <w:pPr>
              <w:pStyle w:val="421"/>
              <w:spacing w:line="360" w:lineRule="auto"/>
              <w:jc w:val="center"/>
              <w:rPr>
                <w:rFonts w:ascii="仿宋" w:hAnsi="仿宋" w:eastAsia="仿宋" w:cs="仿宋"/>
                <w:color w:val="auto"/>
              </w:rPr>
            </w:pPr>
            <w:r>
              <w:rPr>
                <w:rFonts w:hint="eastAsia" w:ascii="仿宋" w:hAnsi="仿宋" w:eastAsia="仿宋" w:cs="仿宋"/>
                <w:color w:val="auto"/>
              </w:rPr>
              <w:t>品牌</w:t>
            </w:r>
          </w:p>
        </w:tc>
        <w:tc>
          <w:tcPr>
            <w:tcW w:w="5954" w:type="dxa"/>
            <w:vAlign w:val="center"/>
          </w:tcPr>
          <w:p>
            <w:pPr>
              <w:pStyle w:val="421"/>
              <w:spacing w:line="360" w:lineRule="auto"/>
              <w:jc w:val="both"/>
              <w:rPr>
                <w:rFonts w:ascii="仿宋" w:hAnsi="仿宋" w:eastAsia="仿宋" w:cs="仿宋"/>
                <w:color w:val="auto"/>
              </w:rPr>
            </w:pPr>
            <w:r>
              <w:rPr>
                <w:rFonts w:hint="eastAsia" w:ascii="仿宋" w:hAnsi="仿宋" w:eastAsia="仿宋" w:cs="仿宋"/>
                <w:color w:val="auto"/>
              </w:rPr>
              <w:t>利亚德、联建、太龙、勤上光电</w:t>
            </w:r>
          </w:p>
        </w:tc>
      </w:tr>
    </w:tbl>
    <w:p>
      <w:pPr>
        <w:spacing w:before="120" w:beforeLines="50" w:after="120" w:afterLines="50" w:line="360" w:lineRule="auto"/>
        <w:rPr>
          <w:rFonts w:ascii="仿宋" w:hAnsi="仿宋" w:eastAsia="仿宋" w:cs="仿宋"/>
          <w:b/>
          <w:sz w:val="24"/>
          <w:highlight w:val="yellow"/>
        </w:rPr>
      </w:pPr>
    </w:p>
    <w:p>
      <w:pPr>
        <w:spacing w:before="120" w:beforeLines="50" w:line="360" w:lineRule="auto"/>
        <w:jc w:val="left"/>
        <w:rPr>
          <w:rFonts w:ascii="仿宋" w:hAnsi="仿宋" w:eastAsia="仿宋" w:cs="仿宋"/>
          <w:b/>
          <w:sz w:val="24"/>
        </w:rPr>
      </w:pPr>
      <w:r>
        <w:rPr>
          <w:rFonts w:hint="eastAsia" w:ascii="仿宋" w:hAnsi="仿宋" w:eastAsia="仿宋" w:cs="仿宋"/>
          <w:b/>
          <w:sz w:val="24"/>
        </w:rPr>
        <w:t>1.3.4紧急呼叫系统技术要求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智慧路灯对讲终端是专业的报警和求助对讲一体化网络终端，合适室外环境安装，可对呼叫中心一键发起报警和对讲通讯。当户外或园区群众发生突发情况或紧急事情时，可以第一时间找到智慧路灯的对讲系统，及时呼叫监控中心，得到第一时间的援助</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3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556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摄像头像素</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≥200W像素1080P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视频编码格式</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支持H.264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音频压缩标准</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支持 G.711U、 G726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通信协议</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支持TCP/IP、 SNMP、 RTSP、 SADP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支持标准</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GB28181标准协议、 SIP 协议、 EHOME 协议、海康网络协议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vAlign w:val="center"/>
          </w:tcPr>
          <w:p>
            <w:pPr>
              <w:spacing w:line="360" w:lineRule="auto"/>
              <w:jc w:val="center"/>
              <w:rPr>
                <w:rFonts w:ascii="仿宋" w:hAnsi="仿宋" w:eastAsia="仿宋" w:cs="仿宋"/>
                <w:sz w:val="24"/>
              </w:rPr>
            </w:pPr>
            <w:r>
              <w:rPr>
                <w:rFonts w:hint="eastAsia" w:ascii="仿宋" w:hAnsi="仿宋" w:eastAsia="仿宋" w:cs="仿宋"/>
                <w:sz w:val="24"/>
              </w:rPr>
              <w:t>支持功能</w:t>
            </w:r>
          </w:p>
        </w:tc>
        <w:tc>
          <w:tcPr>
            <w:tcW w:w="5569" w:type="dxa"/>
            <w:vAlign w:val="center"/>
          </w:tcPr>
          <w:p>
            <w:pPr>
              <w:pStyle w:val="421"/>
              <w:spacing w:line="360" w:lineRule="auto"/>
              <w:jc w:val="both"/>
              <w:rPr>
                <w:rFonts w:ascii="仿宋" w:hAnsi="仿宋" w:eastAsia="仿宋" w:cs="仿宋"/>
              </w:rPr>
            </w:pPr>
            <w:r>
              <w:rPr>
                <w:rFonts w:hint="eastAsia" w:ascii="仿宋" w:hAnsi="仿宋" w:eastAsia="仿宋" w:cs="仿宋"/>
              </w:rPr>
              <w:t>1.支持网络自适应、音视频自适应功能；</w:t>
            </w:r>
          </w:p>
          <w:p>
            <w:pPr>
              <w:pStyle w:val="421"/>
              <w:spacing w:line="360" w:lineRule="auto"/>
              <w:jc w:val="both"/>
              <w:rPr>
                <w:rFonts w:ascii="仿宋" w:hAnsi="仿宋" w:eastAsia="仿宋" w:cs="仿宋"/>
              </w:rPr>
            </w:pPr>
            <w:r>
              <w:rPr>
                <w:rFonts w:hint="eastAsia" w:ascii="仿宋" w:hAnsi="仿宋" w:eastAsia="仿宋" w:cs="仿宋"/>
              </w:rPr>
              <w:t>2.对讲存储功能、 报警触发录像存储功能、录像下载及回放功能；</w:t>
            </w:r>
          </w:p>
          <w:p>
            <w:pPr>
              <w:pStyle w:val="421"/>
              <w:spacing w:line="360" w:lineRule="auto"/>
              <w:jc w:val="both"/>
              <w:rPr>
                <w:rFonts w:ascii="仿宋" w:hAnsi="仿宋" w:eastAsia="仿宋" w:cs="仿宋"/>
              </w:rPr>
            </w:pPr>
            <w:r>
              <w:rPr>
                <w:rFonts w:hint="eastAsia" w:ascii="仿宋" w:hAnsi="仿宋" w:eastAsia="仿宋" w:cs="仿宋"/>
              </w:rPr>
              <w:t>3.语音对讲功能，麦克风灵敏度高；</w:t>
            </w:r>
          </w:p>
          <w:p>
            <w:pPr>
              <w:pStyle w:val="421"/>
              <w:spacing w:line="360" w:lineRule="auto"/>
              <w:jc w:val="both"/>
              <w:rPr>
                <w:rFonts w:ascii="仿宋" w:hAnsi="仿宋" w:eastAsia="仿宋" w:cs="仿宋"/>
              </w:rPr>
            </w:pPr>
            <w:r>
              <w:rPr>
                <w:rFonts w:hint="eastAsia" w:ascii="仿宋" w:hAnsi="仿宋" w:eastAsia="仿宋" w:cs="仿宋"/>
              </w:rPr>
              <w:t>4.电磁干扰、防拆、防爆、防雷击等功能；</w:t>
            </w:r>
          </w:p>
        </w:tc>
      </w:tr>
    </w:tbl>
    <w:p>
      <w:pPr>
        <w:spacing w:before="120" w:beforeLines="50" w:line="360" w:lineRule="auto"/>
        <w:jc w:val="left"/>
        <w:rPr>
          <w:rFonts w:ascii="仿宋" w:hAnsi="仿宋" w:eastAsia="仿宋" w:cs="仿宋"/>
          <w:b/>
          <w:sz w:val="24"/>
        </w:rPr>
      </w:pPr>
      <w:r>
        <w:rPr>
          <w:rFonts w:hint="eastAsia" w:ascii="仿宋" w:hAnsi="仿宋" w:eastAsia="仿宋" w:cs="仿宋"/>
          <w:b/>
          <w:sz w:val="24"/>
        </w:rPr>
        <w:t>1.3.5公共广播技术要求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IP网络有源音箱具有效率高、体积小、重量轻、声音好、简单、经典、便携等优点，集成在智慧路灯上，可以起到良好的信息发布效果。本系统适用于公园、社区、购物中心、商业区等场所的突发事件通知、突发新闻及其他公共信息的广播。</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415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额定功率</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30W/8Ω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网络接口</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标准RJ45输入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支持协议</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TCP/IP、UDP、IGMP(组播)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音频格式</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采样率</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8KHz-48KHz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传输速率</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音频模式</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16位CD音质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输出频率</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80Hz~16KHz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谐波失真</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信噪比</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输入电源</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喇叭单元</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工作温度</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品牌</w:t>
            </w:r>
          </w:p>
        </w:tc>
        <w:tc>
          <w:tcPr>
            <w:tcW w:w="4150" w:type="dxa"/>
            <w:vAlign w:val="center"/>
          </w:tcPr>
          <w:p>
            <w:pPr>
              <w:spacing w:line="360" w:lineRule="auto"/>
              <w:jc w:val="center"/>
              <w:rPr>
                <w:rFonts w:ascii="仿宋" w:hAnsi="仿宋" w:eastAsia="仿宋" w:cs="仿宋"/>
                <w:sz w:val="24"/>
              </w:rPr>
            </w:pPr>
            <w:r>
              <w:rPr>
                <w:rFonts w:hint="eastAsia" w:ascii="仿宋" w:hAnsi="仿宋" w:eastAsia="仿宋" w:cs="仿宋"/>
                <w:sz w:val="24"/>
              </w:rPr>
              <w:t>ITC、霍尼韦尔、迪士普</w:t>
            </w:r>
          </w:p>
        </w:tc>
      </w:tr>
    </w:tbl>
    <w:p>
      <w:pPr>
        <w:spacing w:before="120" w:beforeLines="50" w:line="360" w:lineRule="auto"/>
        <w:jc w:val="left"/>
        <w:rPr>
          <w:rFonts w:ascii="仿宋" w:hAnsi="仿宋" w:eastAsia="仿宋" w:cs="仿宋"/>
          <w:b/>
          <w:sz w:val="24"/>
        </w:rPr>
      </w:pPr>
      <w:r>
        <w:rPr>
          <w:rFonts w:hint="eastAsia" w:ascii="仿宋" w:hAnsi="仿宋" w:eastAsia="仿宋" w:cs="仿宋"/>
          <w:b/>
          <w:sz w:val="24"/>
        </w:rPr>
        <w:t>1.3.6环境监测技术要求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环境监测子系统具有多种监测功能，可针对不同需求快速部署客户需要的传感器。PM2.5污染物浓度等各类传感器。经2.4GHz无线数传网络或485总线等方式上传至服务器端，以便进一步的处理、分析与保持等。实时监测PM2.5、温度、湿度、风速、风向等环境传感信息；采集的环境传感信息经分析处理后将在LED显示屏上显示。</w:t>
      </w:r>
    </w:p>
    <w:tbl>
      <w:tblPr>
        <w:tblStyle w:val="6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2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665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sz w:val="24"/>
              </w:rPr>
            </w:pPr>
            <w:r>
              <w:rPr>
                <w:rFonts w:hint="eastAsia" w:ascii="仿宋" w:hAnsi="仿宋" w:eastAsia="仿宋" w:cs="仿宋"/>
                <w:bCs/>
                <w:color w:val="000000"/>
                <w:sz w:val="24"/>
              </w:rPr>
              <w:t>温度</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测量范围 -40～60°C</w:t>
            </w:r>
          </w:p>
          <w:p>
            <w:pPr>
              <w:spacing w:line="360" w:lineRule="auto"/>
              <w:rPr>
                <w:rFonts w:ascii="仿宋" w:hAnsi="仿宋" w:eastAsia="仿宋" w:cs="仿宋"/>
                <w:sz w:val="24"/>
              </w:rPr>
            </w:pPr>
            <w:r>
              <w:rPr>
                <w:rFonts w:hint="eastAsia" w:ascii="仿宋" w:hAnsi="仿宋" w:eastAsia="仿宋" w:cs="仿宋"/>
                <w:sz w:val="24"/>
              </w:rPr>
              <w:t>精确性 ±0.3°C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sz w:val="24"/>
              </w:rPr>
            </w:pPr>
            <w:r>
              <w:rPr>
                <w:rFonts w:hint="eastAsia" w:ascii="仿宋" w:hAnsi="仿宋" w:eastAsia="仿宋" w:cs="仿宋"/>
                <w:bCs/>
                <w:color w:val="000000"/>
                <w:kern w:val="0"/>
                <w:sz w:val="24"/>
              </w:rPr>
              <w:t>相对湿度</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 xml:space="preserve">测量范围 0～100%RH 相对湿度 </w:t>
            </w:r>
            <w:r>
              <w:rPr>
                <w:rFonts w:hint="eastAsia" w:ascii="仿宋" w:hAnsi="仿宋" w:eastAsia="仿宋" w:cs="仿宋"/>
                <w:sz w:val="24"/>
              </w:rPr>
              <w:br w:type="textWrapping"/>
            </w:r>
            <w:r>
              <w:rPr>
                <w:rFonts w:hint="eastAsia" w:ascii="仿宋" w:hAnsi="仿宋" w:eastAsia="仿宋" w:cs="仿宋"/>
                <w:sz w:val="24"/>
              </w:rPr>
              <w:t>精确性 ±3%RH 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bCs/>
                <w:color w:val="000000"/>
                <w:kern w:val="0"/>
                <w:sz w:val="24"/>
              </w:rPr>
            </w:pPr>
            <w:r>
              <w:rPr>
                <w:rFonts w:hint="eastAsia" w:ascii="仿宋" w:hAnsi="仿宋" w:eastAsia="仿宋" w:cs="仿宋"/>
                <w:bCs/>
                <w:color w:val="000000"/>
                <w:kern w:val="0"/>
                <w:sz w:val="24"/>
              </w:rPr>
              <w:t>风向</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 xml:space="preserve">测量范围 0～360° </w:t>
            </w:r>
            <w:r>
              <w:rPr>
                <w:rFonts w:hint="eastAsia" w:ascii="仿宋" w:hAnsi="仿宋" w:eastAsia="仿宋" w:cs="仿宋"/>
                <w:sz w:val="24"/>
              </w:rPr>
              <w:br w:type="textWrapping"/>
            </w:r>
            <w:r>
              <w:rPr>
                <w:rFonts w:hint="eastAsia" w:ascii="仿宋" w:hAnsi="仿宋" w:eastAsia="仿宋" w:cs="仿宋"/>
                <w:sz w:val="24"/>
              </w:rPr>
              <w:t>精确性 ± 3°</w:t>
            </w:r>
          </w:p>
          <w:p>
            <w:pPr>
              <w:spacing w:line="360" w:lineRule="auto"/>
              <w:rPr>
                <w:rFonts w:ascii="仿宋" w:hAnsi="仿宋" w:eastAsia="仿宋" w:cs="仿宋"/>
                <w:sz w:val="24"/>
              </w:rPr>
            </w:pPr>
            <w:r>
              <w:rPr>
                <w:rFonts w:hint="eastAsia" w:ascii="仿宋" w:hAnsi="仿宋" w:eastAsia="仿宋" w:cs="仿宋"/>
                <w:sz w:val="24"/>
              </w:rPr>
              <w:t>采样频率 最大10Hz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bCs/>
                <w:color w:val="000000"/>
                <w:kern w:val="0"/>
                <w:sz w:val="24"/>
              </w:rPr>
            </w:pPr>
            <w:r>
              <w:rPr>
                <w:rFonts w:hint="eastAsia" w:ascii="仿宋" w:hAnsi="仿宋" w:eastAsia="仿宋" w:cs="仿宋"/>
                <w:bCs/>
                <w:color w:val="000000"/>
                <w:kern w:val="0"/>
                <w:sz w:val="24"/>
              </w:rPr>
              <w:t>风速</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 xml:space="preserve">测量范围0～60 米/秒 </w:t>
            </w:r>
            <w:r>
              <w:rPr>
                <w:rFonts w:hint="eastAsia" w:ascii="仿宋" w:hAnsi="仿宋" w:eastAsia="仿宋" w:cs="仿宋"/>
                <w:sz w:val="24"/>
              </w:rPr>
              <w:br w:type="textWrapping"/>
            </w:r>
            <w:r>
              <w:rPr>
                <w:rFonts w:hint="eastAsia" w:ascii="仿宋" w:hAnsi="仿宋" w:eastAsia="仿宋" w:cs="仿宋"/>
                <w:sz w:val="24"/>
              </w:rPr>
              <w:t>精确性 ±0.3m/s或 ±3%（0~30m/s）, ±5% (&gt;35m/s) RMS</w:t>
            </w:r>
          </w:p>
          <w:p>
            <w:pPr>
              <w:spacing w:line="360" w:lineRule="auto"/>
              <w:rPr>
                <w:rFonts w:ascii="仿宋" w:hAnsi="仿宋" w:eastAsia="仿宋" w:cs="仿宋"/>
                <w:sz w:val="24"/>
              </w:rPr>
            </w:pPr>
            <w:r>
              <w:rPr>
                <w:rFonts w:hint="eastAsia" w:ascii="仿宋" w:hAnsi="仿宋" w:eastAsia="仿宋" w:cs="仿宋"/>
                <w:sz w:val="24"/>
              </w:rPr>
              <w:t>采样频率 最大10Hz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bCs/>
                <w:color w:val="000000"/>
                <w:kern w:val="0"/>
                <w:sz w:val="24"/>
              </w:rPr>
            </w:pPr>
            <w:r>
              <w:rPr>
                <w:rFonts w:hint="eastAsia" w:ascii="仿宋" w:hAnsi="仿宋" w:eastAsia="仿宋" w:cs="仿宋"/>
                <w:bCs/>
                <w:color w:val="000000"/>
                <w:sz w:val="24"/>
              </w:rPr>
              <w:t>PM2.5</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监测范围0～1000ug/m3</w:t>
            </w:r>
          </w:p>
          <w:p>
            <w:pPr>
              <w:spacing w:line="360" w:lineRule="auto"/>
              <w:rPr>
                <w:rFonts w:ascii="仿宋" w:hAnsi="仿宋" w:eastAsia="仿宋" w:cs="仿宋"/>
                <w:sz w:val="24"/>
              </w:rPr>
            </w:pPr>
            <w:r>
              <w:rPr>
                <w:rFonts w:hint="eastAsia" w:ascii="仿宋" w:hAnsi="仿宋" w:eastAsia="仿宋" w:cs="仿宋"/>
                <w:sz w:val="24"/>
              </w:rPr>
              <w:t>分辨率0.3ug/m3</w:t>
            </w:r>
          </w:p>
          <w:p>
            <w:pPr>
              <w:spacing w:line="360" w:lineRule="auto"/>
              <w:rPr>
                <w:rFonts w:ascii="仿宋" w:hAnsi="仿宋" w:eastAsia="仿宋" w:cs="仿宋"/>
                <w:sz w:val="24"/>
              </w:rPr>
            </w:pPr>
            <w:r>
              <w:rPr>
                <w:rFonts w:hint="eastAsia" w:ascii="仿宋" w:hAnsi="仿宋" w:eastAsia="仿宋" w:cs="仿宋"/>
                <w:sz w:val="24"/>
              </w:rPr>
              <w:t>精度±15% or</w:t>
            </w:r>
          </w:p>
          <w:p>
            <w:pPr>
              <w:spacing w:line="360" w:lineRule="auto"/>
              <w:rPr>
                <w:rFonts w:ascii="仿宋" w:hAnsi="仿宋" w:eastAsia="仿宋" w:cs="仿宋"/>
                <w:sz w:val="24"/>
              </w:rPr>
            </w:pPr>
            <w:r>
              <w:rPr>
                <w:rFonts w:hint="eastAsia" w:ascii="仿宋" w:hAnsi="仿宋" w:eastAsia="仿宋" w:cs="仿宋"/>
                <w:sz w:val="24"/>
              </w:rPr>
              <w:t>±10μg/m3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sz w:val="24"/>
              </w:rPr>
            </w:pPr>
            <w:r>
              <w:rPr>
                <w:rFonts w:hint="eastAsia" w:ascii="仿宋" w:hAnsi="仿宋" w:eastAsia="仿宋" w:cs="仿宋"/>
                <w:sz w:val="24"/>
              </w:rPr>
              <w:t>PM10</w:t>
            </w:r>
          </w:p>
        </w:tc>
        <w:tc>
          <w:tcPr>
            <w:tcW w:w="6658" w:type="dxa"/>
            <w:vAlign w:val="center"/>
          </w:tcPr>
          <w:p>
            <w:pPr>
              <w:spacing w:line="360" w:lineRule="auto"/>
              <w:rPr>
                <w:rFonts w:ascii="仿宋" w:hAnsi="仿宋" w:eastAsia="仿宋" w:cs="仿宋"/>
                <w:sz w:val="24"/>
              </w:rPr>
            </w:pPr>
            <w:r>
              <w:rPr>
                <w:rFonts w:hint="eastAsia" w:ascii="仿宋" w:hAnsi="仿宋" w:eastAsia="仿宋" w:cs="仿宋"/>
                <w:sz w:val="24"/>
              </w:rPr>
              <w:t>监测范围30～130dB(A)</w:t>
            </w:r>
          </w:p>
          <w:p>
            <w:pPr>
              <w:spacing w:line="360" w:lineRule="auto"/>
              <w:rPr>
                <w:rFonts w:ascii="仿宋" w:hAnsi="仿宋" w:eastAsia="仿宋" w:cs="仿宋"/>
                <w:sz w:val="24"/>
              </w:rPr>
            </w:pPr>
            <w:r>
              <w:rPr>
                <w:rFonts w:hint="eastAsia" w:ascii="仿宋" w:hAnsi="仿宋" w:eastAsia="仿宋" w:cs="仿宋"/>
                <w:sz w:val="24"/>
              </w:rPr>
              <w:t>分辨率0.3ug/m3</w:t>
            </w:r>
          </w:p>
          <w:p>
            <w:pPr>
              <w:spacing w:line="360" w:lineRule="auto"/>
              <w:rPr>
                <w:rFonts w:ascii="仿宋" w:hAnsi="仿宋" w:eastAsia="仿宋" w:cs="仿宋"/>
                <w:sz w:val="24"/>
              </w:rPr>
            </w:pPr>
            <w:r>
              <w:rPr>
                <w:rFonts w:hint="eastAsia" w:ascii="仿宋" w:hAnsi="仿宋" w:eastAsia="仿宋" w:cs="仿宋"/>
                <w:sz w:val="24"/>
              </w:rPr>
              <w:t>精度±15% or</w:t>
            </w:r>
          </w:p>
          <w:p>
            <w:pPr>
              <w:spacing w:line="360" w:lineRule="auto"/>
              <w:rPr>
                <w:rFonts w:ascii="仿宋" w:hAnsi="仿宋" w:eastAsia="仿宋" w:cs="仿宋"/>
                <w:sz w:val="24"/>
              </w:rPr>
            </w:pPr>
            <w:r>
              <w:rPr>
                <w:rFonts w:hint="eastAsia" w:ascii="仿宋" w:hAnsi="仿宋" w:eastAsia="仿宋" w:cs="仿宋"/>
                <w:sz w:val="24"/>
              </w:rPr>
              <w:t>±10μg/m3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3" w:type="dxa"/>
            <w:vAlign w:val="center"/>
          </w:tcPr>
          <w:p>
            <w:pPr>
              <w:spacing w:line="360" w:lineRule="auto"/>
              <w:jc w:val="center"/>
              <w:rPr>
                <w:rFonts w:ascii="仿宋" w:hAnsi="仿宋" w:eastAsia="仿宋" w:cs="仿宋"/>
                <w:sz w:val="24"/>
              </w:rPr>
            </w:pPr>
            <w:r>
              <w:rPr>
                <w:rFonts w:hint="eastAsia" w:ascii="仿宋" w:hAnsi="仿宋" w:eastAsia="仿宋" w:cs="仿宋"/>
                <w:bCs/>
                <w:color w:val="000000"/>
                <w:kern w:val="0"/>
                <w:sz w:val="24"/>
              </w:rPr>
              <w:t>基本参数</w:t>
            </w:r>
          </w:p>
        </w:tc>
        <w:tc>
          <w:tcPr>
            <w:tcW w:w="6658" w:type="dxa"/>
            <w:vAlign w:val="center"/>
          </w:tcPr>
          <w:p>
            <w:pPr>
              <w:widowControl/>
              <w:spacing w:line="360" w:lineRule="auto"/>
              <w:rPr>
                <w:rFonts w:ascii="仿宋" w:hAnsi="仿宋" w:eastAsia="仿宋" w:cs="仿宋"/>
                <w:bCs/>
                <w:color w:val="000000"/>
                <w:kern w:val="0"/>
                <w:sz w:val="24"/>
              </w:rPr>
            </w:pPr>
            <w:r>
              <w:rPr>
                <w:rFonts w:hint="eastAsia" w:ascii="仿宋" w:hAnsi="仿宋" w:eastAsia="仿宋" w:cs="仿宋"/>
                <w:bCs/>
                <w:color w:val="000000"/>
                <w:kern w:val="0"/>
                <w:sz w:val="24"/>
              </w:rPr>
              <w:t>接口RS485, 波特率</w:t>
            </w:r>
          </w:p>
          <w:p>
            <w:pPr>
              <w:widowControl/>
              <w:spacing w:line="360" w:lineRule="auto"/>
              <w:rPr>
                <w:rFonts w:ascii="仿宋" w:hAnsi="仿宋" w:eastAsia="仿宋" w:cs="仿宋"/>
                <w:bCs/>
                <w:color w:val="000000"/>
                <w:kern w:val="0"/>
                <w:sz w:val="24"/>
              </w:rPr>
            </w:pPr>
            <w:r>
              <w:rPr>
                <w:rFonts w:hint="eastAsia" w:ascii="仿宋" w:hAnsi="仿宋" w:eastAsia="仿宋" w:cs="仿宋"/>
                <w:bCs/>
                <w:color w:val="000000"/>
                <w:kern w:val="0"/>
                <w:sz w:val="24"/>
              </w:rPr>
              <w:t>（2400,4800,9600,19200,38400等）</w:t>
            </w:r>
            <w:r>
              <w:rPr>
                <w:rFonts w:hint="eastAsia" w:ascii="仿宋" w:hAnsi="仿宋" w:eastAsia="仿宋" w:cs="仿宋"/>
                <w:bCs/>
                <w:color w:val="000000"/>
                <w:kern w:val="0"/>
                <w:sz w:val="24"/>
              </w:rPr>
              <w:br w:type="textWrapping"/>
            </w:r>
            <w:r>
              <w:rPr>
                <w:rFonts w:hint="eastAsia" w:ascii="仿宋" w:hAnsi="仿宋" w:eastAsia="仿宋" w:cs="仿宋"/>
                <w:bCs/>
                <w:color w:val="000000"/>
                <w:kern w:val="0"/>
                <w:sz w:val="24"/>
              </w:rPr>
              <w:t>电源电压9～</w:t>
            </w:r>
            <w:r>
              <w:rPr>
                <w:rFonts w:hint="eastAsia" w:ascii="仿宋" w:hAnsi="仿宋" w:eastAsia="仿宋" w:cs="仿宋"/>
                <w:bCs/>
                <w:kern w:val="0"/>
                <w:sz w:val="24"/>
              </w:rPr>
              <w:t>30</w:t>
            </w:r>
            <w:r>
              <w:rPr>
                <w:rFonts w:hint="eastAsia" w:ascii="仿宋" w:hAnsi="仿宋" w:eastAsia="仿宋" w:cs="仿宋"/>
                <w:bCs/>
                <w:color w:val="000000"/>
                <w:kern w:val="0"/>
                <w:sz w:val="24"/>
              </w:rPr>
              <w:t xml:space="preserve">VDC  </w:t>
            </w:r>
            <w:r>
              <w:rPr>
                <w:rFonts w:hint="eastAsia" w:ascii="仿宋" w:hAnsi="仿宋" w:eastAsia="仿宋" w:cs="仿宋"/>
                <w:bCs/>
                <w:color w:val="000000"/>
                <w:kern w:val="0"/>
                <w:sz w:val="24"/>
              </w:rPr>
              <w:br w:type="textWrapping"/>
            </w:r>
            <w:r>
              <w:rPr>
                <w:rFonts w:hint="eastAsia" w:ascii="仿宋" w:hAnsi="仿宋" w:eastAsia="仿宋" w:cs="仿宋"/>
                <w:bCs/>
                <w:color w:val="000000"/>
                <w:kern w:val="0"/>
                <w:sz w:val="24"/>
              </w:rPr>
              <w:t>工作湿度范围0～100%RH</w:t>
            </w:r>
            <w:r>
              <w:rPr>
                <w:rFonts w:hint="eastAsia" w:ascii="仿宋" w:hAnsi="仿宋" w:eastAsia="仿宋" w:cs="仿宋"/>
                <w:bCs/>
                <w:color w:val="000000"/>
                <w:kern w:val="0"/>
                <w:sz w:val="24"/>
              </w:rPr>
              <w:br w:type="textWrapping"/>
            </w:r>
            <w:r>
              <w:rPr>
                <w:rFonts w:hint="eastAsia" w:ascii="仿宋" w:hAnsi="仿宋" w:eastAsia="仿宋" w:cs="仿宋"/>
                <w:bCs/>
                <w:color w:val="000000"/>
                <w:kern w:val="0"/>
                <w:sz w:val="24"/>
              </w:rPr>
              <w:t>工作温度范围-40～60°C（标准）</w:t>
            </w:r>
          </w:p>
          <w:p>
            <w:pPr>
              <w:spacing w:line="360" w:lineRule="auto"/>
              <w:rPr>
                <w:rFonts w:ascii="仿宋" w:hAnsi="仿宋" w:eastAsia="仿宋" w:cs="仿宋"/>
                <w:sz w:val="24"/>
              </w:rPr>
            </w:pPr>
            <w:r>
              <w:rPr>
                <w:rFonts w:hint="eastAsia" w:ascii="仿宋" w:hAnsi="仿宋" w:eastAsia="仿宋" w:cs="仿宋"/>
                <w:bCs/>
                <w:color w:val="000000"/>
                <w:kern w:val="0"/>
                <w:sz w:val="24"/>
              </w:rPr>
              <w:t>防护 IP65</w:t>
            </w:r>
          </w:p>
        </w:tc>
      </w:tr>
    </w:tbl>
    <w:p>
      <w:pPr>
        <w:spacing w:before="120" w:beforeLines="50" w:line="360" w:lineRule="auto"/>
        <w:rPr>
          <w:rFonts w:ascii="仿宋" w:hAnsi="仿宋" w:eastAsia="仿宋" w:cs="仿宋"/>
          <w:b/>
          <w:sz w:val="24"/>
        </w:rPr>
      </w:pPr>
    </w:p>
    <w:p>
      <w:pPr>
        <w:spacing w:before="240" w:beforeLines="100" w:line="360" w:lineRule="auto"/>
        <w:rPr>
          <w:rFonts w:ascii="仿宋" w:hAnsi="仿宋" w:eastAsia="仿宋" w:cs="仿宋"/>
          <w:b/>
          <w:sz w:val="24"/>
        </w:rPr>
      </w:pPr>
      <w:r>
        <w:rPr>
          <w:rFonts w:hint="eastAsia" w:ascii="仿宋" w:hAnsi="仿宋" w:eastAsia="仿宋" w:cs="仿宋"/>
          <w:b/>
          <w:sz w:val="24"/>
        </w:rPr>
        <w:t>1.4智慧灯杆杆体技术要求</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智慧灯杆与5G基站、智慧交通管理设施多杆合一，宜采用圆形、多边形或多边形锥形杆，满足功能和安全性要求，满足对应行业规范，确保足够的强度、刚度和稳定性，确保平台自身及其数据的安全。</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本项目灯杆设计满足数据采集、传输的准确性和安全性。挂载设备优化整体设计，实现小型化、减量化，颜色与杆体颜色协调统一。挂载设备布局应避免设备之间相互干扰，保证各设备正常运行。杆体分层设计，杆体采用以下4 个层次进行分层设计：</w:t>
      </w:r>
    </w:p>
    <w:p>
      <w:pPr>
        <w:pStyle w:val="503"/>
        <w:numPr>
          <w:ilvl w:val="0"/>
          <w:numId w:val="7"/>
        </w:numPr>
        <w:ind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第一层（底部）：适用边缘计算网关、一键求助等智慧弱电设备，空开、防雷器等强电设施。适宜高度约2.5m 以下，强弱电必须分仓设计，所有用电设备离地高度≥450cm；</w:t>
      </w:r>
    </w:p>
    <w:p>
      <w:pPr>
        <w:pStyle w:val="503"/>
        <w:numPr>
          <w:ilvl w:val="0"/>
          <w:numId w:val="7"/>
        </w:numPr>
        <w:ind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第二层（中部）：适用公共广播、LED 大屏等设施，高度约2.5m～5.5m；</w:t>
      </w:r>
    </w:p>
    <w:p>
      <w:pPr>
        <w:pStyle w:val="503"/>
        <w:numPr>
          <w:ilvl w:val="0"/>
          <w:numId w:val="7"/>
        </w:numPr>
        <w:ind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第三层（上部）：适用监控摄像头、气象监测、环境监测、公共WLAN 等设施，高度约高度5.5m～8m；</w:t>
      </w:r>
    </w:p>
    <w:p>
      <w:pPr>
        <w:pStyle w:val="503"/>
        <w:numPr>
          <w:ilvl w:val="0"/>
          <w:numId w:val="7"/>
        </w:numPr>
        <w:ind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第四层（顶部）：移动通信、智能照明、物联网基站等设施，高度8m 以上。</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灯杆设计预留5G杆站硬件接口（双向法兰）。</w:t>
      </w:r>
    </w:p>
    <w:p>
      <w:pPr>
        <w:pStyle w:val="421"/>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智慧杆体设计使用寿命≥20年，多功能杆结构所承受的风荷载计算应按GB 50009《建筑结构荷载规范》中规定的重现期R为50年执行，但基本风压不得小于0.35 kN/m2,在以风载荷为主的载荷标准组合极限状态作用下，杆体任意点的横向变形允许值小于任意点高度的 1/40。</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智慧灯杆主体材质选用碳素结构钢Q235B或低合金高强度结构钢材料,壁厚≥4mm。杆体焊接方式为自动埋弧焊接，焊接可靠，表面光滑，无明显的气孔、焊瘤、咬边等焊接缺陷，超声波探伤检验，达焊接GB-l13452 Ⅱ级标准要求。</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碳素结构钢和低合金高强度结构钢采用内外热镀锌工艺进行防腐处理、喷塑。锌层均匀，表面色泽一致，壁厚≥5mm时锌层厚度须不小于86μm，壁厚＜5mm时，锌层厚度须不小于65μm；热侵锌后喷塑处理，室外粉，厚度大于80μm。灯杆表面喷塑附着力达到GB-928688 0级，表面光滑，硬度≧2H。 </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防腐处理 防腐质量符合现行国家标准《金属覆盖及其他覆盖层维氏和努氏显微硬度试验》（GB/T9790）、《热喷涂 金属零件表面的预处理》(GB/T11373）、《金属覆盖层 钢铁制件热浸镀锌层技术要求及试验方法》（GB-T13912）、现行行业标准《钢铁热浸铝工艺及质量检验》（ZBJ36011）。</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灯杆与法兰连接处焊接加强筋，加强筋厚度≥8mm，数量≥4处。</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功能明细表：</w:t>
      </w:r>
    </w:p>
    <w:tbl>
      <w:tblPr>
        <w:tblStyle w:val="61"/>
        <w:tblW w:w="0" w:type="auto"/>
        <w:tblInd w:w="0" w:type="dxa"/>
        <w:tblLayout w:type="autofit"/>
        <w:tblCellMar>
          <w:top w:w="0" w:type="dxa"/>
          <w:left w:w="108" w:type="dxa"/>
          <w:bottom w:w="0" w:type="dxa"/>
          <w:right w:w="108" w:type="dxa"/>
        </w:tblCellMar>
      </w:tblPr>
      <w:tblGrid>
        <w:gridCol w:w="698"/>
        <w:gridCol w:w="1421"/>
        <w:gridCol w:w="698"/>
        <w:gridCol w:w="5681"/>
        <w:gridCol w:w="698"/>
        <w:gridCol w:w="222"/>
      </w:tblGrid>
      <w:tr>
        <w:tblPrEx>
          <w:tblCellMar>
            <w:top w:w="0" w:type="dxa"/>
            <w:left w:w="108" w:type="dxa"/>
            <w:bottom w:w="0" w:type="dxa"/>
            <w:right w:w="108" w:type="dxa"/>
          </w:tblCellMar>
        </w:tblPrEx>
        <w:trPr>
          <w:gridAfter w:val="1"/>
          <w:wAfter w:w="222" w:type="dxa"/>
          <w:trHeight w:val="480"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0" w:type="auto"/>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产品名称</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型号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规格</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数量</w:t>
            </w:r>
          </w:p>
        </w:tc>
      </w:tr>
      <w:tr>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b/>
                <w:bCs/>
                <w:color w:val="000000"/>
                <w:kern w:val="0"/>
                <w:sz w:val="24"/>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仿宋" w:hAnsi="仿宋" w:eastAsia="仿宋" w:cs="仿宋"/>
                <w:b/>
                <w:bCs/>
                <w:color w:val="000000"/>
                <w:kern w:val="0"/>
                <w:sz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b/>
                <w:bCs/>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
                <w:bCs/>
                <w:color w:val="000000"/>
                <w:kern w:val="0"/>
                <w:sz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b/>
                <w:bCs/>
                <w:color w:val="000000"/>
                <w:kern w:val="0"/>
                <w:sz w:val="24"/>
              </w:rPr>
            </w:pPr>
          </w:p>
        </w:tc>
        <w:tc>
          <w:tcPr>
            <w:tcW w:w="0" w:type="auto"/>
            <w:tcBorders>
              <w:top w:val="nil"/>
              <w:left w:val="nil"/>
              <w:bottom w:val="nil"/>
              <w:right w:val="nil"/>
            </w:tcBorders>
            <w:shd w:val="clear" w:color="auto" w:fill="auto"/>
            <w:noWrap/>
            <w:vAlign w:val="center"/>
          </w:tcPr>
          <w:p>
            <w:pPr>
              <w:widowControl/>
              <w:spacing w:line="360" w:lineRule="auto"/>
              <w:jc w:val="center"/>
              <w:rPr>
                <w:rFonts w:ascii="仿宋" w:hAnsi="仿宋" w:eastAsia="仿宋" w:cs="仿宋"/>
                <w:b/>
                <w:bCs/>
                <w:color w:val="000000"/>
                <w:kern w:val="0"/>
                <w:sz w:val="24"/>
              </w:rPr>
            </w:pP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基本智慧杆</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B1</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单灯控制，公共广播，视频监控，5G接口（6米杆）</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0" w:type="auto"/>
            <w:vAlign w:val="center"/>
          </w:tcPr>
          <w:p>
            <w:pPr>
              <w:widowControl/>
              <w:spacing w:line="360" w:lineRule="auto"/>
              <w:jc w:val="left"/>
              <w:rPr>
                <w:rFonts w:ascii="仿宋" w:hAnsi="仿宋" w:eastAsia="仿宋" w:cs="仿宋"/>
                <w:kern w:val="0"/>
                <w:sz w:val="24"/>
              </w:rPr>
            </w:pP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社区智慧杆</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C1</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单灯控制，视频监控，公共广播，一键求助，无线网络，5G接口（6米杆）</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0" w:type="auto"/>
            <w:vAlign w:val="center"/>
          </w:tcPr>
          <w:p>
            <w:pPr>
              <w:widowControl/>
              <w:spacing w:line="360" w:lineRule="auto"/>
              <w:jc w:val="left"/>
              <w:rPr>
                <w:rFonts w:ascii="仿宋" w:hAnsi="仿宋" w:eastAsia="仿宋" w:cs="仿宋"/>
                <w:kern w:val="0"/>
                <w:sz w:val="24"/>
              </w:rPr>
            </w:pP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全综合智慧杆</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C2</w:t>
            </w:r>
          </w:p>
        </w:tc>
        <w:tc>
          <w:tcPr>
            <w:tcW w:w="0" w:type="auto"/>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单灯控制，视频监控，信息发布，公共广播，一键求助，无线网络，环境检测，5G接口（6米杆）</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0" w:type="auto"/>
            <w:vAlign w:val="center"/>
          </w:tcPr>
          <w:p>
            <w:pPr>
              <w:widowControl/>
              <w:spacing w:line="360" w:lineRule="auto"/>
              <w:jc w:val="left"/>
              <w:rPr>
                <w:rFonts w:ascii="仿宋" w:hAnsi="仿宋" w:eastAsia="仿宋" w:cs="仿宋"/>
                <w:kern w:val="0"/>
                <w:sz w:val="24"/>
              </w:rPr>
            </w:pPr>
          </w:p>
        </w:tc>
      </w:tr>
    </w:tbl>
    <w:p>
      <w:pPr>
        <w:spacing w:line="360" w:lineRule="auto"/>
        <w:rPr>
          <w:rFonts w:ascii="仿宋" w:hAnsi="仿宋" w:eastAsia="仿宋" w:cs="仿宋"/>
          <w:sz w:val="24"/>
        </w:rPr>
      </w:pPr>
    </w:p>
    <w:p>
      <w:pPr>
        <w:adjustRightInd/>
        <w:spacing w:line="360" w:lineRule="auto"/>
        <w:jc w:val="left"/>
        <w:rPr>
          <w:rFonts w:ascii="仿宋" w:hAnsi="仿宋" w:eastAsia="仿宋" w:cs="仿宋"/>
          <w:b/>
          <w:sz w:val="24"/>
        </w:rPr>
      </w:pPr>
    </w:p>
    <w:p>
      <w:pPr>
        <w:pStyle w:val="32"/>
        <w:spacing w:line="360" w:lineRule="auto"/>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、商务需求</w:t>
      </w:r>
    </w:p>
    <w:p>
      <w:pPr>
        <w:pStyle w:val="32"/>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.1交货时间及地点</w:t>
      </w:r>
    </w:p>
    <w:p>
      <w:pPr>
        <w:adjustRightInd/>
        <w:spacing w:line="420" w:lineRule="exact"/>
        <w:ind w:firstLine="482" w:firstLineChars="200"/>
        <w:rPr>
          <w:rFonts w:ascii="仿宋" w:hAnsi="仿宋" w:eastAsia="仿宋" w:cs="仿宋"/>
          <w:b/>
          <w:bCs/>
          <w:color w:val="FF0000"/>
          <w:sz w:val="24"/>
          <w:highlight w:val="none"/>
        </w:rPr>
      </w:pPr>
      <w:r>
        <w:rPr>
          <w:rFonts w:hint="eastAsia" w:ascii="仿宋" w:hAnsi="仿宋" w:eastAsia="仿宋" w:cs="仿宋"/>
          <w:b/>
          <w:bCs/>
          <w:sz w:val="24"/>
        </w:rPr>
        <w:t>▲(</w:t>
      </w:r>
      <w:r>
        <w:rPr>
          <w:rFonts w:hint="eastAsia" w:ascii="仿宋" w:hAnsi="仿宋" w:eastAsia="仿宋" w:cs="仿宋"/>
          <w:b/>
          <w:bCs/>
          <w:sz w:val="24"/>
          <w:highlight w:val="none"/>
        </w:rPr>
        <w:t>1)成交人应在合同签订后</w:t>
      </w:r>
      <w:r>
        <w:rPr>
          <w:rFonts w:hint="eastAsia" w:ascii="仿宋" w:hAnsi="仿宋" w:eastAsia="仿宋" w:cs="仿宋"/>
          <w:b/>
          <w:bCs/>
          <w:sz w:val="24"/>
          <w:highlight w:val="none"/>
          <w:lang w:val="en-US" w:eastAsia="zh-CN"/>
        </w:rPr>
        <w:t>60</w:t>
      </w:r>
      <w:r>
        <w:rPr>
          <w:rFonts w:hint="eastAsia" w:ascii="仿宋" w:hAnsi="仿宋" w:eastAsia="仿宋" w:cs="仿宋"/>
          <w:b/>
          <w:bCs/>
          <w:sz w:val="24"/>
          <w:highlight w:val="none"/>
        </w:rPr>
        <w:t>日历天内供货、安装、调试、</w:t>
      </w:r>
      <w:r>
        <w:rPr>
          <w:rFonts w:hint="eastAsia" w:ascii="仿宋" w:hAnsi="仿宋" w:eastAsia="仿宋" w:cs="仿宋"/>
          <w:b/>
          <w:bCs/>
          <w:kern w:val="0"/>
          <w:sz w:val="24"/>
          <w:highlight w:val="none"/>
        </w:rPr>
        <w:t>验收。</w:t>
      </w:r>
    </w:p>
    <w:p>
      <w:pPr>
        <w:adjustRightInd/>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(2)交货地点：业主指定地点。    </w:t>
      </w:r>
    </w:p>
    <w:p>
      <w:pPr>
        <w:adjustRightInd/>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(3)成交人提供的成交物品，必须符合本交易文件要求、原包装送达业主指定地点；如有不符，业主可以无条件退货，所造成的损失由成交人承担。更换后的零部件质保期按更换日起顺延。</w:t>
      </w:r>
    </w:p>
    <w:p>
      <w:pPr>
        <w:adjustRightInd/>
        <w:spacing w:line="420" w:lineRule="exact"/>
        <w:ind w:firstLine="241" w:firstLineChars="100"/>
        <w:rPr>
          <w:rFonts w:ascii="仿宋" w:hAnsi="仿宋" w:eastAsia="仿宋" w:cs="仿宋"/>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.2质保期及售后技术服务要求</w:t>
      </w:r>
    </w:p>
    <w:p>
      <w:pPr>
        <w:snapToGrid w:val="0"/>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sz w:val="24"/>
          <w:highlight w:val="none"/>
        </w:rPr>
        <w:t xml:space="preserve"> ▲(1)质保期：2年。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 xml:space="preserve"> (2)</w:t>
      </w:r>
      <w:r>
        <w:rPr>
          <w:rFonts w:hint="eastAsia" w:ascii="仿宋" w:hAnsi="仿宋" w:eastAsia="仿宋" w:cs="仿宋"/>
          <w:sz w:val="24"/>
        </w:rPr>
        <w:t>质量保证期内提供免费上门维护、升级服务，如设备出现故障，供货单位在接到电话后，当即响应，20分钟内到现场处理，1小时内修复一般电梯故障，12小时内修复重大电梯故障。现场不能修复的，必须采取无偿提供采购物品的备用件或整机等措施，以保证用户单位的正常使用。</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Style w:val="646"/>
          <w:rFonts w:hint="eastAsia" w:ascii="仿宋" w:hAnsi="仿宋" w:eastAsia="仿宋" w:cs="仿宋"/>
          <w:color w:val="000000"/>
          <w:sz w:val="24"/>
        </w:rPr>
        <w:t>响应</w:t>
      </w:r>
      <w:r>
        <w:rPr>
          <w:rFonts w:hint="eastAsia" w:ascii="仿宋" w:hAnsi="仿宋" w:eastAsia="仿宋" w:cs="仿宋"/>
          <w:sz w:val="24"/>
        </w:rPr>
        <w:t>人应提供技术支持方案，内容由</w:t>
      </w:r>
      <w:r>
        <w:rPr>
          <w:rStyle w:val="646"/>
          <w:rFonts w:hint="eastAsia" w:ascii="仿宋" w:hAnsi="仿宋" w:eastAsia="仿宋" w:cs="仿宋"/>
          <w:color w:val="000000"/>
          <w:sz w:val="24"/>
        </w:rPr>
        <w:t>响应</w:t>
      </w:r>
      <w:r>
        <w:rPr>
          <w:rFonts w:hint="eastAsia" w:ascii="仿宋" w:hAnsi="仿宋" w:eastAsia="仿宋" w:cs="仿宋"/>
          <w:sz w:val="24"/>
        </w:rPr>
        <w:t>人根据实际选择以下要点：服务机构（维保点）的地址、人员状况、维修能力、联系方式、营业执照、公司资质材料、相关案例等。</w:t>
      </w:r>
    </w:p>
    <w:p>
      <w:pPr>
        <w:adjustRightInd/>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(4)完整准确地表述原厂家的标准售后服务承诺（范围、标准及期限等）、</w:t>
      </w:r>
      <w:r>
        <w:rPr>
          <w:rStyle w:val="646"/>
          <w:rFonts w:hint="eastAsia" w:ascii="仿宋" w:hAnsi="仿宋" w:eastAsia="仿宋" w:cs="仿宋"/>
          <w:color w:val="000000"/>
          <w:sz w:val="24"/>
        </w:rPr>
        <w:t>响应</w:t>
      </w:r>
      <w:r>
        <w:rPr>
          <w:rFonts w:hint="eastAsia" w:ascii="仿宋" w:hAnsi="仿宋" w:eastAsia="仿宋" w:cs="仿宋"/>
          <w:color w:val="000000"/>
          <w:sz w:val="24"/>
        </w:rPr>
        <w:t>人可能增加的服务承诺等。</w:t>
      </w:r>
    </w:p>
    <w:p>
      <w:pPr>
        <w:adjustRightInd/>
        <w:spacing w:line="420" w:lineRule="exact"/>
        <w:ind w:firstLine="480" w:firstLineChars="200"/>
        <w:rPr>
          <w:rFonts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pPr>
        <w:adjustRightInd/>
        <w:spacing w:line="420" w:lineRule="exact"/>
        <w:ind w:firstLine="241" w:firstLineChars="100"/>
        <w:rPr>
          <w:rFonts w:ascii="仿宋" w:hAnsi="仿宋" w:eastAsia="仿宋" w:cs="仿宋"/>
          <w:sz w:val="24"/>
        </w:rPr>
      </w:pPr>
      <w:r>
        <w:rPr>
          <w:rFonts w:hint="eastAsia" w:ascii="仿宋" w:hAnsi="仿宋" w:eastAsia="仿宋" w:cs="仿宋"/>
          <w:b/>
          <w:sz w:val="24"/>
        </w:rPr>
        <w:t>3.3</w:t>
      </w:r>
      <w:r>
        <w:rPr>
          <w:rFonts w:hint="eastAsia" w:ascii="仿宋" w:hAnsi="仿宋" w:eastAsia="仿宋" w:cs="仿宋"/>
          <w:b/>
          <w:bCs/>
          <w:sz w:val="24"/>
        </w:rPr>
        <w:t>项目实施计划</w:t>
      </w:r>
    </w:p>
    <w:p>
      <w:pPr>
        <w:adjustRightInd/>
        <w:spacing w:line="420" w:lineRule="exact"/>
        <w:ind w:firstLine="480" w:firstLineChars="200"/>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spacing w:line="360" w:lineRule="auto"/>
        <w:ind w:firstLine="482" w:firstLineChars="200"/>
        <w:rPr>
          <w:rFonts w:ascii="仿宋" w:hAnsi="仿宋" w:eastAsia="仿宋" w:cs="仿宋"/>
          <w:b/>
          <w:bCs/>
          <w:sz w:val="24"/>
        </w:rPr>
      </w:pPr>
    </w:p>
    <w:p>
      <w:pPr>
        <w:spacing w:line="360" w:lineRule="auto"/>
        <w:ind w:firstLine="241" w:firstLineChars="100"/>
        <w:rPr>
          <w:rFonts w:ascii="仿宋" w:hAnsi="仿宋" w:eastAsia="仿宋" w:cs="仿宋"/>
          <w:b/>
          <w:bCs/>
          <w:sz w:val="24"/>
        </w:rPr>
      </w:pPr>
      <w:r>
        <w:rPr>
          <w:rFonts w:hint="eastAsia" w:ascii="仿宋" w:hAnsi="仿宋" w:eastAsia="仿宋" w:cs="仿宋"/>
          <w:b/>
          <w:bCs/>
          <w:sz w:val="24"/>
        </w:rPr>
        <w:t>▲3.4付款方式</w:t>
      </w:r>
    </w:p>
    <w:p>
      <w:pPr>
        <w:spacing w:line="440" w:lineRule="exact"/>
        <w:ind w:firstLine="540" w:firstLineChars="225"/>
        <w:rPr>
          <w:rFonts w:ascii="仿宋" w:hAnsi="仿宋" w:eastAsia="仿宋" w:cs="仿宋"/>
          <w:sz w:val="24"/>
          <w:highlight w:val="none"/>
        </w:rPr>
      </w:pPr>
      <w:r>
        <w:rPr>
          <w:rFonts w:hint="eastAsia" w:ascii="仿宋" w:hAnsi="仿宋" w:eastAsia="仿宋" w:cs="仿宋"/>
          <w:bCs/>
          <w:kern w:val="0"/>
          <w:sz w:val="24"/>
          <w:highlight w:val="none"/>
        </w:rPr>
        <w:t>合同签订后支付合同总额的40%作为预付款，设备供货、安装、调试完成并经验收合格采购人按合同规定审核后付清余款，并退还履约保证金（无息）。同时扣除1.5%的质量保证金，质保期满且无质量、服务问题，所扣质量保证金无息退还。</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注：打▲内容为实质性要求，不允许有负偏离，否则将以涉及无效投标条款作无效投标。</w:t>
      </w:r>
    </w:p>
    <w:p>
      <w:pPr>
        <w:ind w:firstLine="420"/>
        <w:rPr>
          <w:rFonts w:ascii="仿宋" w:hAnsi="仿宋" w:eastAsia="仿宋" w:cs="仿宋"/>
          <w:sz w:val="24"/>
        </w:rPr>
      </w:pPr>
    </w:p>
    <w:p>
      <w:pPr>
        <w:ind w:firstLine="420"/>
        <w:rPr>
          <w:rFonts w:ascii="仿宋" w:hAnsi="仿宋" w:eastAsia="仿宋" w:cs="仿宋"/>
          <w:sz w:val="24"/>
        </w:rPr>
      </w:pPr>
    </w:p>
    <w:p>
      <w:pPr>
        <w:pStyle w:val="3"/>
        <w:ind w:firstLine="723"/>
        <w:rPr>
          <w:rFonts w:cs="仿宋"/>
          <w:color w:val="auto"/>
        </w:rPr>
      </w:pPr>
      <w:r>
        <w:rPr>
          <w:rFonts w:hint="eastAsia" w:cs="仿宋"/>
          <w:color w:val="auto"/>
        </w:rPr>
        <w:br w:type="page"/>
      </w:r>
      <w:r>
        <w:rPr>
          <w:rFonts w:hint="eastAsia" w:cs="仿宋"/>
          <w:color w:val="auto"/>
        </w:rPr>
        <w:t xml:space="preserve">第四部分   </w:t>
      </w:r>
      <w:bookmarkStart w:id="61" w:name="_Toc184314474"/>
      <w:bookmarkEnd w:id="61"/>
      <w:bookmarkStart w:id="62" w:name="_Toc184314418"/>
      <w:bookmarkEnd w:id="62"/>
      <w:bookmarkStart w:id="63" w:name="_Toc184312132"/>
      <w:bookmarkEnd w:id="63"/>
      <w:bookmarkStart w:id="64" w:name="_Toc184308038"/>
      <w:bookmarkEnd w:id="64"/>
      <w:bookmarkStart w:id="65" w:name="_Toc184308040"/>
      <w:bookmarkEnd w:id="65"/>
      <w:bookmarkStart w:id="66" w:name="_Toc184314438"/>
      <w:bookmarkEnd w:id="66"/>
      <w:bookmarkStart w:id="67" w:name="_Toc184312102"/>
      <w:bookmarkEnd w:id="67"/>
      <w:bookmarkStart w:id="68" w:name="_Toc184314448"/>
      <w:bookmarkEnd w:id="68"/>
      <w:bookmarkStart w:id="69" w:name="_Toc184308094"/>
      <w:bookmarkEnd w:id="69"/>
      <w:bookmarkStart w:id="70" w:name="_Toc184313293"/>
      <w:bookmarkEnd w:id="70"/>
      <w:bookmarkStart w:id="71" w:name="_Toc184310285"/>
      <w:bookmarkEnd w:id="71"/>
      <w:bookmarkStart w:id="72" w:name="_Toc184308093"/>
      <w:bookmarkEnd w:id="72"/>
      <w:bookmarkStart w:id="73" w:name="_Toc184312089"/>
      <w:bookmarkEnd w:id="73"/>
      <w:bookmarkStart w:id="74" w:name="_Toc184308067"/>
      <w:bookmarkEnd w:id="74"/>
      <w:bookmarkStart w:id="75" w:name="_Toc184314480"/>
      <w:bookmarkEnd w:id="75"/>
      <w:bookmarkStart w:id="76" w:name="_Toc184308098"/>
      <w:bookmarkEnd w:id="76"/>
      <w:bookmarkStart w:id="77" w:name="_Toc184310337"/>
      <w:bookmarkEnd w:id="77"/>
      <w:bookmarkStart w:id="78" w:name="_Toc184310301"/>
      <w:bookmarkEnd w:id="78"/>
      <w:bookmarkStart w:id="79" w:name="_Toc184308074"/>
      <w:bookmarkEnd w:id="79"/>
      <w:bookmarkStart w:id="80" w:name="_Toc184314432"/>
      <w:bookmarkEnd w:id="80"/>
      <w:bookmarkStart w:id="81" w:name="_Toc184313285"/>
      <w:bookmarkEnd w:id="81"/>
      <w:bookmarkStart w:id="82" w:name="_Toc184314481"/>
      <w:bookmarkEnd w:id="82"/>
      <w:bookmarkStart w:id="83" w:name="_Toc184313283"/>
      <w:bookmarkEnd w:id="83"/>
      <w:bookmarkStart w:id="84" w:name="_Toc184314476"/>
      <w:bookmarkEnd w:id="84"/>
      <w:bookmarkStart w:id="85" w:name="_Toc184308060"/>
      <w:bookmarkEnd w:id="85"/>
      <w:bookmarkStart w:id="86" w:name="_Toc184312082"/>
      <w:bookmarkEnd w:id="86"/>
      <w:bookmarkStart w:id="87" w:name="_Toc184313248"/>
      <w:bookmarkEnd w:id="87"/>
      <w:bookmarkStart w:id="88" w:name="_Toc184308041"/>
      <w:bookmarkEnd w:id="88"/>
      <w:bookmarkStart w:id="89" w:name="_Toc184313272"/>
      <w:bookmarkEnd w:id="89"/>
      <w:bookmarkStart w:id="90" w:name="_Toc184314427"/>
      <w:bookmarkEnd w:id="90"/>
      <w:bookmarkStart w:id="91" w:name="_Toc184314456"/>
      <w:bookmarkEnd w:id="91"/>
      <w:bookmarkStart w:id="92" w:name="_Toc184310299"/>
      <w:bookmarkEnd w:id="92"/>
      <w:bookmarkStart w:id="93" w:name="_Toc184313268"/>
      <w:bookmarkEnd w:id="93"/>
      <w:bookmarkStart w:id="94" w:name="_Toc184310277"/>
      <w:bookmarkEnd w:id="94"/>
      <w:bookmarkStart w:id="95" w:name="_Toc184314454"/>
      <w:bookmarkEnd w:id="95"/>
      <w:bookmarkStart w:id="96" w:name="_Toc184313240"/>
      <w:bookmarkEnd w:id="96"/>
      <w:bookmarkStart w:id="97" w:name="_Toc184310325"/>
      <w:bookmarkEnd w:id="97"/>
      <w:bookmarkStart w:id="98" w:name="_Toc184314475"/>
      <w:bookmarkEnd w:id="98"/>
      <w:bookmarkStart w:id="99" w:name="_Toc184308106"/>
      <w:bookmarkEnd w:id="99"/>
      <w:bookmarkStart w:id="100" w:name="_Toc184314460"/>
      <w:bookmarkEnd w:id="100"/>
      <w:bookmarkStart w:id="101" w:name="_Toc184308063"/>
      <w:bookmarkEnd w:id="101"/>
      <w:bookmarkStart w:id="102" w:name="_Toc184312125"/>
      <w:bookmarkEnd w:id="102"/>
      <w:bookmarkStart w:id="103" w:name="_Toc184312075"/>
      <w:bookmarkEnd w:id="103"/>
      <w:bookmarkStart w:id="104" w:name="_Toc184313274"/>
      <w:bookmarkEnd w:id="104"/>
      <w:bookmarkStart w:id="105" w:name="_Toc184308083"/>
      <w:bookmarkEnd w:id="105"/>
      <w:bookmarkStart w:id="106" w:name="_Toc184312128"/>
      <w:bookmarkEnd w:id="106"/>
      <w:bookmarkStart w:id="107" w:name="_Toc184308059"/>
      <w:bookmarkEnd w:id="107"/>
      <w:bookmarkStart w:id="108" w:name="_Toc184314446"/>
      <w:bookmarkEnd w:id="108"/>
      <w:bookmarkStart w:id="109" w:name="_Toc184313307"/>
      <w:bookmarkEnd w:id="109"/>
      <w:bookmarkStart w:id="110" w:name="_Toc184308079"/>
      <w:bookmarkEnd w:id="110"/>
      <w:bookmarkStart w:id="111" w:name="_Toc184314424"/>
      <w:bookmarkEnd w:id="111"/>
      <w:bookmarkStart w:id="112" w:name="_Toc184313280"/>
      <w:bookmarkEnd w:id="112"/>
      <w:bookmarkStart w:id="113" w:name="_Toc184308048"/>
      <w:bookmarkEnd w:id="113"/>
      <w:bookmarkStart w:id="114" w:name="_Toc184310272"/>
      <w:bookmarkEnd w:id="114"/>
      <w:bookmarkStart w:id="115" w:name="_Toc184310311"/>
      <w:bookmarkEnd w:id="115"/>
      <w:bookmarkStart w:id="116" w:name="_Toc184313243"/>
      <w:bookmarkEnd w:id="116"/>
      <w:bookmarkStart w:id="117" w:name="_Toc184312074"/>
      <w:bookmarkEnd w:id="117"/>
      <w:bookmarkStart w:id="118" w:name="_Toc184313245"/>
      <w:bookmarkEnd w:id="118"/>
      <w:bookmarkStart w:id="119" w:name="_Toc184313238"/>
      <w:bookmarkEnd w:id="119"/>
      <w:bookmarkStart w:id="120" w:name="_Toc184308062"/>
      <w:bookmarkEnd w:id="120"/>
      <w:bookmarkStart w:id="121" w:name="_Toc184312092"/>
      <w:bookmarkEnd w:id="121"/>
      <w:bookmarkStart w:id="122" w:name="_Toc184313241"/>
      <w:bookmarkEnd w:id="122"/>
      <w:bookmarkStart w:id="123" w:name="_Toc184308102"/>
      <w:bookmarkEnd w:id="123"/>
      <w:bookmarkStart w:id="124" w:name="_Toc184314423"/>
      <w:bookmarkEnd w:id="124"/>
      <w:bookmarkStart w:id="125" w:name="_Toc184312070"/>
      <w:bookmarkEnd w:id="125"/>
      <w:bookmarkStart w:id="126" w:name="_Toc184310298"/>
      <w:bookmarkEnd w:id="126"/>
      <w:bookmarkStart w:id="127" w:name="_Toc184313300"/>
      <w:bookmarkEnd w:id="127"/>
      <w:bookmarkStart w:id="128" w:name="_Toc184314435"/>
      <w:bookmarkEnd w:id="128"/>
      <w:bookmarkStart w:id="129" w:name="_Toc184310292"/>
      <w:bookmarkEnd w:id="129"/>
      <w:bookmarkStart w:id="130" w:name="_Toc184313309"/>
      <w:bookmarkEnd w:id="130"/>
      <w:bookmarkStart w:id="131" w:name="_Toc184312072"/>
      <w:bookmarkEnd w:id="131"/>
      <w:bookmarkStart w:id="132" w:name="_Toc184308108"/>
      <w:bookmarkEnd w:id="132"/>
      <w:bookmarkStart w:id="133" w:name="_Toc184314421"/>
      <w:bookmarkEnd w:id="133"/>
      <w:bookmarkStart w:id="134" w:name="_Toc184313247"/>
      <w:bookmarkEnd w:id="134"/>
      <w:bookmarkStart w:id="135" w:name="_Toc184313265"/>
      <w:bookmarkEnd w:id="135"/>
      <w:bookmarkStart w:id="136" w:name="_Toc184310279"/>
      <w:bookmarkEnd w:id="136"/>
      <w:bookmarkStart w:id="137" w:name="_Toc184313287"/>
      <w:bookmarkEnd w:id="137"/>
      <w:bookmarkStart w:id="138" w:name="_Toc184313242"/>
      <w:bookmarkEnd w:id="138"/>
      <w:bookmarkStart w:id="139" w:name="_Toc184312129"/>
      <w:bookmarkEnd w:id="139"/>
      <w:bookmarkStart w:id="140" w:name="_Toc184314465"/>
      <w:bookmarkEnd w:id="140"/>
      <w:bookmarkStart w:id="141" w:name="_Toc184314482"/>
      <w:bookmarkEnd w:id="141"/>
      <w:bookmarkStart w:id="142" w:name="_Toc184314434"/>
      <w:bookmarkEnd w:id="142"/>
      <w:bookmarkStart w:id="143" w:name="_Toc184313254"/>
      <w:bookmarkEnd w:id="143"/>
      <w:bookmarkStart w:id="144" w:name="_Toc184312118"/>
      <w:bookmarkEnd w:id="144"/>
      <w:bookmarkStart w:id="145" w:name="_Toc184308051"/>
      <w:bookmarkEnd w:id="145"/>
      <w:bookmarkStart w:id="146" w:name="_Toc184312088"/>
      <w:bookmarkEnd w:id="146"/>
      <w:bookmarkStart w:id="147" w:name="_Toc184308080"/>
      <w:bookmarkEnd w:id="147"/>
      <w:bookmarkStart w:id="148" w:name="_Toc184313282"/>
      <w:bookmarkEnd w:id="148"/>
      <w:bookmarkStart w:id="149" w:name="_Toc184310318"/>
      <w:bookmarkEnd w:id="149"/>
      <w:bookmarkStart w:id="150" w:name="_Toc184308039"/>
      <w:bookmarkEnd w:id="150"/>
      <w:bookmarkStart w:id="151" w:name="_Toc184312067"/>
      <w:bookmarkEnd w:id="151"/>
      <w:bookmarkStart w:id="152" w:name="_Toc184313266"/>
      <w:bookmarkEnd w:id="152"/>
      <w:bookmarkStart w:id="153" w:name="_Toc184313251"/>
      <w:bookmarkEnd w:id="153"/>
      <w:bookmarkStart w:id="154" w:name="_Toc184312085"/>
      <w:bookmarkEnd w:id="154"/>
      <w:bookmarkStart w:id="155" w:name="_Toc184313289"/>
      <w:bookmarkEnd w:id="155"/>
      <w:bookmarkStart w:id="156" w:name="_Toc184310302"/>
      <w:bookmarkEnd w:id="156"/>
      <w:bookmarkStart w:id="157" w:name="_Toc184310329"/>
      <w:bookmarkEnd w:id="157"/>
      <w:bookmarkStart w:id="158" w:name="_Toc184310276"/>
      <w:bookmarkEnd w:id="158"/>
      <w:bookmarkStart w:id="159" w:name="_Toc184308077"/>
      <w:bookmarkEnd w:id="159"/>
      <w:bookmarkStart w:id="160" w:name="_Toc184310324"/>
      <w:bookmarkEnd w:id="160"/>
      <w:bookmarkStart w:id="161" w:name="_Toc184310341"/>
      <w:bookmarkEnd w:id="161"/>
      <w:bookmarkStart w:id="162" w:name="_Toc184314419"/>
      <w:bookmarkEnd w:id="162"/>
      <w:bookmarkStart w:id="163" w:name="_Toc184313291"/>
      <w:bookmarkEnd w:id="163"/>
      <w:bookmarkStart w:id="164" w:name="_Toc184312100"/>
      <w:bookmarkEnd w:id="164"/>
      <w:bookmarkStart w:id="165" w:name="_Toc184312091"/>
      <w:bookmarkEnd w:id="165"/>
      <w:bookmarkStart w:id="166" w:name="_Toc184314442"/>
      <w:bookmarkEnd w:id="166"/>
      <w:bookmarkStart w:id="167" w:name="_Toc184308043"/>
      <w:bookmarkEnd w:id="167"/>
      <w:bookmarkStart w:id="168" w:name="_Toc184313276"/>
      <w:bookmarkEnd w:id="168"/>
      <w:bookmarkStart w:id="169" w:name="_Toc184312076"/>
      <w:bookmarkEnd w:id="169"/>
      <w:bookmarkStart w:id="170" w:name="_Toc184310335"/>
      <w:bookmarkEnd w:id="170"/>
      <w:bookmarkStart w:id="171" w:name="_Toc184308070"/>
      <w:bookmarkEnd w:id="171"/>
      <w:bookmarkStart w:id="172" w:name="_Toc184313294"/>
      <w:bookmarkEnd w:id="172"/>
      <w:bookmarkStart w:id="173" w:name="_Toc184308058"/>
      <w:bookmarkEnd w:id="173"/>
      <w:bookmarkStart w:id="174" w:name="_Toc184310316"/>
      <w:bookmarkEnd w:id="174"/>
      <w:bookmarkStart w:id="175" w:name="_Toc184314459"/>
      <w:bookmarkEnd w:id="175"/>
      <w:bookmarkStart w:id="176" w:name="_Toc184312110"/>
      <w:bookmarkEnd w:id="176"/>
      <w:bookmarkStart w:id="177" w:name="_Toc184312103"/>
      <w:bookmarkEnd w:id="177"/>
      <w:bookmarkStart w:id="178" w:name="_Toc184313263"/>
      <w:bookmarkEnd w:id="178"/>
      <w:bookmarkStart w:id="179" w:name="_Toc184310284"/>
      <w:bookmarkEnd w:id="179"/>
      <w:bookmarkStart w:id="180" w:name="_Toc184310342"/>
      <w:bookmarkEnd w:id="180"/>
      <w:bookmarkStart w:id="181" w:name="_Toc184314462"/>
      <w:bookmarkEnd w:id="181"/>
      <w:bookmarkStart w:id="182" w:name="_Toc184308045"/>
      <w:bookmarkEnd w:id="182"/>
      <w:bookmarkStart w:id="183" w:name="_Toc184308050"/>
      <w:bookmarkEnd w:id="183"/>
      <w:bookmarkStart w:id="184" w:name="_Toc184310304"/>
      <w:bookmarkEnd w:id="184"/>
      <w:bookmarkStart w:id="185" w:name="_Toc184313288"/>
      <w:bookmarkEnd w:id="185"/>
      <w:bookmarkStart w:id="186" w:name="_Toc184310274"/>
      <w:bookmarkEnd w:id="186"/>
      <w:bookmarkStart w:id="187" w:name="_Toc184314458"/>
      <w:bookmarkEnd w:id="187"/>
      <w:bookmarkStart w:id="188" w:name="_Toc184312106"/>
      <w:bookmarkEnd w:id="188"/>
      <w:bookmarkStart w:id="189" w:name="_Toc184308053"/>
      <w:bookmarkEnd w:id="189"/>
      <w:bookmarkStart w:id="190" w:name="_Toc184312078"/>
      <w:bookmarkEnd w:id="190"/>
      <w:bookmarkStart w:id="191" w:name="_Toc184310336"/>
      <w:bookmarkEnd w:id="191"/>
      <w:bookmarkStart w:id="192" w:name="_Toc184312134"/>
      <w:bookmarkEnd w:id="192"/>
      <w:bookmarkStart w:id="193" w:name="_Toc184312133"/>
      <w:bookmarkEnd w:id="193"/>
      <w:bookmarkStart w:id="194" w:name="_Toc184310328"/>
      <w:bookmarkEnd w:id="194"/>
      <w:bookmarkStart w:id="195" w:name="_Toc184308069"/>
      <w:bookmarkEnd w:id="195"/>
      <w:bookmarkStart w:id="196" w:name="_Toc184314444"/>
      <w:bookmarkEnd w:id="196"/>
      <w:bookmarkStart w:id="197" w:name="_Toc184312095"/>
      <w:bookmarkEnd w:id="197"/>
      <w:bookmarkStart w:id="198" w:name="_Toc184314437"/>
      <w:bookmarkEnd w:id="198"/>
      <w:bookmarkStart w:id="199" w:name="_Toc184308085"/>
      <w:bookmarkEnd w:id="199"/>
      <w:bookmarkStart w:id="200" w:name="_Toc184314431"/>
      <w:bookmarkEnd w:id="200"/>
      <w:bookmarkStart w:id="201" w:name="_Toc184310323"/>
      <w:bookmarkEnd w:id="201"/>
      <w:bookmarkStart w:id="202" w:name="_Toc184312077"/>
      <w:bookmarkEnd w:id="202"/>
      <w:bookmarkStart w:id="203" w:name="_Toc184310283"/>
      <w:bookmarkEnd w:id="203"/>
      <w:bookmarkStart w:id="204" w:name="_Toc184312090"/>
      <w:bookmarkEnd w:id="204"/>
      <w:bookmarkStart w:id="205" w:name="_Toc184314425"/>
      <w:bookmarkEnd w:id="205"/>
      <w:bookmarkStart w:id="206" w:name="_Toc184313246"/>
      <w:bookmarkEnd w:id="206"/>
      <w:bookmarkStart w:id="207" w:name="_Toc184312136"/>
      <w:bookmarkEnd w:id="207"/>
      <w:bookmarkStart w:id="208" w:name="_Toc184310273"/>
      <w:bookmarkEnd w:id="208"/>
      <w:bookmarkStart w:id="209" w:name="_Toc184313257"/>
      <w:bookmarkEnd w:id="209"/>
      <w:bookmarkStart w:id="210" w:name="_Toc184310312"/>
      <w:bookmarkEnd w:id="210"/>
      <w:bookmarkStart w:id="211" w:name="_Toc184310327"/>
      <w:bookmarkEnd w:id="211"/>
      <w:bookmarkStart w:id="212" w:name="_Toc184308100"/>
      <w:bookmarkEnd w:id="212"/>
      <w:bookmarkStart w:id="213" w:name="_Toc184312119"/>
      <w:bookmarkEnd w:id="213"/>
      <w:bookmarkStart w:id="214" w:name="_Toc184312093"/>
      <w:bookmarkEnd w:id="214"/>
      <w:bookmarkStart w:id="215" w:name="_Toc184310297"/>
      <w:bookmarkEnd w:id="215"/>
      <w:bookmarkStart w:id="216" w:name="_Toc184314450"/>
      <w:bookmarkEnd w:id="216"/>
      <w:bookmarkStart w:id="217" w:name="_Toc184314463"/>
      <w:bookmarkEnd w:id="217"/>
      <w:bookmarkStart w:id="218" w:name="_Toc184310326"/>
      <w:bookmarkEnd w:id="218"/>
      <w:bookmarkStart w:id="219" w:name="_Toc184314457"/>
      <w:bookmarkEnd w:id="219"/>
      <w:bookmarkStart w:id="220" w:name="_Toc184308068"/>
      <w:bookmarkEnd w:id="220"/>
      <w:bookmarkStart w:id="221" w:name="_Toc184308088"/>
      <w:bookmarkEnd w:id="221"/>
      <w:bookmarkStart w:id="222" w:name="_Toc184310315"/>
      <w:bookmarkEnd w:id="222"/>
      <w:bookmarkStart w:id="223" w:name="_Toc184313286"/>
      <w:bookmarkEnd w:id="223"/>
      <w:bookmarkStart w:id="224" w:name="_Toc184314451"/>
      <w:bookmarkEnd w:id="224"/>
      <w:bookmarkStart w:id="225" w:name="_Toc184313308"/>
      <w:bookmarkEnd w:id="225"/>
      <w:bookmarkStart w:id="226" w:name="_Toc184308042"/>
      <w:bookmarkEnd w:id="226"/>
      <w:bookmarkStart w:id="227" w:name="_Toc184308104"/>
      <w:bookmarkEnd w:id="227"/>
      <w:bookmarkStart w:id="228" w:name="_Toc184313296"/>
      <w:bookmarkEnd w:id="228"/>
      <w:bookmarkStart w:id="229" w:name="_Toc184314452"/>
      <w:bookmarkEnd w:id="229"/>
      <w:bookmarkStart w:id="230" w:name="_Toc184312107"/>
      <w:bookmarkEnd w:id="230"/>
      <w:bookmarkStart w:id="231" w:name="_Toc184308103"/>
      <w:bookmarkEnd w:id="231"/>
      <w:bookmarkStart w:id="232" w:name="_Toc184310319"/>
      <w:bookmarkEnd w:id="232"/>
      <w:bookmarkStart w:id="233" w:name="_Toc184313278"/>
      <w:bookmarkEnd w:id="233"/>
      <w:bookmarkStart w:id="234" w:name="_Toc184312069"/>
      <w:bookmarkEnd w:id="234"/>
      <w:bookmarkStart w:id="235" w:name="_Toc184310313"/>
      <w:bookmarkEnd w:id="235"/>
      <w:bookmarkStart w:id="236" w:name="_Toc184313252"/>
      <w:bookmarkEnd w:id="236"/>
      <w:bookmarkStart w:id="237" w:name="_Toc184310290"/>
      <w:bookmarkEnd w:id="237"/>
      <w:bookmarkStart w:id="238" w:name="_Toc184312115"/>
      <w:bookmarkEnd w:id="238"/>
      <w:bookmarkStart w:id="239" w:name="_Toc184313253"/>
      <w:bookmarkEnd w:id="239"/>
      <w:bookmarkStart w:id="240" w:name="_Toc184312127"/>
      <w:bookmarkEnd w:id="240"/>
      <w:bookmarkStart w:id="241" w:name="_Toc184310343"/>
      <w:bookmarkEnd w:id="241"/>
      <w:bookmarkStart w:id="242" w:name="_Toc184313303"/>
      <w:bookmarkEnd w:id="242"/>
      <w:bookmarkStart w:id="243" w:name="_Toc184308099"/>
      <w:bookmarkEnd w:id="243"/>
      <w:bookmarkStart w:id="244" w:name="_Toc184314461"/>
      <w:bookmarkEnd w:id="244"/>
      <w:bookmarkStart w:id="245" w:name="_Toc184308052"/>
      <w:bookmarkEnd w:id="245"/>
      <w:bookmarkStart w:id="246" w:name="_Toc184314436"/>
      <w:bookmarkEnd w:id="246"/>
      <w:bookmarkStart w:id="247" w:name="_Toc184314441"/>
      <w:bookmarkEnd w:id="247"/>
      <w:bookmarkStart w:id="248" w:name="_Toc184308036"/>
      <w:bookmarkEnd w:id="248"/>
      <w:bookmarkStart w:id="249" w:name="_Toc184308090"/>
      <w:bookmarkEnd w:id="249"/>
      <w:bookmarkStart w:id="250" w:name="_Toc184313244"/>
      <w:bookmarkEnd w:id="250"/>
      <w:bookmarkStart w:id="251" w:name="_Toc184312123"/>
      <w:bookmarkEnd w:id="251"/>
      <w:bookmarkStart w:id="252" w:name="_Toc184312101"/>
      <w:bookmarkEnd w:id="252"/>
      <w:bookmarkStart w:id="253" w:name="_Toc184312104"/>
      <w:bookmarkEnd w:id="253"/>
      <w:bookmarkStart w:id="254" w:name="_Toc184310291"/>
      <w:bookmarkEnd w:id="254"/>
      <w:bookmarkStart w:id="255" w:name="_Toc184313295"/>
      <w:bookmarkEnd w:id="255"/>
      <w:bookmarkStart w:id="256" w:name="_Toc184308076"/>
      <w:bookmarkEnd w:id="256"/>
      <w:bookmarkStart w:id="257" w:name="_Toc184310286"/>
      <w:bookmarkEnd w:id="257"/>
      <w:bookmarkStart w:id="258" w:name="_Toc184312139"/>
      <w:bookmarkEnd w:id="258"/>
      <w:bookmarkStart w:id="259" w:name="_Toc184308047"/>
      <w:bookmarkEnd w:id="259"/>
      <w:bookmarkStart w:id="260" w:name="_Toc184312112"/>
      <w:bookmarkEnd w:id="260"/>
      <w:bookmarkStart w:id="261" w:name="_Toc184312079"/>
      <w:bookmarkEnd w:id="261"/>
      <w:bookmarkStart w:id="262" w:name="_Toc184312098"/>
      <w:bookmarkEnd w:id="262"/>
      <w:bookmarkStart w:id="263" w:name="_Toc184310293"/>
      <w:bookmarkEnd w:id="263"/>
      <w:bookmarkStart w:id="264" w:name="_Toc184314479"/>
      <w:bookmarkEnd w:id="264"/>
      <w:bookmarkStart w:id="265" w:name="_Toc184308091"/>
      <w:bookmarkEnd w:id="265"/>
      <w:bookmarkStart w:id="266" w:name="_Toc184312114"/>
      <w:bookmarkEnd w:id="266"/>
      <w:bookmarkStart w:id="267" w:name="_Toc184312073"/>
      <w:bookmarkEnd w:id="267"/>
      <w:bookmarkStart w:id="268" w:name="_Toc184310288"/>
      <w:bookmarkEnd w:id="268"/>
      <w:bookmarkStart w:id="269" w:name="_Toc184313260"/>
      <w:bookmarkEnd w:id="269"/>
      <w:bookmarkStart w:id="270" w:name="_Toc184312109"/>
      <w:bookmarkEnd w:id="270"/>
      <w:bookmarkStart w:id="271" w:name="_Toc184312081"/>
      <w:bookmarkEnd w:id="271"/>
      <w:bookmarkStart w:id="272" w:name="_Toc184308084"/>
      <w:bookmarkEnd w:id="272"/>
      <w:bookmarkStart w:id="273" w:name="_Toc184308054"/>
      <w:bookmarkEnd w:id="273"/>
      <w:bookmarkStart w:id="274" w:name="_Toc184308089"/>
      <w:bookmarkEnd w:id="274"/>
      <w:bookmarkStart w:id="275" w:name="_Toc184308065"/>
      <w:bookmarkEnd w:id="275"/>
      <w:bookmarkStart w:id="276" w:name="_Toc184314416"/>
      <w:bookmarkEnd w:id="276"/>
      <w:bookmarkStart w:id="277" w:name="_Toc184313310"/>
      <w:bookmarkEnd w:id="277"/>
      <w:bookmarkStart w:id="278" w:name="_Toc184313264"/>
      <w:bookmarkEnd w:id="278"/>
      <w:bookmarkStart w:id="279" w:name="_Toc184314428"/>
      <w:bookmarkEnd w:id="279"/>
      <w:bookmarkStart w:id="280" w:name="_Toc184308071"/>
      <w:bookmarkEnd w:id="280"/>
      <w:bookmarkStart w:id="281" w:name="_Toc184313306"/>
      <w:bookmarkEnd w:id="281"/>
      <w:bookmarkStart w:id="282" w:name="_Toc184312121"/>
      <w:bookmarkEnd w:id="282"/>
      <w:bookmarkStart w:id="283" w:name="_Toc184310295"/>
      <w:bookmarkEnd w:id="283"/>
      <w:bookmarkStart w:id="284" w:name="_Toc184312084"/>
      <w:bookmarkEnd w:id="284"/>
      <w:bookmarkStart w:id="285" w:name="_Toc184314410"/>
      <w:bookmarkEnd w:id="285"/>
      <w:bookmarkStart w:id="286" w:name="_Toc184314426"/>
      <w:bookmarkEnd w:id="286"/>
      <w:bookmarkStart w:id="287" w:name="_Toc184308081"/>
      <w:bookmarkEnd w:id="287"/>
      <w:bookmarkStart w:id="288" w:name="_Toc184308049"/>
      <w:bookmarkEnd w:id="288"/>
      <w:bookmarkStart w:id="289" w:name="_Toc184312120"/>
      <w:bookmarkEnd w:id="289"/>
      <w:bookmarkStart w:id="290" w:name="_Toc184310317"/>
      <w:bookmarkEnd w:id="290"/>
      <w:bookmarkStart w:id="291" w:name="_Toc184310338"/>
      <w:bookmarkEnd w:id="291"/>
      <w:bookmarkStart w:id="292" w:name="_Toc184314449"/>
      <w:bookmarkEnd w:id="292"/>
      <w:bookmarkStart w:id="293" w:name="_Toc184313301"/>
      <w:bookmarkEnd w:id="293"/>
      <w:bookmarkStart w:id="294" w:name="_Toc184310281"/>
      <w:bookmarkEnd w:id="294"/>
      <w:bookmarkStart w:id="295" w:name="_Toc184310305"/>
      <w:bookmarkEnd w:id="295"/>
      <w:bookmarkStart w:id="296" w:name="_Toc184314445"/>
      <w:bookmarkEnd w:id="296"/>
      <w:bookmarkStart w:id="297" w:name="_Toc184314439"/>
      <w:bookmarkEnd w:id="297"/>
      <w:bookmarkStart w:id="298" w:name="_Toc184313256"/>
      <w:bookmarkEnd w:id="298"/>
      <w:bookmarkStart w:id="299" w:name="_Toc184313281"/>
      <w:bookmarkEnd w:id="299"/>
      <w:bookmarkStart w:id="300" w:name="_Toc184310303"/>
      <w:bookmarkEnd w:id="300"/>
      <w:bookmarkStart w:id="301" w:name="_Toc184313297"/>
      <w:bookmarkEnd w:id="301"/>
      <w:bookmarkStart w:id="302" w:name="_Toc184314467"/>
      <w:bookmarkEnd w:id="302"/>
      <w:bookmarkStart w:id="303" w:name="_Toc184308061"/>
      <w:bookmarkEnd w:id="303"/>
      <w:bookmarkStart w:id="304" w:name="_Toc184310289"/>
      <w:bookmarkEnd w:id="304"/>
      <w:bookmarkStart w:id="305" w:name="_Toc184308046"/>
      <w:bookmarkEnd w:id="305"/>
      <w:bookmarkStart w:id="306" w:name="_Toc184314422"/>
      <w:bookmarkEnd w:id="306"/>
      <w:bookmarkStart w:id="307" w:name="_Toc184314411"/>
      <w:bookmarkEnd w:id="307"/>
      <w:bookmarkStart w:id="308" w:name="_Toc184313304"/>
      <w:bookmarkEnd w:id="308"/>
      <w:bookmarkStart w:id="309" w:name="_Toc184313255"/>
      <w:bookmarkEnd w:id="309"/>
      <w:bookmarkStart w:id="310" w:name="_Toc184312083"/>
      <w:bookmarkEnd w:id="310"/>
      <w:bookmarkStart w:id="311" w:name="_Toc184314477"/>
      <w:bookmarkEnd w:id="311"/>
      <w:bookmarkStart w:id="312" w:name="_Toc184312111"/>
      <w:bookmarkEnd w:id="312"/>
      <w:bookmarkStart w:id="313" w:name="_Toc184313277"/>
      <w:bookmarkEnd w:id="313"/>
      <w:bookmarkStart w:id="314" w:name="_Toc184308064"/>
      <w:bookmarkEnd w:id="314"/>
      <w:bookmarkStart w:id="315" w:name="_Toc184313262"/>
      <w:bookmarkEnd w:id="315"/>
      <w:bookmarkStart w:id="316" w:name="_Toc184308096"/>
      <w:bookmarkEnd w:id="316"/>
      <w:bookmarkStart w:id="317" w:name="_Toc184314414"/>
      <w:bookmarkEnd w:id="317"/>
      <w:bookmarkStart w:id="318" w:name="_Toc184314415"/>
      <w:bookmarkEnd w:id="318"/>
      <w:bookmarkStart w:id="319" w:name="_Toc184314473"/>
      <w:bookmarkEnd w:id="319"/>
      <w:bookmarkStart w:id="320" w:name="_Toc184312117"/>
      <w:bookmarkEnd w:id="320"/>
      <w:bookmarkStart w:id="321" w:name="_Toc184313269"/>
      <w:bookmarkEnd w:id="321"/>
      <w:bookmarkStart w:id="322" w:name="_Toc184312124"/>
      <w:bookmarkEnd w:id="322"/>
      <w:bookmarkStart w:id="323" w:name="_Toc184310344"/>
      <w:bookmarkEnd w:id="323"/>
      <w:bookmarkStart w:id="324" w:name="_Toc184314455"/>
      <w:bookmarkEnd w:id="324"/>
      <w:bookmarkStart w:id="325" w:name="_Toc184313267"/>
      <w:bookmarkEnd w:id="325"/>
      <w:bookmarkStart w:id="326" w:name="_Toc184313292"/>
      <w:bookmarkEnd w:id="326"/>
      <w:bookmarkStart w:id="327" w:name="_Toc184313298"/>
      <w:bookmarkEnd w:id="327"/>
      <w:bookmarkStart w:id="328" w:name="_Toc184312116"/>
      <w:bookmarkEnd w:id="328"/>
      <w:bookmarkStart w:id="329" w:name="_Toc184314440"/>
      <w:bookmarkEnd w:id="329"/>
      <w:bookmarkStart w:id="330" w:name="_Toc184313239"/>
      <w:bookmarkEnd w:id="330"/>
      <w:bookmarkStart w:id="331" w:name="_Toc184312071"/>
      <w:bookmarkEnd w:id="331"/>
      <w:bookmarkStart w:id="332" w:name="_Toc184312138"/>
      <w:bookmarkEnd w:id="332"/>
      <w:bookmarkStart w:id="333" w:name="_Toc184314429"/>
      <w:bookmarkEnd w:id="333"/>
      <w:bookmarkStart w:id="334" w:name="_Toc184310339"/>
      <w:bookmarkEnd w:id="334"/>
      <w:bookmarkStart w:id="335" w:name="_Toc184312126"/>
      <w:bookmarkEnd w:id="335"/>
      <w:bookmarkStart w:id="336" w:name="_Toc184313305"/>
      <w:bookmarkEnd w:id="336"/>
      <w:bookmarkStart w:id="337" w:name="_Toc184312080"/>
      <w:bookmarkEnd w:id="337"/>
      <w:bookmarkStart w:id="338" w:name="_Toc184312096"/>
      <w:bookmarkEnd w:id="338"/>
      <w:bookmarkStart w:id="339" w:name="_Toc184308105"/>
      <w:bookmarkEnd w:id="339"/>
      <w:bookmarkStart w:id="340" w:name="_Toc184314472"/>
      <w:bookmarkEnd w:id="340"/>
      <w:bookmarkStart w:id="341" w:name="_Toc184314453"/>
      <w:bookmarkEnd w:id="341"/>
      <w:bookmarkStart w:id="342" w:name="_Toc184312108"/>
      <w:bookmarkEnd w:id="342"/>
      <w:bookmarkStart w:id="343" w:name="_Toc184310278"/>
      <w:bookmarkEnd w:id="343"/>
      <w:bookmarkStart w:id="344" w:name="_Toc184312086"/>
      <w:bookmarkEnd w:id="344"/>
      <w:bookmarkStart w:id="345" w:name="_Toc184310296"/>
      <w:bookmarkEnd w:id="345"/>
      <w:bookmarkStart w:id="346" w:name="_Toc184313302"/>
      <w:bookmarkEnd w:id="346"/>
      <w:bookmarkStart w:id="347" w:name="_Toc184308075"/>
      <w:bookmarkEnd w:id="347"/>
      <w:bookmarkStart w:id="348" w:name="_Toc184308078"/>
      <w:bookmarkEnd w:id="348"/>
      <w:bookmarkStart w:id="349" w:name="_Toc184308082"/>
      <w:bookmarkEnd w:id="349"/>
      <w:bookmarkStart w:id="350" w:name="_Toc184310309"/>
      <w:bookmarkEnd w:id="350"/>
      <w:bookmarkStart w:id="351" w:name="_Toc184308057"/>
      <w:bookmarkEnd w:id="351"/>
      <w:bookmarkStart w:id="352" w:name="_Toc184314447"/>
      <w:bookmarkEnd w:id="352"/>
      <w:bookmarkStart w:id="353" w:name="_Toc184314417"/>
      <w:bookmarkEnd w:id="353"/>
      <w:bookmarkStart w:id="354" w:name="_Toc184314413"/>
      <w:bookmarkEnd w:id="354"/>
      <w:bookmarkStart w:id="355" w:name="_Toc184308092"/>
      <w:bookmarkEnd w:id="355"/>
      <w:bookmarkStart w:id="356" w:name="_Toc184310294"/>
      <w:bookmarkEnd w:id="356"/>
      <w:bookmarkStart w:id="357" w:name="_Toc184313270"/>
      <w:bookmarkEnd w:id="357"/>
      <w:bookmarkStart w:id="358" w:name="_Toc184308037"/>
      <w:bookmarkEnd w:id="358"/>
      <w:bookmarkStart w:id="359" w:name="_Toc184310332"/>
      <w:bookmarkEnd w:id="359"/>
      <w:bookmarkStart w:id="360" w:name="_Toc184308097"/>
      <w:bookmarkEnd w:id="360"/>
      <w:bookmarkStart w:id="361" w:name="_Toc184312131"/>
      <w:bookmarkEnd w:id="361"/>
      <w:bookmarkStart w:id="362" w:name="_Toc184308095"/>
      <w:bookmarkEnd w:id="362"/>
      <w:bookmarkStart w:id="363" w:name="_Toc184312087"/>
      <w:bookmarkEnd w:id="363"/>
      <w:bookmarkStart w:id="364" w:name="_Toc184310314"/>
      <w:bookmarkEnd w:id="364"/>
      <w:bookmarkStart w:id="365" w:name="_Toc184314470"/>
      <w:bookmarkEnd w:id="365"/>
      <w:bookmarkStart w:id="366" w:name="_Toc184313249"/>
      <w:bookmarkEnd w:id="366"/>
      <w:bookmarkStart w:id="367" w:name="_Toc184308087"/>
      <w:bookmarkEnd w:id="367"/>
      <w:bookmarkStart w:id="368" w:name="_Toc184314469"/>
      <w:bookmarkEnd w:id="368"/>
      <w:bookmarkStart w:id="369" w:name="_Toc184313273"/>
      <w:bookmarkEnd w:id="369"/>
      <w:bookmarkStart w:id="370" w:name="_Toc184310282"/>
      <w:bookmarkEnd w:id="370"/>
      <w:bookmarkStart w:id="371" w:name="_Toc184314466"/>
      <w:bookmarkEnd w:id="371"/>
      <w:bookmarkStart w:id="372" w:name="_Toc184312068"/>
      <w:bookmarkEnd w:id="372"/>
      <w:bookmarkStart w:id="373" w:name="_Toc184310287"/>
      <w:bookmarkEnd w:id="373"/>
      <w:bookmarkStart w:id="374" w:name="_Toc184313299"/>
      <w:bookmarkEnd w:id="374"/>
      <w:bookmarkStart w:id="375" w:name="_Toc184314430"/>
      <w:bookmarkEnd w:id="375"/>
      <w:bookmarkStart w:id="376" w:name="_Toc184310331"/>
      <w:bookmarkEnd w:id="376"/>
      <w:bookmarkStart w:id="377" w:name="_Toc184312137"/>
      <w:bookmarkEnd w:id="377"/>
      <w:bookmarkStart w:id="378" w:name="_Toc184314471"/>
      <w:bookmarkEnd w:id="378"/>
      <w:bookmarkStart w:id="379" w:name="_Toc184312105"/>
      <w:bookmarkEnd w:id="379"/>
      <w:bookmarkStart w:id="380" w:name="_Toc184312130"/>
      <w:bookmarkEnd w:id="380"/>
      <w:bookmarkStart w:id="381" w:name="_Toc184313250"/>
      <w:bookmarkEnd w:id="381"/>
      <w:bookmarkStart w:id="382" w:name="_Toc184313271"/>
      <w:bookmarkEnd w:id="382"/>
      <w:bookmarkStart w:id="383" w:name="_Toc184313284"/>
      <w:bookmarkEnd w:id="383"/>
      <w:bookmarkStart w:id="384" w:name="_Toc184310280"/>
      <w:bookmarkEnd w:id="384"/>
      <w:bookmarkStart w:id="385" w:name="_Toc184314478"/>
      <w:bookmarkEnd w:id="385"/>
      <w:bookmarkStart w:id="386" w:name="_Toc184312122"/>
      <w:bookmarkEnd w:id="386"/>
      <w:bookmarkStart w:id="387" w:name="_Toc184312135"/>
      <w:bookmarkEnd w:id="387"/>
      <w:bookmarkStart w:id="388" w:name="_Toc184313258"/>
      <w:bookmarkEnd w:id="388"/>
      <w:bookmarkStart w:id="389" w:name="_Toc184310320"/>
      <w:bookmarkEnd w:id="389"/>
      <w:bookmarkStart w:id="390" w:name="_Toc184308055"/>
      <w:bookmarkEnd w:id="390"/>
      <w:bookmarkStart w:id="391" w:name="_Toc184308073"/>
      <w:bookmarkEnd w:id="391"/>
      <w:bookmarkStart w:id="392" w:name="_Toc184313290"/>
      <w:bookmarkEnd w:id="392"/>
      <w:bookmarkStart w:id="393" w:name="_Toc184310300"/>
      <w:bookmarkEnd w:id="393"/>
      <w:bookmarkStart w:id="394" w:name="_Toc184310308"/>
      <w:bookmarkEnd w:id="394"/>
      <w:bookmarkStart w:id="395" w:name="_Toc184313261"/>
      <w:bookmarkEnd w:id="395"/>
      <w:bookmarkStart w:id="396" w:name="_Toc184310333"/>
      <w:bookmarkEnd w:id="396"/>
      <w:bookmarkStart w:id="397" w:name="_Toc184314443"/>
      <w:bookmarkEnd w:id="397"/>
      <w:bookmarkStart w:id="398" w:name="_Toc184308044"/>
      <w:bookmarkEnd w:id="398"/>
      <w:bookmarkStart w:id="399" w:name="_Toc184313279"/>
      <w:bookmarkEnd w:id="399"/>
      <w:bookmarkStart w:id="400" w:name="_Toc184308066"/>
      <w:bookmarkEnd w:id="400"/>
      <w:bookmarkStart w:id="401" w:name="_Toc184314464"/>
      <w:bookmarkEnd w:id="401"/>
      <w:bookmarkStart w:id="402" w:name="_Toc184314412"/>
      <w:bookmarkEnd w:id="402"/>
      <w:bookmarkStart w:id="403" w:name="_Toc184308072"/>
      <w:bookmarkEnd w:id="403"/>
      <w:bookmarkStart w:id="404" w:name="_Toc184310307"/>
      <w:bookmarkEnd w:id="404"/>
      <w:bookmarkStart w:id="405" w:name="_Toc184314420"/>
      <w:bookmarkEnd w:id="405"/>
      <w:bookmarkStart w:id="406" w:name="_Toc184313275"/>
      <w:bookmarkEnd w:id="406"/>
      <w:bookmarkStart w:id="407" w:name="_Toc184308056"/>
      <w:bookmarkEnd w:id="407"/>
      <w:bookmarkStart w:id="408" w:name="_Toc184310340"/>
      <w:bookmarkEnd w:id="408"/>
      <w:bookmarkStart w:id="409" w:name="_Toc184308107"/>
      <w:bookmarkEnd w:id="409"/>
      <w:bookmarkStart w:id="410" w:name="_Toc184310322"/>
      <w:bookmarkEnd w:id="410"/>
      <w:bookmarkStart w:id="411" w:name="_Toc184312113"/>
      <w:bookmarkEnd w:id="411"/>
      <w:bookmarkStart w:id="412" w:name="_Toc184310334"/>
      <w:bookmarkEnd w:id="412"/>
      <w:bookmarkStart w:id="413" w:name="_Toc184310330"/>
      <w:bookmarkEnd w:id="413"/>
      <w:bookmarkStart w:id="414" w:name="_Toc184313259"/>
      <w:bookmarkEnd w:id="414"/>
      <w:bookmarkStart w:id="415" w:name="_Toc184310275"/>
      <w:bookmarkEnd w:id="415"/>
      <w:bookmarkStart w:id="416" w:name="_Toc184310321"/>
      <w:bookmarkEnd w:id="416"/>
      <w:bookmarkStart w:id="417" w:name="_Toc184310310"/>
      <w:bookmarkEnd w:id="417"/>
      <w:bookmarkStart w:id="418" w:name="_Toc184310306"/>
      <w:bookmarkEnd w:id="418"/>
      <w:bookmarkStart w:id="419" w:name="_Toc184312097"/>
      <w:bookmarkEnd w:id="419"/>
      <w:bookmarkStart w:id="420" w:name="_Toc184312094"/>
      <w:bookmarkEnd w:id="420"/>
      <w:bookmarkStart w:id="421" w:name="_Toc184308086"/>
      <w:bookmarkEnd w:id="421"/>
      <w:bookmarkStart w:id="422" w:name="_Toc184314468"/>
      <w:bookmarkEnd w:id="422"/>
      <w:bookmarkStart w:id="423" w:name="_Toc184308101"/>
      <w:bookmarkEnd w:id="423"/>
      <w:bookmarkStart w:id="424" w:name="_Toc184312099"/>
      <w:bookmarkEnd w:id="424"/>
      <w:bookmarkStart w:id="425" w:name="_Toc184314433"/>
      <w:bookmarkEnd w:id="425"/>
      <w:r>
        <w:rPr>
          <w:rFonts w:hint="eastAsia" w:cs="仿宋"/>
          <w:color w:val="auto"/>
        </w:rPr>
        <w:t>评标方法及评分标准</w:t>
      </w:r>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评标办法前附表</w:t>
      </w:r>
    </w:p>
    <w:tbl>
      <w:tblPr>
        <w:tblStyle w:val="61"/>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5000" w:type="pct"/>
            <w:vAlign w:val="center"/>
          </w:tcPr>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 xml:space="preserve">分， </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sz w:val="24"/>
              </w:rPr>
              <w:t>根据上述评标原则，分值安排如下：</w:t>
            </w:r>
          </w:p>
        </w:tc>
      </w:tr>
    </w:tbl>
    <w:p>
      <w:pPr>
        <w:widowControl/>
        <w:spacing w:line="360" w:lineRule="auto"/>
        <w:ind w:firstLine="643"/>
        <w:rPr>
          <w:rFonts w:ascii="仿宋" w:hAnsi="仿宋" w:eastAsia="仿宋" w:cs="仿宋"/>
          <w:b/>
          <w:sz w:val="24"/>
        </w:rPr>
      </w:pPr>
    </w:p>
    <w:p>
      <w:pPr>
        <w:widowControl/>
        <w:adjustRightInd/>
        <w:ind w:firstLine="643"/>
        <w:jc w:val="left"/>
        <w:rPr>
          <w:rFonts w:ascii="仿宋" w:hAnsi="仿宋" w:eastAsia="仿宋" w:cs="仿宋"/>
          <w:b/>
          <w:sz w:val="24"/>
        </w:rPr>
      </w:pPr>
      <w:r>
        <w:rPr>
          <w:rFonts w:hint="eastAsia" w:ascii="仿宋" w:hAnsi="仿宋" w:eastAsia="仿宋" w:cs="仿宋"/>
          <w:b/>
          <w:sz w:val="24"/>
        </w:rPr>
        <w:br w:type="page"/>
      </w:r>
    </w:p>
    <w:p>
      <w:pPr>
        <w:snapToGrid w:val="0"/>
        <w:spacing w:line="360" w:lineRule="auto"/>
        <w:ind w:firstLine="400"/>
        <w:rPr>
          <w:rFonts w:ascii="仿宋" w:hAnsi="仿宋" w:eastAsia="仿宋" w:cs="仿宋"/>
          <w:sz w:val="24"/>
          <w:shd w:val="clear" w:color="auto" w:fill="FFFFFF"/>
        </w:rPr>
      </w:pPr>
    </w:p>
    <w:p>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21.商务技术部分（70分）</w:t>
      </w:r>
    </w:p>
    <w:tbl>
      <w:tblPr>
        <w:tblStyle w:val="61"/>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18"/>
        <w:gridCol w:w="692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56"/>
              <w:keepLines/>
              <w:jc w:val="both"/>
              <w:rPr>
                <w:rFonts w:ascii="仿宋" w:hAnsi="仿宋" w:eastAsia="仿宋" w:cs="仿宋"/>
                <w:b/>
                <w:bCs/>
              </w:rPr>
            </w:pPr>
            <w:r>
              <w:rPr>
                <w:rFonts w:hint="eastAsia" w:ascii="仿宋" w:hAnsi="仿宋" w:eastAsia="仿宋" w:cs="仿宋"/>
                <w:b/>
                <w:bCs/>
              </w:rPr>
              <w:t>序号</w:t>
            </w:r>
          </w:p>
        </w:tc>
        <w:tc>
          <w:tcPr>
            <w:tcW w:w="1218" w:type="dxa"/>
            <w:vAlign w:val="center"/>
          </w:tcPr>
          <w:p>
            <w:pPr>
              <w:pStyle w:val="56"/>
              <w:keepLines/>
              <w:rPr>
                <w:rFonts w:ascii="仿宋" w:hAnsi="仿宋" w:eastAsia="仿宋" w:cs="仿宋"/>
                <w:b/>
                <w:bCs/>
              </w:rPr>
            </w:pPr>
            <w:r>
              <w:rPr>
                <w:rFonts w:hint="eastAsia" w:ascii="仿宋" w:hAnsi="仿宋" w:eastAsia="仿宋" w:cs="仿宋"/>
                <w:b/>
                <w:bCs/>
              </w:rPr>
              <w:t>评审内容</w:t>
            </w:r>
          </w:p>
        </w:tc>
        <w:tc>
          <w:tcPr>
            <w:tcW w:w="6922" w:type="dxa"/>
            <w:vAlign w:val="center"/>
          </w:tcPr>
          <w:p>
            <w:pPr>
              <w:pStyle w:val="56"/>
              <w:keepLines/>
              <w:ind w:firstLine="504"/>
              <w:jc w:val="center"/>
              <w:rPr>
                <w:rFonts w:ascii="仿宋" w:hAnsi="仿宋" w:eastAsia="仿宋" w:cs="仿宋"/>
                <w:b/>
                <w:bCs/>
              </w:rPr>
            </w:pPr>
            <w:r>
              <w:rPr>
                <w:rFonts w:hint="eastAsia" w:ascii="仿宋" w:hAnsi="仿宋" w:eastAsia="仿宋" w:cs="仿宋"/>
                <w:b/>
                <w:bCs/>
              </w:rPr>
              <w:t>评分标准</w:t>
            </w:r>
          </w:p>
        </w:tc>
        <w:tc>
          <w:tcPr>
            <w:tcW w:w="894" w:type="dxa"/>
            <w:vAlign w:val="center"/>
          </w:tcPr>
          <w:p>
            <w:pPr>
              <w:pStyle w:val="56"/>
              <w:keepLines/>
              <w:jc w:val="center"/>
              <w:rPr>
                <w:rFonts w:ascii="仿宋" w:hAnsi="仿宋" w:eastAsia="仿宋" w:cs="仿宋"/>
                <w:b/>
                <w:bCs/>
              </w:rPr>
            </w:pPr>
            <w:r>
              <w:rPr>
                <w:rFonts w:hint="eastAsia" w:ascii="仿宋" w:hAnsi="仿宋" w:eastAsia="仿宋" w:cs="仿宋"/>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w:t>
            </w:r>
          </w:p>
        </w:tc>
        <w:tc>
          <w:tcPr>
            <w:tcW w:w="1218" w:type="dxa"/>
            <w:vAlign w:val="center"/>
          </w:tcPr>
          <w:p>
            <w:pPr>
              <w:keepLines/>
              <w:spacing w:line="400" w:lineRule="exact"/>
              <w:jc w:val="center"/>
              <w:rPr>
                <w:rFonts w:ascii="仿宋" w:hAnsi="仿宋" w:eastAsia="仿宋" w:cs="仿宋"/>
                <w:sz w:val="24"/>
                <w:lang w:val="en-GB"/>
              </w:rPr>
            </w:pPr>
            <w:r>
              <w:rPr>
                <w:rFonts w:hint="eastAsia" w:ascii="仿宋" w:hAnsi="仿宋" w:eastAsia="仿宋" w:cs="仿宋"/>
                <w:sz w:val="24"/>
              </w:rPr>
              <w:t>体系认证</w:t>
            </w:r>
          </w:p>
        </w:tc>
        <w:tc>
          <w:tcPr>
            <w:tcW w:w="6922" w:type="dxa"/>
            <w:vAlign w:val="center"/>
          </w:tcPr>
          <w:p>
            <w:pPr>
              <w:keepLines/>
              <w:spacing w:line="400" w:lineRule="exact"/>
              <w:jc w:val="left"/>
              <w:rPr>
                <w:rFonts w:ascii="仿宋" w:hAnsi="仿宋" w:eastAsia="仿宋" w:cs="仿宋"/>
                <w:sz w:val="24"/>
                <w:lang w:val="en-GB"/>
              </w:rPr>
            </w:pPr>
            <w:r>
              <w:rPr>
                <w:rFonts w:hint="eastAsia" w:ascii="仿宋" w:hAnsi="仿宋" w:eastAsia="仿宋" w:cs="仿宋"/>
                <w:sz w:val="24"/>
              </w:rPr>
              <w:t>投标单位具有质量管理体系认证证书、环境管理体系认证证书、职业健康安全体系认证证书，每项得1分，最高得3分（证书需在有效期内，提供复印件）</w:t>
            </w:r>
          </w:p>
        </w:tc>
        <w:tc>
          <w:tcPr>
            <w:tcW w:w="894" w:type="dxa"/>
            <w:vAlign w:val="center"/>
          </w:tcPr>
          <w:p>
            <w:pPr>
              <w:pStyle w:val="9"/>
              <w:keepNext w:val="0"/>
              <w:numPr>
                <w:ilvl w:val="6"/>
                <w:numId w:val="8"/>
              </w:numPr>
              <w:adjustRightInd/>
              <w:spacing w:before="0" w:after="0" w:line="400" w:lineRule="exact"/>
              <w:jc w:val="center"/>
              <w:rPr>
                <w:rFonts w:ascii="仿宋" w:hAnsi="仿宋" w:eastAsia="仿宋" w:cs="仿宋"/>
              </w:rPr>
            </w:pPr>
            <w:r>
              <w:rPr>
                <w:rFonts w:hint="eastAsia" w:ascii="仿宋" w:hAnsi="仿宋" w:eastAsia="仿宋" w:cs="仿宋"/>
                <w:b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2</w:t>
            </w:r>
          </w:p>
        </w:tc>
        <w:tc>
          <w:tcPr>
            <w:tcW w:w="1218" w:type="dxa"/>
            <w:vAlign w:val="center"/>
          </w:tcPr>
          <w:p>
            <w:pPr>
              <w:rPr>
                <w:rFonts w:ascii="仿宋" w:hAnsi="仿宋" w:eastAsia="仿宋" w:cs="仿宋"/>
                <w:sz w:val="24"/>
                <w:lang w:val="en-GB"/>
              </w:rPr>
            </w:pPr>
            <w:r>
              <w:rPr>
                <w:rFonts w:hint="eastAsia" w:ascii="仿宋" w:hAnsi="仿宋" w:eastAsia="仿宋" w:cs="仿宋"/>
                <w:sz w:val="24"/>
              </w:rPr>
              <w:t>软件著作权证书</w:t>
            </w:r>
          </w:p>
        </w:tc>
        <w:tc>
          <w:tcPr>
            <w:tcW w:w="6922" w:type="dxa"/>
            <w:vAlign w:val="center"/>
          </w:tcPr>
          <w:p>
            <w:pPr>
              <w:rPr>
                <w:rFonts w:ascii="仿宋" w:hAnsi="仿宋" w:eastAsia="仿宋" w:cs="仿宋"/>
                <w:sz w:val="24"/>
                <w:lang w:val="en-GB"/>
              </w:rPr>
            </w:pPr>
            <w:r>
              <w:rPr>
                <w:rFonts w:hint="eastAsia" w:ascii="仿宋" w:hAnsi="仿宋" w:eastAsia="仿宋" w:cs="仿宋"/>
                <w:sz w:val="24"/>
              </w:rPr>
              <w:t>灯具制造商具有智慧城市管理平台软件著作权证书、LED灯具远程无线管理系统获得软件著作权证书、智能灯具云平台软件著作权证书的每提供一个证书得1分，总分3分。（提供证书复印件加盖制造企业公章）。</w:t>
            </w:r>
          </w:p>
        </w:tc>
        <w:tc>
          <w:tcPr>
            <w:tcW w:w="894" w:type="dxa"/>
            <w:vAlign w:val="center"/>
          </w:tcPr>
          <w:p>
            <w:pPr>
              <w:pStyle w:val="9"/>
              <w:keepNext w:val="0"/>
              <w:numPr>
                <w:ilvl w:val="6"/>
                <w:numId w:val="8"/>
              </w:numPr>
              <w:adjustRightInd/>
              <w:spacing w:before="0" w:after="0" w:line="400" w:lineRule="exact"/>
              <w:jc w:val="center"/>
              <w:rPr>
                <w:rFonts w:ascii="仿宋" w:hAnsi="仿宋" w:eastAsia="仿宋" w:cs="仿宋"/>
              </w:rPr>
            </w:pPr>
            <w:r>
              <w:rPr>
                <w:rFonts w:hint="eastAsia" w:ascii="仿宋" w:hAnsi="仿宋" w:eastAsia="仿宋" w:cs="仿宋"/>
                <w:b w:val="0"/>
                <w:bCs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3</w:t>
            </w:r>
          </w:p>
        </w:tc>
        <w:tc>
          <w:tcPr>
            <w:tcW w:w="1218" w:type="dxa"/>
            <w:vAlign w:val="center"/>
          </w:tcPr>
          <w:p>
            <w:pPr>
              <w:keepLines/>
              <w:spacing w:line="400" w:lineRule="exact"/>
              <w:jc w:val="center"/>
              <w:rPr>
                <w:rFonts w:ascii="仿宋" w:hAnsi="仿宋" w:eastAsia="仿宋" w:cs="仿宋"/>
                <w:color w:val="000000"/>
                <w:sz w:val="24"/>
              </w:rPr>
            </w:pPr>
            <w:r>
              <w:rPr>
                <w:rFonts w:hint="eastAsia" w:ascii="仿宋" w:hAnsi="仿宋" w:eastAsia="仿宋" w:cs="仿宋"/>
                <w:sz w:val="24"/>
              </w:rPr>
              <w:t>成功案例及业绩</w:t>
            </w:r>
          </w:p>
        </w:tc>
        <w:tc>
          <w:tcPr>
            <w:tcW w:w="6922" w:type="dxa"/>
            <w:vAlign w:val="center"/>
          </w:tcPr>
          <w:p>
            <w:pPr>
              <w:rPr>
                <w:rFonts w:ascii="仿宋" w:hAnsi="仿宋" w:eastAsia="仿宋" w:cs="仿宋"/>
                <w:sz w:val="24"/>
              </w:rPr>
            </w:pPr>
            <w:r>
              <w:rPr>
                <w:rFonts w:hint="eastAsia" w:ascii="仿宋" w:hAnsi="仿宋" w:eastAsia="仿宋" w:cs="仿宋"/>
                <w:sz w:val="24"/>
              </w:rPr>
              <w:t>投标单位或产品制造商自2018年1月以来具有类似项目业绩的，每提供一份得1分，总分3分，提供合同或相关业绩证明资料加盖投标单位公章。</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4</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LED路灯寿命</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产品制造商所生产的LED路灯满足5万小时寿命要求，提供LED路灯的寿命检测报告，得2分。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5</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电源与模组恒定湿热测试</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智慧路灯采用的LED模组和电源连接组件通过恒定湿热（湿（85%RH）热（85℃））测试：</w:t>
            </w:r>
          </w:p>
          <w:p>
            <w:pPr>
              <w:rPr>
                <w:rFonts w:ascii="仿宋" w:hAnsi="仿宋" w:eastAsia="仿宋" w:cs="仿宋"/>
                <w:color w:val="000000"/>
                <w:sz w:val="24"/>
              </w:rPr>
            </w:pPr>
            <w:r>
              <w:rPr>
                <w:rFonts w:hint="eastAsia" w:ascii="仿宋" w:hAnsi="仿宋" w:eastAsia="仿宋" w:cs="仿宋"/>
                <w:color w:val="000000"/>
                <w:sz w:val="24"/>
              </w:rPr>
              <w:t>测试时间≥500小时得1分；测试时间≥1000小时得2分；测试时间＜500小时不得分。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6</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灯具控制单元系统节能比率</w:t>
            </w:r>
          </w:p>
        </w:tc>
        <w:tc>
          <w:tcPr>
            <w:tcW w:w="6922" w:type="dxa"/>
            <w:vAlign w:val="center"/>
          </w:tcPr>
          <w:p>
            <w:pPr>
              <w:rPr>
                <w:rFonts w:hint="default" w:ascii="仿宋" w:hAnsi="仿宋" w:eastAsia="仿宋" w:cs="仿宋"/>
                <w:color w:val="000000"/>
                <w:sz w:val="24"/>
                <w:lang w:val="en-US" w:eastAsia="zh-CN"/>
              </w:rPr>
            </w:pPr>
            <w:r>
              <w:rPr>
                <w:rFonts w:hint="eastAsia" w:ascii="仿宋" w:hAnsi="仿宋" w:eastAsia="仿宋" w:cs="仿宋"/>
                <w:color w:val="000000"/>
                <w:sz w:val="24"/>
              </w:rPr>
              <w:t>灯具控制单元能够根据不同的设置有效达到二次节能目的，二次节能比率不低于20%</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出具省部级或以上检测机构出具的灯具控制单元检测报告复印件加盖制造商公章，不满足或不提供报告不得分。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7</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电源与模组防护等级</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智慧路灯采用的模组+电源满足GB 7000.1-2015 灯具 第1部分:一般要求与试验相关的防护等级测试：</w:t>
            </w:r>
          </w:p>
          <w:p>
            <w:pPr>
              <w:rPr>
                <w:rFonts w:ascii="仿宋" w:hAnsi="仿宋" w:eastAsia="仿宋" w:cs="仿宋"/>
                <w:color w:val="000000"/>
                <w:sz w:val="24"/>
              </w:rPr>
            </w:pPr>
            <w:r>
              <w:rPr>
                <w:rFonts w:hint="eastAsia" w:ascii="仿宋" w:hAnsi="仿宋" w:eastAsia="仿宋" w:cs="仿宋"/>
                <w:color w:val="000000"/>
                <w:sz w:val="24"/>
              </w:rPr>
              <w:t xml:space="preserve">防护等级≥IP66次得1分； </w:t>
            </w:r>
          </w:p>
          <w:p>
            <w:pPr>
              <w:rPr>
                <w:rFonts w:ascii="仿宋" w:hAnsi="仿宋" w:eastAsia="仿宋" w:cs="仿宋"/>
                <w:color w:val="000000"/>
                <w:sz w:val="24"/>
              </w:rPr>
            </w:pPr>
            <w:r>
              <w:rPr>
                <w:rFonts w:hint="eastAsia" w:ascii="仿宋" w:hAnsi="仿宋" w:eastAsia="仿宋" w:cs="仿宋"/>
                <w:color w:val="000000"/>
                <w:sz w:val="24"/>
              </w:rPr>
              <w:t>防护等级≥IP67次得2分；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8</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灯具强度</w:t>
            </w:r>
          </w:p>
        </w:tc>
        <w:tc>
          <w:tcPr>
            <w:tcW w:w="6922" w:type="dxa"/>
            <w:vAlign w:val="center"/>
          </w:tcPr>
          <w:p>
            <w:pPr>
              <w:rPr>
                <w:rFonts w:ascii="仿宋" w:hAnsi="仿宋" w:eastAsia="仿宋" w:cs="仿宋"/>
                <w:sz w:val="24"/>
              </w:rPr>
            </w:pPr>
            <w:r>
              <w:rPr>
                <w:rFonts w:hint="eastAsia" w:ascii="仿宋" w:hAnsi="仿宋" w:eastAsia="仿宋" w:cs="仿宋"/>
                <w:color w:val="000000"/>
                <w:sz w:val="24"/>
              </w:rPr>
              <w:t>产品制造商所生产的LED路</w:t>
            </w:r>
            <w:r>
              <w:rPr>
                <w:rFonts w:hint="eastAsia" w:ascii="仿宋" w:hAnsi="仿宋" w:eastAsia="仿宋" w:cs="仿宋"/>
                <w:sz w:val="24"/>
              </w:rPr>
              <w:t>灯满足GB7000.1-2015中相关灯具吊重要求，灯具满足4倍灯具自身重量吊重测试：</w:t>
            </w:r>
          </w:p>
          <w:p>
            <w:pPr>
              <w:rPr>
                <w:rFonts w:ascii="仿宋" w:hAnsi="仿宋" w:eastAsia="仿宋" w:cs="仿宋"/>
                <w:sz w:val="24"/>
              </w:rPr>
            </w:pPr>
            <w:r>
              <w:rPr>
                <w:rFonts w:hint="eastAsia" w:ascii="仿宋" w:hAnsi="仿宋" w:eastAsia="仿宋" w:cs="仿宋"/>
                <w:sz w:val="24"/>
              </w:rPr>
              <w:t>提供检测时间≥5000小时得1分；</w:t>
            </w:r>
          </w:p>
          <w:p>
            <w:pPr>
              <w:rPr>
                <w:rFonts w:ascii="仿宋" w:hAnsi="仿宋" w:eastAsia="仿宋" w:cs="仿宋"/>
                <w:sz w:val="24"/>
              </w:rPr>
            </w:pPr>
            <w:r>
              <w:rPr>
                <w:rFonts w:hint="eastAsia" w:ascii="仿宋" w:hAnsi="仿宋" w:eastAsia="仿宋" w:cs="仿宋"/>
                <w:sz w:val="24"/>
              </w:rPr>
              <w:t>提供检测时间≥10000小时得2分。</w:t>
            </w:r>
          </w:p>
          <w:p>
            <w:pPr>
              <w:rPr>
                <w:rFonts w:ascii="仿宋" w:hAnsi="仿宋" w:eastAsia="仿宋" w:cs="仿宋"/>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9</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LED透镜紫外线测试</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智慧路灯采用的透镜满足GB/T16422.3-2014</w:t>
            </w:r>
            <w:r>
              <w:rPr>
                <w:rFonts w:hint="eastAsia" w:ascii="仿宋" w:hAnsi="仿宋" w:eastAsia="仿宋" w:cs="仿宋"/>
                <w:sz w:val="24"/>
              </w:rPr>
              <w:t>《实验定光源暴露试验方法 第3部分：荧光紫外灯》标准中相应的紫外老化试验，测试周期</w:t>
            </w:r>
            <w:r>
              <w:rPr>
                <w:rFonts w:hint="eastAsia" w:ascii="仿宋" w:hAnsi="仿宋" w:eastAsia="仿宋" w:cs="仿宋"/>
                <w:color w:val="000000"/>
                <w:sz w:val="24"/>
              </w:rPr>
              <w:t>≥1000小时合格的得1分；</w:t>
            </w:r>
          </w:p>
          <w:p>
            <w:pPr>
              <w:rPr>
                <w:rFonts w:ascii="仿宋" w:hAnsi="仿宋" w:eastAsia="仿宋" w:cs="仿宋"/>
                <w:color w:val="000000"/>
                <w:sz w:val="24"/>
              </w:rPr>
            </w:pPr>
            <w:r>
              <w:rPr>
                <w:rFonts w:hint="eastAsia" w:ascii="仿宋" w:hAnsi="仿宋" w:eastAsia="仿宋" w:cs="仿宋"/>
                <w:color w:val="000000"/>
                <w:sz w:val="24"/>
              </w:rPr>
              <w:t>同时测试后的光通维持率≥93%得1分；</w:t>
            </w:r>
          </w:p>
          <w:p>
            <w:pPr>
              <w:rPr>
                <w:rFonts w:ascii="仿宋" w:hAnsi="仿宋" w:eastAsia="仿宋" w:cs="仿宋"/>
                <w:sz w:val="24"/>
              </w:rPr>
            </w:pPr>
            <w:r>
              <w:rPr>
                <w:rFonts w:hint="eastAsia" w:ascii="仿宋" w:hAnsi="仿宋" w:eastAsia="仿宋" w:cs="仿宋"/>
                <w:color w:val="000000"/>
                <w:sz w:val="24"/>
              </w:rPr>
              <w:t>测试后的光通维持率≥96%得2分；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10</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模组IK防护等级</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智慧路灯采用的模组满足GB/Z 30418-2013《灯具 IK代码的应用》标准：</w:t>
            </w:r>
          </w:p>
          <w:p>
            <w:pPr>
              <w:rPr>
                <w:rFonts w:ascii="仿宋" w:hAnsi="仿宋" w:eastAsia="仿宋" w:cs="仿宋"/>
                <w:color w:val="000000"/>
                <w:sz w:val="24"/>
              </w:rPr>
            </w:pPr>
            <w:r>
              <w:rPr>
                <w:rFonts w:hint="eastAsia" w:ascii="仿宋" w:hAnsi="仿宋" w:eastAsia="仿宋" w:cs="仿宋"/>
                <w:color w:val="000000"/>
                <w:sz w:val="24"/>
              </w:rPr>
              <w:t>防碰撞等级≥IK08得1分；</w:t>
            </w:r>
          </w:p>
          <w:p>
            <w:pPr>
              <w:rPr>
                <w:rFonts w:ascii="仿宋" w:hAnsi="仿宋" w:eastAsia="仿宋" w:cs="仿宋"/>
                <w:color w:val="000000"/>
                <w:sz w:val="24"/>
              </w:rPr>
            </w:pPr>
            <w:r>
              <w:rPr>
                <w:rFonts w:hint="eastAsia" w:ascii="仿宋" w:hAnsi="仿宋" w:eastAsia="仿宋" w:cs="仿宋"/>
                <w:color w:val="000000"/>
                <w:sz w:val="24"/>
              </w:rPr>
              <w:t>防碰撞等级≥IK10得2分；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11</w:t>
            </w:r>
          </w:p>
        </w:tc>
        <w:tc>
          <w:tcPr>
            <w:tcW w:w="1218" w:type="dxa"/>
            <w:vAlign w:val="center"/>
          </w:tcPr>
          <w:p>
            <w:pPr>
              <w:rPr>
                <w:rFonts w:ascii="仿宋" w:hAnsi="仿宋" w:eastAsia="仿宋" w:cs="仿宋"/>
                <w:color w:val="000000"/>
                <w:sz w:val="24"/>
              </w:rPr>
            </w:pPr>
            <w:r>
              <w:rPr>
                <w:rFonts w:hint="eastAsia" w:ascii="仿宋" w:hAnsi="仿宋" w:eastAsia="仿宋" w:cs="仿宋"/>
                <w:color w:val="000000"/>
                <w:sz w:val="24"/>
              </w:rPr>
              <w:t>模组与电源开关测试</w:t>
            </w:r>
          </w:p>
        </w:tc>
        <w:tc>
          <w:tcPr>
            <w:tcW w:w="6922" w:type="dxa"/>
            <w:vAlign w:val="center"/>
          </w:tcPr>
          <w:p>
            <w:pPr>
              <w:rPr>
                <w:rFonts w:ascii="仿宋" w:hAnsi="仿宋" w:eastAsia="仿宋" w:cs="仿宋"/>
                <w:color w:val="000000"/>
                <w:sz w:val="24"/>
              </w:rPr>
            </w:pPr>
            <w:r>
              <w:rPr>
                <w:rFonts w:hint="eastAsia" w:ascii="仿宋" w:hAnsi="仿宋" w:eastAsia="仿宋" w:cs="仿宋"/>
                <w:color w:val="000000"/>
                <w:sz w:val="24"/>
              </w:rPr>
              <w:t>智慧路灯采用的电源和模组满足GB/T33721-2017标准中相关开关冲击测试要求，检测周期≥100000次得1分；</w:t>
            </w:r>
          </w:p>
          <w:p>
            <w:pPr>
              <w:rPr>
                <w:rFonts w:ascii="仿宋" w:hAnsi="仿宋" w:eastAsia="仿宋" w:cs="仿宋"/>
                <w:color w:val="000000"/>
                <w:sz w:val="24"/>
              </w:rPr>
            </w:pPr>
            <w:r>
              <w:rPr>
                <w:rFonts w:hint="eastAsia" w:ascii="仿宋" w:hAnsi="仿宋" w:eastAsia="仿宋" w:cs="仿宋"/>
                <w:color w:val="000000"/>
                <w:sz w:val="24"/>
              </w:rPr>
              <w:t>同时开关冲击测试后光通维持率≥93%得1分；</w:t>
            </w:r>
          </w:p>
          <w:p>
            <w:pPr>
              <w:rPr>
                <w:rFonts w:ascii="仿宋" w:hAnsi="仿宋" w:eastAsia="仿宋" w:cs="仿宋"/>
                <w:color w:val="000000"/>
                <w:sz w:val="24"/>
              </w:rPr>
            </w:pPr>
            <w:r>
              <w:rPr>
                <w:rFonts w:hint="eastAsia" w:ascii="仿宋" w:hAnsi="仿宋" w:eastAsia="仿宋" w:cs="仿宋"/>
                <w:color w:val="000000"/>
                <w:sz w:val="24"/>
              </w:rPr>
              <w:t>开关冲击测试后光通维持率≥96%得2分；</w:t>
            </w:r>
          </w:p>
          <w:p>
            <w:pPr>
              <w:rPr>
                <w:rFonts w:ascii="仿宋" w:hAnsi="仿宋" w:eastAsia="仿宋" w:cs="仿宋"/>
                <w:color w:val="000000"/>
                <w:sz w:val="24"/>
              </w:rPr>
            </w:pPr>
            <w:r>
              <w:rPr>
                <w:rFonts w:hint="eastAsia" w:ascii="仿宋" w:hAnsi="仿宋" w:eastAsia="仿宋" w:cs="仿宋"/>
                <w:color w:val="000000"/>
                <w:sz w:val="24"/>
              </w:rPr>
              <w:t>出具省部级或以上检测机构出具的检测报告复印件加盖制造商公章，不满足或不提供报告不得分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12</w:t>
            </w:r>
          </w:p>
        </w:tc>
        <w:tc>
          <w:tcPr>
            <w:tcW w:w="1218" w:type="dxa"/>
            <w:vAlign w:val="center"/>
          </w:tcPr>
          <w:p>
            <w:pPr>
              <w:rPr>
                <w:rFonts w:ascii="仿宋" w:hAnsi="仿宋" w:eastAsia="仿宋" w:cs="仿宋"/>
                <w:sz w:val="24"/>
              </w:rPr>
            </w:pPr>
            <w:r>
              <w:rPr>
                <w:rFonts w:hint="eastAsia" w:ascii="仿宋" w:hAnsi="仿宋" w:eastAsia="仿宋" w:cs="仿宋"/>
                <w:sz w:val="24"/>
              </w:rPr>
              <w:t>智慧功能（5分）</w:t>
            </w:r>
          </w:p>
        </w:tc>
        <w:tc>
          <w:tcPr>
            <w:tcW w:w="6922" w:type="dxa"/>
            <w:vAlign w:val="center"/>
          </w:tcPr>
          <w:p>
            <w:pPr>
              <w:rPr>
                <w:rFonts w:ascii="仿宋" w:hAnsi="仿宋" w:eastAsia="仿宋" w:cs="仿宋"/>
                <w:sz w:val="24"/>
              </w:rPr>
            </w:pPr>
            <w:r>
              <w:rPr>
                <w:rFonts w:hint="eastAsia" w:ascii="仿宋" w:hAnsi="仿宋" w:eastAsia="仿宋" w:cs="仿宋"/>
                <w:sz w:val="24"/>
              </w:rPr>
              <w:t>本项目需求的智慧功能投标厂家能全部满足功能技术要求（见附表2），全部满足得5分，</w:t>
            </w:r>
            <w:r>
              <w:rPr>
                <w:rFonts w:hint="eastAsia" w:ascii="仿宋" w:hAnsi="仿宋" w:eastAsia="仿宋" w:cs="仿宋"/>
                <w:sz w:val="24"/>
                <w:lang w:val="en-US" w:eastAsia="zh-CN"/>
              </w:rPr>
              <w:t>有一项不满足扣0.5分，扣完为止</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出具省部级或以上检测机构出具的灯杆功能检测报告复印件加盖制造商公章，不满足或不提供报告不得分。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13</w:t>
            </w:r>
          </w:p>
        </w:tc>
        <w:tc>
          <w:tcPr>
            <w:tcW w:w="1218" w:type="dxa"/>
            <w:vAlign w:val="center"/>
          </w:tcPr>
          <w:p>
            <w:pPr>
              <w:jc w:val="center"/>
              <w:rPr>
                <w:rFonts w:ascii="仿宋" w:hAnsi="仿宋" w:eastAsia="仿宋" w:cs="仿宋"/>
                <w:sz w:val="24"/>
              </w:rPr>
            </w:pPr>
            <w:r>
              <w:rPr>
                <w:rFonts w:hint="eastAsia" w:ascii="仿宋" w:hAnsi="仿宋" w:eastAsia="仿宋" w:cs="仿宋"/>
                <w:sz w:val="24"/>
              </w:rPr>
              <w:t>智慧路灯功能演示（10分）</w:t>
            </w:r>
          </w:p>
        </w:tc>
        <w:tc>
          <w:tcPr>
            <w:tcW w:w="6922" w:type="dxa"/>
            <w:vAlign w:val="center"/>
          </w:tcPr>
          <w:p>
            <w:pPr>
              <w:pStyle w:val="503"/>
              <w:ind w:firstLine="0" w:firstLineChars="0"/>
              <w:rPr>
                <w:rFonts w:ascii="仿宋" w:hAnsi="仿宋" w:eastAsia="仿宋" w:cs="仿宋"/>
              </w:rPr>
            </w:pPr>
            <w:r>
              <w:rPr>
                <w:rFonts w:hint="eastAsia" w:ascii="仿宋" w:hAnsi="仿宋" w:eastAsia="仿宋" w:cs="仿宋"/>
              </w:rPr>
              <w:t>根据功能演示（演示功能见附表1）情况酌情打分。（注：以u盘形式提供，此u盘需在开标前提交）</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Merge w:val="restart"/>
            <w:vAlign w:val="center"/>
          </w:tcPr>
          <w:p>
            <w:pPr>
              <w:pStyle w:val="56"/>
              <w:keepLines/>
              <w:jc w:val="center"/>
              <w:rPr>
                <w:rFonts w:ascii="仿宋" w:hAnsi="仿宋" w:eastAsia="仿宋" w:cs="仿宋"/>
                <w:b/>
                <w:bCs/>
              </w:rPr>
            </w:pPr>
            <w:r>
              <w:rPr>
                <w:rFonts w:hint="eastAsia" w:ascii="仿宋" w:hAnsi="仿宋" w:eastAsia="仿宋" w:cs="仿宋"/>
              </w:rPr>
              <w:t>14</w:t>
            </w:r>
          </w:p>
        </w:tc>
        <w:tc>
          <w:tcPr>
            <w:tcW w:w="1218" w:type="dxa"/>
            <w:vMerge w:val="restart"/>
            <w:vAlign w:val="center"/>
          </w:tcPr>
          <w:p>
            <w:pPr>
              <w:pStyle w:val="56"/>
              <w:keepLines/>
              <w:jc w:val="center"/>
              <w:rPr>
                <w:rFonts w:ascii="仿宋" w:hAnsi="仿宋" w:eastAsia="仿宋" w:cs="仿宋"/>
                <w:b/>
                <w:bCs/>
              </w:rPr>
            </w:pPr>
            <w:r>
              <w:rPr>
                <w:rFonts w:hint="eastAsia" w:ascii="仿宋" w:hAnsi="仿宋" w:eastAsia="仿宋" w:cs="仿宋"/>
              </w:rPr>
              <w:t>售后服务</w:t>
            </w:r>
          </w:p>
        </w:tc>
        <w:tc>
          <w:tcPr>
            <w:tcW w:w="6922" w:type="dxa"/>
          </w:tcPr>
          <w:p>
            <w:pPr>
              <w:keepLines/>
              <w:spacing w:line="400" w:lineRule="exact"/>
              <w:jc w:val="left"/>
              <w:rPr>
                <w:rFonts w:ascii="仿宋" w:hAnsi="仿宋" w:eastAsia="仿宋" w:cs="仿宋"/>
                <w:sz w:val="24"/>
              </w:rPr>
            </w:pPr>
            <w:r>
              <w:rPr>
                <w:rFonts w:hint="eastAsia" w:ascii="仿宋" w:hAnsi="仿宋" w:eastAsia="仿宋" w:cs="仿宋"/>
                <w:sz w:val="24"/>
              </w:rPr>
              <w:t>质保期满足招标文件不得分，每增加1年得1分，最高得2分。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Merge w:val="continue"/>
            <w:vAlign w:val="center"/>
          </w:tcPr>
          <w:p>
            <w:pPr>
              <w:pStyle w:val="56"/>
              <w:keepLines/>
              <w:jc w:val="center"/>
              <w:rPr>
                <w:rFonts w:ascii="仿宋" w:hAnsi="仿宋" w:eastAsia="仿宋" w:cs="仿宋"/>
                <w:b/>
                <w:bCs/>
              </w:rPr>
            </w:pPr>
          </w:p>
        </w:tc>
        <w:tc>
          <w:tcPr>
            <w:tcW w:w="1218" w:type="dxa"/>
            <w:vMerge w:val="continue"/>
          </w:tcPr>
          <w:p>
            <w:pPr>
              <w:pStyle w:val="56"/>
              <w:keepLines/>
              <w:rPr>
                <w:rFonts w:ascii="仿宋" w:hAnsi="仿宋" w:eastAsia="仿宋" w:cs="仿宋"/>
                <w:b/>
                <w:bCs/>
              </w:rPr>
            </w:pPr>
          </w:p>
        </w:tc>
        <w:tc>
          <w:tcPr>
            <w:tcW w:w="6922" w:type="dxa"/>
          </w:tcPr>
          <w:p>
            <w:pPr>
              <w:keepLines/>
              <w:spacing w:line="400" w:lineRule="exact"/>
              <w:jc w:val="left"/>
              <w:rPr>
                <w:rFonts w:ascii="仿宋" w:hAnsi="仿宋" w:eastAsia="仿宋" w:cs="仿宋"/>
                <w:sz w:val="24"/>
              </w:rPr>
            </w:pPr>
            <w:r>
              <w:rPr>
                <w:rFonts w:hint="eastAsia" w:ascii="仿宋" w:hAnsi="仿宋" w:eastAsia="仿宋" w:cs="仿宋"/>
                <w:sz w:val="24"/>
              </w:rPr>
              <w:t>根据各投标人提供的售后服务人员的技术水平、售后服务方案、人员、设备及现场服务措施、故障解决能力、保修保障计划及能力，酌情给分。0-5分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Merge w:val="restart"/>
            <w:vAlign w:val="center"/>
          </w:tcPr>
          <w:p>
            <w:pPr>
              <w:pStyle w:val="650"/>
              <w:keepNext w:val="0"/>
              <w:keepLines/>
              <w:tabs>
                <w:tab w:val="left" w:pos="3808"/>
              </w:tabs>
              <w:adjustRightInd/>
              <w:snapToGrid/>
              <w:spacing w:line="360" w:lineRule="auto"/>
              <w:rPr>
                <w:rFonts w:ascii="仿宋" w:hAnsi="仿宋" w:eastAsia="仿宋" w:cs="仿宋"/>
                <w:bCs/>
                <w:szCs w:val="24"/>
              </w:rPr>
            </w:pPr>
            <w:r>
              <w:rPr>
                <w:rFonts w:hint="eastAsia" w:ascii="仿宋" w:hAnsi="仿宋" w:eastAsia="仿宋" w:cs="仿宋"/>
                <w:bCs/>
                <w:szCs w:val="24"/>
              </w:rPr>
              <w:t>15</w:t>
            </w:r>
          </w:p>
        </w:tc>
        <w:tc>
          <w:tcPr>
            <w:tcW w:w="1218" w:type="dxa"/>
            <w:vMerge w:val="restart"/>
            <w:vAlign w:val="center"/>
          </w:tcPr>
          <w:p>
            <w:pPr>
              <w:keepLines/>
              <w:spacing w:line="400" w:lineRule="exact"/>
              <w:jc w:val="center"/>
              <w:rPr>
                <w:rFonts w:ascii="仿宋" w:hAnsi="仿宋" w:eastAsia="仿宋" w:cs="仿宋"/>
                <w:sz w:val="24"/>
              </w:rPr>
            </w:pPr>
            <w:r>
              <w:rPr>
                <w:rFonts w:hint="eastAsia" w:ascii="仿宋" w:hAnsi="仿宋" w:eastAsia="仿宋" w:cs="仿宋"/>
                <w:sz w:val="24"/>
              </w:rPr>
              <w:t>施工组织方案</w:t>
            </w:r>
          </w:p>
          <w:p>
            <w:pPr>
              <w:keepLines/>
              <w:spacing w:line="400" w:lineRule="exact"/>
              <w:jc w:val="center"/>
              <w:rPr>
                <w:rFonts w:ascii="仿宋" w:hAnsi="仿宋" w:eastAsia="仿宋" w:cs="仿宋"/>
                <w:sz w:val="24"/>
              </w:rPr>
            </w:pPr>
          </w:p>
        </w:tc>
        <w:tc>
          <w:tcPr>
            <w:tcW w:w="6922" w:type="dxa"/>
            <w:vAlign w:val="center"/>
          </w:tcPr>
          <w:p>
            <w:pPr>
              <w:keepLines/>
              <w:spacing w:line="400" w:lineRule="exact"/>
              <w:jc w:val="left"/>
              <w:rPr>
                <w:rFonts w:ascii="仿宋" w:hAnsi="仿宋" w:eastAsia="仿宋" w:cs="仿宋"/>
                <w:sz w:val="24"/>
              </w:rPr>
            </w:pPr>
            <w:r>
              <w:rPr>
                <w:rFonts w:hint="eastAsia" w:ascii="仿宋" w:hAnsi="仿宋" w:eastAsia="仿宋" w:cs="仿宋"/>
                <w:sz w:val="24"/>
              </w:rPr>
              <w:t>现场踏勘：须实地踏勘现场，结合道路现场情况提出实施过程中的难点及解决措施。根据其实际性、合理性评分。优秀得5分，较好的得2-4分，一般的得0-1分。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Merge w:val="continue"/>
          </w:tcPr>
          <w:p>
            <w:pPr>
              <w:pStyle w:val="56"/>
              <w:keepLines/>
              <w:jc w:val="both"/>
              <w:rPr>
                <w:rFonts w:ascii="仿宋" w:hAnsi="仿宋" w:eastAsia="仿宋" w:cs="仿宋"/>
                <w:b/>
                <w:bCs/>
              </w:rPr>
            </w:pPr>
          </w:p>
        </w:tc>
        <w:tc>
          <w:tcPr>
            <w:tcW w:w="1218" w:type="dxa"/>
            <w:vMerge w:val="continue"/>
          </w:tcPr>
          <w:p>
            <w:pPr>
              <w:pStyle w:val="56"/>
              <w:keepLines/>
              <w:rPr>
                <w:rFonts w:ascii="仿宋" w:hAnsi="仿宋" w:eastAsia="仿宋" w:cs="仿宋"/>
                <w:b/>
                <w:bCs/>
              </w:rPr>
            </w:pPr>
          </w:p>
        </w:tc>
        <w:tc>
          <w:tcPr>
            <w:tcW w:w="6922" w:type="dxa"/>
            <w:vAlign w:val="center"/>
          </w:tcPr>
          <w:p>
            <w:pPr>
              <w:keepLines/>
              <w:spacing w:line="400" w:lineRule="exact"/>
              <w:jc w:val="left"/>
              <w:rPr>
                <w:rFonts w:ascii="仿宋" w:hAnsi="仿宋" w:eastAsia="仿宋" w:cs="仿宋"/>
                <w:sz w:val="24"/>
              </w:rPr>
            </w:pPr>
            <w:r>
              <w:rPr>
                <w:rFonts w:hint="eastAsia" w:ascii="仿宋" w:hAnsi="仿宋" w:eastAsia="仿宋" w:cs="仿宋"/>
                <w:sz w:val="24"/>
              </w:rPr>
              <w:t>根据施工技术方案、施工质量目标及保证措施、施工组织、人力资源安排、施工进度计划、工期、工程质量及安全保证措施等工程实施计划和方案的合理性、可行性、周全性等方面进行横向分析比较，酌情打分。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Merge w:val="continue"/>
          </w:tcPr>
          <w:p>
            <w:pPr>
              <w:pStyle w:val="56"/>
              <w:keepLines/>
              <w:jc w:val="both"/>
              <w:rPr>
                <w:rFonts w:ascii="仿宋" w:hAnsi="仿宋" w:eastAsia="仿宋" w:cs="仿宋"/>
                <w:b/>
                <w:bCs/>
              </w:rPr>
            </w:pPr>
          </w:p>
        </w:tc>
        <w:tc>
          <w:tcPr>
            <w:tcW w:w="1218" w:type="dxa"/>
            <w:vMerge w:val="continue"/>
          </w:tcPr>
          <w:p>
            <w:pPr>
              <w:pStyle w:val="56"/>
              <w:keepLines/>
              <w:rPr>
                <w:rFonts w:ascii="仿宋" w:hAnsi="仿宋" w:eastAsia="仿宋" w:cs="仿宋"/>
                <w:b/>
                <w:bCs/>
              </w:rPr>
            </w:pPr>
          </w:p>
        </w:tc>
        <w:tc>
          <w:tcPr>
            <w:tcW w:w="6922" w:type="dxa"/>
            <w:vAlign w:val="center"/>
          </w:tcPr>
          <w:p>
            <w:pPr>
              <w:keepLines/>
              <w:spacing w:line="400" w:lineRule="exact"/>
              <w:jc w:val="left"/>
              <w:rPr>
                <w:rFonts w:ascii="仿宋" w:hAnsi="仿宋" w:eastAsia="仿宋" w:cs="仿宋"/>
                <w:sz w:val="24"/>
              </w:rPr>
            </w:pPr>
            <w:r>
              <w:rPr>
                <w:rFonts w:hint="eastAsia" w:ascii="仿宋" w:hAnsi="仿宋" w:eastAsia="仿宋" w:cs="仿宋"/>
                <w:sz w:val="24"/>
              </w:rPr>
              <w:t>是否具有详细、切实可行的验收方案，包括设备安装、系统试运行、检测、验收等情况酌情打分。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56"/>
              <w:keepLines/>
              <w:jc w:val="center"/>
              <w:rPr>
                <w:rFonts w:ascii="仿宋" w:hAnsi="仿宋" w:eastAsia="仿宋" w:cs="仿宋"/>
              </w:rPr>
            </w:pPr>
            <w:r>
              <w:rPr>
                <w:rFonts w:hint="eastAsia" w:ascii="仿宋" w:hAnsi="仿宋" w:eastAsia="仿宋" w:cs="仿宋"/>
              </w:rPr>
              <w:t>16</w:t>
            </w:r>
          </w:p>
        </w:tc>
        <w:tc>
          <w:tcPr>
            <w:tcW w:w="1218" w:type="dxa"/>
            <w:vAlign w:val="center"/>
          </w:tcPr>
          <w:p>
            <w:pPr>
              <w:pStyle w:val="56"/>
              <w:keepLines/>
              <w:jc w:val="center"/>
              <w:rPr>
                <w:rFonts w:ascii="仿宋" w:hAnsi="仿宋" w:eastAsia="仿宋" w:cs="仿宋"/>
              </w:rPr>
            </w:pPr>
            <w:r>
              <w:rPr>
                <w:rFonts w:hint="eastAsia" w:ascii="仿宋" w:hAnsi="仿宋" w:eastAsia="仿宋" w:cs="仿宋"/>
              </w:rPr>
              <w:t>项目团队</w:t>
            </w:r>
          </w:p>
        </w:tc>
        <w:tc>
          <w:tcPr>
            <w:tcW w:w="6922" w:type="dxa"/>
            <w:vAlign w:val="center"/>
          </w:tcPr>
          <w:p>
            <w:pPr>
              <w:keepLines/>
              <w:spacing w:line="400" w:lineRule="exact"/>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项目负责人及技术力量综合对比打分。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17" w:type="dxa"/>
            <w:vAlign w:val="center"/>
          </w:tcPr>
          <w:p>
            <w:pPr>
              <w:pStyle w:val="56"/>
              <w:keepLines/>
              <w:jc w:val="center"/>
              <w:rPr>
                <w:rFonts w:ascii="仿宋" w:hAnsi="仿宋" w:eastAsia="仿宋" w:cs="仿宋"/>
              </w:rPr>
            </w:pPr>
            <w:r>
              <w:rPr>
                <w:rFonts w:hint="eastAsia" w:ascii="仿宋" w:hAnsi="仿宋" w:eastAsia="仿宋" w:cs="仿宋"/>
              </w:rPr>
              <w:t>17</w:t>
            </w:r>
          </w:p>
        </w:tc>
        <w:tc>
          <w:tcPr>
            <w:tcW w:w="1218" w:type="dxa"/>
            <w:vAlign w:val="center"/>
          </w:tcPr>
          <w:p>
            <w:pPr>
              <w:spacing w:line="280" w:lineRule="exac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投标投文件制作质量</w:t>
            </w:r>
          </w:p>
        </w:tc>
        <w:tc>
          <w:tcPr>
            <w:tcW w:w="6922" w:type="dxa"/>
            <w:vAlign w:val="center"/>
          </w:tcPr>
          <w:p>
            <w:pPr>
              <w:keepLines/>
              <w:spacing w:line="4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根据投标文件编制有序、内容规范、字句清晰、表述完整等情况综合评定对比打分</w:t>
            </w:r>
          </w:p>
        </w:tc>
        <w:tc>
          <w:tcPr>
            <w:tcW w:w="894" w:type="dxa"/>
            <w:vAlign w:val="center"/>
          </w:tcPr>
          <w:p>
            <w:pPr>
              <w:keepLines/>
              <w:spacing w:line="400" w:lineRule="exact"/>
              <w:jc w:val="center"/>
              <w:rPr>
                <w:rFonts w:ascii="仿宋" w:hAnsi="仿宋" w:eastAsia="仿宋" w:cs="仿宋"/>
                <w:sz w:val="24"/>
              </w:rPr>
            </w:pPr>
            <w:r>
              <w:rPr>
                <w:rFonts w:hint="eastAsia" w:ascii="仿宋" w:hAnsi="仿宋" w:eastAsia="仿宋" w:cs="仿宋"/>
                <w:sz w:val="24"/>
              </w:rPr>
              <w:t>0-3</w:t>
            </w:r>
          </w:p>
        </w:tc>
      </w:tr>
    </w:tbl>
    <w:p>
      <w:pPr>
        <w:widowControl/>
        <w:spacing w:line="360" w:lineRule="auto"/>
        <w:ind w:firstLine="480" w:firstLineChars="200"/>
        <w:rPr>
          <w:rFonts w:ascii="仿宋" w:hAnsi="仿宋" w:eastAsia="仿宋" w:cs="仿宋"/>
          <w:sz w:val="24"/>
        </w:rPr>
      </w:pPr>
    </w:p>
    <w:p>
      <w:pPr>
        <w:widowControl/>
        <w:spacing w:before="240" w:beforeLines="100"/>
        <w:jc w:val="left"/>
        <w:rPr>
          <w:rFonts w:ascii="仿宋" w:hAnsi="仿宋" w:eastAsia="仿宋" w:cs="仿宋"/>
          <w:color w:val="000000"/>
          <w:sz w:val="24"/>
        </w:rPr>
      </w:pPr>
      <w:r>
        <w:rPr>
          <w:rFonts w:hint="eastAsia" w:ascii="仿宋" w:hAnsi="仿宋" w:eastAsia="仿宋" w:cs="仿宋"/>
          <w:color w:val="000000"/>
          <w:sz w:val="24"/>
        </w:rPr>
        <w:t>附表1</w:t>
      </w:r>
    </w:p>
    <w:tbl>
      <w:tblPr>
        <w:tblStyle w:val="6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40" w:type="dxa"/>
            <w:gridSpan w:val="3"/>
            <w:vAlign w:val="center"/>
          </w:tcPr>
          <w:p>
            <w:pPr>
              <w:spacing w:line="300" w:lineRule="exact"/>
              <w:jc w:val="center"/>
              <w:rPr>
                <w:rFonts w:ascii="仿宋" w:hAnsi="仿宋" w:eastAsia="仿宋" w:cs="仿宋"/>
                <w:b/>
                <w:color w:val="000000"/>
                <w:sz w:val="24"/>
              </w:rPr>
            </w:pPr>
            <w:r>
              <w:rPr>
                <w:rFonts w:hint="eastAsia" w:ascii="仿宋" w:hAnsi="仿宋" w:eastAsia="仿宋" w:cs="仿宋"/>
                <w:b/>
                <w:color w:val="000000"/>
                <w:sz w:val="24"/>
              </w:rPr>
              <w:t>智慧城市系统功能表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vAlign w:val="center"/>
          </w:tcPr>
          <w:p>
            <w:pPr>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559" w:type="dxa"/>
            <w:vAlign w:val="center"/>
          </w:tcPr>
          <w:p>
            <w:pPr>
              <w:jc w:val="center"/>
              <w:rPr>
                <w:rFonts w:ascii="仿宋" w:hAnsi="仿宋" w:eastAsia="仿宋" w:cs="仿宋"/>
                <w:b/>
                <w:color w:val="000000"/>
                <w:sz w:val="24"/>
              </w:rPr>
            </w:pPr>
            <w:r>
              <w:rPr>
                <w:rFonts w:hint="eastAsia" w:ascii="仿宋" w:hAnsi="仿宋" w:eastAsia="仿宋" w:cs="仿宋"/>
                <w:b/>
                <w:color w:val="000000"/>
                <w:sz w:val="24"/>
              </w:rPr>
              <w:t>功能</w:t>
            </w:r>
          </w:p>
        </w:tc>
        <w:tc>
          <w:tcPr>
            <w:tcW w:w="7371" w:type="dxa"/>
            <w:vAlign w:val="center"/>
          </w:tcPr>
          <w:p>
            <w:pPr>
              <w:jc w:val="center"/>
              <w:rPr>
                <w:rFonts w:ascii="仿宋" w:hAnsi="仿宋" w:eastAsia="仿宋" w:cs="仿宋"/>
                <w:b/>
                <w:color w:val="000000"/>
                <w:sz w:val="24"/>
              </w:rPr>
            </w:pPr>
            <w:r>
              <w:rPr>
                <w:rFonts w:hint="eastAsia" w:ascii="仿宋" w:hAnsi="仿宋" w:eastAsia="仿宋" w:cs="仿宋"/>
                <w:b/>
                <w:color w:val="000000"/>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智慧灯杆管理照明系统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系统支持路灯远程开关和亮度控制，支持单灯控制、分组控制、广播控制和回路控制，支持定时、经纬度和传感器等的远程策略和本地策略，支持设备在线/离线状态、开/关/亮度状态和回路状态查询，支持灯具电流、电压、有功功率、无功功率和频率等电参数查询，支持网关合相电流、合相功率及三相电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智慧灯杆管理环境监测系统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实时监测风向、风速、温度、湿度、气压、降雨量、噪声、PM2.5、PM10等环境数据，支持将传感器数据在信息发布屏上实时动态显示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智慧灯杆管理视频监控系统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系统支持内网监控和外网监控，支持云台控制功能，支持视频预置点管理和控制，支持多摄像机同时监控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智慧灯杆管理信息发布系统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系统支持屏幕管理、资源管理、节目管理和定时管理功能，支持文本、图片、视频、摄像机画面和传感器数据显示，支持节目预览和发布，支持屏幕远程截图，支持多屏幕节目同步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5</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智慧灯杆管理公共广播系统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系统支持广播终端管理、媒体资源管理和广播任务管理功能，支持远程播放和停止，支持广播设备音量设置，支持通过麦克风广播突发事件、新闻等公共信息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智慧灯杆管理无线网络系统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支持AC接入控制和AP接入点设备管理，支持通过AC管理其下AP设备状态和接入的终端设备，如IP地址、终端数量、终端状态等，支持管理AP下的用户信息，如MAC地址、上线时间、信号强度等，支持查看设备的软件版本、硬件版本和内存容量等，支持远程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7</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智慧灯杆管理紧急呼叫系统</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可一键发起紧急求助或业务咨询，与管理中心进行实时音视频对讲，支持将紧急求助分发给就近的安保人员，第一时间赶往现场进行援助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7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8</w:t>
            </w:r>
          </w:p>
        </w:tc>
        <w:tc>
          <w:tcPr>
            <w:tcW w:w="155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互联互通</w:t>
            </w:r>
          </w:p>
          <w:p>
            <w:pPr>
              <w:jc w:val="center"/>
              <w:rPr>
                <w:rFonts w:ascii="仿宋" w:hAnsi="仿宋" w:eastAsia="仿宋" w:cs="仿宋"/>
                <w:color w:val="000000"/>
                <w:sz w:val="24"/>
              </w:rPr>
            </w:pPr>
            <w:r>
              <w:rPr>
                <w:rFonts w:hint="eastAsia" w:ascii="仿宋" w:hAnsi="仿宋" w:eastAsia="仿宋" w:cs="仿宋"/>
                <w:color w:val="000000"/>
                <w:sz w:val="24"/>
              </w:rPr>
              <w:t>协同应用</w:t>
            </w:r>
          </w:p>
        </w:tc>
        <w:tc>
          <w:tcPr>
            <w:tcW w:w="7371" w:type="dxa"/>
            <w:vAlign w:val="center"/>
          </w:tcPr>
          <w:p>
            <w:pPr>
              <w:pStyle w:val="59"/>
              <w:spacing w:after="40" w:line="300" w:lineRule="exact"/>
              <w:ind w:firstLine="0"/>
              <w:rPr>
                <w:rFonts w:ascii="仿宋" w:hAnsi="仿宋" w:eastAsia="仿宋" w:cs="仿宋"/>
                <w:color w:val="000000"/>
                <w:szCs w:val="24"/>
              </w:rPr>
            </w:pPr>
            <w:r>
              <w:rPr>
                <w:rFonts w:hint="eastAsia" w:ascii="仿宋" w:hAnsi="仿宋" w:eastAsia="仿宋" w:cs="仿宋"/>
                <w:color w:val="000000"/>
                <w:szCs w:val="24"/>
              </w:rPr>
              <w:t>支持亮度数据联动广播、广告屏和摄像机等设备，支持风速、温度、噪声、PM2.5等环境数据联动广播、广告屏和摄像机等设备，支持水位数据联动广播、广告屏、摄像机、水泵和报警灯等设备，支持井盖状态数据联动广播、广告屏和摄像机等设备，支持车位状态数据联动广播、广告屏和摄像机等设备，支持一键报警和业务咨询告警联动广播、广告屏、摄像机等设备和安保APP，支持人脸识别告警联动广播、广告屏和摄像机等设备，支持消防栓状态数据联动广播、广告屏和摄像机等设备</w:t>
            </w:r>
          </w:p>
        </w:tc>
      </w:tr>
    </w:tbl>
    <w:p>
      <w:pPr>
        <w:widowControl/>
        <w:spacing w:line="360" w:lineRule="auto"/>
        <w:ind w:firstLine="480" w:firstLineChars="200"/>
        <w:rPr>
          <w:rFonts w:ascii="仿宋" w:hAnsi="仿宋" w:eastAsia="仿宋" w:cs="仿宋"/>
          <w:sz w:val="24"/>
        </w:rPr>
      </w:pPr>
    </w:p>
    <w:p>
      <w:pPr>
        <w:rPr>
          <w:color w:val="000000"/>
        </w:rPr>
      </w:pPr>
    </w:p>
    <w:p>
      <w:pPr>
        <w:rPr>
          <w:rFonts w:ascii="仿宋" w:hAnsi="仿宋" w:eastAsia="仿宋" w:cs="仿宋"/>
          <w:color w:val="000000"/>
          <w:sz w:val="24"/>
        </w:rPr>
      </w:pPr>
      <w:r>
        <w:rPr>
          <w:rFonts w:hint="eastAsia" w:ascii="仿宋" w:hAnsi="仿宋" w:eastAsia="仿宋" w:cs="仿宋"/>
          <w:color w:val="000000"/>
          <w:sz w:val="24"/>
        </w:rPr>
        <w:t>附表2</w:t>
      </w:r>
    </w:p>
    <w:tbl>
      <w:tblPr>
        <w:tblStyle w:val="6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693"/>
        <w:gridCol w:w="1134"/>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640" w:type="dxa"/>
            <w:gridSpan w:val="5"/>
            <w:vAlign w:val="center"/>
          </w:tcPr>
          <w:p>
            <w:pPr>
              <w:spacing w:line="300" w:lineRule="exact"/>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智慧城市性能指标表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0" w:type="dxa"/>
            <w:vAlign w:val="center"/>
          </w:tcPr>
          <w:p>
            <w:pP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2693" w:type="dxa"/>
            <w:vAlign w:val="center"/>
          </w:tcPr>
          <w:p>
            <w:pP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功能</w:t>
            </w:r>
          </w:p>
        </w:tc>
        <w:tc>
          <w:tcPr>
            <w:tcW w:w="3686" w:type="dxa"/>
            <w:gridSpan w:val="2"/>
            <w:vAlign w:val="center"/>
          </w:tcPr>
          <w:p>
            <w:pP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功能描述</w:t>
            </w:r>
          </w:p>
        </w:tc>
        <w:tc>
          <w:tcPr>
            <w:tcW w:w="2551" w:type="dxa"/>
            <w:vAlign w:val="center"/>
          </w:tcPr>
          <w:p>
            <w:pP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平均耗时（单位：秒）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1</w:t>
            </w:r>
          </w:p>
        </w:tc>
        <w:tc>
          <w:tcPr>
            <w:tcW w:w="2693" w:type="dxa"/>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智慧灯杆管理智慧照明系统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单灯控制</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2</w:t>
            </w:r>
          </w:p>
        </w:tc>
        <w:tc>
          <w:tcPr>
            <w:tcW w:w="2693" w:type="dxa"/>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智慧灯杆管理环境监测系统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数据上报</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3</w:t>
            </w:r>
          </w:p>
        </w:tc>
        <w:tc>
          <w:tcPr>
            <w:tcW w:w="2693" w:type="dxa"/>
            <w:vMerge w:val="restart"/>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智慧灯杆管理视频监控系统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内网访问</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4</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外网访问</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5</w:t>
            </w:r>
          </w:p>
        </w:tc>
        <w:tc>
          <w:tcPr>
            <w:tcW w:w="2693" w:type="dxa"/>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智慧灯杆管理公共广播系统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节目播放</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6</w:t>
            </w:r>
          </w:p>
        </w:tc>
        <w:tc>
          <w:tcPr>
            <w:tcW w:w="2693" w:type="dxa"/>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智慧灯杆管理水位监测系统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数据上报</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7</w:t>
            </w:r>
          </w:p>
        </w:tc>
        <w:tc>
          <w:tcPr>
            <w:tcW w:w="2693" w:type="dxa"/>
            <w:vAlign w:val="center"/>
          </w:tcPr>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智慧灯杆管理紧急呼叫系统</w:t>
            </w:r>
          </w:p>
        </w:tc>
        <w:tc>
          <w:tcPr>
            <w:tcW w:w="3686" w:type="dxa"/>
            <w:gridSpan w:val="2"/>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告警上报</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8</w:t>
            </w:r>
          </w:p>
        </w:tc>
        <w:tc>
          <w:tcPr>
            <w:tcW w:w="2693" w:type="dxa"/>
            <w:vMerge w:val="restart"/>
            <w:vAlign w:val="center"/>
          </w:tcPr>
          <w:p>
            <w:pPr>
              <w:widowControl/>
              <w:spacing w:line="2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互联</w:t>
            </w:r>
            <w:bookmarkStart w:id="433" w:name="_GoBack"/>
            <w:bookmarkEnd w:id="433"/>
            <w:r>
              <w:rPr>
                <w:rFonts w:hint="eastAsia" w:ascii="仿宋" w:hAnsi="仿宋" w:eastAsia="仿宋" w:cs="仿宋"/>
                <w:color w:val="000000"/>
                <w:sz w:val="24"/>
                <w:highlight w:val="none"/>
              </w:rPr>
              <w:t>互通</w:t>
            </w:r>
          </w:p>
          <w:p>
            <w:pPr>
              <w:widowControl/>
              <w:spacing w:line="28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协同应用</w:t>
            </w:r>
          </w:p>
        </w:tc>
        <w:tc>
          <w:tcPr>
            <w:tcW w:w="1134" w:type="dxa"/>
            <w:vMerge w:val="restart"/>
            <w:vAlign w:val="center"/>
          </w:tcPr>
          <w:p>
            <w:pPr>
              <w:pStyle w:val="59"/>
              <w:widowControl/>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环境数据</w:t>
            </w: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环境数据联动广播</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9</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1134" w:type="dxa"/>
            <w:vMerge w:val="continue"/>
            <w:vAlign w:val="center"/>
          </w:tcPr>
          <w:p>
            <w:pPr>
              <w:pStyle w:val="59"/>
              <w:widowControl/>
              <w:spacing w:line="280" w:lineRule="exact"/>
              <w:ind w:firstLine="0"/>
              <w:rPr>
                <w:rFonts w:ascii="仿宋" w:hAnsi="仿宋" w:eastAsia="仿宋" w:cs="仿宋"/>
                <w:color w:val="000000"/>
                <w:szCs w:val="24"/>
                <w:highlight w:val="none"/>
              </w:rPr>
            </w:pP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环境数据联动广告屏</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10</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1134" w:type="dxa"/>
            <w:vMerge w:val="restart"/>
            <w:vAlign w:val="center"/>
          </w:tcPr>
          <w:p>
            <w:pPr>
              <w:pStyle w:val="59"/>
              <w:widowControl/>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水位数据</w:t>
            </w: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水位数据联动广播</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11</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1134" w:type="dxa"/>
            <w:vMerge w:val="continue"/>
            <w:vAlign w:val="center"/>
          </w:tcPr>
          <w:p>
            <w:pPr>
              <w:pStyle w:val="59"/>
              <w:widowControl/>
              <w:spacing w:line="280" w:lineRule="exact"/>
              <w:ind w:firstLine="0"/>
              <w:rPr>
                <w:rFonts w:ascii="仿宋" w:hAnsi="仿宋" w:eastAsia="仿宋" w:cs="仿宋"/>
                <w:color w:val="000000"/>
                <w:szCs w:val="24"/>
                <w:highlight w:val="none"/>
              </w:rPr>
            </w:pP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水位数据联动广告屏</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12</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1134" w:type="dxa"/>
            <w:vMerge w:val="restart"/>
            <w:vAlign w:val="center"/>
          </w:tcPr>
          <w:p>
            <w:pPr>
              <w:pStyle w:val="59"/>
              <w:widowControl/>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一键报警</w:t>
            </w: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一键报警联动广播</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80" w:lineRule="exact"/>
              <w:jc w:val="center"/>
              <w:rPr>
                <w:rFonts w:ascii="仿宋" w:hAnsi="仿宋" w:eastAsia="仿宋" w:cs="仿宋"/>
                <w:color w:val="000000"/>
                <w:sz w:val="24"/>
                <w:highlight w:val="none"/>
              </w:rPr>
            </w:pPr>
            <w:r>
              <w:rPr>
                <w:rFonts w:ascii="仿宋" w:hAnsi="仿宋" w:eastAsia="仿宋" w:cs="仿宋"/>
                <w:color w:val="000000"/>
                <w:sz w:val="24"/>
                <w:highlight w:val="none"/>
              </w:rPr>
              <w:t>13</w:t>
            </w:r>
          </w:p>
        </w:tc>
        <w:tc>
          <w:tcPr>
            <w:tcW w:w="2693" w:type="dxa"/>
            <w:vMerge w:val="continue"/>
            <w:vAlign w:val="center"/>
          </w:tcPr>
          <w:p>
            <w:pPr>
              <w:widowControl/>
              <w:spacing w:line="280" w:lineRule="exact"/>
              <w:jc w:val="center"/>
              <w:rPr>
                <w:rFonts w:ascii="仿宋" w:hAnsi="仿宋" w:eastAsia="仿宋" w:cs="仿宋"/>
                <w:color w:val="000000"/>
                <w:sz w:val="24"/>
                <w:highlight w:val="none"/>
              </w:rPr>
            </w:pPr>
          </w:p>
        </w:tc>
        <w:tc>
          <w:tcPr>
            <w:tcW w:w="1134" w:type="dxa"/>
            <w:vMerge w:val="continue"/>
            <w:vAlign w:val="center"/>
          </w:tcPr>
          <w:p>
            <w:pPr>
              <w:pStyle w:val="59"/>
              <w:widowControl/>
              <w:spacing w:line="280" w:lineRule="exact"/>
              <w:ind w:firstLine="0"/>
              <w:rPr>
                <w:rFonts w:ascii="仿宋" w:hAnsi="仿宋" w:eastAsia="仿宋" w:cs="仿宋"/>
                <w:color w:val="000000"/>
                <w:szCs w:val="24"/>
                <w:highlight w:val="none"/>
              </w:rPr>
            </w:pPr>
          </w:p>
        </w:tc>
        <w:tc>
          <w:tcPr>
            <w:tcW w:w="2552"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一键报警联动广告屏</w:t>
            </w:r>
          </w:p>
        </w:tc>
        <w:tc>
          <w:tcPr>
            <w:tcW w:w="2551" w:type="dxa"/>
            <w:vAlign w:val="center"/>
          </w:tcPr>
          <w:p>
            <w:pPr>
              <w:pStyle w:val="59"/>
              <w:spacing w:line="280" w:lineRule="exact"/>
              <w:ind w:firstLine="0"/>
              <w:rPr>
                <w:rFonts w:ascii="仿宋" w:hAnsi="仿宋" w:eastAsia="仿宋" w:cs="仿宋"/>
                <w:color w:val="000000"/>
                <w:szCs w:val="24"/>
                <w:highlight w:val="none"/>
              </w:rPr>
            </w:pPr>
            <w:r>
              <w:rPr>
                <w:rFonts w:hint="eastAsia" w:ascii="仿宋" w:hAnsi="仿宋" w:eastAsia="仿宋" w:cs="仿宋"/>
                <w:color w:val="000000"/>
                <w:szCs w:val="24"/>
                <w:highlight w:val="none"/>
              </w:rPr>
              <w:t>≤6</w:t>
            </w:r>
          </w:p>
        </w:tc>
      </w:tr>
    </w:tbl>
    <w:p>
      <w:pPr>
        <w:widowControl/>
        <w:spacing w:line="360" w:lineRule="auto"/>
        <w:rPr>
          <w:rFonts w:ascii="仿宋" w:hAnsi="仿宋" w:eastAsia="仿宋" w:cs="仿宋"/>
          <w:sz w:val="24"/>
        </w:rPr>
      </w:pP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22.价格分（30分）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sz w:val="24"/>
              </w:rPr>
            </w:pPr>
            <w:r>
              <w:rPr>
                <w:rFonts w:hint="eastAsia" w:ascii="仿宋" w:hAnsi="仿宋" w:eastAsia="仿宋" w:cs="仿宋"/>
                <w:sz w:val="24"/>
              </w:rPr>
              <w:t>最低有效投标价格为评标基准价</w:t>
            </w:r>
          </w:p>
          <w:p>
            <w:pPr>
              <w:widowControl/>
              <w:rPr>
                <w:rFonts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rPr>
                <w:rFonts w:ascii="仿宋" w:hAnsi="仿宋" w:eastAsia="仿宋" w:cs="仿宋"/>
                <w:sz w:val="24"/>
              </w:rPr>
            </w:pPr>
            <w:r>
              <w:rPr>
                <w:rFonts w:hint="eastAsia" w:ascii="仿宋" w:hAnsi="仿宋" w:eastAsia="仿宋" w:cs="仿宋"/>
                <w:sz w:val="24"/>
              </w:rPr>
              <w:t>（计算得分保留小数点后2位）</w:t>
            </w:r>
          </w:p>
        </w:tc>
      </w:tr>
    </w:tbl>
    <w:p>
      <w:pPr>
        <w:snapToGrid w:val="0"/>
        <w:spacing w:line="360" w:lineRule="auto"/>
        <w:ind w:firstLine="482" w:firstLineChars="200"/>
        <w:rPr>
          <w:rFonts w:ascii="仿宋" w:hAnsi="仿宋" w:eastAsia="仿宋" w:cs="仿宋"/>
          <w:b/>
          <w:bCs/>
          <w:sz w:val="24"/>
        </w:rPr>
      </w:pP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备注：</w:t>
      </w:r>
      <w:r>
        <w:rPr>
          <w:rFonts w:hint="eastAsia" w:ascii="仿宋" w:hAnsi="仿宋" w:eastAsia="仿宋" w:cs="仿宋"/>
          <w:sz w:val="24"/>
        </w:rPr>
        <w:t>1、评分条款中涉及的业绩、荣誉、人员、社保等分公司均有效。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3、投标人编制投标文件（商务技术文件部分）时，建议按此目录（序号和内容）提供评标标准相应的商务技术资料。 </w:t>
      </w:r>
    </w:p>
    <w:p>
      <w:pPr>
        <w:widowControl/>
        <w:adjustRightInd/>
        <w:ind w:firstLine="643"/>
        <w:jc w:val="left"/>
        <w:rPr>
          <w:rFonts w:ascii="仿宋" w:hAnsi="仿宋" w:eastAsia="仿宋" w:cs="仿宋"/>
          <w:b/>
          <w:sz w:val="24"/>
        </w:rPr>
      </w:pPr>
      <w:r>
        <w:rPr>
          <w:rFonts w:hint="eastAsia" w:ascii="仿宋" w:hAnsi="仿宋" w:eastAsia="仿宋" w:cs="仿宋"/>
          <w:b/>
          <w:sz w:val="24"/>
        </w:rPr>
        <w:br w:type="page"/>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adjustRightInd/>
        <w:spacing w:line="360" w:lineRule="auto"/>
        <w:ind w:firstLine="482" w:firstLineChars="200"/>
        <w:rPr>
          <w:rFonts w:ascii="仿宋" w:hAnsi="仿宋" w:eastAsia="仿宋" w:cs="仿宋"/>
          <w:b/>
          <w:sz w:val="24"/>
        </w:rPr>
      </w:pPr>
      <w:r>
        <w:rPr>
          <w:rFonts w:hint="eastAsia" w:ascii="仿宋" w:hAnsi="仿宋" w:eastAsia="仿宋" w:cs="仿宋"/>
          <w:b/>
          <w:sz w:val="24"/>
        </w:rPr>
        <w:t>三、评标程序</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3.4报价评审。</w:t>
      </w:r>
    </w:p>
    <w:p>
      <w:pPr>
        <w:pStyle w:val="217"/>
        <w:spacing w:before="0"/>
        <w:ind w:firstLine="482"/>
        <w:rPr>
          <w:rFonts w:ascii="仿宋" w:hAnsi="仿宋" w:eastAsia="仿宋" w:cs="仿宋"/>
          <w:b/>
          <w:kern w:val="0"/>
        </w:rPr>
      </w:pPr>
      <w:r>
        <w:rPr>
          <w:rFonts w:hint="eastAsia" w:ascii="仿宋" w:hAnsi="仿宋" w:eastAsia="仿宋" w:cs="仿宋"/>
          <w:b/>
          <w:kern w:val="0"/>
        </w:rPr>
        <w:t>3.4.1投标文件报价出现前后不一致的，按照下列规定修正：</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17"/>
        <w:spacing w:before="0"/>
        <w:ind w:firstLine="482"/>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w:t>
      </w:r>
      <w:r>
        <w:rPr>
          <w:rFonts w:hint="eastAsia" w:ascii="仿宋" w:hAnsi="仿宋" w:eastAsia="仿宋" w:cs="仿宋"/>
          <w:b/>
          <w:kern w:val="0"/>
          <w:sz w:val="24"/>
        </w:rPr>
        <w:t>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ind w:firstLine="480" w:firstLineChars="200"/>
        <w:jc w:val="left"/>
        <w:rPr>
          <w:rFonts w:ascii="仿宋" w:hAnsi="仿宋" w:eastAsia="仿宋" w:cs="仿宋"/>
          <w:kern w:val="0"/>
          <w:sz w:val="24"/>
        </w:rPr>
      </w:pPr>
    </w:p>
    <w:p>
      <w:pPr>
        <w:widowControl/>
        <w:shd w:val="clear" w:color="auto" w:fill="FFFFFF"/>
        <w:adjustRightInd/>
        <w:spacing w:line="360" w:lineRule="auto"/>
        <w:ind w:firstLine="482" w:firstLineChars="200"/>
        <w:jc w:val="left"/>
        <w:rPr>
          <w:rFonts w:ascii="仿宋" w:hAnsi="仿宋" w:eastAsia="仿宋" w:cs="仿宋"/>
          <w:b/>
          <w:sz w:val="24"/>
        </w:rPr>
      </w:pPr>
      <w:r>
        <w:rPr>
          <w:rFonts w:hint="eastAsia" w:ascii="仿宋" w:hAnsi="仿宋" w:eastAsia="仿宋" w:cs="仿宋"/>
          <w:b/>
          <w:sz w:val="24"/>
        </w:rPr>
        <w:t>四、评标中的其他事项</w:t>
      </w:r>
    </w:p>
    <w:p>
      <w:pPr>
        <w:pStyle w:val="217"/>
        <w:spacing w:before="0"/>
        <w:ind w:firstLine="480"/>
        <w:rPr>
          <w:rFonts w:ascii="仿宋" w:hAnsi="仿宋" w:eastAsia="仿宋" w:cs="仿宋"/>
          <w:kern w:val="0"/>
          <w:szCs w:val="24"/>
        </w:rPr>
      </w:pPr>
      <w:r>
        <w:rPr>
          <w:rFonts w:hint="eastAsia" w:ascii="仿宋" w:hAnsi="仿宋" w:eastAsia="仿宋" w:cs="仿宋"/>
          <w:kern w:val="0"/>
          <w:szCs w:val="21"/>
        </w:rPr>
        <w:t>4.1</w:t>
      </w:r>
      <w:r>
        <w:rPr>
          <w:rFonts w:hint="eastAsia" w:ascii="仿宋" w:hAnsi="仿宋" w:eastAsia="仿宋" w:cs="仿宋"/>
          <w:b/>
          <w:kern w:val="0"/>
          <w:szCs w:val="24"/>
        </w:rPr>
        <w:t>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line="360" w:lineRule="auto"/>
        <w:ind w:firstLine="480" w:firstLineChars="200"/>
        <w:jc w:val="left"/>
        <w:rPr>
          <w:rFonts w:ascii="仿宋" w:hAnsi="仿宋" w:eastAsia="仿宋" w:cs="仿宋"/>
          <w:kern w:val="0"/>
          <w:sz w:val="24"/>
        </w:rPr>
      </w:pPr>
    </w:p>
    <w:p>
      <w:pPr>
        <w:pStyle w:val="23"/>
        <w:spacing w:line="360" w:lineRule="auto"/>
        <w:ind w:firstLine="562"/>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3"/>
        <w:snapToGrid w:val="0"/>
        <w:spacing w:line="360" w:lineRule="auto"/>
        <w:ind w:firstLine="482"/>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3"/>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3"/>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3"/>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3"/>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3"/>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3"/>
        <w:snapToGrid w:val="0"/>
        <w:spacing w:line="360" w:lineRule="auto"/>
        <w:ind w:firstLine="482"/>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3"/>
        <w:snapToGrid w:val="0"/>
        <w:spacing w:line="360" w:lineRule="auto"/>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3"/>
        <w:snapToGrid w:val="0"/>
        <w:spacing w:line="360" w:lineRule="auto"/>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3"/>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
          <w:sz w:val="24"/>
        </w:rPr>
      </w:pPr>
    </w:p>
    <w:p>
      <w:pPr>
        <w:pStyle w:val="16"/>
        <w:rPr>
          <w:rFonts w:hAnsi="宋体" w:cs="宋体"/>
          <w:color w:val="auto"/>
        </w:rPr>
      </w:pPr>
      <w:r>
        <w:rPr>
          <w:rFonts w:hint="eastAsia" w:cs="仿宋"/>
          <w:color w:val="auto"/>
          <w:sz w:val="24"/>
        </w:rPr>
        <w:br w:type="page"/>
      </w:r>
      <w:bookmarkEnd w:id="60"/>
      <w:bookmarkStart w:id="426" w:name="第五部分"/>
      <w:bookmarkStart w:id="427" w:name="_Toc86217003"/>
    </w:p>
    <w:p>
      <w:pPr>
        <w:numPr>
          <w:ilvl w:val="0"/>
          <w:numId w:val="9"/>
        </w:numPr>
        <w:spacing w:line="360" w:lineRule="auto"/>
        <w:jc w:val="center"/>
        <w:rPr>
          <w:rFonts w:ascii="宋体" w:hAnsi="宋体" w:cs="宋体"/>
          <w:sz w:val="36"/>
          <w:szCs w:val="36"/>
        </w:rPr>
      </w:pPr>
      <w:r>
        <w:rPr>
          <w:rFonts w:hint="eastAsia" w:ascii="宋体" w:hAnsi="宋体" w:cs="宋体"/>
          <w:sz w:val="36"/>
          <w:szCs w:val="36"/>
        </w:rPr>
        <w:t>合同范本</w:t>
      </w:r>
    </w:p>
    <w:p>
      <w:pPr>
        <w:spacing w:line="360" w:lineRule="auto"/>
        <w:jc w:val="center"/>
        <w:rPr>
          <w:rFonts w:ascii="宋体" w:hAnsi="宋体" w:cs="宋体"/>
          <w:b/>
          <w:sz w:val="28"/>
          <w:szCs w:val="28"/>
        </w:rPr>
      </w:pPr>
      <w:r>
        <w:rPr>
          <w:rFonts w:hint="eastAsia" w:ascii="宋体" w:hAnsi="宋体" w:cs="宋体"/>
          <w:b/>
          <w:sz w:val="28"/>
          <w:szCs w:val="28"/>
        </w:rPr>
        <w:t>(按合同签订时为准)</w:t>
      </w:r>
    </w:p>
    <w:p>
      <w:pPr>
        <w:spacing w:line="360" w:lineRule="auto"/>
        <w:rPr>
          <w:rFonts w:ascii="宋体" w:hAnsi="宋体" w:cs="宋体"/>
          <w:bCs/>
          <w:sz w:val="24"/>
        </w:rPr>
        <w:sectPr>
          <w:footerReference r:id="rId8" w:type="default"/>
          <w:pgSz w:w="11906" w:h="16838"/>
          <w:pgMar w:top="1418" w:right="1286" w:bottom="935" w:left="1418" w:header="851" w:footer="992" w:gutter="0"/>
          <w:cols w:space="720" w:num="1"/>
          <w:rtlGutter w:val="1"/>
          <w:docGrid w:linePitch="312" w:charSpace="0"/>
        </w:sectPr>
      </w:pPr>
    </w:p>
    <w:p>
      <w:pPr>
        <w:pStyle w:val="3"/>
        <w:ind w:firstLine="723"/>
        <w:rPr>
          <w:rFonts w:cs="仿宋"/>
          <w:color w:val="auto"/>
        </w:rPr>
      </w:pPr>
      <w:r>
        <w:rPr>
          <w:rFonts w:hint="eastAsia" w:cs="仿宋"/>
          <w:color w:val="auto"/>
        </w:rPr>
        <w:t>第六部分</w:t>
      </w:r>
      <w:bookmarkEnd w:id="426"/>
      <w:r>
        <w:rPr>
          <w:rFonts w:hint="eastAsia" w:cs="仿宋"/>
          <w:color w:val="auto"/>
        </w:rPr>
        <w:t xml:space="preserve"> </w:t>
      </w:r>
      <w:bookmarkEnd w:id="427"/>
      <w:r>
        <w:rPr>
          <w:rFonts w:hint="eastAsia" w:cs="仿宋"/>
          <w:color w:val="auto"/>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投标人按照以下格式编制投标文件，并将资格文件、报价文件、商务技术文件分别装订成册。</w:t>
      </w:r>
    </w:p>
    <w:p>
      <w:pPr>
        <w:spacing w:line="360" w:lineRule="auto"/>
        <w:ind w:firstLine="723"/>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资格文件部分</w:t>
      </w: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ind w:firstLine="723"/>
        <w:rPr>
          <w:rFonts w:ascii="仿宋" w:hAnsi="仿宋" w:eastAsia="仿宋" w:cs="仿宋"/>
          <w:b/>
          <w:kern w:val="0"/>
          <w:sz w:val="24"/>
        </w:rPr>
      </w:pPr>
    </w:p>
    <w:p>
      <w:pPr>
        <w:snapToGrid w:val="0"/>
        <w:spacing w:line="360" w:lineRule="auto"/>
        <w:ind w:firstLine="480"/>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ind w:firstLine="480"/>
        <w:rPr>
          <w:rFonts w:ascii="仿宋" w:hAnsi="仿宋" w:eastAsia="仿宋" w:cs="仿宋"/>
          <w:sz w:val="24"/>
        </w:rPr>
      </w:pPr>
      <w:r>
        <w:rPr>
          <w:rFonts w:hint="eastAsia" w:ascii="仿宋" w:hAnsi="仿宋" w:eastAsia="仿宋" w:cs="仿宋"/>
          <w:sz w:val="24"/>
        </w:rPr>
        <w:t>（2）本项目的特定资格要求………………………………………………（页码）</w:t>
      </w:r>
    </w:p>
    <w:p>
      <w:pPr>
        <w:snapToGrid w:val="0"/>
        <w:spacing w:line="360" w:lineRule="auto"/>
        <w:ind w:firstLine="720"/>
        <w:rPr>
          <w:rFonts w:ascii="仿宋" w:hAnsi="仿宋" w:eastAsia="仿宋" w:cs="仿宋"/>
          <w:sz w:val="24"/>
        </w:rPr>
      </w:pPr>
    </w:p>
    <w:p>
      <w:pPr>
        <w:snapToGrid w:val="0"/>
        <w:spacing w:line="360" w:lineRule="auto"/>
        <w:ind w:right="480" w:firstLine="643"/>
        <w:jc w:val="center"/>
        <w:rPr>
          <w:rFonts w:ascii="仿宋" w:hAnsi="仿宋" w:eastAsia="仿宋" w:cs="仿宋"/>
          <w:b/>
          <w:kern w:val="0"/>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 符合参加政府采购活动应当具备的一般条件的承诺函</w:t>
      </w:r>
    </w:p>
    <w:p>
      <w:pPr>
        <w:snapToGrid w:val="0"/>
        <w:spacing w:line="360" w:lineRule="auto"/>
        <w:ind w:firstLine="480"/>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我方参与XXX采购项目【招标编号：XXX】政府采购活动，郑重承诺：</w:t>
      </w:r>
    </w:p>
    <w:p>
      <w:pPr>
        <w:snapToGrid w:val="0"/>
        <w:spacing w:line="360" w:lineRule="auto"/>
        <w:ind w:firstLine="48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rPr>
          <w:rFonts w:ascii="仿宋" w:hAnsi="仿宋" w:eastAsia="仿宋" w:cs="仿宋"/>
          <w:sz w:val="24"/>
        </w:rPr>
      </w:pPr>
      <w:r>
        <w:rPr>
          <w:rFonts w:hint="eastAsia" w:ascii="仿宋" w:hAnsi="仿宋" w:eastAsia="仿宋" w:cs="仿宋"/>
          <w:sz w:val="24"/>
        </w:rPr>
        <w:t>（三）我方不存在以下情况：</w:t>
      </w:r>
    </w:p>
    <w:p>
      <w:pPr>
        <w:snapToGrid w:val="0"/>
        <w:spacing w:line="360" w:lineRule="auto"/>
        <w:ind w:firstLine="48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ind w:firstLine="602"/>
        <w:jc w:val="center"/>
        <w:rPr>
          <w:rFonts w:ascii="仿宋" w:hAnsi="仿宋" w:eastAsia="仿宋" w:cs="仿宋"/>
          <w:b/>
          <w:sz w:val="24"/>
        </w:rPr>
      </w:pPr>
      <w:r>
        <w:rPr>
          <w:rFonts w:hint="eastAsia" w:ascii="仿宋" w:hAnsi="仿宋" w:eastAsia="仿宋" w:cs="仿宋"/>
          <w:b/>
          <w:sz w:val="24"/>
        </w:rPr>
        <w:t xml:space="preserve"> </w:t>
      </w:r>
    </w:p>
    <w:p>
      <w:pPr>
        <w:spacing w:line="360" w:lineRule="auto"/>
        <w:ind w:firstLine="602"/>
        <w:jc w:val="center"/>
        <w:rPr>
          <w:rFonts w:ascii="仿宋" w:hAnsi="仿宋" w:eastAsia="仿宋" w:cs="仿宋"/>
          <w:b/>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widowControl/>
        <w:spacing w:line="360" w:lineRule="auto"/>
        <w:ind w:left="150" w:firstLine="643"/>
        <w:jc w:val="center"/>
        <w:rPr>
          <w:rFonts w:ascii="仿宋" w:hAnsi="仿宋" w:eastAsia="仿宋" w:cs="仿宋"/>
          <w:b/>
          <w:kern w:val="0"/>
          <w:sz w:val="24"/>
        </w:rPr>
      </w:pPr>
      <w:r>
        <w:rPr>
          <w:rFonts w:hint="eastAsia" w:ascii="仿宋" w:hAnsi="仿宋" w:eastAsia="仿宋" w:cs="仿宋"/>
          <w:b/>
          <w:kern w:val="0"/>
          <w:sz w:val="24"/>
        </w:rPr>
        <w:t>二、本项目的特定资格要求</w:t>
      </w:r>
    </w:p>
    <w:p>
      <w:pPr>
        <w:spacing w:line="360" w:lineRule="auto"/>
        <w:ind w:firstLine="480"/>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pStyle w:val="50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pPr>
        <w:spacing w:line="360" w:lineRule="auto"/>
        <w:ind w:firstLine="562"/>
        <w:jc w:val="center"/>
        <w:rPr>
          <w:rFonts w:ascii="仿宋" w:hAnsi="仿宋" w:eastAsia="仿宋" w:cs="仿宋"/>
          <w:b/>
          <w:sz w:val="24"/>
        </w:rPr>
      </w:pPr>
    </w:p>
    <w:p>
      <w:pPr>
        <w:snapToGrid w:val="0"/>
        <w:spacing w:line="360" w:lineRule="auto"/>
        <w:ind w:firstLine="2168" w:firstLineChars="900"/>
        <w:rPr>
          <w:rFonts w:ascii="仿宋" w:hAnsi="仿宋" w:eastAsia="仿宋" w:cs="仿宋"/>
          <w:b/>
          <w:kern w:val="0"/>
          <w:sz w:val="24"/>
        </w:rPr>
      </w:pPr>
      <w:r>
        <w:rPr>
          <w:rFonts w:hint="eastAsia" w:ascii="仿宋" w:hAnsi="仿宋" w:eastAsia="仿宋" w:cs="仿宋"/>
          <w:b/>
          <w:bCs/>
          <w:sz w:val="24"/>
        </w:rPr>
        <w:br w:type="page"/>
      </w:r>
      <w:r>
        <w:rPr>
          <w:rFonts w:hint="eastAsia" w:ascii="仿宋" w:hAnsi="仿宋" w:eastAsia="仿宋" w:cs="仿宋"/>
          <w:sz w:val="24"/>
          <w:lang w:val="zh-CN"/>
        </w:rPr>
        <w:t>▲</w:t>
      </w:r>
      <w:r>
        <w:rPr>
          <w:rFonts w:hint="eastAsia" w:ascii="仿宋" w:hAnsi="仿宋" w:eastAsia="仿宋" w:cs="仿宋"/>
          <w:b/>
          <w:kern w:val="0"/>
          <w:sz w:val="24"/>
        </w:rPr>
        <w:t>报价文件部分</w:t>
      </w:r>
    </w:p>
    <w:p>
      <w:pPr>
        <w:spacing w:line="360" w:lineRule="auto"/>
        <w:ind w:firstLine="482"/>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snapToGrid w:val="0"/>
        <w:spacing w:line="360" w:lineRule="auto"/>
        <w:ind w:firstLine="480"/>
        <w:rPr>
          <w:rFonts w:ascii="仿宋" w:hAnsi="仿宋" w:eastAsia="仿宋" w:cs="仿宋"/>
          <w:sz w:val="24"/>
        </w:rPr>
      </w:pPr>
      <w:r>
        <w:rPr>
          <w:rFonts w:hint="eastAsia" w:ascii="仿宋" w:hAnsi="仿宋" w:eastAsia="仿宋" w:cs="仿宋"/>
          <w:sz w:val="24"/>
        </w:rPr>
        <w:t>（1）开标一览表（报价表）……………………………………………………（页码）</w:t>
      </w:r>
    </w:p>
    <w:p>
      <w:pPr>
        <w:widowControl/>
        <w:adjustRightInd/>
        <w:jc w:val="left"/>
        <w:rPr>
          <w:rFonts w:ascii="仿宋" w:hAnsi="仿宋" w:eastAsia="仿宋" w:cs="仿宋"/>
          <w:sz w:val="24"/>
        </w:rPr>
      </w:pPr>
      <w:r>
        <w:rPr>
          <w:rFonts w:hint="eastAsia" w:ascii="仿宋" w:hAnsi="仿宋" w:eastAsia="仿宋" w:cs="仿宋"/>
          <w:b/>
          <w:sz w:val="24"/>
        </w:rPr>
        <w:br w:type="page"/>
      </w:r>
    </w:p>
    <w:p>
      <w:pPr>
        <w:pStyle w:val="597"/>
        <w:keepNext w:val="0"/>
        <w:pageBreakBefore w:val="0"/>
        <w:tabs>
          <w:tab w:val="clear" w:pos="720"/>
        </w:tabs>
        <w:snapToGrid w:val="0"/>
        <w:ind w:firstLine="641"/>
        <w:outlineLvl w:val="9"/>
        <w:rPr>
          <w:rFonts w:ascii="仿宋" w:hAnsi="仿宋" w:eastAsia="仿宋" w:cs="仿宋"/>
          <w:kern w:val="2"/>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ind w:firstLine="643"/>
        <w:outlineLvl w:val="9"/>
        <w:rPr>
          <w:rFonts w:ascii="仿宋" w:hAnsi="仿宋" w:eastAsia="仿宋" w:cs="仿宋"/>
          <w:kern w:val="2"/>
          <w:sz w:val="32"/>
          <w:szCs w:val="32"/>
        </w:rPr>
      </w:pPr>
      <w:r>
        <w:rPr>
          <w:rFonts w:hint="eastAsia" w:ascii="仿宋" w:hAnsi="仿宋" w:eastAsia="仿宋" w:cs="仿宋"/>
          <w:kern w:val="2"/>
          <w:sz w:val="32"/>
          <w:szCs w:val="32"/>
        </w:rPr>
        <w:t>二、投标(开标)一览表</w:t>
      </w:r>
    </w:p>
    <w:p>
      <w:pPr>
        <w:snapToGrid w:val="0"/>
        <w:spacing w:line="360" w:lineRule="auto"/>
        <w:ind w:firstLine="480"/>
        <w:rPr>
          <w:rFonts w:ascii="仿宋" w:hAnsi="仿宋" w:eastAsia="仿宋" w:cs="仿宋"/>
          <w:kern w:val="0"/>
          <w:sz w:val="24"/>
        </w:rPr>
      </w:pPr>
      <w:bookmarkStart w:id="428" w:name="_Toc86217005"/>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sz w:val="24"/>
        </w:rPr>
        <w:t>XXXXXX项目</w:t>
      </w:r>
      <w:r>
        <w:rPr>
          <w:rFonts w:hint="eastAsia" w:ascii="仿宋" w:hAnsi="仿宋" w:eastAsia="仿宋" w:cs="仿宋"/>
          <w:kern w:val="0"/>
          <w:sz w:val="24"/>
          <w:lang w:val="zh-CN"/>
        </w:rPr>
        <w:t>【招标文件编号：</w:t>
      </w:r>
      <w:r>
        <w:rPr>
          <w:rFonts w:hint="eastAsia" w:ascii="仿宋" w:hAnsi="仿宋" w:eastAsia="仿宋" w:cs="仿宋"/>
          <w:sz w:val="24"/>
        </w:rPr>
        <w:t xml:space="preserve">                    】的实施</w:t>
      </w:r>
      <w:r>
        <w:rPr>
          <w:rFonts w:hint="eastAsia" w:ascii="仿宋" w:hAnsi="仿宋" w:eastAsia="仿宋" w:cs="仿宋"/>
          <w:kern w:val="0"/>
          <w:sz w:val="24"/>
          <w:lang w:val="zh-CN"/>
        </w:rPr>
        <w:t>。</w:t>
      </w:r>
      <w:bookmarkEnd w:id="428"/>
    </w:p>
    <w:p>
      <w:pPr>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仿宋" w:hAnsi="仿宋" w:eastAsia="仿宋" w:cs="仿宋"/>
                <w:b/>
                <w:sz w:val="24"/>
              </w:rPr>
            </w:pPr>
          </w:p>
          <w:p>
            <w:pPr>
              <w:spacing w:line="360" w:lineRule="auto"/>
              <w:ind w:firstLine="482"/>
              <w:jc w:val="center"/>
              <w:rPr>
                <w:rFonts w:ascii="仿宋" w:hAnsi="仿宋" w:eastAsia="仿宋" w:cs="仿宋"/>
                <w:b/>
                <w:sz w:val="24"/>
              </w:rPr>
            </w:pPr>
            <w:r>
              <w:rPr>
                <w:rFonts w:hint="eastAsia" w:ascii="仿宋" w:hAnsi="仿宋" w:eastAsia="仿宋" w:cs="仿宋"/>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rPr>
                <w:rFonts w:ascii="仿宋" w:hAnsi="仿宋" w:eastAsia="仿宋" w:cs="仿宋"/>
                <w:b/>
                <w:sz w:val="24"/>
              </w:rPr>
            </w:pPr>
            <w:r>
              <w:rPr>
                <w:rFonts w:hint="eastAsia" w:ascii="仿宋" w:hAnsi="仿宋" w:eastAsia="仿宋" w:cs="仿宋"/>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仿宋" w:hAnsi="仿宋" w:eastAsia="仿宋" w:cs="仿宋"/>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bl>
    <w:p>
      <w:pPr>
        <w:snapToGrid w:val="0"/>
        <w:spacing w:line="360" w:lineRule="auto"/>
        <w:ind w:left="480" w:firstLine="482"/>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2" w:firstLineChars="200"/>
        <w:rPr>
          <w:rFonts w:ascii="仿宋" w:hAnsi="仿宋" w:eastAsia="仿宋" w:cs="仿宋"/>
          <w:b/>
          <w:kern w:val="0"/>
          <w:sz w:val="24"/>
        </w:rPr>
      </w:pPr>
    </w:p>
    <w:p>
      <w:pPr>
        <w:snapToGrid w:val="0"/>
        <w:spacing w:line="360" w:lineRule="auto"/>
        <w:ind w:firstLine="482" w:firstLineChars="200"/>
        <w:jc w:val="right"/>
        <w:rPr>
          <w:rFonts w:ascii="仿宋" w:hAnsi="仿宋" w:eastAsia="仿宋" w:cs="仿宋"/>
          <w:b/>
          <w:kern w:val="0"/>
          <w:sz w:val="24"/>
        </w:rPr>
      </w:pPr>
    </w:p>
    <w:p>
      <w:pPr>
        <w:spacing w:line="360" w:lineRule="auto"/>
        <w:ind w:right="960" w:firstLine="10440" w:firstLineChars="4350"/>
        <w:rPr>
          <w:rFonts w:ascii="仿宋" w:hAnsi="仿宋" w:eastAsia="仿宋" w:cs="仿宋"/>
          <w:sz w:val="24"/>
        </w:rPr>
      </w:pPr>
      <w:r>
        <w:rPr>
          <w:rFonts w:hint="eastAsia" w:ascii="仿宋" w:hAnsi="仿宋" w:eastAsia="仿宋" w:cs="仿宋"/>
          <w:sz w:val="24"/>
        </w:rPr>
        <w:t>投标人名称（电子签章）：</w:t>
      </w:r>
    </w:p>
    <w:p>
      <w:pPr>
        <w:spacing w:line="360" w:lineRule="auto"/>
        <w:ind w:right="480" w:firstLine="480"/>
        <w:jc w:val="center"/>
        <w:rPr>
          <w:rFonts w:ascii="仿宋" w:hAnsi="仿宋" w:eastAsia="仿宋" w:cs="仿宋"/>
          <w:kern w:val="0"/>
          <w:sz w:val="24"/>
          <w:lang w:val="zh-CN"/>
        </w:rPr>
        <w:sectPr>
          <w:pgSz w:w="16838" w:h="11906" w:orient="landscape"/>
          <w:pgMar w:top="1418" w:right="1276" w:bottom="1418" w:left="1247" w:header="851" w:footer="992" w:gutter="0"/>
          <w:cols w:space="720" w:num="1"/>
        </w:sect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p>
    <w:p>
      <w:pPr>
        <w:widowControl/>
        <w:adjustRightInd/>
        <w:spacing w:line="360" w:lineRule="auto"/>
        <w:ind w:firstLine="720"/>
        <w:jc w:val="left"/>
        <w:rPr>
          <w:rFonts w:ascii="仿宋" w:hAnsi="仿宋" w:eastAsia="仿宋" w:cs="仿宋"/>
          <w:kern w:val="0"/>
          <w:sz w:val="24"/>
        </w:rPr>
        <w:sectPr>
          <w:pgSz w:w="11906" w:h="16838"/>
          <w:pgMar w:top="1247" w:right="1418" w:bottom="1276" w:left="1418" w:header="851" w:footer="992" w:gutter="0"/>
          <w:cols w:space="720" w:num="1"/>
        </w:sectPr>
      </w:pPr>
    </w:p>
    <w:p>
      <w:pPr>
        <w:spacing w:line="360" w:lineRule="auto"/>
        <w:ind w:right="420" w:firstLine="2409" w:firstLineChars="1000"/>
        <w:rPr>
          <w:rFonts w:ascii="仿宋" w:hAnsi="仿宋" w:eastAsia="仿宋" w:cs="仿宋"/>
          <w:b/>
          <w:kern w:val="0"/>
          <w:sz w:val="24"/>
        </w:rPr>
      </w:pPr>
      <w:r>
        <w:rPr>
          <w:rFonts w:hint="eastAsia" w:ascii="仿宋" w:hAnsi="仿宋" w:eastAsia="仿宋" w:cs="仿宋"/>
          <w:b/>
          <w:kern w:val="0"/>
          <w:sz w:val="24"/>
        </w:rPr>
        <w:t>商务技术文件部分</w:t>
      </w:r>
    </w:p>
    <w:p>
      <w:pPr>
        <w:spacing w:line="360" w:lineRule="auto"/>
        <w:ind w:firstLine="482"/>
        <w:jc w:val="center"/>
        <w:outlineLvl w:val="0"/>
        <w:rPr>
          <w:rFonts w:ascii="仿宋" w:hAnsi="仿宋" w:eastAsia="仿宋" w:cs="仿宋"/>
          <w:b/>
          <w:kern w:val="0"/>
          <w:sz w:val="24"/>
        </w:rPr>
      </w:pPr>
    </w:p>
    <w:p>
      <w:pPr>
        <w:spacing w:line="360" w:lineRule="auto"/>
        <w:ind w:firstLine="562"/>
        <w:jc w:val="center"/>
        <w:outlineLvl w:val="0"/>
        <w:rPr>
          <w:rFonts w:ascii="仿宋" w:hAnsi="仿宋" w:eastAsia="仿宋" w:cs="仿宋"/>
          <w:b/>
          <w:kern w:val="0"/>
          <w:sz w:val="24"/>
        </w:rPr>
      </w:pPr>
      <w:r>
        <w:rPr>
          <w:rFonts w:hint="eastAsia" w:ascii="仿宋" w:hAnsi="仿宋" w:eastAsia="仿宋" w:cs="仿宋"/>
          <w:b/>
          <w:kern w:val="0"/>
          <w:sz w:val="24"/>
        </w:rPr>
        <w:t>目录</w:t>
      </w:r>
    </w:p>
    <w:p>
      <w:pPr>
        <w:numPr>
          <w:ilvl w:val="0"/>
          <w:numId w:val="10"/>
        </w:numPr>
        <w:snapToGrid w:val="0"/>
        <w:spacing w:line="360" w:lineRule="auto"/>
        <w:rPr>
          <w:rFonts w:ascii="仿宋" w:hAnsi="仿宋" w:eastAsia="仿宋" w:cs="仿宋"/>
          <w:sz w:val="24"/>
        </w:rPr>
      </w:pPr>
      <w:r>
        <w:rPr>
          <w:rFonts w:hint="eastAsia" w:ascii="仿宋" w:hAnsi="仿宋" w:eastAsia="仿宋" w:cs="仿宋"/>
          <w:sz w:val="24"/>
        </w:rPr>
        <w:t>投标函………………………………………………………………………（页码）</w:t>
      </w:r>
    </w:p>
    <w:p>
      <w:p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（3）符合性审查资料……………………………………………………………（页码）</w:t>
      </w:r>
    </w:p>
    <w:p>
      <w:pPr>
        <w:snapToGrid w:val="0"/>
        <w:spacing w:line="360" w:lineRule="auto"/>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（5）商务技术偏离表……………………………………………………………（页码）</w:t>
      </w:r>
    </w:p>
    <w:p>
      <w:pPr>
        <w:snapToGrid w:val="0"/>
        <w:spacing w:line="360" w:lineRule="auto"/>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sz w:val="24"/>
        </w:rPr>
        <w:t>…………………………………………（页码）</w:t>
      </w:r>
    </w:p>
    <w:p>
      <w:pPr>
        <w:spacing w:line="360" w:lineRule="auto"/>
        <w:ind w:firstLine="482"/>
        <w:rPr>
          <w:rFonts w:ascii="仿宋" w:hAnsi="仿宋" w:eastAsia="仿宋" w:cs="仿宋"/>
          <w:b/>
          <w:bCs/>
          <w:sz w:val="24"/>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outlineLvl w:val="0"/>
        <w:rPr>
          <w:rFonts w:ascii="仿宋" w:hAnsi="仿宋" w:eastAsia="仿宋" w:cs="仿宋"/>
          <w:b/>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一、投标</w:t>
      </w:r>
      <w:r>
        <w:rPr>
          <w:rFonts w:hint="eastAsia" w:ascii="仿宋" w:hAnsi="仿宋" w:eastAsia="仿宋" w:cs="仿宋"/>
          <w:b/>
          <w:sz w:val="24"/>
        </w:rPr>
        <w:t>函</w:t>
      </w:r>
    </w:p>
    <w:p>
      <w:pPr>
        <w:snapToGrid w:val="0"/>
        <w:spacing w:line="360" w:lineRule="auto"/>
        <w:ind w:firstLine="480"/>
        <w:rPr>
          <w:rFonts w:ascii="仿宋" w:hAnsi="仿宋" w:eastAsia="仿宋" w:cs="仿宋"/>
          <w:sz w:val="24"/>
        </w:rPr>
      </w:pPr>
      <w:r>
        <w:rPr>
          <w:rFonts w:hint="eastAsia" w:ascii="仿宋" w:hAnsi="仿宋" w:eastAsia="仿宋" w:cs="仿宋"/>
          <w:sz w:val="24"/>
          <w:u w:val="single"/>
        </w:rPr>
        <w:t>（采购人名称）或（采购代理机构名称）</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我方参加你方组织的XXX采购项目【招标编号：XXXXXX】招标的有关活动，并对此项目进行投标。为此：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pPr>
        <w:spacing w:line="360" w:lineRule="auto"/>
        <w:ind w:firstLine="480"/>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ind w:firstLine="480"/>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二、授权委托书或法定代表人（单位负责人、自然人本人）</w:t>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身份证明</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480"/>
        <w:rPr>
          <w:rFonts w:ascii="仿宋" w:hAnsi="仿宋" w:eastAsia="仿宋" w:cs="仿宋"/>
          <w:sz w:val="24"/>
        </w:rPr>
      </w:pPr>
    </w:p>
    <w:p>
      <w:pPr>
        <w:snapToGrid w:val="0"/>
        <w:spacing w:line="360" w:lineRule="auto"/>
        <w:ind w:firstLine="2154" w:firstLineChars="894"/>
        <w:rPr>
          <w:rFonts w:ascii="仿宋" w:hAnsi="仿宋" w:eastAsia="仿宋" w:cs="仿宋"/>
          <w:sz w:val="24"/>
        </w:rPr>
      </w:pPr>
      <w:r>
        <w:rPr>
          <w:rFonts w:hint="eastAsia" w:ascii="仿宋" w:hAnsi="仿宋" w:eastAsia="仿宋" w:cs="仿宋"/>
          <w:b/>
          <w:kern w:val="0"/>
          <w:sz w:val="24"/>
          <w:lang w:val="zh-CN"/>
        </w:rPr>
        <w:t>授权委托书（适用于非联合体投标）</w:t>
      </w:r>
      <w:r>
        <w:rPr>
          <w:rFonts w:hint="eastAsia" w:ascii="仿宋" w:hAnsi="仿宋" w:eastAsia="仿宋" w:cs="仿宋"/>
          <w:sz w:val="24"/>
        </w:rPr>
        <w:t xml:space="preserve">                               </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r>
        <w:rPr>
          <w:rFonts w:hint="eastAsia" w:ascii="仿宋" w:hAnsi="仿宋" w:eastAsia="仿宋" w:cs="仿宋"/>
          <w:b/>
          <w:kern w:val="0"/>
          <w:sz w:val="24"/>
          <w:lang w:val="zh-CN"/>
        </w:rPr>
        <w:t>授权委托书（适用于联合体投标）</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ind w:firstLine="643"/>
        <w:jc w:val="center"/>
        <w:rPr>
          <w:rFonts w:ascii="仿宋" w:hAnsi="仿宋" w:eastAsia="仿宋" w:cs="仿宋"/>
          <w:b/>
          <w:kern w:val="0"/>
          <w:sz w:val="24"/>
        </w:rPr>
      </w:pPr>
    </w:p>
    <w:p>
      <w:pPr>
        <w:ind w:firstLine="420"/>
        <w:rPr>
          <w:rFonts w:ascii="仿宋" w:hAnsi="仿宋" w:eastAsia="仿宋" w:cs="仿宋"/>
          <w:sz w:val="24"/>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sz w:val="24"/>
        </w:rPr>
      </w:pP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sz w:val="24"/>
        </w:rPr>
      </w:pPr>
      <w:r>
        <w:rPr>
          <w:rFonts w:hint="eastAsia" w:ascii="仿宋" w:hAnsi="仿宋" w:eastAsia="仿宋" w:cs="仿宋"/>
          <w:b/>
          <w:kern w:val="0"/>
          <w:sz w:val="24"/>
          <w:lang w:val="zh-CN"/>
        </w:rPr>
        <w:t>法定代表人、单位负责人或自然人本人</w:t>
      </w:r>
      <w:r>
        <w:rPr>
          <w:rFonts w:hint="eastAsia" w:ascii="仿宋" w:hAnsi="仿宋" w:eastAsia="仿宋" w:cs="仿宋"/>
          <w:b/>
          <w:sz w:val="24"/>
        </w:rPr>
        <w:t>的身份证明（适用于法定代表人、单位负责人或者自然人本人代表投标人参加投标）</w:t>
      </w:r>
    </w:p>
    <w:p>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spacing w:line="360" w:lineRule="auto"/>
              <w:rPr>
                <w:rFonts w:ascii="仿宋" w:hAnsi="仿宋" w:eastAsia="仿宋" w:cs="仿宋"/>
                <w:bCs/>
                <w:sz w:val="24"/>
              </w:rPr>
            </w:pPr>
            <w:r>
              <w:rPr>
                <w:rFonts w:hint="eastAsia" w:ascii="仿宋" w:hAnsi="仿宋" w:eastAsia="仿宋" w:cs="仿宋"/>
                <w:bCs/>
                <w:sz w:val="24"/>
              </w:rPr>
              <w:t>正面：                                 反面：</w:t>
            </w:r>
          </w:p>
          <w:p>
            <w:pPr>
              <w:pStyle w:val="618"/>
              <w:spacing w:line="360" w:lineRule="auto"/>
              <w:rPr>
                <w:rFonts w:ascii="仿宋" w:hAnsi="仿宋" w:eastAsia="仿宋" w:cs="仿宋"/>
                <w:bCs/>
                <w:sz w:val="24"/>
              </w:rPr>
            </w:pPr>
          </w:p>
        </w:tc>
      </w:tr>
    </w:tbl>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营业执照复印件：</w:t>
      </w: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                              </w:t>
      </w:r>
    </w:p>
    <w:p>
      <w:pPr>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widowControl/>
        <w:adjustRightInd/>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五、符合性审查资料索引表及具体内容</w:t>
      </w:r>
    </w:p>
    <w:p>
      <w:pPr>
        <w:ind w:firstLine="643"/>
        <w:jc w:val="center"/>
        <w:rPr>
          <w:rFonts w:ascii="仿宋" w:hAnsi="仿宋" w:eastAsia="仿宋" w:cs="仿宋"/>
          <w:b/>
          <w:kern w:val="0"/>
          <w:sz w:val="24"/>
        </w:rPr>
      </w:pPr>
      <w:r>
        <w:rPr>
          <w:rFonts w:hint="eastAsia" w:ascii="仿宋" w:hAnsi="仿宋" w:eastAsia="仿宋" w:cs="仿宋"/>
          <w:b/>
          <w:kern w:val="0"/>
          <w:sz w:val="24"/>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711"/>
        <w:gridCol w:w="195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71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95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299"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不存在如下情形：投标文件未按照招标文件要求签署、盖章。</w:t>
            </w:r>
          </w:p>
        </w:tc>
        <w:tc>
          <w:tcPr>
            <w:tcW w:w="1950" w:type="dxa"/>
            <w:vAlign w:val="center"/>
          </w:tcPr>
          <w:p>
            <w:pPr>
              <w:jc w:val="center"/>
              <w:rPr>
                <w:rFonts w:ascii="仿宋" w:hAnsi="仿宋" w:eastAsia="仿宋" w:cs="仿宋"/>
                <w:sz w:val="24"/>
              </w:rPr>
            </w:pPr>
            <w:r>
              <w:rPr>
                <w:rFonts w:hint="eastAsia" w:ascii="仿宋" w:hAnsi="仿宋" w:eastAsia="仿宋" w:cs="仿宋"/>
                <w:sz w:val="24"/>
              </w:rPr>
              <w:t>投标文件的组成部分中需要使用电子签章或者签字盖章处</w:t>
            </w:r>
          </w:p>
        </w:tc>
        <w:tc>
          <w:tcPr>
            <w:tcW w:w="1299" w:type="dxa"/>
            <w:vAlign w:val="center"/>
          </w:tcPr>
          <w:p>
            <w:pPr>
              <w:ind w:firstLine="480"/>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950" w:type="dxa"/>
            <w:vAlign w:val="center"/>
          </w:tcPr>
          <w:p>
            <w:pPr>
              <w:jc w:val="center"/>
              <w:rPr>
                <w:rFonts w:ascii="仿宋" w:hAnsi="仿宋" w:eastAsia="仿宋" w:cs="仿宋"/>
                <w:sz w:val="24"/>
              </w:rPr>
            </w:pPr>
            <w:r>
              <w:rPr>
                <w:rFonts w:hint="eastAsia" w:ascii="仿宋" w:hAnsi="仿宋" w:eastAsia="仿宋" w:cs="仿宋"/>
                <w:sz w:val="24"/>
              </w:rPr>
              <w:t>节能产品认证证书、环境标志产品认证证书（招标文件未要求的，无需提供）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不存在如下情形：投标文件中承诺的投标有效期少于招标文件中载明的投标有效期。</w:t>
            </w:r>
          </w:p>
        </w:tc>
        <w:tc>
          <w:tcPr>
            <w:tcW w:w="1950" w:type="dxa"/>
            <w:vAlign w:val="center"/>
          </w:tcPr>
          <w:p>
            <w:pPr>
              <w:jc w:val="center"/>
              <w:rPr>
                <w:rFonts w:ascii="仿宋" w:hAnsi="仿宋" w:eastAsia="仿宋" w:cs="仿宋"/>
                <w:sz w:val="24"/>
              </w:rPr>
            </w:pPr>
            <w:r>
              <w:rPr>
                <w:rFonts w:hint="eastAsia" w:ascii="仿宋" w:hAnsi="仿宋" w:eastAsia="仿宋" w:cs="仿宋"/>
                <w:sz w:val="24"/>
              </w:rPr>
              <w:t>投标函</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不存在如下情形：投标文件不满足招标文件的其它实质性要求。</w:t>
            </w:r>
          </w:p>
        </w:tc>
        <w:tc>
          <w:tcPr>
            <w:tcW w:w="1950" w:type="dxa"/>
            <w:vAlign w:val="center"/>
          </w:tcPr>
          <w:p>
            <w:pPr>
              <w:jc w:val="center"/>
              <w:rPr>
                <w:rFonts w:ascii="仿宋" w:hAnsi="仿宋" w:eastAsia="仿宋" w:cs="仿宋"/>
                <w:sz w:val="24"/>
              </w:rPr>
            </w:pPr>
            <w:r>
              <w:rPr>
                <w:rFonts w:hint="eastAsia" w:ascii="仿宋" w:hAnsi="仿宋" w:eastAsia="仿宋" w:cs="仿宋"/>
                <w:kern w:val="0"/>
                <w:sz w:val="24"/>
              </w:rPr>
              <w:t>招标文件其它实质性要求相应的材料（招标文件未要求的，无需提供）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（二）符合性审查资料具体内容</w:t>
      </w:r>
    </w:p>
    <w:p>
      <w:pPr>
        <w:ind w:firstLine="480"/>
        <w:rPr>
          <w:rFonts w:ascii="仿宋" w:hAnsi="仿宋" w:eastAsia="仿宋" w:cs="仿宋"/>
          <w:b/>
          <w:kern w:val="0"/>
          <w:sz w:val="24"/>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pPr>
        <w:ind w:firstLine="480"/>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（招标文件未要求的，无需提供）</w:t>
      </w:r>
    </w:p>
    <w:p>
      <w:pPr>
        <w:ind w:firstLine="48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pPr>
        <w:ind w:firstLine="480"/>
        <w:rPr>
          <w:rFonts w:ascii="仿宋" w:hAnsi="仿宋" w:eastAsia="仿宋" w:cs="仿宋"/>
          <w:kern w:val="0"/>
          <w:sz w:val="24"/>
        </w:rPr>
      </w:pPr>
      <w:r>
        <w:rPr>
          <w:rFonts w:hint="eastAsia" w:ascii="仿宋" w:hAnsi="仿宋" w:eastAsia="仿宋" w:cs="仿宋"/>
          <w:kern w:val="0"/>
          <w:sz w:val="24"/>
        </w:rPr>
        <w:t>4、招标文件其它实质性要求相应的材料（招标文件未要求的，无需提供）</w:t>
      </w:r>
    </w:p>
    <w:p>
      <w:pPr>
        <w:ind w:firstLine="42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 xml:space="preserve">               </w:t>
      </w: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sz w:val="24"/>
        </w:rPr>
      </w:pPr>
      <w:r>
        <w:rPr>
          <w:rFonts w:hint="eastAsia" w:ascii="仿宋" w:hAnsi="仿宋" w:eastAsia="仿宋" w:cs="仿宋"/>
          <w:b/>
          <w:kern w:val="0"/>
          <w:sz w:val="24"/>
        </w:rPr>
        <w:t>六、评标标准相应的商务技术资料</w:t>
      </w:r>
    </w:p>
    <w:p>
      <w:pPr>
        <w:snapToGrid w:val="0"/>
        <w:spacing w:line="360" w:lineRule="auto"/>
        <w:ind w:firstLine="482"/>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ascii="仿宋" w:hAnsi="仿宋" w:eastAsia="仿宋" w:cs="仿宋"/>
                <w:b/>
                <w:bCs/>
                <w:sz w:val="24"/>
              </w:rPr>
            </w:pPr>
            <w:r>
              <w:rPr>
                <w:rFonts w:hint="eastAsia" w:ascii="仿宋" w:hAnsi="仿宋" w:eastAsia="仿宋" w:cs="仿宋"/>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1</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2</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bl>
    <w:p>
      <w:pPr>
        <w:ind w:firstLine="480"/>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八、</w:t>
      </w:r>
      <w:r>
        <w:rPr>
          <w:rFonts w:hint="eastAsia" w:ascii="仿宋" w:hAnsi="仿宋" w:eastAsia="仿宋" w:cs="仿宋"/>
          <w:b/>
          <w:kern w:val="0"/>
          <w:sz w:val="24"/>
          <w:lang w:val="zh-CN"/>
        </w:rPr>
        <w:t>采购供应商廉洁自律承诺书</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firstLine="48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firstLine="48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pPr>
        <w:spacing w:line="360" w:lineRule="auto"/>
        <w:ind w:left="4620" w:leftChars="2200" w:firstLine="480"/>
        <w:rPr>
          <w:rFonts w:ascii="仿宋" w:hAnsi="仿宋" w:eastAsia="仿宋" w:cs="仿宋"/>
          <w:b/>
          <w:bCs/>
          <w:kern w:val="0"/>
          <w:sz w:val="24"/>
        </w:rPr>
        <w:sectPr>
          <w:headerReference r:id="rId15" w:type="default"/>
          <w:footerReference r:id="rId16" w:type="default"/>
          <w:pgSz w:w="11906" w:h="16838"/>
          <w:pgMar w:top="1247" w:right="1418" w:bottom="1276" w:left="1418" w:header="851" w:footer="992" w:gutter="0"/>
          <w:cols w:space="720" w:num="1"/>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rPr>
          <w:rFonts w:ascii="仿宋" w:hAnsi="仿宋" w:eastAsia="仿宋" w:cs="仿宋"/>
          <w:b/>
          <w:sz w:val="24"/>
        </w:rPr>
      </w:pPr>
    </w:p>
    <w:sectPr>
      <w:headerReference r:id="rId18" w:type="first"/>
      <w:footerReference r:id="rId21" w:type="first"/>
      <w:headerReference r:id="rId17" w:type="default"/>
      <w:footerReference r:id="rId19" w:type="default"/>
      <w:footerReference r:id="rId2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ind w:firstLine="360"/>
      <w:rPr>
        <w:rStyle w:val="65"/>
      </w:rPr>
    </w:pPr>
    <w:r>
      <w:fldChar w:fldCharType="begin"/>
    </w:r>
    <w:r>
      <w:rPr>
        <w:rStyle w:val="65"/>
      </w:rPr>
      <w:instrText xml:space="preserve">PAGE  </w:instrText>
    </w:r>
    <w:r>
      <w:fldChar w:fldCharType="end"/>
    </w:r>
  </w:p>
  <w:p>
    <w:pPr>
      <w:pStyle w:val="3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429" w:name="_Toc164085800"/>
    <w:bookmarkStart w:id="430" w:name="_Toc36110187"/>
    <w:bookmarkStart w:id="431" w:name="_Toc131845147"/>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ind w:firstLine="360"/>
      <w:rPr>
        <w:rStyle w:val="65"/>
      </w:rPr>
    </w:pPr>
    <w:r>
      <w:fldChar w:fldCharType="begin"/>
    </w:r>
    <w:r>
      <w:rPr>
        <w:rStyle w:val="65"/>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25</w:t>
    </w:r>
    <w:r>
      <w:rPr>
        <w:lang w:val="zh-CN"/>
      </w:rPr>
      <w:fldChar w:fldCharType="end"/>
    </w:r>
  </w:p>
  <w:p>
    <w:pPr>
      <w:pStyle w:val="38"/>
      <w:jc w:val="righ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ind w:firstLine="360"/>
      <w:rPr>
        <w:rStyle w:val="65"/>
      </w:rPr>
    </w:pPr>
    <w:r>
      <w:fldChar w:fldCharType="begin"/>
    </w:r>
    <w:r>
      <w:rPr>
        <w:rStyle w:val="65"/>
      </w:rPr>
      <w:instrText xml:space="preserve">PAGE  </w:instrText>
    </w:r>
    <w:r>
      <w:fldChar w:fldCharType="end"/>
    </w:r>
  </w:p>
  <w:p>
    <w:pPr>
      <w:pStyle w:val="38"/>
      <w:ind w:right="360"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ind w:firstLine="360"/>
      <w:jc w:val="right"/>
    </w:pPr>
    <w:r>
      <w:pict>
        <v:shape id="_x0000_s1025" o:spid="_x0000_s1025" o:spt="136" type="#_x0000_t136" style="position:absolute;left:0pt;margin-left:0pt;margin-top:0pt;height:1.2pt;width:15.6pt;visibility:hidden;z-index:251659264;mso-width-relative:page;mso-height-relative:page;" coordsize="21600,21600">
          <v:path/>
          <v:fill focussize="0,0"/>
          <v:stroke/>
          <v:imagedata o:title=""/>
          <o:lock v:ext="edit"/>
          <v:textpath on="t" fitshape="t" fitpath="t" trim="t" xscale="f" string="276037  da hua  2022-01-21" style="font-family:宋体;font-size:1pt;v-text-align:center;"/>
        </v:shape>
      </w:pict>
    </w:r>
    <w:r>
      <w:rPr>
        <w:rFonts w:hint="eastAsia"/>
      </w:rPr>
      <w:t>公开</w:t>
    </w:r>
    <w:r>
      <w:rPr>
        <w:rFonts w:hint="eastAsia"/>
        <w:lang w:val="en-US" w:eastAsia="zh-CN"/>
      </w:rPr>
      <w:t>交易</w:t>
    </w:r>
    <w:r>
      <w:rPr>
        <w:rFonts w:hint="eastAsia"/>
      </w:rPr>
      <w:t>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ind w:right="30" w:firstLine="360"/>
      <w:jc w:val="right"/>
    </w:pPr>
    <w:r>
      <w:rPr>
        <w:rFonts w:hint="eastAsia"/>
        <w:lang w:val="zh-CN"/>
      </w:rPr>
      <w:t>公开</w:t>
    </w:r>
    <w:r>
      <w:rPr>
        <w:rFonts w:hint="eastAsia"/>
        <w:lang w:val="en-US" w:eastAsia="zh-CN"/>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rPr>
        <w:rFonts w:ascii="仿宋_GB2312" w:eastAsia="仿宋_GB2312"/>
        <w:b/>
        <w:i/>
        <w:u w:val="single"/>
      </w:rPr>
    </w:pPr>
    <w:r>
      <w:rPr>
        <w:rFonts w:hint="eastAsia"/>
      </w:rPr>
      <w:t>萧山区政府采购公开招标文件</w:t>
    </w:r>
  </w:p>
  <w:p>
    <w:pPr>
      <w:ind w:firstLine="361"/>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p>
    <w:pPr>
      <w:pStyle w:val="39"/>
      <w:ind w:firstLine="360"/>
    </w:pP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rPr>
        <w:rFonts w:ascii="仿宋_GB2312" w:eastAsia="仿宋_GB2312"/>
        <w:b/>
        <w:i/>
        <w:u w:val="single"/>
      </w:rPr>
    </w:pPr>
    <w:r>
      <w:t></w:t>
    </w:r>
    <w:r>
      <w:rPr>
        <w:rFonts w:hint="eastAsia"/>
      </w:rPr>
      <w:t>萧山区</w:t>
    </w:r>
    <w:r>
      <w:t>政府采购公开招标文件</w:t>
    </w:r>
  </w:p>
  <w:p>
    <w:pPr>
      <w:ind w:firstLine="361"/>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rPr>
        <w:rFonts w:ascii="仿宋_GB2312" w:eastAsia="仿宋_GB2312"/>
        <w:b/>
        <w:i/>
        <w:iCs/>
        <w:u w:val="single"/>
      </w:rPr>
    </w:pP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p>
    <w:pPr>
      <w:pStyle w:val="39"/>
      <w:ind w:firstLine="360"/>
    </w:pPr>
    <w:r>
      <w:rPr>
        <w:rFonts w:hint="eastAsia"/>
      </w:rPr>
      <w:t>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497B9"/>
    <w:multiLevelType w:val="singleLevel"/>
    <w:tmpl w:val="C1D497B9"/>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pStyle w:val="4"/>
      <w:lvlText w:val="%1.%2"/>
      <w:lvlJc w:val="left"/>
      <w:pPr>
        <w:tabs>
          <w:tab w:val="left" w:pos="860"/>
        </w:tabs>
        <w:ind w:left="860"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DCE66B8"/>
    <w:multiLevelType w:val="singleLevel"/>
    <w:tmpl w:val="0DCE66B8"/>
    <w:lvl w:ilvl="0" w:tentative="0">
      <w:start w:val="5"/>
      <w:numFmt w:val="chineseCounting"/>
      <w:suff w:val="space"/>
      <w:lvlText w:val="第%1部分"/>
      <w:lvlJc w:val="left"/>
      <w:rPr>
        <w:rFonts w:hint="eastAsia"/>
      </w:r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tabs>
          <w:tab w:val="left" w:pos="1290"/>
        </w:tabs>
        <w:ind w:left="1290"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431A45"/>
    <w:multiLevelType w:val="multilevel"/>
    <w:tmpl w:val="59431A45"/>
    <w:lvl w:ilvl="0" w:tentative="0">
      <w:start w:val="1"/>
      <w:numFmt w:val="bullet"/>
      <w:lvlText w:val="-"/>
      <w:lvlJc w:val="left"/>
      <w:pPr>
        <w:ind w:left="720" w:hanging="360"/>
      </w:pPr>
      <w:rPr>
        <w:rFonts w:hint="eastAsia" w:ascii="宋体" w:hAnsi="宋体" w:eastAsia="宋体"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9">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6"/>
  </w:num>
  <w:num w:numId="3">
    <w:abstractNumId w:val="1"/>
  </w:num>
  <w:num w:numId="4">
    <w:abstractNumId w:val="3"/>
  </w:num>
  <w:num w:numId="5">
    <w:abstractNumId w:val="7"/>
  </w:num>
  <w:num w:numId="6">
    <w:abstractNumId w:val="9"/>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jdlZGZkOGI3NGIwMjRlMWNkYzhmY2JjNWJkZTk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4CE7"/>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030F"/>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0996"/>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B7B"/>
    <w:rsid w:val="00205D1C"/>
    <w:rsid w:val="002062B8"/>
    <w:rsid w:val="00206698"/>
    <w:rsid w:val="00206736"/>
    <w:rsid w:val="00206C88"/>
    <w:rsid w:val="002078A3"/>
    <w:rsid w:val="00207EF1"/>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3EAA"/>
    <w:rsid w:val="002751CA"/>
    <w:rsid w:val="0027544D"/>
    <w:rsid w:val="002775ED"/>
    <w:rsid w:val="002778AB"/>
    <w:rsid w:val="00277D86"/>
    <w:rsid w:val="002802A5"/>
    <w:rsid w:val="002803FE"/>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5CB4"/>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BBF"/>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614"/>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671"/>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6F70"/>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3F66"/>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51C"/>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6DF9"/>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54C"/>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287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4C7"/>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E6F"/>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6CB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6F9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47CC3"/>
    <w:rsid w:val="00850013"/>
    <w:rsid w:val="008500DD"/>
    <w:rsid w:val="00850191"/>
    <w:rsid w:val="00851E96"/>
    <w:rsid w:val="00852FA5"/>
    <w:rsid w:val="00853B70"/>
    <w:rsid w:val="00853F7D"/>
    <w:rsid w:val="00855124"/>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386"/>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015"/>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5F7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C9E"/>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046B"/>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6AC1"/>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33"/>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3F1D"/>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A2C"/>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39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0BD"/>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67A"/>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BC4"/>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333"/>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0C5"/>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5A3F"/>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9C2"/>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1B0"/>
    <w:rsid w:val="00CA1C9F"/>
    <w:rsid w:val="00CA2528"/>
    <w:rsid w:val="00CA2969"/>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6E4"/>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2DE"/>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8DB"/>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03A"/>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76C"/>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428"/>
    <w:rsid w:val="00EB7B67"/>
    <w:rsid w:val="00EC07F1"/>
    <w:rsid w:val="00EC14EA"/>
    <w:rsid w:val="00EC1E8A"/>
    <w:rsid w:val="00EC302E"/>
    <w:rsid w:val="00EC328C"/>
    <w:rsid w:val="00EC5241"/>
    <w:rsid w:val="00EC56E1"/>
    <w:rsid w:val="00EC594C"/>
    <w:rsid w:val="00EC5B44"/>
    <w:rsid w:val="00EC5C7B"/>
    <w:rsid w:val="00EC66AA"/>
    <w:rsid w:val="00EC6B8F"/>
    <w:rsid w:val="00EC6FB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531C"/>
    <w:rsid w:val="00F06340"/>
    <w:rsid w:val="00F0665D"/>
    <w:rsid w:val="00F06D42"/>
    <w:rsid w:val="00F07134"/>
    <w:rsid w:val="00F0724D"/>
    <w:rsid w:val="00F07378"/>
    <w:rsid w:val="00F10B81"/>
    <w:rsid w:val="00F14591"/>
    <w:rsid w:val="00F145D3"/>
    <w:rsid w:val="00F14B4B"/>
    <w:rsid w:val="00F14CD1"/>
    <w:rsid w:val="00F15115"/>
    <w:rsid w:val="00F15806"/>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61B8"/>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1E85"/>
    <w:rsid w:val="00FF219D"/>
    <w:rsid w:val="00FF2693"/>
    <w:rsid w:val="00FF2BB3"/>
    <w:rsid w:val="00FF49B4"/>
    <w:rsid w:val="00FF49F4"/>
    <w:rsid w:val="00FF651D"/>
    <w:rsid w:val="00FF6843"/>
    <w:rsid w:val="00FF7724"/>
    <w:rsid w:val="00FF78E2"/>
    <w:rsid w:val="010651D9"/>
    <w:rsid w:val="016A7EBD"/>
    <w:rsid w:val="02122095"/>
    <w:rsid w:val="02B80216"/>
    <w:rsid w:val="02C07532"/>
    <w:rsid w:val="031C1950"/>
    <w:rsid w:val="037C33A2"/>
    <w:rsid w:val="03DD35E4"/>
    <w:rsid w:val="03DE4F61"/>
    <w:rsid w:val="04F65169"/>
    <w:rsid w:val="05D820C7"/>
    <w:rsid w:val="064E4AF6"/>
    <w:rsid w:val="065A6178"/>
    <w:rsid w:val="068E19BA"/>
    <w:rsid w:val="07420C73"/>
    <w:rsid w:val="079C3C62"/>
    <w:rsid w:val="081E231A"/>
    <w:rsid w:val="09BF14E3"/>
    <w:rsid w:val="0A263F7D"/>
    <w:rsid w:val="0A5B7E63"/>
    <w:rsid w:val="0A6C0D1D"/>
    <w:rsid w:val="0B7A359A"/>
    <w:rsid w:val="0C87121B"/>
    <w:rsid w:val="0CF83C26"/>
    <w:rsid w:val="0D3D547A"/>
    <w:rsid w:val="0DF702FE"/>
    <w:rsid w:val="0E2C7CB3"/>
    <w:rsid w:val="0E9E6E62"/>
    <w:rsid w:val="0F03284E"/>
    <w:rsid w:val="0F816ACD"/>
    <w:rsid w:val="10F27947"/>
    <w:rsid w:val="10FC16EA"/>
    <w:rsid w:val="118963A1"/>
    <w:rsid w:val="127723A9"/>
    <w:rsid w:val="13072A44"/>
    <w:rsid w:val="13D81877"/>
    <w:rsid w:val="143F5CB5"/>
    <w:rsid w:val="144B7735"/>
    <w:rsid w:val="15F57C51"/>
    <w:rsid w:val="165F2487"/>
    <w:rsid w:val="175D5335"/>
    <w:rsid w:val="1B2A271F"/>
    <w:rsid w:val="1BF0428C"/>
    <w:rsid w:val="1C8D04F0"/>
    <w:rsid w:val="1D266CE1"/>
    <w:rsid w:val="1D3963AF"/>
    <w:rsid w:val="1D832687"/>
    <w:rsid w:val="1E3465FF"/>
    <w:rsid w:val="1E714A66"/>
    <w:rsid w:val="1E8477D0"/>
    <w:rsid w:val="1FE868A9"/>
    <w:rsid w:val="20DA7B38"/>
    <w:rsid w:val="21D8068A"/>
    <w:rsid w:val="22054086"/>
    <w:rsid w:val="22211FB8"/>
    <w:rsid w:val="22370260"/>
    <w:rsid w:val="232456BC"/>
    <w:rsid w:val="23F13657"/>
    <w:rsid w:val="24C75704"/>
    <w:rsid w:val="25A80A81"/>
    <w:rsid w:val="267958A3"/>
    <w:rsid w:val="2702368A"/>
    <w:rsid w:val="27710C84"/>
    <w:rsid w:val="286708D2"/>
    <w:rsid w:val="28A54C15"/>
    <w:rsid w:val="28B21AE8"/>
    <w:rsid w:val="2A9A5ECF"/>
    <w:rsid w:val="2AB2704F"/>
    <w:rsid w:val="2B6A19C9"/>
    <w:rsid w:val="2BED0309"/>
    <w:rsid w:val="2DD15014"/>
    <w:rsid w:val="2EBF60EC"/>
    <w:rsid w:val="2F476EA6"/>
    <w:rsid w:val="2FD25781"/>
    <w:rsid w:val="31493DC4"/>
    <w:rsid w:val="319C6071"/>
    <w:rsid w:val="31C94C85"/>
    <w:rsid w:val="334406CC"/>
    <w:rsid w:val="33A37E2B"/>
    <w:rsid w:val="33D2699B"/>
    <w:rsid w:val="342E63AB"/>
    <w:rsid w:val="34880653"/>
    <w:rsid w:val="34CD37D8"/>
    <w:rsid w:val="359B421F"/>
    <w:rsid w:val="365302AE"/>
    <w:rsid w:val="381C5502"/>
    <w:rsid w:val="39407FC8"/>
    <w:rsid w:val="394D1AD0"/>
    <w:rsid w:val="399C304B"/>
    <w:rsid w:val="39E21040"/>
    <w:rsid w:val="3AD60D74"/>
    <w:rsid w:val="3BE2110A"/>
    <w:rsid w:val="3BE830FA"/>
    <w:rsid w:val="3C0C2E19"/>
    <w:rsid w:val="3C0C7450"/>
    <w:rsid w:val="3C167218"/>
    <w:rsid w:val="3C5F759A"/>
    <w:rsid w:val="3D1C647E"/>
    <w:rsid w:val="3E964F2F"/>
    <w:rsid w:val="40DA0A3B"/>
    <w:rsid w:val="40DF703F"/>
    <w:rsid w:val="40F777B5"/>
    <w:rsid w:val="41D801BB"/>
    <w:rsid w:val="420D635A"/>
    <w:rsid w:val="42E1381E"/>
    <w:rsid w:val="43613359"/>
    <w:rsid w:val="436B0826"/>
    <w:rsid w:val="445C1B15"/>
    <w:rsid w:val="455A4334"/>
    <w:rsid w:val="46464074"/>
    <w:rsid w:val="46E569C6"/>
    <w:rsid w:val="471C07E9"/>
    <w:rsid w:val="48882ADB"/>
    <w:rsid w:val="498C4693"/>
    <w:rsid w:val="49EB6635"/>
    <w:rsid w:val="4C9225E7"/>
    <w:rsid w:val="4F6A77F3"/>
    <w:rsid w:val="50164025"/>
    <w:rsid w:val="51A0432A"/>
    <w:rsid w:val="51CE0F42"/>
    <w:rsid w:val="52A96B6F"/>
    <w:rsid w:val="52BC3920"/>
    <w:rsid w:val="53624E0A"/>
    <w:rsid w:val="53930BE2"/>
    <w:rsid w:val="539C0175"/>
    <w:rsid w:val="550764A4"/>
    <w:rsid w:val="551817D5"/>
    <w:rsid w:val="553642D9"/>
    <w:rsid w:val="5540078F"/>
    <w:rsid w:val="576934AC"/>
    <w:rsid w:val="57A0472D"/>
    <w:rsid w:val="58AE4F0C"/>
    <w:rsid w:val="59752045"/>
    <w:rsid w:val="5A2A7C7B"/>
    <w:rsid w:val="5A944961"/>
    <w:rsid w:val="5ACE32A8"/>
    <w:rsid w:val="5BBB2421"/>
    <w:rsid w:val="5BD4482F"/>
    <w:rsid w:val="5C80234E"/>
    <w:rsid w:val="5E261785"/>
    <w:rsid w:val="5F5B3A57"/>
    <w:rsid w:val="5FCC5339"/>
    <w:rsid w:val="5FDC2385"/>
    <w:rsid w:val="5FE63DDA"/>
    <w:rsid w:val="5FF63C52"/>
    <w:rsid w:val="60A719EB"/>
    <w:rsid w:val="61054A27"/>
    <w:rsid w:val="611D2366"/>
    <w:rsid w:val="616B7AA3"/>
    <w:rsid w:val="619A33E2"/>
    <w:rsid w:val="62885958"/>
    <w:rsid w:val="62A91973"/>
    <w:rsid w:val="6333639E"/>
    <w:rsid w:val="63CA3622"/>
    <w:rsid w:val="647A6070"/>
    <w:rsid w:val="64BD0E51"/>
    <w:rsid w:val="64CE2EAA"/>
    <w:rsid w:val="65A572FA"/>
    <w:rsid w:val="662E75B1"/>
    <w:rsid w:val="66342C2E"/>
    <w:rsid w:val="663B57A8"/>
    <w:rsid w:val="663E784C"/>
    <w:rsid w:val="66425162"/>
    <w:rsid w:val="66D040E2"/>
    <w:rsid w:val="682D0305"/>
    <w:rsid w:val="68B95597"/>
    <w:rsid w:val="6A3A6D30"/>
    <w:rsid w:val="6C291506"/>
    <w:rsid w:val="6C3E165F"/>
    <w:rsid w:val="6C81092E"/>
    <w:rsid w:val="6CCA0907"/>
    <w:rsid w:val="6D9964ED"/>
    <w:rsid w:val="6E80636A"/>
    <w:rsid w:val="6E8E12EF"/>
    <w:rsid w:val="6EF80124"/>
    <w:rsid w:val="6F0C10A7"/>
    <w:rsid w:val="6F7504A8"/>
    <w:rsid w:val="6F996D0F"/>
    <w:rsid w:val="6FD63A66"/>
    <w:rsid w:val="70295378"/>
    <w:rsid w:val="715A08CB"/>
    <w:rsid w:val="71D43752"/>
    <w:rsid w:val="73DD6F8F"/>
    <w:rsid w:val="749C4185"/>
    <w:rsid w:val="75334E74"/>
    <w:rsid w:val="75D13551"/>
    <w:rsid w:val="75DA2C18"/>
    <w:rsid w:val="75F419BD"/>
    <w:rsid w:val="77C8443C"/>
    <w:rsid w:val="7809220E"/>
    <w:rsid w:val="79C2424E"/>
    <w:rsid w:val="7A67303B"/>
    <w:rsid w:val="7AAB1D04"/>
    <w:rsid w:val="7ABA4368"/>
    <w:rsid w:val="7B257FFD"/>
    <w:rsid w:val="7B9838C8"/>
    <w:rsid w:val="7C9031FF"/>
    <w:rsid w:val="7F3549D4"/>
    <w:rsid w:val="F3DE92A6"/>
    <w:rsid w:val="FE5C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9"/>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link w:val="633"/>
    <w:qFormat/>
    <w:uiPriority w:val="9"/>
    <w:pPr>
      <w:keepNext/>
      <w:keepLines/>
      <w:numPr>
        <w:ilvl w:val="1"/>
        <w:numId w:val="1"/>
      </w:numPr>
      <w:tabs>
        <w:tab w:val="left" w:pos="993"/>
        <w:tab w:val="left" w:pos="1276"/>
      </w:tabs>
      <w:adjustRightInd/>
      <w:spacing w:line="360" w:lineRule="auto"/>
      <w:ind w:left="284" w:firstLine="141" w:firstLineChars="50"/>
      <w:jc w:val="left"/>
      <w:outlineLvl w:val="1"/>
    </w:pPr>
    <w:rPr>
      <w:rFonts w:ascii="仿宋" w:hAnsi="仿宋" w:eastAsia="仿宋" w:cs="仿宋"/>
      <w:b/>
      <w:bCs/>
      <w:color w:val="000000"/>
      <w:sz w:val="28"/>
      <w:szCs w:val="28"/>
      <w:lang w:val="zh-CN"/>
    </w:rPr>
  </w:style>
  <w:style w:type="paragraph" w:styleId="5">
    <w:name w:val="heading 3"/>
    <w:basedOn w:val="1"/>
    <w:next w:val="1"/>
    <w:link w:val="634"/>
    <w:qFormat/>
    <w:uiPriority w:val="9"/>
    <w:pPr>
      <w:keepNext/>
      <w:keepLines/>
      <w:numPr>
        <w:ilvl w:val="2"/>
        <w:numId w:val="2"/>
      </w:numPr>
      <w:tabs>
        <w:tab w:val="left" w:pos="284"/>
        <w:tab w:val="left" w:pos="1134"/>
      </w:tabs>
      <w:spacing w:line="415" w:lineRule="auto"/>
      <w:ind w:left="0" w:firstLine="176" w:firstLineChars="176"/>
      <w:jc w:val="left"/>
      <w:outlineLvl w:val="2"/>
    </w:pPr>
    <w:rPr>
      <w:rFonts w:eastAsia="仿宋"/>
      <w:b/>
      <w:bCs/>
      <w:sz w:val="24"/>
      <w:lang w:val="zh-CN"/>
    </w:rPr>
  </w:style>
  <w:style w:type="paragraph" w:styleId="6">
    <w:name w:val="heading 4"/>
    <w:basedOn w:val="1"/>
    <w:next w:val="1"/>
    <w:link w:val="212"/>
    <w:qFormat/>
    <w:uiPriority w:val="0"/>
    <w:pPr>
      <w:widowControl/>
      <w:numPr>
        <w:ilvl w:val="3"/>
        <w:numId w:val="2"/>
      </w:numPr>
      <w:tabs>
        <w:tab w:val="left" w:pos="142"/>
        <w:tab w:val="left" w:pos="284"/>
        <w:tab w:val="left" w:pos="426"/>
        <w:tab w:val="left" w:pos="1560"/>
      </w:tabs>
      <w:autoSpaceDE w:val="0"/>
      <w:autoSpaceDN w:val="0"/>
      <w:spacing w:line="360" w:lineRule="auto"/>
      <w:ind w:left="0" w:firstLine="482" w:firstLineChars="200"/>
      <w:textAlignment w:val="baseline"/>
      <w:outlineLvl w:val="3"/>
    </w:pPr>
    <w:rPr>
      <w:rFonts w:ascii="仿宋" w:hAnsi="仿宋" w:eastAsia="仿宋" w:cs="仿宋"/>
      <w:b/>
      <w:bCs/>
      <w:sz w:val="24"/>
      <w:szCs w:val="28"/>
      <w:lang w:val="zh-CN"/>
    </w:rPr>
  </w:style>
  <w:style w:type="paragraph" w:styleId="7">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0"/>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6"/>
    <w:qFormat/>
    <w:uiPriority w:val="99"/>
    <w:pPr>
      <w:jc w:val="left"/>
    </w:pPr>
  </w:style>
  <w:style w:type="paragraph" w:styleId="21">
    <w:name w:val="Salutation"/>
    <w:basedOn w:val="1"/>
    <w:next w:val="1"/>
    <w:link w:val="211"/>
    <w:qFormat/>
    <w:uiPriority w:val="0"/>
    <w:rPr>
      <w:rFonts w:ascii="仿宋_GB2312" w:eastAsia="仿宋_GB2312"/>
      <w:sz w:val="28"/>
      <w:szCs w:val="20"/>
    </w:rPr>
  </w:style>
  <w:style w:type="paragraph" w:styleId="22">
    <w:name w:val="Body Text 3"/>
    <w:basedOn w:val="1"/>
    <w:link w:val="184"/>
    <w:qFormat/>
    <w:uiPriority w:val="0"/>
    <w:pPr>
      <w:jc w:val="center"/>
    </w:pPr>
    <w:rPr>
      <w:szCs w:val="20"/>
    </w:rPr>
  </w:style>
  <w:style w:type="paragraph" w:styleId="23">
    <w:name w:val="Body Text Indent"/>
    <w:basedOn w:val="1"/>
    <w:next w:val="24"/>
    <w:link w:val="101"/>
    <w:qFormat/>
    <w:uiPriority w:val="0"/>
    <w:pPr>
      <w:spacing w:line="480" w:lineRule="exact"/>
      <w:ind w:firstLine="480" w:firstLineChars="200"/>
    </w:pPr>
    <w:rPr>
      <w:rFonts w:ascii="宋体" w:hAnsi="宋体"/>
      <w:sz w:val="24"/>
    </w:rPr>
  </w:style>
  <w:style w:type="paragraph" w:customStyle="1" w:styleId="24">
    <w:name w:val="正文文本首行缩进 21"/>
    <w:basedOn w:val="23"/>
    <w:qFormat/>
    <w:uiPriority w:val="99"/>
    <w:pPr>
      <w:spacing w:line="200" w:lineRule="atLeast"/>
      <w:ind w:firstLine="420"/>
    </w:pPr>
    <w:rPr>
      <w:rFonts w:hAnsi="Courier New"/>
      <w:spacing w:val="-4"/>
      <w:sz w:val="18"/>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222"/>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9"/>
    <w:qFormat/>
    <w:uiPriority w:val="0"/>
    <w:pPr>
      <w:ind w:left="100" w:leftChars="2500"/>
    </w:pPr>
    <w:rPr>
      <w:rFonts w:ascii="宋体"/>
      <w:sz w:val="24"/>
      <w:szCs w:val="21"/>
      <w:lang w:val="zh-CN"/>
    </w:rPr>
  </w:style>
  <w:style w:type="paragraph" w:styleId="36">
    <w:name w:val="Body Text Indent 2"/>
    <w:basedOn w:val="1"/>
    <w:link w:val="81"/>
    <w:qFormat/>
    <w:uiPriority w:val="0"/>
    <w:pPr>
      <w:spacing w:line="360" w:lineRule="auto"/>
      <w:ind w:firstLine="601"/>
      <w:textAlignment w:val="baseline"/>
    </w:pPr>
    <w:rPr>
      <w:rFonts w:ascii="宋体"/>
      <w:kern w:val="0"/>
      <w:sz w:val="28"/>
      <w:szCs w:val="20"/>
    </w:rPr>
  </w:style>
  <w:style w:type="paragraph" w:styleId="37">
    <w:name w:val="Balloon Text"/>
    <w:basedOn w:val="1"/>
    <w:link w:val="247"/>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
    <w:next w:val="49"/>
    <w:link w:val="133"/>
    <w:qFormat/>
    <w:uiPriority w:val="0"/>
    <w:pPr>
      <w:ind w:firstLine="420"/>
    </w:pPr>
    <w:rPr>
      <w:szCs w:val="20"/>
    </w:rPr>
  </w:style>
  <w:style w:type="paragraph" w:styleId="60">
    <w:name w:val="Body Text First Indent 2"/>
    <w:basedOn w:val="23"/>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字符"/>
    <w:link w:val="36"/>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字符"/>
    <w:link w:val="45"/>
    <w:qFormat/>
    <w:uiPriority w:val="0"/>
    <w:rPr>
      <w:rFonts w:ascii="Arial" w:hAnsi="Arial" w:eastAsia="隶书"/>
      <w:b/>
      <w:bCs/>
      <w:kern w:val="28"/>
      <w:sz w:val="44"/>
      <w:szCs w:val="32"/>
      <w:lang w:val="en-US" w:eastAsia="zh-CN" w:bidi="ar-SA"/>
    </w:rPr>
  </w:style>
  <w:style w:type="character" w:customStyle="1" w:styleId="101">
    <w:name w:val="正文文本缩进 字符1"/>
    <w:link w:val="23"/>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字符"/>
    <w:link w:val="55"/>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字符"/>
    <w:link w:val="10"/>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字符"/>
    <w:link w:val="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字符"/>
    <w:link w:val="11"/>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文本首行缩进 字符"/>
    <w:link w:val="59"/>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字符"/>
    <w:link w:val="3"/>
    <w:qFormat/>
    <w:uiPriority w:val="9"/>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6"/>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6"/>
    <w:link w:val="157"/>
    <w:qFormat/>
    <w:uiPriority w:val="0"/>
    <w:pPr>
      <w:numPr>
        <w:numId w:val="0"/>
      </w:numPr>
      <w:tabs>
        <w:tab w:val="left" w:pos="2356"/>
      </w:tabs>
      <w:adjustRightInd/>
      <w:ind w:left="1984" w:leftChars="75" w:hanging="708" w:firstLineChars="200"/>
    </w:pPr>
    <w:rPr>
      <w:rFonts w:ascii="微软雅黑" w:hAnsi="微软雅黑" w:eastAsia="微软雅黑"/>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字符"/>
    <w:link w:val="29"/>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字符"/>
    <w:link w:val="7"/>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字符"/>
    <w:link w:val="22"/>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字符"/>
    <w:link w:val="51"/>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字符"/>
    <w:link w:val="9"/>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字符"/>
    <w:link w:val="35"/>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字符"/>
    <w:link w:val="21"/>
    <w:qFormat/>
    <w:uiPriority w:val="0"/>
    <w:rPr>
      <w:rFonts w:ascii="仿宋_GB2312" w:eastAsia="仿宋_GB2312"/>
      <w:kern w:val="2"/>
      <w:sz w:val="28"/>
    </w:rPr>
  </w:style>
  <w:style w:type="character" w:customStyle="1" w:styleId="212">
    <w:name w:val="标题 4 字符"/>
    <w:link w:val="6"/>
    <w:qFormat/>
    <w:uiPriority w:val="0"/>
    <w:rPr>
      <w:rFonts w:ascii="仿宋" w:hAnsi="仿宋" w:eastAsia="仿宋" w:cs="仿宋"/>
      <w:b/>
      <w:bCs/>
      <w:kern w:val="2"/>
      <w:sz w:val="24"/>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字符"/>
    <w:link w:val="48"/>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字符"/>
    <w:link w:val="8"/>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字符1"/>
    <w:link w:val="16"/>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文本首行缩进 2 字符"/>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字符"/>
    <w:link w:val="20"/>
    <w:qFormat/>
    <w:uiPriority w:val="0"/>
    <w:rPr>
      <w:kern w:val="2"/>
      <w:sz w:val="21"/>
      <w:szCs w:val="24"/>
    </w:rPr>
  </w:style>
  <w:style w:type="character" w:customStyle="1" w:styleId="247">
    <w:name w:val="批注框文本 字符"/>
    <w:link w:val="37"/>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字符"/>
    <w:link w:val="40"/>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6"/>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5"/>
    <w:qFormat/>
    <w:uiPriority w:val="0"/>
    <w:pPr>
      <w:numPr>
        <w:numId w:val="4"/>
      </w:numPr>
      <w:tabs>
        <w:tab w:val="left" w:pos="840"/>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6"/>
    <w:qFormat/>
    <w:uiPriority w:val="0"/>
    <w:pPr>
      <w:numPr>
        <w:numId w:val="4"/>
      </w:numPr>
      <w:tabs>
        <w:tab w:val="left" w:pos="840"/>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numId w:val="4"/>
      </w:numPr>
      <w:tabs>
        <w:tab w:val="left" w:pos="840"/>
        <w:tab w:val="left" w:pos="1260"/>
        <w:tab w:val="clear" w:pos="860"/>
      </w:tabs>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7"/>
    <w:next w:val="1"/>
    <w:qFormat/>
    <w:uiPriority w:val="0"/>
    <w:pPr>
      <w:numPr>
        <w:numId w:val="5"/>
      </w:numPr>
      <w:tabs>
        <w:tab w:val="left" w:pos="480"/>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5"/>
    <w:qFormat/>
    <w:uiPriority w:val="0"/>
    <w:pPr>
      <w:snapToGrid w:val="0"/>
      <w:ind w:firstLine="0"/>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7"/>
    <w:qFormat/>
    <w:uiPriority w:val="0"/>
    <w:pPr>
      <w:numPr>
        <w:numId w:val="4"/>
      </w:numPr>
      <w:tabs>
        <w:tab w:val="left" w:pos="840"/>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 w:val="clear" w:pos="86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5">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19"/>
    <w:qFormat/>
    <w:uiPriority w:val="0"/>
    <w:pPr>
      <w:snapToGrid w:val="0"/>
      <w:spacing w:line="360" w:lineRule="auto"/>
    </w:pPr>
  </w:style>
  <w:style w:type="paragraph" w:customStyle="1" w:styleId="4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5"/>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4"/>
    <w:next w:val="1"/>
    <w:qFormat/>
    <w:uiPriority w:val="0"/>
    <w:pPr>
      <w:numPr>
        <w:numId w:val="5"/>
      </w:numPr>
      <w:tabs>
        <w:tab w:val="left" w:pos="480"/>
      </w:tabs>
    </w:pPr>
    <w:rPr>
      <w:rFonts w:ascii="Times New Roman" w:eastAsia="宋体"/>
      <w:i/>
      <w:sz w:val="36"/>
      <w:szCs w:val="36"/>
      <w:lang w:val="en-US"/>
    </w:rPr>
  </w:style>
  <w:style w:type="paragraph" w:customStyle="1" w:styleId="450">
    <w:name w:val="小节"/>
    <w:basedOn w:val="5"/>
    <w:qFormat/>
    <w:uiPriority w:val="0"/>
    <w:pPr>
      <w:numPr>
        <w:numId w:val="0"/>
      </w:numPr>
      <w:adjustRightInd/>
      <w:spacing w:before="200" w:after="200" w:line="560" w:lineRule="exac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6"/>
    <w:qFormat/>
    <w:uiPriority w:val="0"/>
    <w:pPr>
      <w:numPr>
        <w:numId w:val="0"/>
      </w:numPr>
      <w:tabs>
        <w:tab w:val="left" w:pos="0"/>
      </w:tabs>
      <w:ind w:left="1"/>
    </w:pPr>
    <w:rPr>
      <w:rFonts w:eastAsia="仿宋_GB2312" w:cs="Arial"/>
      <w:b w:val="0"/>
      <w:bCs w:val="0"/>
      <w:color w:val="000000"/>
      <w:kern w:val="0"/>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3"/>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5"/>
    <w:qFormat/>
    <w:uiPriority w:val="0"/>
    <w:pPr>
      <w:keepLines w:val="0"/>
      <w:widowControl/>
      <w:numPr>
        <w:numId w:val="0"/>
      </w:numPr>
      <w:snapToGrid w:val="0"/>
      <w:spacing w:before="120" w:after="60" w:line="300" w:lineRule="auto"/>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customStyle="1" w:styleId="503">
    <w:name w:val="列表段落1"/>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6"/>
    <w:qFormat/>
    <w:uiPriority w:val="0"/>
    <w:pPr>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5"/>
    <w:qFormat/>
    <w:uiPriority w:val="0"/>
    <w:pPr>
      <w:keepLines w:val="0"/>
      <w:numPr>
        <w:numId w:val="0"/>
      </w:numPr>
      <w:spacing w:line="240" w:lineRule="auto"/>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6"/>
    <w:qFormat/>
    <w:uiPriority w:val="0"/>
    <w:pPr>
      <w:numPr>
        <w:numId w:val="0"/>
      </w:numPr>
      <w:adjustRightInd/>
    </w:pPr>
    <w:rPr>
      <w:rFonts w:ascii="Verdana" w:eastAsia="Verdana"/>
      <w:sz w:val="21"/>
      <w:lang w:val="en-US"/>
    </w:rPr>
  </w:style>
  <w:style w:type="paragraph" w:customStyle="1" w:styleId="563">
    <w:name w:val="样式7"/>
    <w:basedOn w:val="369"/>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5"/>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6"/>
    <w:qFormat/>
    <w:uiPriority w:val="0"/>
    <w:pPr>
      <w:jc w:val="left"/>
    </w:pPr>
    <w:rPr>
      <w:rFonts w:cs="宋体"/>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1"/>
    <w:next w:val="421"/>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8"/>
    <w:qFormat/>
    <w:locked/>
    <w:uiPriority w:val="99"/>
    <w:rPr>
      <w:kern w:val="2"/>
      <w:sz w:val="18"/>
      <w:szCs w:val="18"/>
    </w:rPr>
  </w:style>
  <w:style w:type="character" w:customStyle="1" w:styleId="631">
    <w:name w:val="页眉 字符"/>
    <w:link w:val="39"/>
    <w:qFormat/>
    <w:uiPriority w:val="99"/>
    <w:rPr>
      <w:kern w:val="2"/>
      <w:sz w:val="18"/>
      <w:szCs w:val="18"/>
    </w:rPr>
  </w:style>
  <w:style w:type="paragraph" w:customStyle="1" w:styleId="632">
    <w:name w:val="正文 小四宋体（首行缩进两字+1.5倍行距）"/>
    <w:basedOn w:val="1"/>
    <w:qFormat/>
    <w:uiPriority w:val="0"/>
    <w:pPr>
      <w:ind w:firstLine="480" w:firstLineChars="200"/>
    </w:pPr>
    <w:rPr>
      <w:rFonts w:ascii="Arial" w:hAnsi="Arial" w:cs="宋体"/>
      <w:szCs w:val="20"/>
    </w:rPr>
  </w:style>
  <w:style w:type="character" w:customStyle="1" w:styleId="633">
    <w:name w:val="标题 2 字符"/>
    <w:basedOn w:val="63"/>
    <w:link w:val="4"/>
    <w:qFormat/>
    <w:uiPriority w:val="9"/>
    <w:rPr>
      <w:rFonts w:ascii="仿宋" w:hAnsi="仿宋" w:eastAsia="仿宋" w:cs="仿宋"/>
      <w:b/>
      <w:bCs/>
      <w:color w:val="000000"/>
      <w:kern w:val="2"/>
      <w:sz w:val="28"/>
      <w:szCs w:val="28"/>
      <w:lang w:val="zh-CN"/>
    </w:rPr>
  </w:style>
  <w:style w:type="character" w:customStyle="1" w:styleId="634">
    <w:name w:val="标题 3 字符"/>
    <w:basedOn w:val="63"/>
    <w:link w:val="5"/>
    <w:qFormat/>
    <w:uiPriority w:val="9"/>
    <w:rPr>
      <w:rFonts w:eastAsia="仿宋"/>
      <w:b/>
      <w:bCs/>
      <w:kern w:val="2"/>
      <w:sz w:val="24"/>
      <w:szCs w:val="24"/>
      <w:lang w:val="zh-CN"/>
    </w:rPr>
  </w:style>
  <w:style w:type="paragraph" w:customStyle="1" w:styleId="635">
    <w:name w:val="0我的正文"/>
    <w:basedOn w:val="1"/>
    <w:link w:val="636"/>
    <w:qFormat/>
    <w:uiPriority w:val="0"/>
    <w:pPr>
      <w:adjustRightInd/>
      <w:spacing w:line="360" w:lineRule="auto"/>
      <w:ind w:firstLine="480" w:firstLineChars="200"/>
    </w:pPr>
    <w:rPr>
      <w:rFonts w:ascii="Arial" w:hAnsi="Arial" w:cs="Arial"/>
      <w:kern w:val="44"/>
      <w:sz w:val="24"/>
      <w:szCs w:val="21"/>
    </w:rPr>
  </w:style>
  <w:style w:type="character" w:customStyle="1" w:styleId="636">
    <w:name w:val="0我的正文 Char"/>
    <w:basedOn w:val="63"/>
    <w:link w:val="635"/>
    <w:qFormat/>
    <w:uiPriority w:val="0"/>
    <w:rPr>
      <w:rFonts w:ascii="Arial" w:hAnsi="Arial" w:cs="Arial"/>
      <w:kern w:val="44"/>
      <w:sz w:val="24"/>
      <w:szCs w:val="21"/>
    </w:rPr>
  </w:style>
  <w:style w:type="paragraph" w:customStyle="1" w:styleId="637">
    <w:name w:val="1正文"/>
    <w:basedOn w:val="1"/>
    <w:qFormat/>
    <w:uiPriority w:val="0"/>
    <w:pPr>
      <w:ind w:firstLine="200" w:firstLineChars="200"/>
    </w:pPr>
    <w:rPr>
      <w:rFonts w:ascii="宋体" w:hAnsi="宋体"/>
      <w:szCs w:val="28"/>
    </w:rPr>
  </w:style>
  <w:style w:type="paragraph" w:customStyle="1" w:styleId="638">
    <w:name w:val="正文小四"/>
    <w:basedOn w:val="1"/>
    <w:qFormat/>
    <w:uiPriority w:val="0"/>
    <w:pPr>
      <w:widowControl/>
      <w:ind w:firstLine="200" w:firstLineChars="200"/>
      <w:jc w:val="left"/>
    </w:pPr>
  </w:style>
  <w:style w:type="paragraph" w:customStyle="1" w:styleId="639">
    <w:name w:val="正文样式"/>
    <w:basedOn w:val="1"/>
    <w:qFormat/>
    <w:uiPriority w:val="7"/>
    <w:pPr>
      <w:ind w:firstLine="480" w:firstLineChars="200"/>
    </w:pPr>
  </w:style>
  <w:style w:type="character" w:customStyle="1" w:styleId="640">
    <w:name w:val="font61"/>
    <w:basedOn w:val="63"/>
    <w:qFormat/>
    <w:uiPriority w:val="0"/>
    <w:rPr>
      <w:rFonts w:hint="eastAsia" w:ascii="宋体" w:hAnsi="宋体" w:eastAsia="宋体" w:cs="宋体"/>
      <w:color w:val="000000"/>
      <w:sz w:val="18"/>
      <w:szCs w:val="18"/>
      <w:u w:val="none"/>
    </w:rPr>
  </w:style>
  <w:style w:type="character" w:customStyle="1" w:styleId="641">
    <w:name w:val="font51"/>
    <w:basedOn w:val="63"/>
    <w:qFormat/>
    <w:uiPriority w:val="0"/>
    <w:rPr>
      <w:rFonts w:hint="eastAsia" w:ascii="宋体" w:hAnsi="宋体" w:eastAsia="宋体" w:cs="宋体"/>
      <w:color w:val="000000"/>
      <w:sz w:val="18"/>
      <w:szCs w:val="18"/>
      <w:u w:val="none"/>
    </w:rPr>
  </w:style>
  <w:style w:type="character" w:customStyle="1" w:styleId="642">
    <w:name w:val="font122"/>
    <w:basedOn w:val="63"/>
    <w:qFormat/>
    <w:uiPriority w:val="0"/>
    <w:rPr>
      <w:rFonts w:ascii="Arial" w:hAnsi="Arial" w:cs="Arial"/>
      <w:color w:val="000000"/>
      <w:sz w:val="18"/>
      <w:szCs w:val="18"/>
      <w:u w:val="none"/>
    </w:rPr>
  </w:style>
  <w:style w:type="character" w:customStyle="1" w:styleId="643">
    <w:name w:val="font121"/>
    <w:basedOn w:val="63"/>
    <w:qFormat/>
    <w:uiPriority w:val="0"/>
    <w:rPr>
      <w:rFonts w:ascii="Arial" w:hAnsi="Arial" w:cs="Arial"/>
      <w:color w:val="000000"/>
      <w:sz w:val="18"/>
      <w:szCs w:val="18"/>
      <w:u w:val="none"/>
    </w:rPr>
  </w:style>
  <w:style w:type="character" w:customStyle="1" w:styleId="644">
    <w:name w:val="*正文 Char"/>
    <w:link w:val="645"/>
    <w:qFormat/>
    <w:locked/>
    <w:uiPriority w:val="0"/>
    <w:rPr>
      <w:rFonts w:ascii="等线" w:hAnsi="等线"/>
      <w:color w:val="000000"/>
      <w:kern w:val="0"/>
      <w:sz w:val="24"/>
      <w:szCs w:val="28"/>
    </w:rPr>
  </w:style>
  <w:style w:type="paragraph" w:customStyle="1" w:styleId="645">
    <w:name w:val="*正文"/>
    <w:basedOn w:val="1"/>
    <w:next w:val="1"/>
    <w:link w:val="644"/>
    <w:qFormat/>
    <w:uiPriority w:val="0"/>
    <w:pPr>
      <w:tabs>
        <w:tab w:val="left" w:pos="851"/>
      </w:tabs>
      <w:spacing w:line="360" w:lineRule="auto"/>
      <w:ind w:firstLine="560" w:firstLineChars="200"/>
    </w:pPr>
    <w:rPr>
      <w:rFonts w:ascii="等线" w:hAnsi="等线"/>
      <w:color w:val="000000"/>
      <w:kern w:val="0"/>
      <w:sz w:val="24"/>
      <w:szCs w:val="28"/>
    </w:rPr>
  </w:style>
  <w:style w:type="character" w:customStyle="1" w:styleId="646">
    <w:name w:val="NormalCharacter"/>
    <w:semiHidden/>
    <w:qFormat/>
    <w:uiPriority w:val="0"/>
    <w:rPr>
      <w:kern w:val="2"/>
      <w:sz w:val="21"/>
      <w:szCs w:val="24"/>
      <w:lang w:val="en-US" w:eastAsia="zh-CN" w:bidi="ar-SA"/>
    </w:rPr>
  </w:style>
  <w:style w:type="paragraph" w:customStyle="1" w:styleId="647">
    <w:name w:val="PlainText"/>
    <w:basedOn w:val="1"/>
    <w:qFormat/>
    <w:uiPriority w:val="0"/>
    <w:pPr>
      <w:widowControl/>
      <w:adjustRightInd/>
      <w:textAlignment w:val="baseline"/>
    </w:pPr>
    <w:rPr>
      <w:rFonts w:ascii="宋体" w:hAnsi="Courier New"/>
      <w:szCs w:val="21"/>
    </w:rPr>
  </w:style>
  <w:style w:type="paragraph" w:customStyle="1" w:styleId="648">
    <w:name w:val="BodyTextIndent"/>
    <w:basedOn w:val="1"/>
    <w:qFormat/>
    <w:uiPriority w:val="0"/>
    <w:pPr>
      <w:widowControl/>
      <w:adjustRightInd/>
      <w:spacing w:line="480" w:lineRule="exact"/>
      <w:ind w:firstLine="480" w:firstLineChars="200"/>
      <w:textAlignment w:val="baseline"/>
    </w:pPr>
    <w:rPr>
      <w:rFonts w:ascii="宋体" w:hAnsi="宋体"/>
      <w:sz w:val="24"/>
    </w:rPr>
  </w:style>
  <w:style w:type="character" w:customStyle="1" w:styleId="649">
    <w:name w:val="不明显强调2"/>
    <w:qFormat/>
    <w:uiPriority w:val="19"/>
    <w:rPr>
      <w:i/>
      <w:iCs/>
    </w:rPr>
  </w:style>
  <w:style w:type="paragraph" w:customStyle="1" w:styleId="650">
    <w:name w:val="图"/>
    <w:basedOn w:val="1"/>
    <w:qFormat/>
    <w:uiPriority w:val="0"/>
    <w:pPr>
      <w:keepNext/>
      <w:snapToGrid w:val="0"/>
      <w:spacing w:before="60" w:after="60" w:line="300" w:lineRule="auto"/>
      <w:jc w:val="center"/>
    </w:pPr>
    <w:rPr>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24387</Words>
  <Characters>26564</Characters>
  <Lines>208</Lines>
  <Paragraphs>58</Paragraphs>
  <TotalTime>62</TotalTime>
  <ScaleCrop>false</ScaleCrop>
  <LinksUpToDate>false</LinksUpToDate>
  <CharactersWithSpaces>27785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2022-01-27T17:11:00Z</dcterms:created>
  <dc:creator>玥</dc:creator>
  <cp:lastModifiedBy>w</cp:lastModifiedBy>
  <cp:lastPrinted>2022-06-28T04:37:00Z</cp:lastPrinted>
  <dcterms:modified xsi:type="dcterms:W3CDTF">2022-08-03T04:31:00Z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732F65F5489A4DDF8B4D620DDFAA0494</vt:lpwstr>
  </property>
  <property fmtid="{D5CDD505-2E9C-101B-9397-08002B2CF9AE}" pid="4" name="GSEDS_HWMT_d46a6755">
    <vt:lpwstr>f24576d3_mFV3wD84Iyk0PcpOmXv5rvCKapM=_8QYrr15fJDwrPd5Nl3XgrkdDQTbJovTAX4qhl0Au+6SDPqRgQcsRBbmir1b9jTVtovyjBZ52mUE3DgRW4R6aaHJqCiY=_b6e758f2</vt:lpwstr>
  </property>
</Properties>
</file>