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sz w:val="40"/>
        </w:rPr>
      </w:pPr>
      <w:r>
        <w:rPr>
          <w:rFonts w:hint="eastAsia"/>
          <w:sz w:val="40"/>
        </w:rPr>
        <w:t>欢潭未来村庄数字化建设项目</w:t>
      </w:r>
    </w:p>
    <w:p>
      <w:pPr>
        <w:jc w:val="center"/>
        <w:rPr>
          <w:sz w:val="40"/>
        </w:rPr>
      </w:pPr>
      <w:r>
        <w:rPr>
          <w:rFonts w:hint="eastAsia"/>
          <w:sz w:val="40"/>
        </w:rPr>
        <w:t>招标文件</w:t>
      </w:r>
    </w:p>
    <w:p>
      <w:pPr>
        <w:jc w:val="center"/>
        <w:rPr>
          <w:sz w:val="40"/>
        </w:rPr>
      </w:pPr>
      <w:r>
        <w:rPr>
          <w:sz w:val="40"/>
        </w:rPr>
        <w:t>（电子招投标）</w:t>
      </w:r>
    </w:p>
    <w:p>
      <w:pPr>
        <w:jc w:val="center"/>
        <w:rPr>
          <w:rFonts w:hint="eastAsia" w:eastAsia="仿宋"/>
          <w:sz w:val="36"/>
          <w:lang w:eastAsia="zh-CN"/>
        </w:rPr>
      </w:pPr>
      <w:r>
        <w:rPr>
          <w:rFonts w:hint="eastAsia"/>
          <w:sz w:val="36"/>
        </w:rPr>
        <w:t>编号</w:t>
      </w:r>
      <w:r>
        <w:rPr>
          <w:sz w:val="36"/>
        </w:rPr>
        <w:t>:</w:t>
      </w:r>
      <w:r>
        <w:t xml:space="preserve"> </w:t>
      </w:r>
      <w:r>
        <w:rPr>
          <w:rFonts w:hint="eastAsia"/>
          <w:sz w:val="36"/>
          <w:lang w:eastAsia="zh-CN"/>
        </w:rPr>
        <w:t>JHZ-2022-13</w:t>
      </w: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
      <w:pPr>
        <w:jc w:val="center"/>
      </w:pPr>
    </w:p>
    <w:p>
      <w:pPr>
        <w:jc w:val="center"/>
        <w:rPr>
          <w:sz w:val="36"/>
        </w:rPr>
      </w:pPr>
      <w:r>
        <w:rPr>
          <w:rFonts w:hint="eastAsia"/>
          <w:sz w:val="36"/>
        </w:rPr>
        <w:t>杭州市萧山区进化镇人民政府</w:t>
      </w:r>
    </w:p>
    <w:p>
      <w:pPr>
        <w:jc w:val="center"/>
        <w:rPr>
          <w:sz w:val="36"/>
        </w:rPr>
      </w:pPr>
      <w:r>
        <w:rPr>
          <w:rFonts w:hint="eastAsia"/>
          <w:sz w:val="36"/>
        </w:rPr>
        <w:t>浙江经济建设投资咨询中心有限公司</w:t>
      </w:r>
    </w:p>
    <w:p>
      <w:pPr>
        <w:jc w:val="center"/>
        <w:rPr>
          <w:sz w:val="36"/>
        </w:rPr>
      </w:pPr>
      <w:r>
        <w:rPr>
          <w:rFonts w:hint="eastAsia"/>
          <w:sz w:val="36"/>
        </w:rPr>
        <w:t>2022年</w:t>
      </w:r>
      <w:r>
        <w:rPr>
          <w:rFonts w:hint="eastAsia"/>
          <w:sz w:val="36"/>
          <w:lang w:val="en-US" w:eastAsia="zh-CN"/>
        </w:rPr>
        <w:t>0</w:t>
      </w:r>
      <w:r>
        <w:rPr>
          <w:rFonts w:hint="eastAsia"/>
          <w:sz w:val="36"/>
        </w:rPr>
        <w:t>7月</w:t>
      </w:r>
      <w:r>
        <w:rPr>
          <w:rFonts w:hint="eastAsia"/>
          <w:sz w:val="36"/>
          <w:lang w:val="en-US" w:eastAsia="zh-CN"/>
        </w:rPr>
        <w:t>25</w:t>
      </w:r>
      <w:r>
        <w:rPr>
          <w:rFonts w:hint="eastAsia"/>
          <w:sz w:val="36"/>
        </w:rPr>
        <w:t>日</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w:t>
      </w:r>
      <w:r>
        <w:t xml:space="preserve"> </w:t>
      </w:r>
      <w:r>
        <w:rPr>
          <w:rFonts w:hint="eastAsia"/>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u w:val="single"/>
              </w:rPr>
            </w:pPr>
            <w:r>
              <w:rPr>
                <w:rFonts w:hint="eastAsia" w:cs="仿宋_GB2312"/>
                <w:u w:val="single"/>
              </w:rPr>
              <w:t>欢潭未来村庄数字化建设项目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Fonts w:hint="eastAsia"/>
              </w:rPr>
              <w:t>https://www.zcygov.cn/）获取（下载）招标文件，并于</w:t>
            </w:r>
            <w:r>
              <w:rPr>
                <w:rFonts w:hint="eastAsia"/>
                <w:u w:val="single"/>
              </w:rPr>
              <w:t>2022年</w:t>
            </w:r>
            <w:r>
              <w:rPr>
                <w:rFonts w:hint="eastAsia"/>
                <w:u w:val="single"/>
                <w:lang w:val="en-US" w:eastAsia="zh-CN"/>
              </w:rPr>
              <w:t>08</w:t>
            </w:r>
            <w:r>
              <w:rPr>
                <w:rFonts w:hint="eastAsia"/>
                <w:u w:val="single"/>
              </w:rPr>
              <w:t>月</w:t>
            </w:r>
            <w:r>
              <w:rPr>
                <w:rFonts w:hint="eastAsia"/>
                <w:u w:val="single"/>
                <w:lang w:val="en-US" w:eastAsia="zh-CN"/>
              </w:rPr>
              <w:t>15</w:t>
            </w:r>
            <w:r>
              <w:rPr>
                <w:rFonts w:hint="eastAsia"/>
                <w:u w:val="single"/>
              </w:rPr>
              <w:t>日</w:t>
            </w:r>
            <w:r>
              <w:rPr>
                <w:rFonts w:hint="eastAsia"/>
                <w:u w:val="single"/>
                <w:lang w:val="en-US" w:eastAsia="zh-CN"/>
              </w:rPr>
              <w:t>09</w:t>
            </w:r>
            <w:r>
              <w:rPr>
                <w:rFonts w:hint="eastAsia"/>
                <w:u w:val="single"/>
              </w:rPr>
              <w:t>点</w:t>
            </w:r>
            <w:r>
              <w:rPr>
                <w:rFonts w:hint="eastAsia"/>
                <w:u w:val="single"/>
                <w:lang w:val="en-US" w:eastAsia="zh-CN"/>
              </w:rPr>
              <w:t>30</w:t>
            </w:r>
            <w:r>
              <w:rPr>
                <w:rFonts w:hint="eastAsia"/>
                <w:u w:val="single"/>
              </w:rPr>
              <w:t>分00秒</w:t>
            </w:r>
            <w:r>
              <w:rPr>
                <w:rFonts w:hint="eastAsia"/>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pPr>
        <w:rPr>
          <w:rFonts w:hint="eastAsia" w:eastAsia="仿宋"/>
          <w:lang w:eastAsia="zh-CN"/>
        </w:rPr>
      </w:pPr>
      <w:r>
        <w:rPr>
          <w:rFonts w:hint="eastAsia"/>
        </w:rPr>
        <w:t>项目编号：</w:t>
      </w:r>
      <w:r>
        <w:rPr>
          <w:rFonts w:hint="eastAsia"/>
          <w:lang w:eastAsia="zh-CN"/>
        </w:rPr>
        <w:t>JHZ-2022-13</w:t>
      </w:r>
    </w:p>
    <w:p>
      <w:r>
        <w:t>项目名称：</w:t>
      </w:r>
      <w:r>
        <w:rPr>
          <w:rFonts w:hint="eastAsia"/>
        </w:rPr>
        <w:t>欢潭未来村庄数字化建设项目</w:t>
      </w:r>
    </w:p>
    <w:p>
      <w:r>
        <w:t>预算金额（元）：</w:t>
      </w:r>
      <w:r>
        <w:rPr>
          <w:rFonts w:hint="eastAsia"/>
        </w:rPr>
        <w:t>5000000</w:t>
      </w:r>
      <w:r>
        <w:t xml:space="preserve"> </w:t>
      </w:r>
      <w:r>
        <w:rPr>
          <w:rFonts w:hint="eastAsia"/>
        </w:rPr>
        <w:t xml:space="preserve"> </w:t>
      </w:r>
    </w:p>
    <w:p>
      <w:r>
        <w:rPr>
          <w:rFonts w:hint="eastAsia"/>
        </w:rPr>
        <w:t>最高限价（元）：5000000</w:t>
      </w:r>
      <w:r>
        <w:t xml:space="preserve"> </w:t>
      </w:r>
      <w:r>
        <w:rPr>
          <w:rFonts w:hint="eastAsia"/>
        </w:rPr>
        <w:t xml:space="preserve"> </w:t>
      </w:r>
    </w:p>
    <w:p>
      <w:r>
        <w:rPr>
          <w:rFonts w:hint="eastAsia"/>
        </w:rPr>
        <w:t>采购需求：详见招标文件第三部分采购需求。</w:t>
      </w:r>
    </w:p>
    <w:p>
      <w:r>
        <w:rPr>
          <w:rFonts w:hint="eastAsia"/>
        </w:rPr>
        <w:t>合同履约期限：详见采购需求</w:t>
      </w:r>
    </w:p>
    <w:p>
      <w:r>
        <w:rPr>
          <w:rFonts w:hint="eastAsia"/>
        </w:rPr>
        <w:t>本项目接受联合体投标：（√）是；（）否</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（√）无；</w:t>
      </w:r>
    </w:p>
    <w:p>
      <w:r>
        <w:rPr>
          <w:rFonts w:hint="eastAsia"/>
        </w:rPr>
        <w:t>（ ）专门面向中小企业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2022</w:t>
      </w:r>
      <w:r>
        <w:t>年</w:t>
      </w:r>
      <w:r>
        <w:rPr>
          <w:rFonts w:hint="eastAsia"/>
          <w:lang w:val="en-US" w:eastAsia="zh-CN"/>
        </w:rPr>
        <w:t>08</w:t>
      </w:r>
      <w:r>
        <w:t>月</w:t>
      </w:r>
      <w:r>
        <w:rPr>
          <w:rFonts w:hint="eastAsia"/>
          <w:lang w:val="en-US" w:eastAsia="zh-CN"/>
        </w:rPr>
        <w:t>15</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2022</w:t>
      </w:r>
      <w:r>
        <w:t>年</w:t>
      </w:r>
      <w:r>
        <w:rPr>
          <w:rFonts w:hint="eastAsia"/>
          <w:lang w:val="en-US" w:eastAsia="zh-CN"/>
        </w:rPr>
        <w:t>08</w:t>
      </w:r>
      <w:r>
        <w:rPr>
          <w:rFonts w:hint="eastAsia"/>
        </w:rPr>
        <w:t>月</w:t>
      </w:r>
      <w:r>
        <w:rPr>
          <w:rFonts w:hint="eastAsia"/>
          <w:lang w:val="en-US" w:eastAsia="zh-CN"/>
        </w:rPr>
        <w:t>15</w:t>
      </w:r>
      <w:r>
        <w:rPr>
          <w:rFonts w:hint="eastAsia"/>
        </w:rPr>
        <w:t>日</w:t>
      </w:r>
      <w:r>
        <w:rPr>
          <w:rFonts w:hint="eastAsia"/>
          <w:lang w:val="en-US" w:eastAsia="zh-CN"/>
        </w:rPr>
        <w:t>09</w:t>
      </w:r>
      <w:r>
        <w:rPr>
          <w:rFonts w:hint="eastAsia"/>
        </w:rPr>
        <w:t>点</w:t>
      </w:r>
      <w:r>
        <w:rPr>
          <w:rFonts w:hint="eastAsia"/>
          <w:lang w:val="en-US" w:eastAsia="zh-CN"/>
        </w:rPr>
        <w:t>30</w:t>
      </w:r>
      <w:r>
        <w:rPr>
          <w:rFonts w:hint="eastAsia"/>
        </w:rPr>
        <w:t>分 （北京时间）</w:t>
      </w:r>
    </w:p>
    <w:p>
      <w:r>
        <w:rPr>
          <w:rFonts w:hint="eastAsia"/>
        </w:rPr>
        <w:t>投标地点（网址）：政采云平台（</w:t>
      </w:r>
      <w:r>
        <w:t xml:space="preserve">https://www.zcygov.cn/） </w:t>
      </w:r>
    </w:p>
    <w:p>
      <w:r>
        <w:rPr>
          <w:rFonts w:hint="eastAsia"/>
        </w:rPr>
        <w:t>开标时间：2022</w:t>
      </w:r>
      <w:r>
        <w:t>年</w:t>
      </w:r>
      <w:r>
        <w:rPr>
          <w:rFonts w:hint="eastAsia"/>
          <w:lang w:val="en-US" w:eastAsia="zh-CN"/>
        </w:rPr>
        <w:t>08</w:t>
      </w:r>
      <w:r>
        <w:rPr>
          <w:rFonts w:hint="eastAsia"/>
        </w:rPr>
        <w:t>月</w:t>
      </w:r>
      <w:r>
        <w:rPr>
          <w:rFonts w:hint="eastAsia"/>
          <w:lang w:val="en-US" w:eastAsia="zh-CN"/>
        </w:rPr>
        <w:t>15</w:t>
      </w:r>
      <w:r>
        <w:rPr>
          <w:rFonts w:hint="eastAsia"/>
        </w:rPr>
        <w:t>日</w:t>
      </w:r>
      <w:r>
        <w:rPr>
          <w:rFonts w:hint="eastAsia"/>
          <w:lang w:val="en-US" w:eastAsia="zh-CN"/>
        </w:rPr>
        <w:t>09</w:t>
      </w:r>
      <w:r>
        <w:rPr>
          <w:rFonts w:hint="eastAsia"/>
        </w:rPr>
        <w:t>点</w:t>
      </w:r>
      <w:r>
        <w:rPr>
          <w:rFonts w:hint="eastAsia"/>
          <w:lang w:val="en-US" w:eastAsia="zh-CN"/>
        </w:rPr>
        <w:t>30</w:t>
      </w:r>
      <w:r>
        <w:rPr>
          <w:rFonts w:hint="eastAsia"/>
        </w:rPr>
        <w:t>分</w:t>
      </w:r>
      <w:bookmarkStart w:id="530" w:name="_GoBack"/>
      <w:bookmarkEnd w:id="530"/>
      <w:r>
        <w:rPr>
          <w:rFonts w:hint="eastAsia"/>
        </w:rPr>
        <w:t xml:space="preserve"> </w:t>
      </w:r>
    </w:p>
    <w:p>
      <w:r>
        <w:rPr>
          <w:rFonts w:hint="eastAsia"/>
        </w:rPr>
        <w:t>开标地点（网址）：</w:t>
      </w:r>
      <w:r>
        <w:t>政</w:t>
      </w:r>
      <w:r>
        <w:rPr>
          <w:rFonts w:hint="eastAsia"/>
        </w:rPr>
        <w:t>采云平台（</w:t>
      </w:r>
      <w:r>
        <w:t>https://www.zcygov.cn/）</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r>
        <w:rPr>
          <w:rFonts w:hint="eastAsia"/>
        </w:rPr>
        <w:t>1</w:t>
      </w:r>
      <w:r>
        <w:t>.</w:t>
      </w:r>
      <w:r>
        <w:rPr>
          <w:rFonts w:hint="eastAsia"/>
        </w:rPr>
        <w:t>采购人信息</w:t>
      </w:r>
    </w:p>
    <w:p>
      <w:r>
        <w:rPr>
          <w:rFonts w:hint="eastAsia"/>
        </w:rPr>
        <w:t>名 称：杭州市萧山区进化镇人民政府</w:t>
      </w:r>
    </w:p>
    <w:p>
      <w:r>
        <w:rPr>
          <w:rFonts w:hint="eastAsia"/>
        </w:rPr>
        <w:t>地址：杭州市萧山区进化镇葛云飞路998号</w:t>
      </w:r>
    </w:p>
    <w:p>
      <w:r>
        <w:t>项目联系人</w:t>
      </w:r>
      <w:r>
        <w:rPr>
          <w:rFonts w:hint="eastAsia"/>
        </w:rPr>
        <w:t>（询问）：俞晓燕</w:t>
      </w:r>
    </w:p>
    <w:p>
      <w:pPr>
        <w:rPr>
          <w:rFonts w:hint="default" w:eastAsia="仿宋"/>
          <w:lang w:val="en-US" w:eastAsia="zh-CN"/>
        </w:rPr>
      </w:pPr>
      <w:r>
        <w:t>项目联系方式</w:t>
      </w:r>
      <w:r>
        <w:rPr>
          <w:rFonts w:hint="eastAsia"/>
        </w:rPr>
        <w:t>（询问）：</w:t>
      </w:r>
      <w:r>
        <w:rPr>
          <w:rFonts w:hint="eastAsia"/>
          <w:lang w:val="en-US" w:eastAsia="zh-CN"/>
        </w:rPr>
        <w:t>0571-82455211</w:t>
      </w:r>
    </w:p>
    <w:p>
      <w:pPr>
        <w:rPr>
          <w:rFonts w:hint="default" w:eastAsia="仿宋"/>
          <w:highlight w:val="none"/>
          <w:lang w:val="en-US" w:eastAsia="zh-CN"/>
        </w:rPr>
      </w:pPr>
      <w:r>
        <w:rPr>
          <w:rFonts w:hint="eastAsia"/>
          <w:highlight w:val="none"/>
        </w:rPr>
        <w:t>质疑联系人：</w:t>
      </w:r>
      <w:r>
        <w:rPr>
          <w:rFonts w:hint="eastAsia"/>
          <w:highlight w:val="none"/>
          <w:lang w:val="en-US" w:eastAsia="zh-CN"/>
        </w:rPr>
        <w:t>吴华良</w:t>
      </w:r>
    </w:p>
    <w:p>
      <w:pPr>
        <w:rPr>
          <w:rFonts w:hint="default" w:eastAsia="仿宋"/>
          <w:highlight w:val="none"/>
          <w:lang w:val="en-US" w:eastAsia="zh-CN"/>
        </w:rPr>
      </w:pPr>
      <w:r>
        <w:rPr>
          <w:highlight w:val="none"/>
        </w:rPr>
        <w:t>质疑联系方式</w:t>
      </w:r>
      <w:r>
        <w:rPr>
          <w:rFonts w:hint="eastAsia"/>
          <w:highlight w:val="none"/>
        </w:rPr>
        <w:t>：</w:t>
      </w:r>
      <w:bookmarkStart w:id="0" w:name="_Toc28359086"/>
      <w:bookmarkStart w:id="1" w:name="_Toc28359009"/>
      <w:r>
        <w:rPr>
          <w:rFonts w:hint="eastAsia"/>
          <w:highlight w:val="none"/>
          <w:lang w:val="en-US" w:eastAsia="zh-CN"/>
        </w:rPr>
        <w:t>0571-82453802</w:t>
      </w:r>
    </w:p>
    <w:p>
      <w:r>
        <w:rPr>
          <w:rFonts w:hint="eastAsia"/>
        </w:rPr>
        <w:t>2</w:t>
      </w:r>
      <w:r>
        <w:t>.</w:t>
      </w:r>
      <w:r>
        <w:rPr>
          <w:rFonts w:hint="eastAsia"/>
        </w:rPr>
        <w:t>采购代理机构信息</w:t>
      </w:r>
      <w:bookmarkEnd w:id="0"/>
      <w:bookmarkEnd w:id="1"/>
    </w:p>
    <w:p>
      <w:r>
        <w:rPr>
          <w:rFonts w:hint="eastAsia"/>
        </w:rPr>
        <w:t>名 称：浙江经济建设投资咨询中心有限公司</w:t>
      </w:r>
    </w:p>
    <w:p>
      <w:r>
        <w:rPr>
          <w:rFonts w:hint="eastAsia"/>
        </w:rPr>
        <w:t>地址：杭州市萧山区民营企业大厦A座12楼1201</w:t>
      </w:r>
    </w:p>
    <w:p>
      <w:r>
        <w:rPr>
          <w:rFonts w:hint="eastAsia"/>
        </w:rPr>
        <w:t>项目联系人（询问）：高杰</w:t>
      </w:r>
    </w:p>
    <w:p>
      <w:r>
        <w:rPr>
          <w:rFonts w:hint="eastAsia"/>
        </w:rPr>
        <w:t>项目联系方式（询问）：13867138864</w:t>
      </w:r>
    </w:p>
    <w:p>
      <w:r>
        <w:rPr>
          <w:rFonts w:hint="eastAsia"/>
        </w:rPr>
        <w:t>质疑联系人：李伟军</w:t>
      </w:r>
    </w:p>
    <w:p>
      <w:r>
        <w:rPr>
          <w:rFonts w:hint="eastAsia"/>
        </w:rPr>
        <w:t>质疑联系方式：13819189068</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pPr>
      <w:r>
        <w:rPr>
          <w:rFonts w:hint="eastAsia"/>
        </w:rPr>
        <w:t>第二部分</w:t>
      </w:r>
      <w:r>
        <w:t xml:space="preserve"> 投标人须知</w:t>
      </w:r>
    </w:p>
    <w:p>
      <w:pPr>
        <w:pStyle w:val="4"/>
      </w:pPr>
      <w:r>
        <w:rPr>
          <w:rFonts w:hint="eastAsia"/>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w:t>
            </w:r>
            <w:r>
              <w:rPr>
                <w:rFonts w:hint="eastAsia"/>
              </w:rPr>
              <w:t xml:space="preserve">√ </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（1）标的：欢潭未来村庄数字化建设项目，属于软件和信息技术服务业行业；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w:t>
            </w:r>
            <w:r>
              <w:rPr>
                <w:rFonts w:hint="eastAsia"/>
              </w:rPr>
              <w:t>√</w:t>
            </w:r>
            <w:r>
              <w:rPr>
                <w:rFonts w:hint="eastAsia" w:cs="仿宋"/>
                <w:sz w:val="22"/>
              </w:rPr>
              <w:t>)</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分包</w:t>
            </w:r>
          </w:p>
        </w:tc>
        <w:tc>
          <w:tcPr>
            <w:tcW w:w="3867" w:type="pct"/>
            <w:vAlign w:val="center"/>
          </w:tcPr>
          <w:p>
            <w:pPr>
              <w:spacing w:after="0"/>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rPr>
                <w:color w:val="0000FF"/>
                <w:sz w:val="22"/>
              </w:rPr>
            </w:pPr>
            <w:r>
              <w:rPr>
                <w:rFonts w:hint="eastAsia"/>
                <w:bCs/>
                <w:sz w:val="22"/>
              </w:rPr>
              <w:t>（√）B要求演示，</w:t>
            </w:r>
          </w:p>
          <w:p>
            <w:pPr>
              <w:spacing w:after="0" w:line="360" w:lineRule="auto"/>
              <w:rPr>
                <w:color w:val="0000FF"/>
                <w:sz w:val="22"/>
              </w:rPr>
            </w:pPr>
            <w:r>
              <w:rPr>
                <w:rFonts w:hint="eastAsia"/>
                <w:color w:val="0000FF"/>
                <w:sz w:val="22"/>
              </w:rPr>
              <w:t>以录屏方式演示。演示内容以U盘形式提供，演示时长不超过20分钟，提交方式如下：</w:t>
            </w:r>
          </w:p>
          <w:p>
            <w:pPr>
              <w:spacing w:after="0" w:line="360" w:lineRule="auto"/>
              <w:rPr>
                <w:rFonts w:hint="eastAsia"/>
                <w:color w:val="0000FF"/>
                <w:sz w:val="22"/>
              </w:rPr>
            </w:pPr>
            <w:r>
              <w:rPr>
                <w:rFonts w:hint="eastAsia"/>
                <w:color w:val="0000FF"/>
                <w:sz w:val="22"/>
              </w:rPr>
              <w:t>（一）现场提交</w:t>
            </w:r>
          </w:p>
          <w:p>
            <w:pPr>
              <w:spacing w:after="0" w:line="360" w:lineRule="auto"/>
              <w:rPr>
                <w:color w:val="0000FF"/>
                <w:sz w:val="22"/>
              </w:rPr>
            </w:pPr>
            <w:r>
              <w:rPr>
                <w:rFonts w:hint="eastAsia"/>
                <w:color w:val="0000FF"/>
                <w:sz w:val="22"/>
              </w:rPr>
              <w:t>开标当天8：30分至9：30分，提交演示U盘（需密封，密封袋上需标注项目名称、项目编号、投标人名称并加盖公章）到杭州市萧山区进化镇人民政府3楼313会议室。</w:t>
            </w:r>
          </w:p>
          <w:p>
            <w:pPr>
              <w:spacing w:after="0" w:line="360" w:lineRule="auto"/>
              <w:rPr>
                <w:color w:val="0000FF"/>
                <w:sz w:val="22"/>
              </w:rPr>
            </w:pPr>
            <w:r>
              <w:rPr>
                <w:rFonts w:hint="eastAsia"/>
                <w:color w:val="0000FF"/>
                <w:sz w:val="22"/>
              </w:rPr>
              <w:t>请提交人做好疫情防控，进场时戴好口罩，出示健康码。</w:t>
            </w:r>
          </w:p>
          <w:p>
            <w:pPr>
              <w:spacing w:after="0" w:line="360" w:lineRule="auto"/>
              <w:rPr>
                <w:rFonts w:hint="eastAsia"/>
                <w:color w:val="0000FF"/>
                <w:sz w:val="22"/>
              </w:rPr>
            </w:pPr>
            <w:r>
              <w:rPr>
                <w:rFonts w:hint="eastAsia"/>
                <w:color w:val="0000FF"/>
                <w:sz w:val="22"/>
              </w:rPr>
              <w:t>（二）邮寄</w:t>
            </w:r>
          </w:p>
          <w:p>
            <w:pPr>
              <w:spacing w:after="0" w:line="360" w:lineRule="auto"/>
            </w:pPr>
            <w:r>
              <w:rPr>
                <w:rFonts w:hint="eastAsia"/>
                <w:color w:val="0000FF"/>
                <w:sz w:val="22"/>
              </w:rPr>
              <w:t>演示内容以U盘形式邮寄，投标人可在投标截止时间前将视频文件装袋密封后邮寄至浙江经济建设投资咨询中心有限公司，密封袋上需标注项目名称、项目编号、投标人名称并加盖公章（地址：杭州市萧山区民营企业大厦</w:t>
            </w:r>
            <w:r>
              <w:rPr>
                <w:color w:val="0000FF"/>
                <w:sz w:val="22"/>
              </w:rPr>
              <w:t>A座12楼1201</w:t>
            </w:r>
            <w:r>
              <w:rPr>
                <w:rFonts w:hint="eastAsia"/>
                <w:color w:val="0000FF"/>
                <w:sz w:val="22"/>
              </w:rPr>
              <w:t>），收件人：高先生，联系电话：</w:t>
            </w:r>
            <w:r>
              <w:rPr>
                <w:color w:val="0000FF"/>
                <w:sz w:val="22"/>
              </w:rPr>
              <w:t>13867138864</w:t>
            </w:r>
            <w:r>
              <w:rPr>
                <w:rFonts w:hint="eastAsia"/>
                <w:color w:val="0000FF"/>
                <w:sz w:val="22"/>
              </w:rPr>
              <w:t>，快递以签收时间为准）。邮寄公司推荐采用EMS或顺丰，快递费用由投标供应商承担，如投标供应商选择快递费到付，机构将拒签并退回，逾期送达或未密封的将被拒收。</w:t>
            </w:r>
            <w:r>
              <w:rPr>
                <w:rFonts w:hint="eastAsia"/>
                <w:sz w:val="22"/>
              </w:rPr>
              <w:t>注：因投标人自身原因导致无法按时提交U盘演示或者演示效果不理想的，责任自负。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line="360" w:lineRule="auto"/>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line="360" w:lineRule="auto"/>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line="360" w:lineRule="auto"/>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pPr>
            <w:r>
              <w:rPr>
                <w:rFonts w:hint="eastAsia" w:cs="Arial"/>
                <w:bCs/>
                <w:color w:val="000000"/>
                <w:sz w:val="22"/>
              </w:rPr>
              <w:t>资格文件、商务技术文件与报价文件未分开制作</w:t>
            </w:r>
            <w:r>
              <w:rPr>
                <w:rFonts w:hint="eastAsia"/>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9"/>
                <w:rFonts w:ascii="仿宋" w:hAnsi="仿宋" w:eastAsia="仿宋" w:cstheme="majorBidi"/>
                <w:snapToGrid/>
                <w:sz w:val="22"/>
                <w:szCs w:val="24"/>
              </w:rPr>
              <w:t>http://www.xiaoshan.gov.cn/art/2018/12/20/art_1229293109_1559514.html</w:t>
            </w:r>
            <w:r>
              <w:rPr>
                <w:rStyle w:val="29"/>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pStyle w:val="16"/>
              <w:spacing w:line="360" w:lineRule="auto"/>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rPr>
                <w:highlight w:val="none"/>
              </w:rPr>
            </w:pPr>
            <w:r>
              <w:rPr>
                <w:rFonts w:hint="eastAsia"/>
                <w:b/>
                <w:color w:val="0000FF"/>
                <w:sz w:val="22"/>
                <w:highlight w:val="none"/>
              </w:rPr>
              <w:t>采购机构代理费用</w:t>
            </w:r>
          </w:p>
        </w:tc>
        <w:tc>
          <w:tcPr>
            <w:tcW w:w="3867" w:type="pct"/>
            <w:vAlign w:val="center"/>
          </w:tcPr>
          <w:p>
            <w:pPr>
              <w:spacing w:after="0"/>
              <w:rPr>
                <w:highlight w:val="none"/>
              </w:rPr>
            </w:pPr>
            <w:r>
              <w:rPr>
                <w:rFonts w:hint="eastAsia"/>
                <w:color w:val="0000FF"/>
                <w:sz w:val="22"/>
                <w:highlight w:val="none"/>
              </w:rPr>
              <w:t>本项目采购代理费28200由中标人支付。采购代理费用由中标人领取成交通知书前向采购代理机构支付。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16"/>
              <w:spacing w:line="360" w:lineRule="auto"/>
              <w:ind w:hanging="4"/>
              <w:rPr>
                <w:rFonts w:ascii="仿宋" w:hAnsi="仿宋" w:eastAsia="仿宋"/>
                <w:color w:val="0000FF"/>
                <w:sz w:val="22"/>
              </w:rPr>
            </w:pPr>
            <w:r>
              <w:rPr>
                <w:rFonts w:hint="eastAsia" w:ascii="仿宋" w:hAnsi="仿宋" w:eastAsia="仿宋"/>
                <w:color w:val="0000FF"/>
                <w:sz w:val="22"/>
              </w:rPr>
              <w:t>履约保证金：收取1%，合同签订后支付，履约完成后无息退还。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w:t>
            </w:r>
            <w:r>
              <w:rPr>
                <w:rFonts w:cs="仿宋_GB2312"/>
                <w:color w:val="0000FF"/>
                <w:sz w:val="22"/>
              </w:rPr>
              <w:t>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rPr>
                <w:rFonts w:cs="仿宋"/>
                <w:u w:val="single"/>
              </w:rPr>
            </w:pPr>
            <w:r>
              <w:rPr>
                <w:rFonts w:hint="eastAsia" w:cs="仿宋"/>
              </w:rPr>
              <w:t>采购人</w:t>
            </w:r>
            <w:r>
              <w:rPr>
                <w:rFonts w:hint="eastAsia" w:cs="仿宋"/>
                <w:highlight w:val="none"/>
              </w:rPr>
              <w:t>质疑接收人：</w:t>
            </w:r>
            <w:r>
              <w:rPr>
                <w:rFonts w:hint="eastAsia" w:cs="仿宋"/>
                <w:highlight w:val="none"/>
                <w:u w:val="single"/>
              </w:rPr>
              <w:t>吴华良</w:t>
            </w:r>
            <w:r>
              <w:rPr>
                <w:rFonts w:hint="eastAsia" w:cs="仿宋"/>
                <w:highlight w:val="none"/>
              </w:rPr>
              <w:t xml:space="preserve"> </w:t>
            </w:r>
            <w:r>
              <w:rPr>
                <w:rFonts w:hint="eastAsia" w:cs="仿宋"/>
                <w:highlight w:val="none"/>
                <w:lang w:val="en-US" w:eastAsia="zh-CN"/>
              </w:rPr>
              <w:t xml:space="preserve"> </w:t>
            </w:r>
            <w:r>
              <w:rPr>
                <w:rFonts w:hint="eastAsia" w:cs="仿宋"/>
                <w:highlight w:val="none"/>
              </w:rPr>
              <w:t>联系方式：</w:t>
            </w:r>
            <w:r>
              <w:rPr>
                <w:rFonts w:hint="eastAsia" w:cs="仿宋"/>
                <w:highlight w:val="none"/>
                <w:u w:val="single"/>
              </w:rPr>
              <w:t>0571-82453802</w:t>
            </w:r>
          </w:p>
          <w:p>
            <w:pPr>
              <w:snapToGrid w:val="0"/>
              <w:spacing w:after="0"/>
              <w:rPr>
                <w:rFonts w:cs="仿宋"/>
                <w:u w:val="single"/>
              </w:rPr>
            </w:pPr>
            <w:r>
              <w:rPr>
                <w:rFonts w:hint="eastAsia" w:cs="仿宋"/>
              </w:rPr>
              <w:t>地址：</w:t>
            </w:r>
            <w:r>
              <w:rPr>
                <w:rFonts w:hint="eastAsia" w:cs="仿宋"/>
                <w:u w:val="single"/>
              </w:rPr>
              <w:t>杭州市萧山区进化镇葛云飞路998</w:t>
            </w:r>
          </w:p>
          <w:p>
            <w:pPr>
              <w:snapToGrid w:val="0"/>
              <w:spacing w:after="0"/>
              <w:rPr>
                <w:rFonts w:cs="仿宋"/>
                <w:u w:val="single"/>
              </w:rPr>
            </w:pPr>
            <w:r>
              <w:rPr>
                <w:rFonts w:hint="eastAsia" w:cs="仿宋"/>
              </w:rPr>
              <w:t>采购机构质疑接收人</w:t>
            </w:r>
            <w:r>
              <w:rPr>
                <w:rFonts w:hint="eastAsia" w:cs="仿宋"/>
                <w:u w:val="single"/>
              </w:rPr>
              <w:t xml:space="preserve">：李伟军 </w:t>
            </w:r>
            <w:r>
              <w:rPr>
                <w:rFonts w:hint="eastAsia" w:cs="仿宋"/>
              </w:rPr>
              <w:t>联系方式：</w:t>
            </w:r>
            <w:r>
              <w:rPr>
                <w:rFonts w:hint="eastAsia" w:cs="仿宋"/>
                <w:u w:val="single"/>
              </w:rPr>
              <w:t xml:space="preserve"> 13819189068</w:t>
            </w:r>
          </w:p>
          <w:p>
            <w:pPr>
              <w:snapToGrid w:val="0"/>
              <w:spacing w:after="0"/>
              <w:rPr>
                <w:rFonts w:cs="仿宋"/>
                <w:u w:val="single"/>
              </w:rPr>
            </w:pPr>
            <w:r>
              <w:rPr>
                <w:rFonts w:hint="eastAsia" w:cs="仿宋"/>
                <w:u w:val="single"/>
              </w:rPr>
              <w:t xml:space="preserve">地址：杭州市萧山区民营企业大厦A座12楼1201    </w:t>
            </w:r>
          </w:p>
          <w:p>
            <w:pPr>
              <w:snapToGrid w:val="0"/>
              <w:spacing w:after="0"/>
              <w:rPr>
                <w:rFonts w:cs="仿宋"/>
                <w:u w:val="single"/>
              </w:rPr>
            </w:pPr>
            <w:r>
              <w:rPr>
                <w:rFonts w:hint="eastAsia" w:cs="仿宋"/>
                <w:u w:val="single"/>
              </w:rPr>
              <w:t>邮箱：</w:t>
            </w:r>
            <w:r>
              <w:fldChar w:fldCharType="begin"/>
            </w:r>
            <w:r>
              <w:instrText xml:space="preserve"> HYPERLINK "mailto:249268371@qq.com" </w:instrText>
            </w:r>
            <w:r>
              <w:fldChar w:fldCharType="separate"/>
            </w:r>
            <w:r>
              <w:rPr>
                <w:rFonts w:hint="eastAsia" w:cs="仿宋"/>
                <w:u w:val="single"/>
              </w:rPr>
              <w:t>343441369@qq.com</w:t>
            </w:r>
            <w:r>
              <w:rPr>
                <w:rFonts w:hint="eastAsia" w:cs="仿宋"/>
                <w:u w:val="single"/>
              </w:rPr>
              <w:fldChar w:fldCharType="end"/>
            </w:r>
          </w:p>
          <w:p>
            <w:pPr>
              <w:snapToGrid w:val="0"/>
              <w:spacing w:after="0"/>
              <w:rPr>
                <w:rFonts w:cs="仿宋"/>
                <w:b/>
              </w:rPr>
            </w:pPr>
            <w:r>
              <w:rPr>
                <w:rFonts w:hint="eastAsia" w:cs="仿宋"/>
                <w:b/>
              </w:rPr>
              <w:t>如通过邮箱方式发送质疑，须提交符合法规及招标文件要求的质疑文件（参考附件2），盖章扫描后发送，质疑的受理按答复主体划分以采购人或采购机构邮箱回复确认受理为准。</w:t>
            </w:r>
          </w:p>
          <w:p>
            <w:pPr>
              <w:snapToGrid w:val="0"/>
              <w:spacing w:after="0"/>
              <w:rPr>
                <w:rFonts w:cs="仿宋"/>
              </w:rPr>
            </w:pPr>
            <w:r>
              <w:rPr>
                <w:rFonts w:hint="eastAsia" w:cs="仿宋"/>
              </w:rPr>
              <w:t>本项目涉及资格条件、采购需求、评分办法及采购过程中有关现场考察或开标前答疑会事项由采购人进行答复。</w:t>
            </w:r>
          </w:p>
          <w:p>
            <w:pPr>
              <w:spacing w:after="0"/>
            </w:pPr>
            <w:r>
              <w:rPr>
                <w:rFonts w:hint="eastAsia" w:cs="仿宋"/>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4"/>
      </w:pPr>
      <w:r>
        <w:rPr>
          <w:rFonts w:hint="eastAsia"/>
        </w:rPr>
        <w:t>一、总则</w:t>
      </w:r>
    </w:p>
    <w:p>
      <w:pPr>
        <w:pStyle w:val="2"/>
      </w:pPr>
      <w:r>
        <w:t>1. 适用范围</w:t>
      </w:r>
    </w:p>
    <w:p>
      <w:r>
        <w:rPr>
          <w:rFonts w:hint="eastAsia"/>
        </w:rPr>
        <w:t>本招标文件适用于该项目的招标、投标、开标、资格审查及信用信息查询、评标、定标、合同、验收等行为（法律、法规另有规定的，从其规定）。</w:t>
      </w:r>
    </w:p>
    <w:p>
      <w:pPr>
        <w:pStyle w:val="2"/>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2"/>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2"/>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2"/>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2"/>
      </w:pPr>
      <w:r>
        <w:t>7. 招标文件的获取</w:t>
      </w:r>
    </w:p>
    <w:p>
      <w:r>
        <w:rPr>
          <w:rFonts w:hint="eastAsia"/>
        </w:rPr>
        <w:t>详见招标公告中获取招标文件的时间期限、地点、方式及招标文件售价。</w:t>
      </w:r>
    </w:p>
    <w:p>
      <w:pPr>
        <w:pStyle w:val="2"/>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2"/>
      </w:pPr>
      <w:r>
        <w:t>9.投标保证金</w:t>
      </w:r>
    </w:p>
    <w:p>
      <w:r>
        <w:rPr>
          <w:rFonts w:hint="eastAsia"/>
        </w:rPr>
        <w:t>本项目不需缴纳投标保证金。</w:t>
      </w:r>
    </w:p>
    <w:p>
      <w:pPr>
        <w:pStyle w:val="2"/>
      </w:pPr>
      <w:r>
        <w:t>10. 投标文件的语言</w:t>
      </w:r>
    </w:p>
    <w:p>
      <w:r>
        <w:rPr>
          <w:rFonts w:hint="eastAsia"/>
        </w:rPr>
        <w:t>投标文件及投标人与采购有关的来往通知、函件和文件均应使用中文。</w:t>
      </w:r>
    </w:p>
    <w:p>
      <w:pPr>
        <w:pStyle w:val="2"/>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2"/>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2"/>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2"/>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2"/>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2"/>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2"/>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2"/>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2"/>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2"/>
      </w:pPr>
      <w:r>
        <w:t>22. 确定中标供应商</w:t>
      </w:r>
    </w:p>
    <w:p>
      <w:r>
        <w:rPr>
          <w:rFonts w:hint="eastAsia"/>
        </w:rPr>
        <w:t>采购人将自收到评审报告之日起</w:t>
      </w:r>
      <w:r>
        <w:t>5个工作日内通过电子交易平台在评审报告推荐的中标候选人中按顺序确定中标供应商。</w:t>
      </w:r>
    </w:p>
    <w:p>
      <w:pPr>
        <w:pStyle w:val="2"/>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2"/>
      </w:pPr>
      <w:r>
        <w:t>24. 合同主要条款详见第五部分拟签订的合同文本。</w:t>
      </w:r>
    </w:p>
    <w:p>
      <w:pPr>
        <w:pStyle w:val="2"/>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2"/>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2"/>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2"/>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78"/>
        </w:rPr>
      </w:pPr>
      <w:r>
        <w:rPr>
          <w:rStyle w:val="78"/>
          <w:rFonts w:hint="eastAsia"/>
        </w:rPr>
        <w:t>属于实质性要求条款的，请用符号“▲”标明，否则属于非实质性要求。</w:t>
      </w:r>
    </w:p>
    <w:p>
      <w:pPr>
        <w:snapToGrid w:val="0"/>
        <w:rPr>
          <w:rStyle w:val="78"/>
        </w:rPr>
      </w:pPr>
      <w:r>
        <w:rPr>
          <w:rStyle w:val="78"/>
          <w:rFonts w:hint="eastAsia"/>
        </w:rPr>
        <w:t>“★”系产品采购项目中单一产品或核心产品。</w:t>
      </w:r>
    </w:p>
    <w:p>
      <w:pPr>
        <w:pStyle w:val="4"/>
        <w:numPr>
          <w:ilvl w:val="0"/>
          <w:numId w:val="1"/>
        </w:numPr>
      </w:pPr>
      <w:r>
        <w:t>招标一览表</w:t>
      </w:r>
    </w:p>
    <w:p>
      <w:pPr>
        <w:tabs>
          <w:tab w:val="left" w:pos="0"/>
        </w:tabs>
        <w:spacing w:line="360" w:lineRule="auto"/>
        <w:rPr>
          <w:rFonts w:cs="仿宋"/>
        </w:rPr>
      </w:pPr>
      <w:r>
        <w:rPr>
          <w:rFonts w:hint="eastAsia" w:cs="仿宋"/>
        </w:rPr>
        <w:t>标项：</w:t>
      </w:r>
      <w:r>
        <w:rPr>
          <w:rFonts w:hint="eastAsia" w:cs="仿宋"/>
          <w:u w:val="single"/>
        </w:rPr>
        <w:t xml:space="preserve"> 1 </w:t>
      </w:r>
    </w:p>
    <w:tbl>
      <w:tblPr>
        <w:tblStyle w:val="24"/>
        <w:tblpPr w:leftFromText="180" w:rightFromText="180" w:vertAnchor="text" w:horzAnchor="page" w:tblpX="1792" w:tblpY="368"/>
        <w:tblOverlap w:val="never"/>
        <w:tblW w:w="8500" w:type="dxa"/>
        <w:jc w:val="center"/>
        <w:tblLayout w:type="fixed"/>
        <w:tblCellMar>
          <w:top w:w="0" w:type="dxa"/>
          <w:left w:w="0" w:type="dxa"/>
          <w:bottom w:w="0" w:type="dxa"/>
          <w:right w:w="0" w:type="dxa"/>
        </w:tblCellMar>
      </w:tblPr>
      <w:tblGrid>
        <w:gridCol w:w="766"/>
        <w:gridCol w:w="3099"/>
        <w:gridCol w:w="1890"/>
        <w:gridCol w:w="855"/>
        <w:gridCol w:w="915"/>
        <w:gridCol w:w="975"/>
      </w:tblGrid>
      <w:tr>
        <w:tblPrEx>
          <w:tblCellMar>
            <w:top w:w="0" w:type="dxa"/>
            <w:left w:w="0" w:type="dxa"/>
            <w:bottom w:w="0" w:type="dxa"/>
            <w:right w:w="0" w:type="dxa"/>
          </w:tblCellMar>
        </w:tblPrEx>
        <w:trPr>
          <w:cantSplit/>
          <w:trHeight w:val="518"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标项</w:t>
            </w:r>
          </w:p>
        </w:tc>
        <w:tc>
          <w:tcPr>
            <w:tcW w:w="3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名称</w:t>
            </w:r>
          </w:p>
        </w:tc>
        <w:tc>
          <w:tcPr>
            <w:tcW w:w="18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服务要求</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单位</w:t>
            </w:r>
          </w:p>
        </w:tc>
        <w:tc>
          <w:tcPr>
            <w:tcW w:w="9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数量</w:t>
            </w:r>
          </w:p>
        </w:tc>
        <w:tc>
          <w:tcPr>
            <w:tcW w:w="975" w:type="dxa"/>
            <w:tcBorders>
              <w:top w:val="single" w:color="auto" w:sz="4" w:space="0"/>
              <w:left w:val="nil"/>
              <w:bottom w:val="single" w:color="auto" w:sz="4" w:space="0"/>
              <w:right w:val="single" w:color="auto" w:sz="4" w:space="0"/>
            </w:tcBorders>
            <w:vAlign w:val="center"/>
          </w:tcPr>
          <w:p>
            <w:pPr>
              <w:jc w:val="center"/>
              <w:rPr>
                <w:rFonts w:cs="仿宋"/>
                <w:bCs/>
              </w:rPr>
            </w:pPr>
            <w:r>
              <w:rPr>
                <w:rFonts w:hint="eastAsia" w:cs="仿宋"/>
                <w:bCs/>
              </w:rPr>
              <w:t>备注</w:t>
            </w:r>
          </w:p>
        </w:tc>
      </w:tr>
      <w:tr>
        <w:tblPrEx>
          <w:tblCellMar>
            <w:top w:w="0" w:type="dxa"/>
            <w:left w:w="0" w:type="dxa"/>
            <w:bottom w:w="0" w:type="dxa"/>
            <w:right w:w="0" w:type="dxa"/>
          </w:tblCellMar>
        </w:tblPrEx>
        <w:trPr>
          <w:cantSplit/>
          <w:trHeight w:val="693"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rPr>
              <w:t>1</w:t>
            </w:r>
          </w:p>
        </w:tc>
        <w:tc>
          <w:tcPr>
            <w:tcW w:w="3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欢潭未来村庄数字化建设项目</w:t>
            </w:r>
          </w:p>
        </w:tc>
        <w:tc>
          <w:tcPr>
            <w:tcW w:w="18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rPr>
              <w:t>详见招标需求</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项</w:t>
            </w:r>
          </w:p>
        </w:tc>
        <w:tc>
          <w:tcPr>
            <w:tcW w:w="9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cs="仿宋"/>
                <w:bCs/>
              </w:rPr>
            </w:pPr>
            <w:r>
              <w:rPr>
                <w:rFonts w:hint="eastAsia" w:cs="仿宋"/>
                <w:position w:val="-6"/>
              </w:rPr>
              <w:t>1</w:t>
            </w:r>
          </w:p>
        </w:tc>
        <w:tc>
          <w:tcPr>
            <w:tcW w:w="975" w:type="dxa"/>
            <w:tcBorders>
              <w:top w:val="single" w:color="auto" w:sz="4" w:space="0"/>
              <w:left w:val="nil"/>
              <w:bottom w:val="single" w:color="auto" w:sz="4" w:space="0"/>
              <w:right w:val="single" w:color="auto" w:sz="4" w:space="0"/>
            </w:tcBorders>
            <w:vAlign w:val="center"/>
          </w:tcPr>
          <w:p>
            <w:pPr>
              <w:jc w:val="center"/>
              <w:rPr>
                <w:rFonts w:cs="仿宋"/>
                <w:bCs/>
              </w:rPr>
            </w:pPr>
          </w:p>
        </w:tc>
      </w:tr>
    </w:tbl>
    <w:p>
      <w:pPr>
        <w:spacing w:line="276" w:lineRule="auto"/>
        <w:jc w:val="center"/>
        <w:rPr>
          <w:rFonts w:cs="仿宋"/>
          <w:b/>
          <w:bCs/>
        </w:rPr>
      </w:pPr>
    </w:p>
    <w:p>
      <w:pPr>
        <w:numPr>
          <w:ilvl w:val="0"/>
          <w:numId w:val="1"/>
        </w:numPr>
        <w:spacing w:line="276" w:lineRule="auto"/>
        <w:jc w:val="center"/>
        <w:rPr>
          <w:rFonts w:cs="仿宋"/>
        </w:rPr>
      </w:pPr>
      <w:r>
        <w:rPr>
          <w:rFonts w:hint="eastAsia" w:cs="仿宋"/>
          <w:b/>
          <w:bCs/>
        </w:rPr>
        <w:t>招标需求</w:t>
      </w:r>
    </w:p>
    <w:p>
      <w:pPr>
        <w:keepNext/>
        <w:keepLines/>
        <w:numPr>
          <w:ilvl w:val="0"/>
          <w:numId w:val="2"/>
        </w:numPr>
        <w:tabs>
          <w:tab w:val="left" w:pos="840"/>
        </w:tabs>
        <w:spacing w:before="260" w:after="260"/>
        <w:outlineLvl w:val="1"/>
        <w:rPr>
          <w:rFonts w:cs="仿宋"/>
          <w:b/>
          <w:bCs/>
        </w:rPr>
      </w:pPr>
      <w:bookmarkStart w:id="2" w:name="_Toc23682691"/>
      <w:r>
        <w:rPr>
          <w:rFonts w:hint="eastAsia" w:cs="仿宋"/>
          <w:b/>
          <w:bCs/>
        </w:rPr>
        <w:t>项目概述</w:t>
      </w:r>
    </w:p>
    <w:bookmarkEnd w:id="2"/>
    <w:p>
      <w:pPr>
        <w:keepNext/>
        <w:keepLines/>
        <w:numPr>
          <w:ilvl w:val="1"/>
          <w:numId w:val="2"/>
        </w:numPr>
        <w:tabs>
          <w:tab w:val="left" w:pos="840"/>
        </w:tabs>
        <w:spacing w:before="260" w:after="260"/>
        <w:outlineLvl w:val="2"/>
        <w:rPr>
          <w:rFonts w:cs="仿宋"/>
          <w:b/>
          <w:bCs/>
        </w:rPr>
      </w:pPr>
      <w:r>
        <w:rPr>
          <w:rFonts w:hint="eastAsia" w:cs="仿宋"/>
          <w:b/>
          <w:bCs/>
        </w:rPr>
        <w:t>项目建设目标</w:t>
      </w:r>
    </w:p>
    <w:p>
      <w:pPr>
        <w:pStyle w:val="23"/>
        <w:snapToGrid w:val="0"/>
        <w:spacing w:after="0"/>
        <w:ind w:firstLine="480" w:firstLineChars="200"/>
        <w:rPr>
          <w:rFonts w:cs="仿宋"/>
        </w:rPr>
      </w:pPr>
      <w:r>
        <w:rPr>
          <w:rFonts w:hint="eastAsia" w:cs="仿宋"/>
        </w:rPr>
        <w:t>本项目在共同富裕、乡村振兴、未来乡村的政策指导下，在欢潭村美丽乡村建设基础上，依托城市大脑·萧山平台区、镇、村一体化架构，建立“城市大脑+未来乡村”创新建设模式，以文明善治、数字乡村、共同富裕为核心目标，推进线上线下服务融合，创建数字化欢潭，着力实现“幼有所育、学有所教、劳有所得、住有所居、文有所化、体有所健、游有所乐、病有所医、老有所养、弱有所扶、事有所便”，最终将欢潭村打造成新时代“党政统领、数字为基、公益组织参与、邻里互帮互助”的“共治、共享、共富”的未来乡村新样板，全面提升人民群众的获得感、幸福感和安全感。</w:t>
      </w:r>
    </w:p>
    <w:p>
      <w:pPr>
        <w:keepNext/>
        <w:keepLines/>
        <w:numPr>
          <w:ilvl w:val="1"/>
          <w:numId w:val="2"/>
        </w:numPr>
        <w:tabs>
          <w:tab w:val="left" w:pos="840"/>
        </w:tabs>
        <w:spacing w:before="260" w:after="260"/>
        <w:outlineLvl w:val="2"/>
        <w:rPr>
          <w:rFonts w:cs="仿宋"/>
          <w:b/>
          <w:bCs/>
        </w:rPr>
      </w:pPr>
      <w:r>
        <w:rPr>
          <w:rFonts w:hint="eastAsia" w:cs="仿宋"/>
          <w:b/>
          <w:bCs/>
        </w:rPr>
        <w:t>项目建设内容</w:t>
      </w:r>
    </w:p>
    <w:p>
      <w:pPr>
        <w:pStyle w:val="23"/>
        <w:snapToGrid w:val="0"/>
        <w:spacing w:after="0"/>
        <w:ind w:firstLine="480" w:firstLineChars="200"/>
        <w:rPr>
          <w:rFonts w:cs="仿宋"/>
        </w:rPr>
      </w:pPr>
      <w:bookmarkStart w:id="3" w:name="_Toc23682750"/>
      <w:bookmarkStart w:id="4" w:name="_Toc21696235"/>
      <w:bookmarkStart w:id="5" w:name="_Toc22491"/>
      <w:r>
        <w:rPr>
          <w:rFonts w:hint="eastAsia" w:cs="仿宋"/>
        </w:rPr>
        <w:t>本期项目共落地20个场景，其中红黄绿数字化管理平台、智慧养老“安居守护”、垃圾分类、清廉村社、消防站、**站、交治站、气象服务、实景三维、全民健康、智慧餐台、萧家园积分体系共12个成熟场景，涉及到集成工作，另8个场景涉及到软硬件建设。建设场景清单如下：</w:t>
      </w:r>
    </w:p>
    <w:tbl>
      <w:tblPr>
        <w:tblStyle w:val="7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60"/>
        <w:gridCol w:w="1162"/>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424"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序号</w:t>
            </w:r>
          </w:p>
        </w:tc>
        <w:tc>
          <w:tcPr>
            <w:tcW w:w="683"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场景类别</w:t>
            </w:r>
          </w:p>
        </w:tc>
        <w:tc>
          <w:tcPr>
            <w:tcW w:w="684"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场景名称</w:t>
            </w:r>
          </w:p>
        </w:tc>
        <w:tc>
          <w:tcPr>
            <w:tcW w:w="3209"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1</w:t>
            </w:r>
          </w:p>
        </w:tc>
        <w:tc>
          <w:tcPr>
            <w:tcW w:w="683" w:type="pct"/>
            <w:vAlign w:val="center"/>
          </w:tcPr>
          <w:p>
            <w:pPr>
              <w:snapToGrid w:val="0"/>
              <w:spacing w:after="0"/>
              <w:jc w:val="center"/>
              <w:rPr>
                <w:rFonts w:cs="仿宋"/>
                <w:color w:val="000000"/>
              </w:rPr>
            </w:pPr>
            <w:r>
              <w:rPr>
                <w:rFonts w:hint="eastAsia" w:cs="仿宋"/>
                <w:color w:val="000000"/>
              </w:rPr>
              <w:t>未来交通</w:t>
            </w:r>
          </w:p>
        </w:tc>
        <w:tc>
          <w:tcPr>
            <w:tcW w:w="684" w:type="pct"/>
            <w:vAlign w:val="center"/>
          </w:tcPr>
          <w:p>
            <w:pPr>
              <w:snapToGrid w:val="0"/>
              <w:spacing w:after="0"/>
              <w:rPr>
                <w:rFonts w:cs="仿宋"/>
                <w:color w:val="000000"/>
              </w:rPr>
            </w:pPr>
            <w:r>
              <w:rPr>
                <w:rFonts w:hint="eastAsia" w:cs="仿宋"/>
                <w:color w:val="000000"/>
              </w:rPr>
              <w:t>智慧停车</w:t>
            </w:r>
          </w:p>
        </w:tc>
        <w:tc>
          <w:tcPr>
            <w:tcW w:w="3209" w:type="pct"/>
            <w:vAlign w:val="center"/>
          </w:tcPr>
          <w:p>
            <w:pPr>
              <w:snapToGrid w:val="0"/>
              <w:spacing w:after="0"/>
              <w:rPr>
                <w:rFonts w:cs="仿宋"/>
                <w:color w:val="000000"/>
              </w:rPr>
            </w:pPr>
            <w:r>
              <w:rPr>
                <w:rFonts w:hint="eastAsia" w:cs="仿宋"/>
                <w:color w:val="000000"/>
              </w:rPr>
              <w:t>在欢潭游客中心停车场安装智慧停车管理系统，以视频识别实现对车辆进出场进行管理。数据接入杭州市停车平台，可实现车主“先离场后付费”，方便车辆快速通行；另外，实时停车数据通过大屏、游客端小程序等渠道展示，方便游客更合理的规划出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24" w:type="pct"/>
            <w:vAlign w:val="center"/>
          </w:tcPr>
          <w:p>
            <w:pPr>
              <w:snapToGrid w:val="0"/>
              <w:spacing w:after="0"/>
              <w:jc w:val="center"/>
              <w:rPr>
                <w:rFonts w:cs="仿宋"/>
                <w:color w:val="000000"/>
              </w:rPr>
            </w:pPr>
            <w:r>
              <w:rPr>
                <w:rFonts w:hint="eastAsia" w:cs="仿宋"/>
                <w:color w:val="000000"/>
              </w:rPr>
              <w:t>2</w:t>
            </w:r>
          </w:p>
        </w:tc>
        <w:tc>
          <w:tcPr>
            <w:tcW w:w="683" w:type="pct"/>
            <w:vAlign w:val="center"/>
          </w:tcPr>
          <w:p>
            <w:pPr>
              <w:snapToGrid w:val="0"/>
              <w:spacing w:after="0"/>
              <w:jc w:val="center"/>
              <w:rPr>
                <w:rFonts w:cs="仿宋"/>
                <w:color w:val="000000"/>
              </w:rPr>
            </w:pPr>
            <w:r>
              <w:rPr>
                <w:rFonts w:hint="eastAsia" w:cs="仿宋"/>
                <w:color w:val="000000"/>
              </w:rPr>
              <w:t>未来交通</w:t>
            </w:r>
          </w:p>
        </w:tc>
        <w:tc>
          <w:tcPr>
            <w:tcW w:w="684" w:type="pct"/>
            <w:vAlign w:val="center"/>
          </w:tcPr>
          <w:p>
            <w:pPr>
              <w:snapToGrid w:val="0"/>
              <w:spacing w:after="0"/>
              <w:rPr>
                <w:rFonts w:cs="仿宋"/>
                <w:color w:val="000000"/>
              </w:rPr>
            </w:pPr>
            <w:r>
              <w:rPr>
                <w:rFonts w:hint="eastAsia" w:cs="仿宋"/>
                <w:color w:val="000000"/>
              </w:rPr>
              <w:t>数字公交站</w:t>
            </w:r>
          </w:p>
        </w:tc>
        <w:tc>
          <w:tcPr>
            <w:tcW w:w="3209" w:type="pct"/>
            <w:vAlign w:val="center"/>
          </w:tcPr>
          <w:p>
            <w:pPr>
              <w:snapToGrid w:val="0"/>
              <w:spacing w:after="0"/>
              <w:rPr>
                <w:rFonts w:cs="仿宋"/>
                <w:color w:val="000000"/>
              </w:rPr>
            </w:pPr>
            <w:r>
              <w:rPr>
                <w:rFonts w:hint="eastAsia" w:cs="仿宋"/>
                <w:color w:val="000000"/>
              </w:rPr>
              <w:t>将游客中心公交站打造为数字公交站，支持对公交车的预报和到站信息显示，为乘客提供候车到站预测、车辆到站提示和相关信息发布服务，此外作为宣传媒介，将欢潭村相关信息，例如历史文化、党建成果、乡村新闻等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4" w:type="pct"/>
            <w:vAlign w:val="center"/>
          </w:tcPr>
          <w:p>
            <w:pPr>
              <w:snapToGrid w:val="0"/>
              <w:spacing w:after="0"/>
              <w:jc w:val="center"/>
              <w:rPr>
                <w:rFonts w:cs="仿宋"/>
                <w:color w:val="000000"/>
              </w:rPr>
            </w:pPr>
            <w:r>
              <w:rPr>
                <w:rFonts w:hint="eastAsia" w:cs="仿宋"/>
                <w:color w:val="000000"/>
              </w:rPr>
              <w:t>3</w:t>
            </w:r>
          </w:p>
        </w:tc>
        <w:tc>
          <w:tcPr>
            <w:tcW w:w="683" w:type="pct"/>
            <w:vAlign w:val="center"/>
          </w:tcPr>
          <w:p>
            <w:pPr>
              <w:snapToGrid w:val="0"/>
              <w:spacing w:after="0"/>
              <w:jc w:val="center"/>
              <w:rPr>
                <w:rFonts w:cs="仿宋"/>
                <w:color w:val="000000"/>
              </w:rPr>
            </w:pPr>
            <w:r>
              <w:rPr>
                <w:rFonts w:hint="eastAsia" w:cs="仿宋"/>
                <w:color w:val="000000"/>
              </w:rPr>
              <w:t>未来数字</w:t>
            </w:r>
          </w:p>
        </w:tc>
        <w:tc>
          <w:tcPr>
            <w:tcW w:w="684" w:type="pct"/>
            <w:vAlign w:val="center"/>
          </w:tcPr>
          <w:p>
            <w:pPr>
              <w:snapToGrid w:val="0"/>
              <w:spacing w:after="0"/>
              <w:rPr>
                <w:rFonts w:cs="仿宋"/>
                <w:color w:val="000000"/>
              </w:rPr>
            </w:pPr>
            <w:r>
              <w:rPr>
                <w:rFonts w:hint="eastAsia" w:cs="仿宋"/>
                <w:color w:val="000000"/>
              </w:rPr>
              <w:t>便民服务柜</w:t>
            </w:r>
          </w:p>
        </w:tc>
        <w:tc>
          <w:tcPr>
            <w:tcW w:w="3209" w:type="pct"/>
          </w:tcPr>
          <w:p>
            <w:pPr>
              <w:snapToGrid w:val="0"/>
              <w:spacing w:after="0"/>
              <w:rPr>
                <w:rFonts w:cs="仿宋"/>
                <w:color w:val="000000"/>
              </w:rPr>
            </w:pPr>
            <w:r>
              <w:rPr>
                <w:rFonts w:hint="eastAsia" w:cs="仿宋"/>
                <w:color w:val="000000"/>
              </w:rPr>
              <w:t>工作人员外出或非工作时间，村民可将待办文件放入柜中，提高村民办事效率。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4</w:t>
            </w:r>
          </w:p>
        </w:tc>
        <w:tc>
          <w:tcPr>
            <w:tcW w:w="683" w:type="pct"/>
            <w:vAlign w:val="center"/>
          </w:tcPr>
          <w:p>
            <w:pPr>
              <w:snapToGrid w:val="0"/>
              <w:spacing w:after="0"/>
              <w:jc w:val="center"/>
              <w:rPr>
                <w:rFonts w:cs="仿宋"/>
                <w:color w:val="000000"/>
              </w:rPr>
            </w:pPr>
            <w:r>
              <w:rPr>
                <w:rFonts w:hint="eastAsia" w:cs="仿宋"/>
                <w:color w:val="000000"/>
              </w:rPr>
              <w:t>未来服务</w:t>
            </w:r>
          </w:p>
        </w:tc>
        <w:tc>
          <w:tcPr>
            <w:tcW w:w="684" w:type="pct"/>
            <w:vAlign w:val="center"/>
          </w:tcPr>
          <w:p>
            <w:pPr>
              <w:snapToGrid w:val="0"/>
              <w:spacing w:after="0"/>
              <w:rPr>
                <w:rFonts w:cs="仿宋"/>
                <w:color w:val="000000"/>
              </w:rPr>
            </w:pPr>
            <w:r>
              <w:rPr>
                <w:rFonts w:hint="eastAsia" w:cs="仿宋"/>
                <w:color w:val="000000"/>
              </w:rPr>
              <w:t>五义学堂</w:t>
            </w:r>
          </w:p>
        </w:tc>
        <w:tc>
          <w:tcPr>
            <w:tcW w:w="3209" w:type="pct"/>
          </w:tcPr>
          <w:p>
            <w:pPr>
              <w:snapToGrid w:val="0"/>
              <w:spacing w:after="0"/>
              <w:rPr>
                <w:rFonts w:cs="仿宋"/>
                <w:color w:val="000000"/>
              </w:rPr>
            </w:pPr>
            <w:r>
              <w:rPr>
                <w:rFonts w:hint="eastAsia" w:cs="仿宋"/>
                <w:color w:val="000000"/>
              </w:rPr>
              <w:t>村内组织学生托管学堂，学生进入课堂后，支持人脸识别打卡签到。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5</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五义指数</w:t>
            </w:r>
          </w:p>
        </w:tc>
        <w:tc>
          <w:tcPr>
            <w:tcW w:w="3209" w:type="pct"/>
          </w:tcPr>
          <w:p>
            <w:pPr>
              <w:snapToGrid w:val="0"/>
              <w:spacing w:after="0"/>
              <w:rPr>
                <w:rFonts w:cs="仿宋"/>
                <w:color w:val="000000"/>
              </w:rPr>
            </w:pPr>
            <w:r>
              <w:rPr>
                <w:rFonts w:hint="eastAsia" w:cs="仿宋"/>
              </w:rPr>
              <w:t>以我国共同富裕的思想与内涵为指导，结合进化镇欢潭村现状及未来发展需要，设计全面评价欢潭共同富裕实现程度与水平的五义指数体系，以更好地评价欢潭村共同富裕的进展程度和效果，为欢潭村未来乡村的设计建设提供参考及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6</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智慧党建</w:t>
            </w:r>
          </w:p>
        </w:tc>
        <w:tc>
          <w:tcPr>
            <w:tcW w:w="3209" w:type="pct"/>
          </w:tcPr>
          <w:p>
            <w:pPr>
              <w:snapToGrid w:val="0"/>
              <w:spacing w:after="0"/>
              <w:rPr>
                <w:rFonts w:cs="仿宋"/>
                <w:color w:val="000000"/>
              </w:rPr>
            </w:pPr>
            <w:r>
              <w:rPr>
                <w:rFonts w:hint="eastAsia" w:cs="仿宋"/>
              </w:rPr>
              <w:t>集中展示欢潭党建的建设成果，包括现有党员构成分析、每月主题当日活动展示、党员志愿者风采等。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7</w:t>
            </w:r>
          </w:p>
        </w:tc>
        <w:tc>
          <w:tcPr>
            <w:tcW w:w="683" w:type="pct"/>
            <w:vAlign w:val="center"/>
          </w:tcPr>
          <w:p>
            <w:pPr>
              <w:snapToGrid w:val="0"/>
              <w:spacing w:after="0"/>
              <w:jc w:val="center"/>
              <w:rPr>
                <w:rFonts w:cs="仿宋"/>
                <w:color w:val="000000"/>
              </w:rPr>
            </w:pPr>
            <w:r>
              <w:rPr>
                <w:rFonts w:hint="eastAsia" w:cs="仿宋"/>
                <w:color w:val="000000"/>
              </w:rPr>
              <w:t>未来数字</w:t>
            </w:r>
          </w:p>
        </w:tc>
        <w:tc>
          <w:tcPr>
            <w:tcW w:w="684" w:type="pct"/>
            <w:vAlign w:val="center"/>
          </w:tcPr>
          <w:p>
            <w:pPr>
              <w:snapToGrid w:val="0"/>
              <w:spacing w:after="0"/>
              <w:rPr>
                <w:rFonts w:cs="仿宋"/>
                <w:color w:val="000000"/>
              </w:rPr>
            </w:pPr>
            <w:r>
              <w:rPr>
                <w:rFonts w:hint="eastAsia" w:cs="仿宋"/>
                <w:color w:val="000000"/>
              </w:rPr>
              <w:t>智慧景区</w:t>
            </w:r>
          </w:p>
        </w:tc>
        <w:tc>
          <w:tcPr>
            <w:tcW w:w="3209" w:type="pct"/>
          </w:tcPr>
          <w:p>
            <w:pPr>
              <w:snapToGrid w:val="0"/>
              <w:spacing w:after="0"/>
              <w:rPr>
                <w:rFonts w:cs="仿宋"/>
                <w:color w:val="000000"/>
              </w:rPr>
            </w:pPr>
            <w:r>
              <w:rPr>
                <w:rFonts w:hint="eastAsia" w:cs="仿宋"/>
                <w:color w:val="000000"/>
              </w:rPr>
              <w:t>全面推进乡村“新基建”建设，在景区方面，包括智慧旅游小程序&amp;官网、客流量监测、智慧信息屏、智慧公厕、WIFI覆盖、智慧路灯和古建筑保护。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8</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欢潭驾驶舱</w:t>
            </w:r>
          </w:p>
        </w:tc>
        <w:tc>
          <w:tcPr>
            <w:tcW w:w="3209" w:type="pct"/>
          </w:tcPr>
          <w:p>
            <w:pPr>
              <w:snapToGrid w:val="0"/>
              <w:spacing w:after="0"/>
              <w:rPr>
                <w:rFonts w:cs="仿宋"/>
                <w:color w:val="000000"/>
              </w:rPr>
            </w:pPr>
            <w:r>
              <w:rPr>
                <w:rFonts w:hint="eastAsia" w:cs="仿宋"/>
              </w:rPr>
              <w:t>包括进心乐游、进心公益、五义指数、进心向党和进心康养。</w:t>
            </w:r>
          </w:p>
        </w:tc>
      </w:tr>
    </w:tbl>
    <w:p>
      <w:pPr>
        <w:keepNext/>
        <w:keepLines/>
        <w:numPr>
          <w:ilvl w:val="0"/>
          <w:numId w:val="2"/>
        </w:numPr>
        <w:tabs>
          <w:tab w:val="left" w:pos="840"/>
        </w:tabs>
        <w:spacing w:before="260" w:after="260" w:line="360" w:lineRule="auto"/>
        <w:outlineLvl w:val="1"/>
        <w:rPr>
          <w:rFonts w:cs="仿宋"/>
          <w:b/>
          <w:bCs/>
        </w:rPr>
      </w:pPr>
      <w:r>
        <w:rPr>
          <w:rFonts w:hint="eastAsia" w:cs="仿宋"/>
          <w:b/>
          <w:bCs/>
        </w:rPr>
        <w:t>采购清单</w:t>
      </w:r>
    </w:p>
    <w:p>
      <w:pPr>
        <w:keepNext/>
        <w:keepLines/>
        <w:numPr>
          <w:ilvl w:val="2"/>
          <w:numId w:val="2"/>
        </w:numPr>
        <w:spacing w:before="260" w:after="260" w:line="360" w:lineRule="auto"/>
        <w:outlineLvl w:val="3"/>
        <w:rPr>
          <w:rFonts w:cs="仿宋"/>
          <w:b/>
          <w:bCs/>
        </w:rPr>
      </w:pPr>
      <w:r>
        <w:rPr>
          <w:rFonts w:hint="eastAsia" w:cs="仿宋"/>
          <w:b/>
          <w:bCs/>
        </w:rPr>
        <w:t>软件采购清单</w:t>
      </w:r>
    </w:p>
    <w:p>
      <w:pPr>
        <w:pStyle w:val="23"/>
        <w:numPr>
          <w:ilvl w:val="0"/>
          <w:numId w:val="3"/>
        </w:numPr>
        <w:ind w:firstLineChars="0"/>
        <w:rPr>
          <w:rFonts w:cs="仿宋"/>
        </w:rPr>
      </w:pPr>
      <w:r>
        <w:rPr>
          <w:rFonts w:hint="eastAsia" w:cs="仿宋"/>
        </w:rPr>
        <w:t>旅游小程序及旅游官网采购清单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163"/>
        <w:gridCol w:w="1350"/>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序号</w:t>
            </w:r>
          </w:p>
        </w:tc>
        <w:tc>
          <w:tcPr>
            <w:tcW w:w="0" w:type="auto"/>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系统/模块说明</w:t>
            </w:r>
          </w:p>
        </w:tc>
        <w:tc>
          <w:tcPr>
            <w:tcW w:w="0" w:type="auto"/>
            <w:gridSpan w:val="2"/>
            <w:shd w:val="clear" w:color="auto" w:fill="D8D8D8" w:themeFill="background1" w:themeFillShade="D9"/>
            <w:vAlign w:val="center"/>
          </w:tcPr>
          <w:p>
            <w:pPr>
              <w:snapToGrid w:val="0"/>
              <w:spacing w:after="0"/>
              <w:jc w:val="center"/>
              <w:rPr>
                <w:rFonts w:cs="仿宋"/>
                <w:b/>
                <w:bCs/>
              </w:rPr>
            </w:pPr>
            <w:r>
              <w:rPr>
                <w:rFonts w:hint="eastAsia" w:cs="仿宋"/>
                <w:b/>
                <w:bCs/>
              </w:rPr>
              <w:t>功能详情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游客端</w:t>
            </w:r>
          </w:p>
        </w:tc>
        <w:tc>
          <w:tcPr>
            <w:tcW w:w="0" w:type="auto"/>
            <w:shd w:val="clear" w:color="auto" w:fill="auto"/>
            <w:vAlign w:val="center"/>
          </w:tcPr>
          <w:p>
            <w:pPr>
              <w:snapToGrid w:val="0"/>
              <w:spacing w:after="0"/>
              <w:rPr>
                <w:rFonts w:cs="仿宋"/>
                <w:color w:val="000000"/>
              </w:rPr>
            </w:pPr>
            <w:r>
              <w:rPr>
                <w:rFonts w:hint="eastAsia" w:cs="仿宋"/>
                <w:color w:val="000000"/>
              </w:rPr>
              <w:t>视频流展示</w:t>
            </w:r>
          </w:p>
        </w:tc>
        <w:tc>
          <w:tcPr>
            <w:tcW w:w="0" w:type="auto"/>
            <w:shd w:val="clear" w:color="auto" w:fill="auto"/>
            <w:vAlign w:val="center"/>
          </w:tcPr>
          <w:p>
            <w:pPr>
              <w:snapToGrid w:val="0"/>
              <w:spacing w:after="0"/>
              <w:rPr>
                <w:rFonts w:cs="仿宋"/>
              </w:rPr>
            </w:pPr>
            <w:r>
              <w:rPr>
                <w:rFonts w:hint="eastAsia" w:cs="仿宋"/>
              </w:rPr>
              <w:t>视频流展示、用户可上下刷动，全方面的展示景区内的所有细节以及亮点，合理化的穿插排序让用户不知不觉的将特色、亮点都看一遍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w:t>
            </w:r>
          </w:p>
        </w:tc>
        <w:tc>
          <w:tcPr>
            <w:tcW w:w="0" w:type="auto"/>
            <w:vMerge w:val="continue"/>
            <w:shd w:val="clear" w:color="auto" w:fill="auto"/>
            <w:vAlign w:val="center"/>
          </w:tcPr>
          <w:p>
            <w:pPr>
              <w:snapToGrid w:val="0"/>
              <w:spacing w:after="0"/>
              <w:jc w:val="center"/>
              <w:rPr>
                <w:rFonts w:cs="仿宋"/>
              </w:rPr>
            </w:pPr>
          </w:p>
        </w:tc>
        <w:tc>
          <w:tcPr>
            <w:tcW w:w="0" w:type="auto"/>
            <w:shd w:val="clear" w:color="auto" w:fill="auto"/>
            <w:vAlign w:val="center"/>
          </w:tcPr>
          <w:p>
            <w:pPr>
              <w:snapToGrid w:val="0"/>
              <w:spacing w:after="0"/>
              <w:rPr>
                <w:rFonts w:cs="仿宋"/>
              </w:rPr>
            </w:pPr>
            <w:r>
              <w:rPr>
                <w:rFonts w:hint="eastAsia" w:cs="仿宋"/>
              </w:rPr>
              <w:t>详情</w:t>
            </w:r>
          </w:p>
        </w:tc>
        <w:tc>
          <w:tcPr>
            <w:tcW w:w="0" w:type="auto"/>
            <w:shd w:val="clear" w:color="auto" w:fill="auto"/>
            <w:vAlign w:val="center"/>
          </w:tcPr>
          <w:p>
            <w:pPr>
              <w:snapToGrid w:val="0"/>
              <w:spacing w:after="0"/>
              <w:rPr>
                <w:rFonts w:cs="仿宋"/>
              </w:rPr>
            </w:pPr>
            <w:r>
              <w:rPr>
                <w:rFonts w:hint="eastAsia" w:cs="仿宋"/>
              </w:rPr>
              <w:t>商家的详细介绍、地址以及整个地方的细节展示视频都可在这里看到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3</w:t>
            </w:r>
          </w:p>
        </w:tc>
        <w:tc>
          <w:tcPr>
            <w:tcW w:w="0" w:type="auto"/>
            <w:vMerge w:val="continue"/>
            <w:shd w:val="clear" w:color="auto" w:fill="auto"/>
            <w:vAlign w:val="center"/>
          </w:tcPr>
          <w:p>
            <w:pPr>
              <w:snapToGrid w:val="0"/>
              <w:spacing w:after="0"/>
              <w:jc w:val="center"/>
              <w:rPr>
                <w:rFonts w:cs="仿宋"/>
              </w:rPr>
            </w:pPr>
          </w:p>
        </w:tc>
        <w:tc>
          <w:tcPr>
            <w:tcW w:w="0" w:type="auto"/>
            <w:shd w:val="clear" w:color="auto" w:fill="auto"/>
            <w:vAlign w:val="center"/>
          </w:tcPr>
          <w:p>
            <w:pPr>
              <w:snapToGrid w:val="0"/>
              <w:spacing w:after="0"/>
              <w:rPr>
                <w:rFonts w:cs="仿宋"/>
              </w:rPr>
            </w:pPr>
            <w:r>
              <w:rPr>
                <w:rFonts w:hint="eastAsia" w:cs="仿宋"/>
              </w:rPr>
              <w:t>找找</w:t>
            </w:r>
          </w:p>
        </w:tc>
        <w:tc>
          <w:tcPr>
            <w:tcW w:w="0" w:type="auto"/>
            <w:shd w:val="clear" w:color="auto" w:fill="auto"/>
            <w:vAlign w:val="center"/>
          </w:tcPr>
          <w:p>
            <w:pPr>
              <w:snapToGrid w:val="0"/>
              <w:spacing w:after="0"/>
              <w:rPr>
                <w:rFonts w:cs="仿宋"/>
              </w:rPr>
            </w:pPr>
            <w:r>
              <w:rPr>
                <w:rFonts w:hint="eastAsia" w:cs="仿宋"/>
              </w:rPr>
              <w:t>按照标签归类，可以快速找到自己想要的内容例如、吃、住、景、玩，极其便捷，以及根据距离划分选择离自己最近的点。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4</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优惠券</w:t>
            </w:r>
          </w:p>
        </w:tc>
        <w:tc>
          <w:tcPr>
            <w:tcW w:w="0" w:type="auto"/>
            <w:shd w:val="clear" w:color="auto" w:fill="auto"/>
            <w:vAlign w:val="center"/>
          </w:tcPr>
          <w:p>
            <w:pPr>
              <w:snapToGrid w:val="0"/>
              <w:spacing w:after="0"/>
              <w:rPr>
                <w:rFonts w:cs="仿宋"/>
              </w:rPr>
            </w:pPr>
            <w:r>
              <w:rPr>
                <w:rFonts w:hint="eastAsia" w:cs="仿宋"/>
              </w:rPr>
              <w:t>支持将优惠券分享给好友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5</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地图定位</w:t>
            </w:r>
          </w:p>
        </w:tc>
        <w:tc>
          <w:tcPr>
            <w:tcW w:w="0" w:type="auto"/>
            <w:shd w:val="clear" w:color="auto" w:fill="auto"/>
            <w:vAlign w:val="center"/>
          </w:tcPr>
          <w:p>
            <w:pPr>
              <w:snapToGrid w:val="0"/>
              <w:spacing w:after="0"/>
              <w:rPr>
                <w:rFonts w:cs="仿宋"/>
              </w:rPr>
            </w:pPr>
            <w:r>
              <w:rPr>
                <w:rFonts w:hint="eastAsia" w:cs="仿宋"/>
              </w:rPr>
              <w:t>每条视频都有精准定位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6</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直播</w:t>
            </w:r>
          </w:p>
        </w:tc>
        <w:tc>
          <w:tcPr>
            <w:tcW w:w="0" w:type="auto"/>
            <w:shd w:val="clear" w:color="auto" w:fill="auto"/>
            <w:vAlign w:val="center"/>
          </w:tcPr>
          <w:p>
            <w:pPr>
              <w:snapToGrid w:val="0"/>
              <w:spacing w:after="0"/>
              <w:rPr>
                <w:rFonts w:cs="仿宋"/>
              </w:rPr>
            </w:pPr>
            <w:r>
              <w:rPr>
                <w:rFonts w:hint="eastAsia" w:cs="仿宋"/>
              </w:rPr>
              <w:t>通过小程序直播方式，直接将欢潭景区的状况、人流情况等直接展现给用户，将特产商品、门票、旅游纪念品等进行销售。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7</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分销系统</w:t>
            </w:r>
          </w:p>
        </w:tc>
        <w:tc>
          <w:tcPr>
            <w:tcW w:w="0" w:type="auto"/>
            <w:shd w:val="clear" w:color="auto" w:fill="auto"/>
            <w:vAlign w:val="center"/>
          </w:tcPr>
          <w:p>
            <w:pPr>
              <w:snapToGrid w:val="0"/>
              <w:spacing w:after="0"/>
              <w:rPr>
                <w:rFonts w:cs="仿宋"/>
              </w:rPr>
            </w:pPr>
            <w:r>
              <w:rPr>
                <w:rFonts w:hint="eastAsia" w:cs="仿宋"/>
              </w:rPr>
              <w:t>帮助用户大规模分销和招商，高效管理下游分销商，搭建本地景区生态旅游区的网上分销渠道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8</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我的</w:t>
            </w:r>
          </w:p>
        </w:tc>
        <w:tc>
          <w:tcPr>
            <w:tcW w:w="0" w:type="auto"/>
            <w:shd w:val="clear" w:color="auto" w:fill="auto"/>
            <w:vAlign w:val="center"/>
          </w:tcPr>
          <w:p>
            <w:pPr>
              <w:snapToGrid w:val="0"/>
              <w:spacing w:after="0"/>
              <w:rPr>
                <w:rFonts w:cs="仿宋"/>
              </w:rPr>
            </w:pPr>
            <w:r>
              <w:rPr>
                <w:rFonts w:hint="eastAsia" w:cs="仿宋"/>
              </w:rPr>
              <w:t>游客的个人中心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9</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景区电话</w:t>
            </w:r>
          </w:p>
        </w:tc>
        <w:tc>
          <w:tcPr>
            <w:tcW w:w="0" w:type="auto"/>
            <w:shd w:val="clear" w:color="auto" w:fill="auto"/>
            <w:vAlign w:val="center"/>
          </w:tcPr>
          <w:p>
            <w:pPr>
              <w:snapToGrid w:val="0"/>
              <w:spacing w:after="0"/>
              <w:rPr>
                <w:rFonts w:cs="仿宋"/>
              </w:rPr>
            </w:pPr>
            <w:r>
              <w:rPr>
                <w:rFonts w:hint="eastAsia" w:cs="仿宋"/>
                <w:color w:val="000000"/>
              </w:rPr>
              <w:t>景区电话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10</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景区天气</w:t>
            </w:r>
          </w:p>
        </w:tc>
        <w:tc>
          <w:tcPr>
            <w:tcW w:w="0" w:type="auto"/>
            <w:shd w:val="clear" w:color="auto" w:fill="auto"/>
            <w:vAlign w:val="center"/>
          </w:tcPr>
          <w:p>
            <w:pPr>
              <w:snapToGrid w:val="0"/>
              <w:spacing w:after="0"/>
              <w:rPr>
                <w:rFonts w:cs="仿宋"/>
              </w:rPr>
            </w:pPr>
            <w:r>
              <w:rPr>
                <w:rFonts w:hint="eastAsia" w:cs="仿宋"/>
                <w:color w:val="000000"/>
              </w:rPr>
              <w:t>景区天气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11</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景区资讯</w:t>
            </w:r>
          </w:p>
        </w:tc>
        <w:tc>
          <w:tcPr>
            <w:tcW w:w="0" w:type="auto"/>
            <w:shd w:val="clear" w:color="auto" w:fill="auto"/>
            <w:vAlign w:val="center"/>
          </w:tcPr>
          <w:p>
            <w:pPr>
              <w:snapToGrid w:val="0"/>
              <w:spacing w:after="0"/>
              <w:rPr>
                <w:rFonts w:cs="仿宋"/>
              </w:rPr>
            </w:pPr>
            <w:r>
              <w:rPr>
                <w:rFonts w:hint="eastAsia" w:cs="仿宋"/>
              </w:rPr>
              <w:t>含欢潭介绍、美丽欢潭、游玩指南、交通指南等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12</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宾客意见</w:t>
            </w:r>
          </w:p>
        </w:tc>
        <w:tc>
          <w:tcPr>
            <w:tcW w:w="0" w:type="auto"/>
            <w:shd w:val="clear" w:color="auto" w:fill="auto"/>
            <w:vAlign w:val="center"/>
          </w:tcPr>
          <w:p>
            <w:pPr>
              <w:snapToGrid w:val="0"/>
              <w:spacing w:after="0"/>
              <w:rPr>
                <w:rFonts w:cs="仿宋"/>
              </w:rPr>
            </w:pPr>
            <w:r>
              <w:rPr>
                <w:rFonts w:hint="eastAsia" w:cs="仿宋"/>
              </w:rPr>
              <w:t>采集宾客意见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13</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停车找车</w:t>
            </w:r>
          </w:p>
        </w:tc>
        <w:tc>
          <w:tcPr>
            <w:tcW w:w="0" w:type="auto"/>
            <w:shd w:val="clear" w:color="auto" w:fill="auto"/>
            <w:vAlign w:val="center"/>
          </w:tcPr>
          <w:p>
            <w:pPr>
              <w:snapToGrid w:val="0"/>
              <w:spacing w:after="0"/>
              <w:rPr>
                <w:rFonts w:cs="仿宋"/>
              </w:rPr>
            </w:pPr>
            <w:r>
              <w:rPr>
                <w:rFonts w:hint="eastAsia" w:cs="仿宋"/>
              </w:rPr>
              <w:t>支持车位查询、停车找车功能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14</w:t>
            </w:r>
          </w:p>
        </w:tc>
        <w:tc>
          <w:tcPr>
            <w:tcW w:w="0" w:type="auto"/>
            <w:shd w:val="clear" w:color="auto" w:fill="auto"/>
            <w:vAlign w:val="center"/>
          </w:tcPr>
          <w:p>
            <w:pPr>
              <w:snapToGrid w:val="0"/>
              <w:spacing w:after="0"/>
              <w:jc w:val="center"/>
              <w:rPr>
                <w:rFonts w:cs="仿宋"/>
                <w:color w:val="000000"/>
              </w:rPr>
            </w:pPr>
            <w:r>
              <w:rPr>
                <w:rFonts w:hint="eastAsia" w:cs="仿宋"/>
                <w:color w:val="000000"/>
              </w:rPr>
              <w:t>商户端</w:t>
            </w:r>
          </w:p>
        </w:tc>
        <w:tc>
          <w:tcPr>
            <w:tcW w:w="0" w:type="auto"/>
            <w:shd w:val="clear" w:color="auto" w:fill="auto"/>
            <w:vAlign w:val="center"/>
          </w:tcPr>
          <w:p>
            <w:pPr>
              <w:snapToGrid w:val="0"/>
              <w:spacing w:after="0"/>
              <w:rPr>
                <w:rFonts w:cs="仿宋"/>
                <w:color w:val="000000"/>
              </w:rPr>
            </w:pPr>
            <w:r>
              <w:rPr>
                <w:rFonts w:hint="eastAsia" w:cs="仿宋"/>
                <w:color w:val="000000"/>
              </w:rPr>
              <w:t>商户管理</w:t>
            </w:r>
          </w:p>
        </w:tc>
        <w:tc>
          <w:tcPr>
            <w:tcW w:w="0" w:type="auto"/>
            <w:shd w:val="clear" w:color="auto" w:fill="auto"/>
            <w:vAlign w:val="center"/>
          </w:tcPr>
          <w:p>
            <w:pPr>
              <w:snapToGrid w:val="0"/>
              <w:spacing w:after="0"/>
              <w:rPr>
                <w:rFonts w:cs="仿宋"/>
              </w:rPr>
            </w:pPr>
            <w:r>
              <w:rPr>
                <w:rFonts w:hint="eastAsia" w:cs="仿宋"/>
              </w:rPr>
              <w:t>商户认证管理后台，可查看领取优惠券、购买代金券的核销记录，可编辑上架优惠信息、电商产品，还可以根据运营情况做数据统计分析，如新用户数量，扫码进店次数，访问次数，观看视频数量等等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15</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数据后台</w:t>
            </w:r>
          </w:p>
        </w:tc>
        <w:tc>
          <w:tcPr>
            <w:tcW w:w="0" w:type="auto"/>
            <w:shd w:val="clear" w:color="auto" w:fill="auto"/>
            <w:vAlign w:val="center"/>
          </w:tcPr>
          <w:p>
            <w:pPr>
              <w:snapToGrid w:val="0"/>
              <w:spacing w:after="0"/>
              <w:rPr>
                <w:rFonts w:cs="仿宋"/>
                <w:color w:val="000000"/>
              </w:rPr>
            </w:pPr>
            <w:r>
              <w:rPr>
                <w:rFonts w:hint="eastAsia" w:cs="仿宋"/>
                <w:color w:val="000000"/>
              </w:rPr>
              <w:t>用户数据统计</w:t>
            </w:r>
          </w:p>
        </w:tc>
        <w:tc>
          <w:tcPr>
            <w:tcW w:w="0" w:type="auto"/>
            <w:shd w:val="clear" w:color="auto" w:fill="auto"/>
            <w:vAlign w:val="center"/>
          </w:tcPr>
          <w:p>
            <w:pPr>
              <w:snapToGrid w:val="0"/>
              <w:spacing w:after="0"/>
              <w:rPr>
                <w:rFonts w:cs="仿宋"/>
              </w:rPr>
            </w:pPr>
            <w:r>
              <w:rPr>
                <w:rFonts w:hint="eastAsia" w:cs="仿宋"/>
              </w:rPr>
              <w:t>关注用户数、激活用户数、累计关注用户数、取消关注用户数、注册用户数、注册率、激活用户跳出率、用户画像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16</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打开次数与时长统计</w:t>
            </w:r>
          </w:p>
        </w:tc>
        <w:tc>
          <w:tcPr>
            <w:tcW w:w="0" w:type="auto"/>
            <w:shd w:val="clear" w:color="auto" w:fill="auto"/>
            <w:vAlign w:val="center"/>
          </w:tcPr>
          <w:p>
            <w:pPr>
              <w:snapToGrid w:val="0"/>
              <w:spacing w:after="0"/>
              <w:rPr>
                <w:rFonts w:cs="仿宋"/>
              </w:rPr>
            </w:pPr>
            <w:r>
              <w:rPr>
                <w:rFonts w:hint="eastAsia" w:cs="仿宋"/>
              </w:rPr>
              <w:t>微信打开次数、微信打开人数、注册用户打开数、注册用户打开人数、跳出率、人均打开时长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17</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用户活跃率统计</w:t>
            </w:r>
          </w:p>
        </w:tc>
        <w:tc>
          <w:tcPr>
            <w:tcW w:w="0" w:type="auto"/>
            <w:shd w:val="clear" w:color="auto" w:fill="auto"/>
            <w:vAlign w:val="center"/>
          </w:tcPr>
          <w:p>
            <w:pPr>
              <w:snapToGrid w:val="0"/>
              <w:spacing w:after="0"/>
              <w:rPr>
                <w:rFonts w:cs="仿宋"/>
              </w:rPr>
            </w:pPr>
            <w:r>
              <w:rPr>
                <w:rFonts w:hint="eastAsia" w:cs="仿宋"/>
              </w:rPr>
              <w:t>激活用户、活跃老用户、老用户活跃率、注册用户活跃率、注册用户活跃数；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18</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留存数统计</w:t>
            </w:r>
          </w:p>
        </w:tc>
        <w:tc>
          <w:tcPr>
            <w:tcW w:w="0" w:type="auto"/>
            <w:shd w:val="clear" w:color="auto" w:fill="auto"/>
            <w:vAlign w:val="center"/>
          </w:tcPr>
          <w:p>
            <w:pPr>
              <w:snapToGrid w:val="0"/>
              <w:spacing w:after="0"/>
              <w:rPr>
                <w:rFonts w:cs="仿宋"/>
              </w:rPr>
            </w:pPr>
            <w:r>
              <w:rPr>
                <w:rFonts w:hint="eastAsia" w:cs="仿宋"/>
              </w:rPr>
              <w:t>当月新增、本月访问、留存率、访问人数占比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19</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页面点击统计</w:t>
            </w:r>
          </w:p>
        </w:tc>
        <w:tc>
          <w:tcPr>
            <w:tcW w:w="0" w:type="auto"/>
            <w:shd w:val="clear" w:color="auto" w:fill="auto"/>
            <w:vAlign w:val="center"/>
          </w:tcPr>
          <w:p>
            <w:pPr>
              <w:snapToGrid w:val="0"/>
              <w:spacing w:after="0"/>
              <w:rPr>
                <w:rFonts w:cs="仿宋"/>
              </w:rPr>
            </w:pPr>
            <w:r>
              <w:rPr>
                <w:rFonts w:hint="eastAsia" w:cs="仿宋"/>
              </w:rPr>
              <w:t>页面点击数、视频页面点击、微信功能模块点击排行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20</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导航导览AR/VR版块</w:t>
            </w:r>
          </w:p>
        </w:tc>
        <w:tc>
          <w:tcPr>
            <w:tcW w:w="0" w:type="auto"/>
            <w:shd w:val="clear" w:color="auto" w:fill="auto"/>
            <w:vAlign w:val="center"/>
          </w:tcPr>
          <w:p>
            <w:pPr>
              <w:snapToGrid w:val="0"/>
              <w:spacing w:after="0"/>
              <w:rPr>
                <w:rFonts w:cs="仿宋"/>
                <w:color w:val="000000"/>
              </w:rPr>
            </w:pPr>
            <w:r>
              <w:rPr>
                <w:rFonts w:hint="eastAsia" w:cs="仿宋"/>
                <w:color w:val="000000"/>
              </w:rPr>
              <w:t>地图数据服务</w:t>
            </w:r>
          </w:p>
        </w:tc>
        <w:tc>
          <w:tcPr>
            <w:tcW w:w="0" w:type="auto"/>
            <w:shd w:val="clear" w:color="auto" w:fill="auto"/>
            <w:vAlign w:val="center"/>
          </w:tcPr>
          <w:p>
            <w:pPr>
              <w:snapToGrid w:val="0"/>
              <w:spacing w:after="0"/>
              <w:rPr>
                <w:rFonts w:cs="仿宋"/>
              </w:rPr>
            </w:pPr>
            <w:r>
              <w:rPr>
                <w:rFonts w:hint="eastAsia" w:cs="仿宋"/>
              </w:rPr>
              <w:t>现场采集景区内包括站亭、旅游景点、餐饮店、住宿点、厕所、文创店等POI/道路类别的平面GIS信息。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21</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景区导览</w:t>
            </w:r>
          </w:p>
        </w:tc>
        <w:tc>
          <w:tcPr>
            <w:tcW w:w="0" w:type="auto"/>
            <w:shd w:val="clear" w:color="auto" w:fill="auto"/>
            <w:vAlign w:val="center"/>
          </w:tcPr>
          <w:p>
            <w:pPr>
              <w:snapToGrid w:val="0"/>
              <w:spacing w:after="0"/>
              <w:rPr>
                <w:rFonts w:cs="仿宋"/>
              </w:rPr>
            </w:pPr>
            <w:r>
              <w:rPr>
                <w:rFonts w:hint="eastAsia" w:cs="仿宋"/>
              </w:rPr>
              <w:t>景区/景点介绍、语音讲解、游览线路规划、手绘地图、AR导航、AR讲解点位（6个点位）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22</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VR720°展示</w:t>
            </w:r>
          </w:p>
        </w:tc>
        <w:tc>
          <w:tcPr>
            <w:tcW w:w="0" w:type="auto"/>
            <w:shd w:val="clear" w:color="auto" w:fill="auto"/>
            <w:vAlign w:val="center"/>
          </w:tcPr>
          <w:p>
            <w:pPr>
              <w:snapToGrid w:val="0"/>
              <w:spacing w:after="0"/>
              <w:rPr>
                <w:rFonts w:cs="仿宋"/>
              </w:rPr>
            </w:pPr>
            <w:r>
              <w:rPr>
                <w:rFonts w:hint="eastAsia" w:cs="仿宋"/>
              </w:rPr>
              <w:t>支持手机、IPAD、电脑、触摸屏等终端，720°实景展示景区信息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23</w:t>
            </w:r>
          </w:p>
        </w:tc>
        <w:tc>
          <w:tcPr>
            <w:tcW w:w="0" w:type="auto"/>
            <w:shd w:val="clear" w:color="auto" w:fill="auto"/>
            <w:vAlign w:val="center"/>
          </w:tcPr>
          <w:p>
            <w:pPr>
              <w:snapToGrid w:val="0"/>
              <w:spacing w:after="0"/>
              <w:jc w:val="center"/>
              <w:rPr>
                <w:rFonts w:cs="仿宋"/>
                <w:color w:val="000000"/>
              </w:rPr>
            </w:pPr>
            <w:r>
              <w:rPr>
                <w:rFonts w:hint="eastAsia" w:cs="仿宋"/>
                <w:color w:val="000000"/>
              </w:rPr>
              <w:t>官网设计</w:t>
            </w:r>
          </w:p>
        </w:tc>
        <w:tc>
          <w:tcPr>
            <w:tcW w:w="0" w:type="auto"/>
            <w:shd w:val="clear" w:color="auto" w:fill="auto"/>
            <w:vAlign w:val="center"/>
          </w:tcPr>
          <w:p>
            <w:pPr>
              <w:snapToGrid w:val="0"/>
              <w:spacing w:after="0"/>
              <w:rPr>
                <w:rFonts w:cs="仿宋"/>
                <w:color w:val="000000"/>
              </w:rPr>
            </w:pPr>
          </w:p>
        </w:tc>
        <w:tc>
          <w:tcPr>
            <w:tcW w:w="0" w:type="auto"/>
            <w:shd w:val="clear" w:color="auto" w:fill="auto"/>
            <w:vAlign w:val="center"/>
          </w:tcPr>
          <w:p>
            <w:pPr>
              <w:snapToGrid w:val="0"/>
              <w:spacing w:after="0"/>
              <w:rPr>
                <w:rFonts w:cs="仿宋"/>
              </w:rPr>
            </w:pPr>
            <w:r>
              <w:rPr>
                <w:rFonts w:hint="eastAsia" w:cs="仿宋"/>
              </w:rPr>
              <w:t>欢潭首页、欢潭景区、欢潭活动、欢潭攻略、欢潭动态、欢潭交流和关于欢潭等栏目。</w:t>
            </w:r>
          </w:p>
        </w:tc>
      </w:tr>
    </w:tbl>
    <w:p>
      <w:pPr>
        <w:pStyle w:val="23"/>
        <w:ind w:firstLine="240"/>
        <w:rPr>
          <w:rFonts w:cs="仿宋"/>
        </w:rPr>
      </w:pPr>
    </w:p>
    <w:p>
      <w:pPr>
        <w:pStyle w:val="23"/>
        <w:numPr>
          <w:ilvl w:val="0"/>
          <w:numId w:val="3"/>
        </w:numPr>
        <w:ind w:firstLineChars="0"/>
        <w:rPr>
          <w:rFonts w:cs="仿宋"/>
        </w:rPr>
      </w:pPr>
      <w:r>
        <w:rPr>
          <w:rFonts w:hint="eastAsia" w:cs="仿宋"/>
        </w:rPr>
        <w:t>旅游运营服务采购清单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70"/>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序号</w:t>
            </w:r>
          </w:p>
        </w:tc>
        <w:tc>
          <w:tcPr>
            <w:tcW w:w="1870" w:type="dxa"/>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系统/模块说明</w:t>
            </w:r>
          </w:p>
        </w:tc>
        <w:tc>
          <w:tcPr>
            <w:tcW w:w="0" w:type="auto"/>
            <w:shd w:val="clear" w:color="auto" w:fill="D8D8D8" w:themeFill="background1" w:themeFillShade="D9"/>
            <w:vAlign w:val="center"/>
          </w:tcPr>
          <w:p>
            <w:pPr>
              <w:snapToGrid w:val="0"/>
              <w:spacing w:after="0"/>
              <w:jc w:val="center"/>
              <w:rPr>
                <w:rFonts w:cs="仿宋"/>
                <w:b/>
                <w:bCs/>
              </w:rPr>
            </w:pPr>
            <w:r>
              <w:rPr>
                <w:rFonts w:hint="eastAsia" w:cs="仿宋"/>
                <w:b/>
                <w:bCs/>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1</w:t>
            </w:r>
          </w:p>
        </w:tc>
        <w:tc>
          <w:tcPr>
            <w:tcW w:w="1870" w:type="dxa"/>
            <w:shd w:val="clear" w:color="auto" w:fill="auto"/>
            <w:vAlign w:val="center"/>
          </w:tcPr>
          <w:p>
            <w:pPr>
              <w:snapToGrid w:val="0"/>
              <w:spacing w:after="0"/>
              <w:jc w:val="center"/>
              <w:rPr>
                <w:rFonts w:cs="仿宋"/>
                <w:color w:val="000000"/>
              </w:rPr>
            </w:pPr>
            <w:r>
              <w:rPr>
                <w:rFonts w:hint="eastAsia" w:cs="仿宋"/>
                <w:color w:val="000000"/>
              </w:rPr>
              <w:t>线上服务</w:t>
            </w:r>
          </w:p>
        </w:tc>
        <w:tc>
          <w:tcPr>
            <w:tcW w:w="0" w:type="auto"/>
            <w:shd w:val="clear" w:color="auto" w:fill="auto"/>
            <w:vAlign w:val="center"/>
          </w:tcPr>
          <w:p>
            <w:pPr>
              <w:snapToGrid w:val="0"/>
              <w:spacing w:after="0"/>
              <w:rPr>
                <w:rFonts w:cs="仿宋"/>
              </w:rPr>
            </w:pPr>
            <w:r>
              <w:rPr>
                <w:rFonts w:hint="eastAsia" w:cs="仿宋"/>
              </w:rPr>
              <w:t>短视频矩阵代发、朋友圈广告投放、20个300人以上社群推广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2</w:t>
            </w:r>
          </w:p>
        </w:tc>
        <w:tc>
          <w:tcPr>
            <w:tcW w:w="1870" w:type="dxa"/>
            <w:shd w:val="clear" w:color="auto" w:fill="auto"/>
            <w:vAlign w:val="center"/>
          </w:tcPr>
          <w:p>
            <w:pPr>
              <w:snapToGrid w:val="0"/>
              <w:spacing w:after="0"/>
              <w:jc w:val="center"/>
              <w:rPr>
                <w:rFonts w:cs="仿宋"/>
                <w:color w:val="000000"/>
              </w:rPr>
            </w:pPr>
            <w:r>
              <w:rPr>
                <w:rFonts w:hint="eastAsia" w:cs="仿宋"/>
                <w:color w:val="000000"/>
              </w:rPr>
              <w:t>店家入驻谈判及持续服务</w:t>
            </w:r>
          </w:p>
        </w:tc>
        <w:tc>
          <w:tcPr>
            <w:tcW w:w="0" w:type="auto"/>
            <w:shd w:val="clear" w:color="auto" w:fill="auto"/>
            <w:vAlign w:val="center"/>
          </w:tcPr>
          <w:p>
            <w:pPr>
              <w:snapToGrid w:val="0"/>
              <w:spacing w:after="0"/>
              <w:rPr>
                <w:rFonts w:cs="仿宋"/>
              </w:rPr>
            </w:pPr>
            <w:r>
              <w:rPr>
                <w:rFonts w:hint="eastAsia" w:cs="仿宋"/>
              </w:rPr>
              <w:t>商家谈判、工具培训、运营培训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3</w:t>
            </w:r>
          </w:p>
        </w:tc>
        <w:tc>
          <w:tcPr>
            <w:tcW w:w="1870" w:type="dxa"/>
            <w:shd w:val="clear" w:color="auto" w:fill="auto"/>
            <w:vAlign w:val="center"/>
          </w:tcPr>
          <w:p>
            <w:pPr>
              <w:snapToGrid w:val="0"/>
              <w:spacing w:after="0"/>
              <w:rPr>
                <w:rFonts w:cs="仿宋"/>
                <w:color w:val="000000"/>
              </w:rPr>
            </w:pPr>
            <w:r>
              <w:rPr>
                <w:rFonts w:hint="eastAsia" w:cs="仿宋"/>
                <w:color w:val="000000"/>
              </w:rPr>
              <w:t>线下常规运营</w:t>
            </w:r>
          </w:p>
        </w:tc>
        <w:tc>
          <w:tcPr>
            <w:tcW w:w="0" w:type="auto"/>
            <w:shd w:val="clear" w:color="auto" w:fill="auto"/>
            <w:vAlign w:val="center"/>
          </w:tcPr>
          <w:p>
            <w:pPr>
              <w:snapToGrid w:val="0"/>
              <w:spacing w:after="0"/>
              <w:rPr>
                <w:rFonts w:cs="仿宋"/>
              </w:rPr>
            </w:pPr>
            <w:r>
              <w:rPr>
                <w:rFonts w:hint="eastAsia" w:cs="仿宋"/>
              </w:rPr>
              <w:t>根据店铺、景区特色策划文案、物料设计、印刷、铺设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4</w:t>
            </w:r>
          </w:p>
        </w:tc>
        <w:tc>
          <w:tcPr>
            <w:tcW w:w="1870" w:type="dxa"/>
            <w:shd w:val="clear" w:color="auto" w:fill="auto"/>
            <w:vAlign w:val="center"/>
          </w:tcPr>
          <w:p>
            <w:pPr>
              <w:snapToGrid w:val="0"/>
              <w:spacing w:after="0"/>
              <w:jc w:val="center"/>
              <w:rPr>
                <w:rFonts w:cs="仿宋"/>
                <w:color w:val="000000"/>
              </w:rPr>
            </w:pPr>
            <w:r>
              <w:rPr>
                <w:rFonts w:hint="eastAsia" w:cs="仿宋"/>
                <w:color w:val="000000"/>
              </w:rPr>
              <w:t>活动运营</w:t>
            </w:r>
          </w:p>
        </w:tc>
        <w:tc>
          <w:tcPr>
            <w:tcW w:w="0" w:type="auto"/>
            <w:shd w:val="clear" w:color="auto" w:fill="auto"/>
            <w:vAlign w:val="center"/>
          </w:tcPr>
          <w:p>
            <w:pPr>
              <w:snapToGrid w:val="0"/>
              <w:spacing w:after="0"/>
              <w:rPr>
                <w:rFonts w:cs="仿宋"/>
              </w:rPr>
            </w:pPr>
            <w:r>
              <w:rPr>
                <w:rFonts w:hint="eastAsia" w:cs="仿宋"/>
              </w:rPr>
              <w:t>活动运营3次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5</w:t>
            </w:r>
          </w:p>
        </w:tc>
        <w:tc>
          <w:tcPr>
            <w:tcW w:w="1870" w:type="dxa"/>
            <w:shd w:val="clear" w:color="auto" w:fill="auto"/>
            <w:vAlign w:val="center"/>
          </w:tcPr>
          <w:p>
            <w:pPr>
              <w:snapToGrid w:val="0"/>
              <w:spacing w:after="0"/>
              <w:jc w:val="center"/>
              <w:rPr>
                <w:rFonts w:cs="仿宋"/>
                <w:color w:val="000000"/>
              </w:rPr>
            </w:pPr>
            <w:r>
              <w:rPr>
                <w:rFonts w:hint="eastAsia" w:cs="仿宋"/>
                <w:color w:val="000000"/>
              </w:rPr>
              <w:t>直播培训</w:t>
            </w:r>
          </w:p>
        </w:tc>
        <w:tc>
          <w:tcPr>
            <w:tcW w:w="0" w:type="auto"/>
            <w:shd w:val="clear" w:color="auto" w:fill="auto"/>
            <w:vAlign w:val="center"/>
          </w:tcPr>
          <w:p>
            <w:pPr>
              <w:snapToGrid w:val="0"/>
              <w:spacing w:after="0"/>
              <w:rPr>
                <w:rFonts w:cs="仿宋"/>
              </w:rPr>
            </w:pPr>
            <w:r>
              <w:rPr>
                <w:rFonts w:hint="eastAsia" w:cs="仿宋"/>
              </w:rPr>
              <w:t>直播培训2次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6</w:t>
            </w:r>
          </w:p>
        </w:tc>
        <w:tc>
          <w:tcPr>
            <w:tcW w:w="1870" w:type="dxa"/>
            <w:shd w:val="clear" w:color="auto" w:fill="auto"/>
            <w:vAlign w:val="center"/>
          </w:tcPr>
          <w:p>
            <w:pPr>
              <w:snapToGrid w:val="0"/>
              <w:spacing w:after="0"/>
              <w:jc w:val="center"/>
              <w:rPr>
                <w:rFonts w:cs="仿宋"/>
                <w:color w:val="000000"/>
              </w:rPr>
            </w:pPr>
            <w:r>
              <w:rPr>
                <w:rFonts w:hint="eastAsia" w:cs="仿宋"/>
                <w:color w:val="000000"/>
              </w:rPr>
              <w:t>AR红包墙活动</w:t>
            </w:r>
          </w:p>
        </w:tc>
        <w:tc>
          <w:tcPr>
            <w:tcW w:w="0" w:type="auto"/>
            <w:shd w:val="clear" w:color="auto" w:fill="auto"/>
            <w:vAlign w:val="center"/>
          </w:tcPr>
          <w:p>
            <w:pPr>
              <w:snapToGrid w:val="0"/>
              <w:spacing w:after="0"/>
              <w:rPr>
                <w:rFonts w:cs="仿宋"/>
              </w:rPr>
            </w:pPr>
            <w:r>
              <w:rPr>
                <w:rFonts w:hint="eastAsia" w:cs="仿宋"/>
              </w:rPr>
              <w:t>AR红包墙活动2次</w:t>
            </w:r>
          </w:p>
        </w:tc>
      </w:tr>
    </w:tbl>
    <w:p>
      <w:pPr>
        <w:pStyle w:val="23"/>
        <w:ind w:firstLine="240"/>
        <w:rPr>
          <w:rFonts w:cs="仿宋"/>
        </w:rPr>
      </w:pPr>
    </w:p>
    <w:p>
      <w:pPr>
        <w:pStyle w:val="23"/>
        <w:numPr>
          <w:ilvl w:val="0"/>
          <w:numId w:val="3"/>
        </w:numPr>
        <w:ind w:firstLineChars="0"/>
        <w:rPr>
          <w:rFonts w:cs="仿宋"/>
        </w:rPr>
      </w:pPr>
      <w:r>
        <w:rPr>
          <w:rFonts w:hint="eastAsia" w:cs="仿宋"/>
        </w:rPr>
        <w:t>数字驾驶舱采购清单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35"/>
        <w:gridCol w:w="1244"/>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708" w:type="dxa"/>
            <w:shd w:val="clear" w:color="auto" w:fill="BEBEBE" w:themeFill="background1" w:themeFillShade="BF"/>
            <w:vAlign w:val="center"/>
          </w:tcPr>
          <w:p>
            <w:pPr>
              <w:snapToGrid w:val="0"/>
              <w:spacing w:after="0"/>
              <w:jc w:val="center"/>
              <w:rPr>
                <w:rFonts w:cs="仿宋"/>
                <w:b/>
                <w:bCs/>
              </w:rPr>
            </w:pPr>
            <w:r>
              <w:rPr>
                <w:rFonts w:hint="eastAsia" w:cs="仿宋"/>
                <w:b/>
                <w:bCs/>
              </w:rPr>
              <w:t>序号</w:t>
            </w:r>
          </w:p>
        </w:tc>
        <w:tc>
          <w:tcPr>
            <w:tcW w:w="1235" w:type="dxa"/>
            <w:shd w:val="clear" w:color="auto" w:fill="BEBEBE" w:themeFill="background1" w:themeFillShade="BF"/>
            <w:vAlign w:val="center"/>
          </w:tcPr>
          <w:p>
            <w:pPr>
              <w:snapToGrid w:val="0"/>
              <w:spacing w:after="0"/>
              <w:jc w:val="center"/>
              <w:rPr>
                <w:rFonts w:cs="仿宋"/>
                <w:b/>
                <w:bCs/>
              </w:rPr>
            </w:pPr>
            <w:r>
              <w:rPr>
                <w:rFonts w:hint="eastAsia" w:cs="仿宋"/>
                <w:b/>
                <w:bCs/>
              </w:rPr>
              <w:t>建设内容</w:t>
            </w:r>
          </w:p>
        </w:tc>
        <w:tc>
          <w:tcPr>
            <w:tcW w:w="1244" w:type="dxa"/>
            <w:shd w:val="clear" w:color="auto" w:fill="BEBEBE" w:themeFill="background1" w:themeFillShade="BF"/>
            <w:vAlign w:val="center"/>
          </w:tcPr>
          <w:p>
            <w:pPr>
              <w:snapToGrid w:val="0"/>
              <w:spacing w:after="0"/>
              <w:jc w:val="center"/>
              <w:rPr>
                <w:rFonts w:cs="仿宋"/>
                <w:b/>
                <w:bCs/>
              </w:rPr>
            </w:pPr>
            <w:r>
              <w:rPr>
                <w:rFonts w:hint="eastAsia" w:cs="仿宋"/>
                <w:b/>
                <w:bCs/>
              </w:rPr>
              <w:t>一级指标</w:t>
            </w:r>
          </w:p>
        </w:tc>
        <w:tc>
          <w:tcPr>
            <w:tcW w:w="5109" w:type="dxa"/>
            <w:shd w:val="clear" w:color="auto" w:fill="BEBEBE" w:themeFill="background1" w:themeFillShade="BF"/>
            <w:vAlign w:val="center"/>
          </w:tcPr>
          <w:p>
            <w:pPr>
              <w:snapToGrid w:val="0"/>
              <w:spacing w:after="0"/>
              <w:jc w:val="center"/>
              <w:rPr>
                <w:rFonts w:cs="仿宋"/>
                <w:b/>
                <w:bCs/>
              </w:rPr>
            </w:pPr>
            <w:r>
              <w:rPr>
                <w:rFonts w:hint="eastAsia"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restart"/>
            <w:shd w:val="clear" w:color="000000" w:fill="FFFFFF"/>
            <w:vAlign w:val="center"/>
          </w:tcPr>
          <w:p>
            <w:pPr>
              <w:snapToGrid w:val="0"/>
              <w:spacing w:after="0"/>
              <w:rPr>
                <w:rFonts w:cs="仿宋"/>
              </w:rPr>
            </w:pPr>
            <w:r>
              <w:rPr>
                <w:rFonts w:hint="eastAsia" w:cs="仿宋"/>
              </w:rPr>
              <w:t>1</w:t>
            </w:r>
          </w:p>
        </w:tc>
        <w:tc>
          <w:tcPr>
            <w:tcW w:w="1235" w:type="dxa"/>
            <w:vMerge w:val="restart"/>
            <w:shd w:val="clear" w:color="000000" w:fill="FFFFFF"/>
            <w:vAlign w:val="center"/>
          </w:tcPr>
          <w:p>
            <w:pPr>
              <w:snapToGrid w:val="0"/>
              <w:spacing w:after="0"/>
              <w:rPr>
                <w:rFonts w:cs="仿宋"/>
              </w:rPr>
            </w:pPr>
            <w:r>
              <w:rPr>
                <w:rFonts w:hint="eastAsia" w:cs="仿宋"/>
              </w:rPr>
              <w:t>进心乐游</w:t>
            </w:r>
          </w:p>
        </w:tc>
        <w:tc>
          <w:tcPr>
            <w:tcW w:w="1244" w:type="dxa"/>
            <w:shd w:val="clear" w:color="000000" w:fill="FFFFFF"/>
            <w:vAlign w:val="center"/>
          </w:tcPr>
          <w:p>
            <w:pPr>
              <w:snapToGrid w:val="0"/>
              <w:spacing w:after="0"/>
              <w:rPr>
                <w:rFonts w:cs="仿宋"/>
              </w:rPr>
            </w:pPr>
            <w:r>
              <w:rPr>
                <w:rFonts w:hint="eastAsia" w:cs="仿宋"/>
              </w:rPr>
              <w:t>景区监控</w:t>
            </w:r>
          </w:p>
        </w:tc>
        <w:tc>
          <w:tcPr>
            <w:tcW w:w="5109" w:type="dxa"/>
            <w:shd w:val="clear" w:color="000000" w:fill="FFFFFF"/>
            <w:vAlign w:val="center"/>
          </w:tcPr>
          <w:p>
            <w:pPr>
              <w:snapToGrid w:val="0"/>
              <w:spacing w:after="0"/>
              <w:rPr>
                <w:rFonts w:cs="仿宋"/>
              </w:rPr>
            </w:pPr>
            <w:r>
              <w:rPr>
                <w:rFonts w:hint="eastAsia" w:cs="仿宋"/>
              </w:rPr>
              <w:t>景区实时客流、泊位数、各景点客流排名、物联感知设备实时监测状态以及投诉建议等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000000" w:fill="FFFFFF"/>
            <w:vAlign w:val="center"/>
          </w:tcPr>
          <w:p>
            <w:pPr>
              <w:snapToGrid w:val="0"/>
              <w:spacing w:after="0"/>
              <w:rPr>
                <w:rFonts w:cs="仿宋"/>
              </w:rPr>
            </w:pPr>
            <w:r>
              <w:rPr>
                <w:rFonts w:hint="eastAsia" w:cs="仿宋"/>
              </w:rPr>
              <w:t>景区分析</w:t>
            </w:r>
          </w:p>
        </w:tc>
        <w:tc>
          <w:tcPr>
            <w:tcW w:w="5109" w:type="dxa"/>
            <w:shd w:val="clear" w:color="000000" w:fill="FFFFFF"/>
            <w:vAlign w:val="center"/>
          </w:tcPr>
          <w:p>
            <w:pPr>
              <w:snapToGrid w:val="0"/>
              <w:spacing w:after="0"/>
              <w:rPr>
                <w:rFonts w:cs="仿宋"/>
              </w:rPr>
            </w:pPr>
            <w:r>
              <w:rPr>
                <w:rFonts w:hint="eastAsia" w:cs="仿宋"/>
              </w:rPr>
              <w:t>包括景区介绍、景区客流量变化趋势、车辆来源地分析以及旅游收入统计等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000000" w:fill="FFFFFF"/>
            <w:vAlign w:val="center"/>
          </w:tcPr>
          <w:p>
            <w:pPr>
              <w:snapToGrid w:val="0"/>
              <w:spacing w:after="0"/>
              <w:rPr>
                <w:rFonts w:cs="仿宋"/>
              </w:rPr>
            </w:pPr>
            <w:r>
              <w:rPr>
                <w:rFonts w:hint="eastAsia" w:cs="仿宋"/>
              </w:rPr>
              <w:t>地图展示</w:t>
            </w:r>
          </w:p>
        </w:tc>
        <w:tc>
          <w:tcPr>
            <w:tcW w:w="5109" w:type="dxa"/>
            <w:shd w:val="clear" w:color="000000" w:fill="FFFFFF"/>
            <w:vAlign w:val="center"/>
          </w:tcPr>
          <w:p>
            <w:pPr>
              <w:snapToGrid w:val="0"/>
              <w:spacing w:after="0"/>
              <w:rPr>
                <w:rFonts w:cs="仿宋"/>
              </w:rPr>
            </w:pPr>
            <w:r>
              <w:rPr>
                <w:rFonts w:hint="eastAsia" w:cs="仿宋"/>
              </w:rPr>
              <w:t>景区地图上展示景区资源以及古建筑监测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restart"/>
            <w:shd w:val="clear" w:color="auto" w:fill="auto"/>
            <w:noWrap/>
            <w:vAlign w:val="center"/>
          </w:tcPr>
          <w:p>
            <w:pPr>
              <w:snapToGrid w:val="0"/>
              <w:spacing w:after="0"/>
              <w:rPr>
                <w:rFonts w:cs="仿宋"/>
              </w:rPr>
            </w:pPr>
            <w:r>
              <w:rPr>
                <w:rFonts w:hint="eastAsia" w:cs="仿宋"/>
              </w:rPr>
              <w:t>2</w:t>
            </w:r>
          </w:p>
        </w:tc>
        <w:tc>
          <w:tcPr>
            <w:tcW w:w="1235" w:type="dxa"/>
            <w:vMerge w:val="restart"/>
            <w:shd w:val="clear" w:color="auto" w:fill="auto"/>
            <w:vAlign w:val="center"/>
          </w:tcPr>
          <w:p>
            <w:pPr>
              <w:snapToGrid w:val="0"/>
              <w:spacing w:after="0"/>
              <w:rPr>
                <w:rFonts w:cs="仿宋"/>
              </w:rPr>
            </w:pPr>
            <w:r>
              <w:rPr>
                <w:rFonts w:hint="eastAsia" w:cs="仿宋"/>
              </w:rPr>
              <w:t>进心公益</w:t>
            </w:r>
          </w:p>
        </w:tc>
        <w:tc>
          <w:tcPr>
            <w:tcW w:w="1244" w:type="dxa"/>
            <w:shd w:val="clear" w:color="auto" w:fill="auto"/>
            <w:vAlign w:val="center"/>
          </w:tcPr>
          <w:p>
            <w:pPr>
              <w:snapToGrid w:val="0"/>
              <w:spacing w:after="0"/>
              <w:rPr>
                <w:rFonts w:cs="仿宋"/>
              </w:rPr>
            </w:pPr>
            <w:r>
              <w:rPr>
                <w:rFonts w:hint="eastAsia" w:cs="仿宋"/>
              </w:rPr>
              <w:t>概况分析</w:t>
            </w:r>
          </w:p>
        </w:tc>
        <w:tc>
          <w:tcPr>
            <w:tcW w:w="5109" w:type="dxa"/>
            <w:shd w:val="clear" w:color="auto" w:fill="auto"/>
            <w:vAlign w:val="center"/>
          </w:tcPr>
          <w:p>
            <w:pPr>
              <w:snapToGrid w:val="0"/>
              <w:spacing w:after="0"/>
              <w:rPr>
                <w:rFonts w:cs="仿宋"/>
              </w:rPr>
            </w:pPr>
            <w:r>
              <w:rPr>
                <w:rFonts w:hint="eastAsia" w:cs="仿宋"/>
              </w:rPr>
              <w:t>展示公益活动次数、志愿者人数、爱心捐助总额和积分兑换人次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shd w:val="clear" w:color="auto" w:fill="auto"/>
            <w:noWrap/>
            <w:vAlign w:val="center"/>
          </w:tcPr>
          <w:p>
            <w:pPr>
              <w:snapToGrid w:val="0"/>
              <w:spacing w:after="0"/>
              <w:rPr>
                <w:rFonts w:cs="仿宋"/>
              </w:rPr>
            </w:pPr>
          </w:p>
        </w:tc>
        <w:tc>
          <w:tcPr>
            <w:tcW w:w="1235" w:type="dxa"/>
            <w:vMerge w:val="continue"/>
            <w:shd w:val="clear" w:color="auto" w:fill="auto"/>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欢潭五义睦邻服务中心</w:t>
            </w:r>
          </w:p>
        </w:tc>
        <w:tc>
          <w:tcPr>
            <w:tcW w:w="5109" w:type="dxa"/>
            <w:shd w:val="clear" w:color="auto" w:fill="auto"/>
            <w:vAlign w:val="center"/>
          </w:tcPr>
          <w:p>
            <w:pPr>
              <w:snapToGrid w:val="0"/>
              <w:spacing w:after="0"/>
              <w:rPr>
                <w:rFonts w:cs="仿宋"/>
              </w:rPr>
            </w:pPr>
            <w:r>
              <w:rPr>
                <w:rFonts w:hint="eastAsia" w:cs="仿宋"/>
              </w:rPr>
              <w:t>包括服务中心的组织介绍以及规章制度展示等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积分管理</w:t>
            </w:r>
          </w:p>
        </w:tc>
        <w:tc>
          <w:tcPr>
            <w:tcW w:w="5109" w:type="dxa"/>
            <w:shd w:val="clear" w:color="auto" w:fill="auto"/>
            <w:vAlign w:val="center"/>
          </w:tcPr>
          <w:p>
            <w:pPr>
              <w:snapToGrid w:val="0"/>
              <w:spacing w:after="0"/>
              <w:rPr>
                <w:rFonts w:cs="仿宋"/>
              </w:rPr>
            </w:pPr>
            <w:r>
              <w:rPr>
                <w:rFonts w:hint="eastAsia" w:cs="仿宋"/>
              </w:rPr>
              <w:t>年度评优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季度积分评议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积分兑换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公益资金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公益项目专题</w:t>
            </w:r>
          </w:p>
        </w:tc>
        <w:tc>
          <w:tcPr>
            <w:tcW w:w="5109" w:type="dxa"/>
            <w:shd w:val="clear" w:color="auto" w:fill="auto"/>
            <w:vAlign w:val="center"/>
          </w:tcPr>
          <w:p>
            <w:pPr>
              <w:snapToGrid w:val="0"/>
              <w:spacing w:after="0"/>
              <w:rPr>
                <w:rFonts w:cs="仿宋"/>
              </w:rPr>
            </w:pPr>
            <w:r>
              <w:rPr>
                <w:rFonts w:hint="eastAsia" w:cs="仿宋"/>
              </w:rPr>
              <w:t>集中展示欢潭现有公益项目的活动详情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志愿者管理</w:t>
            </w:r>
          </w:p>
        </w:tc>
        <w:tc>
          <w:tcPr>
            <w:tcW w:w="5109" w:type="dxa"/>
            <w:shd w:val="clear" w:color="auto" w:fill="auto"/>
            <w:vAlign w:val="center"/>
          </w:tcPr>
          <w:p>
            <w:pPr>
              <w:snapToGrid w:val="0"/>
              <w:spacing w:after="0"/>
              <w:rPr>
                <w:rFonts w:cs="仿宋"/>
              </w:rPr>
            </w:pPr>
            <w:r>
              <w:rPr>
                <w:rFonts w:hint="eastAsia" w:cs="仿宋"/>
              </w:rPr>
              <w:t>志愿者基本信息以及年龄、性别分析，星级评定结果展示等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restart"/>
            <w:shd w:val="clear" w:color="auto" w:fill="auto"/>
            <w:vAlign w:val="center"/>
          </w:tcPr>
          <w:p>
            <w:pPr>
              <w:snapToGrid w:val="0"/>
              <w:spacing w:after="0"/>
              <w:jc w:val="center"/>
              <w:rPr>
                <w:rFonts w:cs="仿宋"/>
              </w:rPr>
            </w:pPr>
            <w:r>
              <w:rPr>
                <w:rFonts w:hint="eastAsia" w:cs="仿宋"/>
              </w:rPr>
              <w:t>3</w:t>
            </w:r>
          </w:p>
        </w:tc>
        <w:tc>
          <w:tcPr>
            <w:tcW w:w="1235" w:type="dxa"/>
            <w:vMerge w:val="restart"/>
            <w:shd w:val="clear" w:color="auto" w:fill="auto"/>
            <w:vAlign w:val="center"/>
          </w:tcPr>
          <w:p>
            <w:pPr>
              <w:snapToGrid w:val="0"/>
              <w:spacing w:after="0"/>
              <w:rPr>
                <w:rFonts w:cs="仿宋"/>
              </w:rPr>
            </w:pPr>
            <w:r>
              <w:rPr>
                <w:rFonts w:hint="eastAsia" w:cs="仿宋"/>
              </w:rPr>
              <w:t>进心向党</w:t>
            </w:r>
          </w:p>
        </w:tc>
        <w:tc>
          <w:tcPr>
            <w:tcW w:w="1244" w:type="dxa"/>
            <w:shd w:val="clear" w:color="auto" w:fill="auto"/>
            <w:vAlign w:val="center"/>
          </w:tcPr>
          <w:p>
            <w:pPr>
              <w:snapToGrid w:val="0"/>
              <w:spacing w:after="0"/>
              <w:rPr>
                <w:rFonts w:cs="仿宋"/>
              </w:rPr>
            </w:pPr>
            <w:r>
              <w:rPr>
                <w:rFonts w:hint="eastAsia" w:cs="仿宋"/>
              </w:rPr>
              <w:t>概况分析</w:t>
            </w:r>
          </w:p>
        </w:tc>
        <w:tc>
          <w:tcPr>
            <w:tcW w:w="5109" w:type="dxa"/>
            <w:shd w:val="clear" w:color="auto" w:fill="auto"/>
            <w:vAlign w:val="center"/>
          </w:tcPr>
          <w:p>
            <w:pPr>
              <w:snapToGrid w:val="0"/>
              <w:spacing w:after="0"/>
              <w:rPr>
                <w:rFonts w:cs="仿宋"/>
              </w:rPr>
            </w:pPr>
            <w:r>
              <w:rPr>
                <w:rFonts w:hint="eastAsia" w:cs="仿宋"/>
              </w:rPr>
              <w:t>党员数量、党委数量、堡垒指数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shd w:val="clear" w:color="auto" w:fill="auto"/>
            <w:vAlign w:val="center"/>
          </w:tcPr>
          <w:p>
            <w:pPr>
              <w:snapToGrid w:val="0"/>
              <w:spacing w:after="0"/>
              <w:jc w:val="center"/>
              <w:rPr>
                <w:rFonts w:cs="仿宋"/>
              </w:rPr>
            </w:pPr>
          </w:p>
        </w:tc>
        <w:tc>
          <w:tcPr>
            <w:tcW w:w="1235" w:type="dxa"/>
            <w:vMerge w:val="continue"/>
            <w:shd w:val="clear" w:color="auto" w:fill="auto"/>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党建组织</w:t>
            </w:r>
          </w:p>
        </w:tc>
        <w:tc>
          <w:tcPr>
            <w:tcW w:w="5109" w:type="dxa"/>
            <w:shd w:val="clear" w:color="auto" w:fill="auto"/>
            <w:vAlign w:val="center"/>
          </w:tcPr>
          <w:p>
            <w:pPr>
              <w:snapToGrid w:val="0"/>
              <w:spacing w:after="0"/>
              <w:rPr>
                <w:rFonts w:cs="仿宋"/>
              </w:rPr>
            </w:pPr>
            <w:r>
              <w:rPr>
                <w:rFonts w:hint="eastAsia" w:cs="仿宋"/>
              </w:rPr>
              <w:t>党员情况分析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争先评优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村治通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建党为民</w:t>
            </w:r>
          </w:p>
        </w:tc>
        <w:tc>
          <w:tcPr>
            <w:tcW w:w="5109" w:type="dxa"/>
            <w:shd w:val="clear" w:color="auto" w:fill="auto"/>
            <w:vAlign w:val="center"/>
          </w:tcPr>
          <w:p>
            <w:pPr>
              <w:snapToGrid w:val="0"/>
              <w:spacing w:after="0"/>
              <w:rPr>
                <w:rFonts w:cs="仿宋"/>
              </w:rPr>
            </w:pPr>
            <w:r>
              <w:rPr>
                <w:rFonts w:hint="eastAsia" w:cs="仿宋"/>
              </w:rPr>
              <w:t>党建活动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志愿者风采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地图展示</w:t>
            </w:r>
          </w:p>
        </w:tc>
        <w:tc>
          <w:tcPr>
            <w:tcW w:w="5109" w:type="dxa"/>
            <w:shd w:val="clear" w:color="auto" w:fill="auto"/>
            <w:vAlign w:val="center"/>
          </w:tcPr>
          <w:p>
            <w:pPr>
              <w:snapToGrid w:val="0"/>
              <w:spacing w:after="0"/>
              <w:rPr>
                <w:rFonts w:cs="仿宋"/>
              </w:rPr>
            </w:pPr>
            <w:r>
              <w:rPr>
                <w:rFonts w:hint="eastAsia" w:cs="仿宋"/>
              </w:rPr>
              <w:t>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restart"/>
            <w:shd w:val="clear" w:color="auto" w:fill="auto"/>
            <w:noWrap/>
            <w:vAlign w:val="center"/>
          </w:tcPr>
          <w:p>
            <w:pPr>
              <w:snapToGrid w:val="0"/>
              <w:spacing w:after="0"/>
              <w:jc w:val="center"/>
              <w:rPr>
                <w:rFonts w:cs="仿宋"/>
              </w:rPr>
            </w:pPr>
            <w:r>
              <w:rPr>
                <w:rFonts w:hint="eastAsia" w:cs="仿宋"/>
              </w:rPr>
              <w:t>4</w:t>
            </w:r>
          </w:p>
        </w:tc>
        <w:tc>
          <w:tcPr>
            <w:tcW w:w="1235" w:type="dxa"/>
            <w:vMerge w:val="restart"/>
            <w:shd w:val="clear" w:color="auto" w:fill="auto"/>
            <w:vAlign w:val="center"/>
          </w:tcPr>
          <w:p>
            <w:pPr>
              <w:snapToGrid w:val="0"/>
              <w:spacing w:after="0"/>
              <w:rPr>
                <w:rFonts w:cs="仿宋"/>
              </w:rPr>
            </w:pPr>
            <w:r>
              <w:rPr>
                <w:rFonts w:hint="eastAsia" w:cs="仿宋"/>
              </w:rPr>
              <w:t>进心康养</w:t>
            </w:r>
          </w:p>
        </w:tc>
        <w:tc>
          <w:tcPr>
            <w:tcW w:w="1244" w:type="dxa"/>
            <w:shd w:val="clear" w:color="auto" w:fill="auto"/>
            <w:vAlign w:val="center"/>
          </w:tcPr>
          <w:p>
            <w:pPr>
              <w:snapToGrid w:val="0"/>
              <w:spacing w:after="0"/>
              <w:rPr>
                <w:rFonts w:cs="仿宋"/>
              </w:rPr>
            </w:pPr>
            <w:r>
              <w:rPr>
                <w:rFonts w:hint="eastAsia" w:cs="仿宋"/>
              </w:rPr>
              <w:t>全民健康</w:t>
            </w:r>
          </w:p>
        </w:tc>
        <w:tc>
          <w:tcPr>
            <w:tcW w:w="5109" w:type="dxa"/>
            <w:shd w:val="clear" w:color="auto" w:fill="auto"/>
            <w:vAlign w:val="center"/>
          </w:tcPr>
          <w:p>
            <w:pPr>
              <w:snapToGrid w:val="0"/>
              <w:spacing w:after="0"/>
              <w:rPr>
                <w:rFonts w:cs="仿宋"/>
              </w:rPr>
            </w:pPr>
            <w:r>
              <w:rPr>
                <w:rFonts w:hint="eastAsia" w:cs="仿宋"/>
              </w:rPr>
              <w:t>当月诊疗人数、当月住院人数、人次变化趋势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慢病管理</w:t>
            </w:r>
          </w:p>
        </w:tc>
        <w:tc>
          <w:tcPr>
            <w:tcW w:w="5109" w:type="dxa"/>
            <w:shd w:val="clear" w:color="auto" w:fill="auto"/>
            <w:vAlign w:val="center"/>
          </w:tcPr>
          <w:p>
            <w:pPr>
              <w:snapToGrid w:val="0"/>
              <w:spacing w:after="0"/>
              <w:rPr>
                <w:rFonts w:cs="仿宋"/>
              </w:rPr>
            </w:pPr>
            <w:r>
              <w:rPr>
                <w:rFonts w:hint="eastAsia" w:cs="仿宋"/>
              </w:rPr>
              <w:t>建档次数、签约率、家医率和重点人群统计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居家养老</w:t>
            </w:r>
          </w:p>
        </w:tc>
        <w:tc>
          <w:tcPr>
            <w:tcW w:w="5109" w:type="dxa"/>
            <w:shd w:val="clear" w:color="auto" w:fill="auto"/>
            <w:vAlign w:val="center"/>
          </w:tcPr>
          <w:p>
            <w:pPr>
              <w:snapToGrid w:val="0"/>
              <w:spacing w:after="0"/>
              <w:rPr>
                <w:rFonts w:cs="仿宋"/>
              </w:rPr>
            </w:pPr>
            <w:r>
              <w:rPr>
                <w:rFonts w:hint="eastAsia" w:cs="仿宋"/>
              </w:rPr>
              <w:t>居家养老概况、安居四件套设备实时监测、居家老人画像、老年食堂信息等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智慧餐台</w:t>
            </w:r>
          </w:p>
        </w:tc>
        <w:tc>
          <w:tcPr>
            <w:tcW w:w="5109" w:type="dxa"/>
            <w:shd w:val="clear" w:color="auto" w:fill="auto"/>
            <w:vAlign w:val="center"/>
          </w:tcPr>
          <w:p>
            <w:pPr>
              <w:snapToGrid w:val="0"/>
              <w:spacing w:after="0"/>
              <w:rPr>
                <w:rFonts w:cs="仿宋"/>
              </w:rPr>
            </w:pPr>
            <w:r>
              <w:rPr>
                <w:rFonts w:hint="eastAsia" w:cs="仿宋"/>
              </w:rPr>
              <w:t>结算人数、使用率、结算金额等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shd w:val="clear" w:color="auto" w:fill="auto"/>
            <w:noWrap/>
            <w:vAlign w:val="center"/>
          </w:tcPr>
          <w:p>
            <w:pPr>
              <w:snapToGrid w:val="0"/>
              <w:spacing w:after="0"/>
              <w:jc w:val="center"/>
              <w:rPr>
                <w:rFonts w:cs="仿宋"/>
              </w:rPr>
            </w:pPr>
            <w:r>
              <w:rPr>
                <w:rFonts w:hint="eastAsia" w:cs="仿宋"/>
              </w:rPr>
              <w:t>5</w:t>
            </w:r>
          </w:p>
        </w:tc>
        <w:tc>
          <w:tcPr>
            <w:tcW w:w="1235" w:type="dxa"/>
            <w:shd w:val="clear" w:color="auto" w:fill="auto"/>
            <w:vAlign w:val="center"/>
          </w:tcPr>
          <w:p>
            <w:pPr>
              <w:snapToGrid w:val="0"/>
              <w:spacing w:after="0"/>
              <w:rPr>
                <w:rFonts w:cs="仿宋"/>
              </w:rPr>
            </w:pPr>
            <w:r>
              <w:rPr>
                <w:rFonts w:hint="eastAsia" w:cs="仿宋"/>
              </w:rPr>
              <w:t>五义指数</w:t>
            </w:r>
          </w:p>
        </w:tc>
        <w:tc>
          <w:tcPr>
            <w:tcW w:w="6353" w:type="dxa"/>
            <w:gridSpan w:val="2"/>
            <w:shd w:val="clear" w:color="auto" w:fill="auto"/>
            <w:vAlign w:val="center"/>
          </w:tcPr>
          <w:p>
            <w:pPr>
              <w:snapToGrid w:val="0"/>
              <w:spacing w:after="0"/>
              <w:rPr>
                <w:rFonts w:cs="仿宋"/>
              </w:rPr>
            </w:pPr>
            <w:r>
              <w:rPr>
                <w:rFonts w:hint="eastAsia" w:cs="仿宋"/>
              </w:rPr>
              <w:t>五义指数各维度指标得分展示</w:t>
            </w:r>
          </w:p>
        </w:tc>
      </w:tr>
      <w:bookmarkEnd w:id="3"/>
      <w:bookmarkEnd w:id="4"/>
      <w:bookmarkEnd w:id="5"/>
    </w:tbl>
    <w:p>
      <w:pPr>
        <w:pStyle w:val="23"/>
        <w:ind w:firstLine="240"/>
        <w:rPr>
          <w:rFonts w:cs="仿宋"/>
        </w:rPr>
      </w:pPr>
    </w:p>
    <w:p>
      <w:pPr>
        <w:pStyle w:val="23"/>
        <w:numPr>
          <w:ilvl w:val="0"/>
          <w:numId w:val="3"/>
        </w:numPr>
        <w:ind w:firstLineChars="0"/>
        <w:rPr>
          <w:rFonts w:cs="仿宋"/>
        </w:rPr>
      </w:pPr>
      <w:r>
        <w:rPr>
          <w:rFonts w:hint="eastAsia" w:cs="仿宋"/>
        </w:rPr>
        <w:t>五义指数采购清单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38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序号</w:t>
            </w:r>
          </w:p>
        </w:tc>
        <w:tc>
          <w:tcPr>
            <w:tcW w:w="1401"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系统/模块</w:t>
            </w:r>
          </w:p>
        </w:tc>
        <w:tc>
          <w:tcPr>
            <w:tcW w:w="3075"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24" w:type="pct"/>
            <w:vAlign w:val="center"/>
          </w:tcPr>
          <w:p>
            <w:pPr>
              <w:pStyle w:val="23"/>
              <w:snapToGrid w:val="0"/>
              <w:spacing w:after="0"/>
              <w:ind w:firstLine="0" w:firstLineChars="0"/>
              <w:jc w:val="center"/>
              <w:rPr>
                <w:rFonts w:cs="仿宋"/>
              </w:rPr>
            </w:pPr>
            <w:r>
              <w:rPr>
                <w:rFonts w:hint="eastAsia" w:cs="仿宋"/>
              </w:rPr>
              <w:t>1</w:t>
            </w:r>
          </w:p>
        </w:tc>
        <w:tc>
          <w:tcPr>
            <w:tcW w:w="1401" w:type="pct"/>
            <w:vAlign w:val="center"/>
          </w:tcPr>
          <w:p>
            <w:pPr>
              <w:pStyle w:val="23"/>
              <w:snapToGrid w:val="0"/>
              <w:spacing w:after="0"/>
              <w:ind w:firstLine="0" w:firstLineChars="0"/>
              <w:rPr>
                <w:rFonts w:cs="仿宋"/>
              </w:rPr>
            </w:pPr>
            <w:r>
              <w:rPr>
                <w:rFonts w:hint="eastAsia" w:cs="仿宋"/>
                <w:color w:val="000000"/>
              </w:rPr>
              <w:t>指标体系</w:t>
            </w:r>
          </w:p>
        </w:tc>
        <w:tc>
          <w:tcPr>
            <w:tcW w:w="3075" w:type="pct"/>
            <w:vAlign w:val="center"/>
          </w:tcPr>
          <w:p>
            <w:pPr>
              <w:pStyle w:val="23"/>
              <w:snapToGrid w:val="0"/>
              <w:spacing w:after="0"/>
              <w:ind w:firstLine="0" w:firstLineChars="0"/>
              <w:rPr>
                <w:rFonts w:cs="仿宋"/>
              </w:rPr>
            </w:pPr>
            <w:r>
              <w:rPr>
                <w:rFonts w:hint="eastAsia" w:cs="仿宋"/>
              </w:rPr>
              <w:t>指标梳理，指标分级分类，计算方法，解释；评价计分模型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Align w:val="center"/>
          </w:tcPr>
          <w:p>
            <w:pPr>
              <w:pStyle w:val="23"/>
              <w:snapToGrid w:val="0"/>
              <w:spacing w:after="0"/>
              <w:ind w:firstLine="0" w:firstLineChars="0"/>
              <w:jc w:val="center"/>
              <w:rPr>
                <w:rFonts w:cs="仿宋"/>
              </w:rPr>
            </w:pPr>
            <w:r>
              <w:rPr>
                <w:rFonts w:hint="eastAsia" w:cs="仿宋"/>
              </w:rPr>
              <w:t>2</w:t>
            </w:r>
          </w:p>
        </w:tc>
        <w:tc>
          <w:tcPr>
            <w:tcW w:w="1401" w:type="pct"/>
            <w:vAlign w:val="center"/>
          </w:tcPr>
          <w:p>
            <w:pPr>
              <w:pStyle w:val="23"/>
              <w:snapToGrid w:val="0"/>
              <w:spacing w:after="0"/>
              <w:ind w:firstLine="0" w:firstLineChars="0"/>
              <w:rPr>
                <w:rFonts w:cs="仿宋"/>
              </w:rPr>
            </w:pPr>
            <w:r>
              <w:rPr>
                <w:rFonts w:hint="eastAsia" w:cs="仿宋"/>
                <w:color w:val="000000"/>
              </w:rPr>
              <w:t>数据实施</w:t>
            </w:r>
          </w:p>
        </w:tc>
        <w:tc>
          <w:tcPr>
            <w:tcW w:w="3075" w:type="pct"/>
            <w:vAlign w:val="center"/>
          </w:tcPr>
          <w:p>
            <w:pPr>
              <w:pStyle w:val="23"/>
              <w:snapToGrid w:val="0"/>
              <w:spacing w:after="0"/>
              <w:ind w:firstLine="0" w:firstLineChars="0"/>
              <w:rPr>
                <w:rFonts w:cs="仿宋"/>
              </w:rPr>
            </w:pPr>
            <w:r>
              <w:rPr>
                <w:rFonts w:hint="eastAsia" w:cs="仿宋"/>
              </w:rPr>
              <w:t>针对五义指数相关数据的归集以及数据治理。</w:t>
            </w:r>
          </w:p>
        </w:tc>
      </w:tr>
    </w:tbl>
    <w:p>
      <w:pPr>
        <w:pStyle w:val="23"/>
        <w:ind w:left="210" w:firstLine="0" w:firstLineChars="0"/>
        <w:rPr>
          <w:rFonts w:cs="仿宋"/>
        </w:rPr>
      </w:pPr>
    </w:p>
    <w:p>
      <w:pPr>
        <w:pStyle w:val="23"/>
        <w:numPr>
          <w:ilvl w:val="0"/>
          <w:numId w:val="3"/>
        </w:numPr>
        <w:ind w:firstLineChars="0"/>
        <w:rPr>
          <w:rFonts w:cs="仿宋"/>
        </w:rPr>
      </w:pPr>
      <w:r>
        <w:rPr>
          <w:rFonts w:hint="eastAsia" w:cs="仿宋"/>
        </w:rPr>
        <w:t>软件集成采购清单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55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序号</w:t>
            </w:r>
          </w:p>
        </w:tc>
        <w:tc>
          <w:tcPr>
            <w:tcW w:w="1501"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建设内容</w:t>
            </w:r>
          </w:p>
        </w:tc>
        <w:tc>
          <w:tcPr>
            <w:tcW w:w="3075"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4" w:type="pct"/>
            <w:vAlign w:val="center"/>
          </w:tcPr>
          <w:p>
            <w:pPr>
              <w:pStyle w:val="23"/>
              <w:snapToGrid w:val="0"/>
              <w:spacing w:after="0"/>
              <w:ind w:firstLine="0" w:firstLineChars="0"/>
              <w:jc w:val="center"/>
              <w:rPr>
                <w:rFonts w:cs="仿宋"/>
              </w:rPr>
            </w:pPr>
            <w:r>
              <w:rPr>
                <w:rFonts w:hint="eastAsia" w:cs="仿宋"/>
              </w:rPr>
              <w:t>1</w:t>
            </w:r>
          </w:p>
        </w:tc>
        <w:tc>
          <w:tcPr>
            <w:tcW w:w="1501" w:type="pct"/>
            <w:vAlign w:val="center"/>
          </w:tcPr>
          <w:p>
            <w:pPr>
              <w:pStyle w:val="23"/>
              <w:snapToGrid w:val="0"/>
              <w:spacing w:after="0"/>
              <w:ind w:firstLine="0" w:firstLineChars="0"/>
              <w:rPr>
                <w:rFonts w:cs="仿宋"/>
              </w:rPr>
            </w:pPr>
            <w:r>
              <w:rPr>
                <w:rFonts w:hint="eastAsia" w:cs="仿宋"/>
              </w:rPr>
              <w:t>场景数据集成</w:t>
            </w:r>
          </w:p>
        </w:tc>
        <w:tc>
          <w:tcPr>
            <w:tcW w:w="3075" w:type="pct"/>
            <w:vAlign w:val="center"/>
          </w:tcPr>
          <w:p>
            <w:pPr>
              <w:pStyle w:val="23"/>
              <w:snapToGrid w:val="0"/>
              <w:spacing w:after="0"/>
              <w:ind w:firstLine="0" w:firstLineChars="0"/>
              <w:rPr>
                <w:rFonts w:cs="仿宋"/>
              </w:rPr>
            </w:pPr>
            <w:r>
              <w:rPr>
                <w:rFonts w:hint="eastAsia" w:cs="仿宋"/>
              </w:rPr>
              <w:t>垃圾分类数据、数字公交数据、驾驶舱首屏数据等集成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3"/>
              <w:snapToGrid w:val="0"/>
              <w:spacing w:after="0"/>
              <w:ind w:firstLine="0" w:firstLineChars="0"/>
              <w:jc w:val="center"/>
              <w:rPr>
                <w:rFonts w:cs="仿宋"/>
              </w:rPr>
            </w:pPr>
            <w:r>
              <w:rPr>
                <w:rFonts w:hint="eastAsia" w:cs="仿宋"/>
              </w:rPr>
              <w:t>2</w:t>
            </w:r>
          </w:p>
        </w:tc>
        <w:tc>
          <w:tcPr>
            <w:tcW w:w="1501" w:type="pct"/>
            <w:vAlign w:val="center"/>
          </w:tcPr>
          <w:p>
            <w:pPr>
              <w:pStyle w:val="23"/>
              <w:snapToGrid w:val="0"/>
              <w:spacing w:after="0"/>
              <w:ind w:firstLine="0" w:firstLineChars="0"/>
              <w:rPr>
                <w:rFonts w:cs="仿宋"/>
              </w:rPr>
            </w:pPr>
            <w:r>
              <w:rPr>
                <w:rFonts w:hint="eastAsia" w:cs="仿宋"/>
              </w:rPr>
              <w:t>成熟场景落地推动</w:t>
            </w:r>
          </w:p>
        </w:tc>
        <w:tc>
          <w:tcPr>
            <w:tcW w:w="3075" w:type="pct"/>
            <w:vAlign w:val="center"/>
          </w:tcPr>
          <w:p>
            <w:pPr>
              <w:pStyle w:val="23"/>
              <w:snapToGrid w:val="0"/>
              <w:spacing w:after="0"/>
              <w:ind w:firstLine="0" w:firstLineChars="0"/>
              <w:rPr>
                <w:rFonts w:cs="仿宋"/>
              </w:rPr>
            </w:pPr>
            <w:r>
              <w:rPr>
                <w:rFonts w:hint="eastAsia" w:cs="仿宋"/>
              </w:rPr>
              <w:t>与数据局、委办局以及技术公司对接，推动区级成熟场景落地欢潭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3"/>
              <w:snapToGrid w:val="0"/>
              <w:spacing w:after="0"/>
              <w:ind w:firstLine="0" w:firstLineChars="0"/>
              <w:jc w:val="center"/>
              <w:rPr>
                <w:rFonts w:cs="仿宋"/>
              </w:rPr>
            </w:pPr>
            <w:r>
              <w:rPr>
                <w:rFonts w:hint="eastAsia" w:cs="仿宋"/>
              </w:rPr>
              <w:t>3</w:t>
            </w:r>
          </w:p>
        </w:tc>
        <w:tc>
          <w:tcPr>
            <w:tcW w:w="1501" w:type="pct"/>
            <w:vAlign w:val="center"/>
          </w:tcPr>
          <w:p>
            <w:pPr>
              <w:pStyle w:val="23"/>
              <w:snapToGrid w:val="0"/>
              <w:spacing w:after="0"/>
              <w:ind w:firstLine="0" w:firstLineChars="0"/>
              <w:rPr>
                <w:rFonts w:cs="仿宋"/>
              </w:rPr>
            </w:pPr>
            <w:r>
              <w:rPr>
                <w:rFonts w:hint="eastAsia" w:cs="仿宋"/>
              </w:rPr>
              <w:t>欢潭智慧旅游综合管理平台改造</w:t>
            </w:r>
          </w:p>
        </w:tc>
        <w:tc>
          <w:tcPr>
            <w:tcW w:w="3075" w:type="pct"/>
            <w:vAlign w:val="center"/>
          </w:tcPr>
          <w:p>
            <w:pPr>
              <w:pStyle w:val="23"/>
              <w:snapToGrid w:val="0"/>
              <w:spacing w:after="0"/>
              <w:ind w:firstLine="0" w:firstLineChars="0"/>
              <w:rPr>
                <w:rFonts w:cs="仿宋"/>
              </w:rPr>
            </w:pPr>
            <w:r>
              <w:rPr>
                <w:rFonts w:hint="eastAsia" w:cs="仿宋"/>
              </w:rPr>
              <w:t>将平台产生的数据推送到镇街仓</w:t>
            </w:r>
          </w:p>
        </w:tc>
      </w:tr>
    </w:tbl>
    <w:p>
      <w:pPr>
        <w:keepNext/>
        <w:keepLines/>
        <w:numPr>
          <w:ilvl w:val="2"/>
          <w:numId w:val="2"/>
        </w:numPr>
        <w:spacing w:before="260" w:after="260" w:line="360" w:lineRule="auto"/>
        <w:outlineLvl w:val="3"/>
        <w:rPr>
          <w:rFonts w:cs="仿宋"/>
          <w:b/>
          <w:bCs/>
        </w:rPr>
      </w:pPr>
      <w:r>
        <w:rPr>
          <w:rFonts w:hint="eastAsia" w:cs="仿宋"/>
          <w:b/>
          <w:bCs/>
        </w:rPr>
        <w:t>硬件采购清单</w:t>
      </w:r>
    </w:p>
    <w:tbl>
      <w:tblPr>
        <w:tblStyle w:val="2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60"/>
        <w:gridCol w:w="5055"/>
        <w:gridCol w:w="79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序号</w:t>
            </w:r>
          </w:p>
        </w:tc>
        <w:tc>
          <w:tcPr>
            <w:tcW w:w="126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名称</w:t>
            </w:r>
          </w:p>
        </w:tc>
        <w:tc>
          <w:tcPr>
            <w:tcW w:w="5055" w:type="dxa"/>
            <w:vMerge w:val="restart"/>
            <w:shd w:val="clear" w:color="auto" w:fill="BEBEBE" w:themeFill="background1" w:themeFillShade="BF"/>
            <w:vAlign w:val="center"/>
          </w:tcPr>
          <w:p>
            <w:pPr>
              <w:adjustRightInd w:val="0"/>
              <w:snapToGrid w:val="0"/>
              <w:spacing w:after="0"/>
              <w:textAlignment w:val="center"/>
              <w:rPr>
                <w:rFonts w:cs="仿宋"/>
                <w:b/>
                <w:bCs/>
                <w:color w:val="000000"/>
              </w:rPr>
            </w:pPr>
            <w:r>
              <w:rPr>
                <w:rFonts w:hint="eastAsia" w:cs="仿宋"/>
                <w:b/>
                <w:bCs/>
                <w:color w:val="000000"/>
                <w:lang w:bidi="ar"/>
              </w:rPr>
              <w:t>技术参数</w:t>
            </w:r>
          </w:p>
        </w:tc>
        <w:tc>
          <w:tcPr>
            <w:tcW w:w="795" w:type="dxa"/>
            <w:vMerge w:val="restart"/>
            <w:shd w:val="clear" w:color="auto" w:fill="BEBEBE" w:themeFill="background1" w:themeFillShade="BF"/>
            <w:vAlign w:val="center"/>
          </w:tcPr>
          <w:p>
            <w:pPr>
              <w:snapToGrid w:val="0"/>
              <w:spacing w:after="0"/>
              <w:textAlignment w:val="center"/>
              <w:rPr>
                <w:rFonts w:cs="仿宋"/>
                <w:b/>
                <w:bCs/>
                <w:color w:val="000000"/>
              </w:rPr>
            </w:pPr>
            <w:r>
              <w:rPr>
                <w:rFonts w:hint="eastAsia" w:cs="仿宋"/>
                <w:b/>
                <w:bCs/>
                <w:color w:val="000000"/>
                <w:lang w:bidi="ar"/>
              </w:rPr>
              <w:t>单位</w:t>
            </w:r>
          </w:p>
        </w:tc>
        <w:tc>
          <w:tcPr>
            <w:tcW w:w="114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0" w:type="dxa"/>
            <w:vMerge w:val="continue"/>
            <w:shd w:val="clear" w:color="auto" w:fill="BEBEBE" w:themeFill="background1" w:themeFillShade="BF"/>
            <w:vAlign w:val="center"/>
          </w:tcPr>
          <w:p>
            <w:pPr>
              <w:snapToGrid w:val="0"/>
              <w:spacing w:after="0"/>
              <w:jc w:val="center"/>
              <w:rPr>
                <w:rFonts w:cs="仿宋"/>
                <w:color w:val="000000"/>
              </w:rPr>
            </w:pPr>
          </w:p>
        </w:tc>
        <w:tc>
          <w:tcPr>
            <w:tcW w:w="1260" w:type="dxa"/>
            <w:vMerge w:val="continue"/>
            <w:shd w:val="clear" w:color="auto" w:fill="BEBEBE" w:themeFill="background1" w:themeFillShade="BF"/>
            <w:vAlign w:val="center"/>
          </w:tcPr>
          <w:p>
            <w:pPr>
              <w:snapToGrid w:val="0"/>
              <w:spacing w:after="0"/>
              <w:jc w:val="center"/>
              <w:rPr>
                <w:rFonts w:cs="仿宋"/>
                <w:color w:val="000000"/>
              </w:rPr>
            </w:pPr>
          </w:p>
        </w:tc>
        <w:tc>
          <w:tcPr>
            <w:tcW w:w="5055" w:type="dxa"/>
            <w:vMerge w:val="continue"/>
            <w:shd w:val="clear" w:color="auto" w:fill="BEBEBE" w:themeFill="background1" w:themeFillShade="BF"/>
            <w:vAlign w:val="center"/>
          </w:tcPr>
          <w:p>
            <w:pPr>
              <w:snapToGrid w:val="0"/>
              <w:spacing w:after="0"/>
              <w:jc w:val="center"/>
              <w:rPr>
                <w:rFonts w:cs="仿宋"/>
                <w:color w:val="000000"/>
              </w:rPr>
            </w:pPr>
          </w:p>
        </w:tc>
        <w:tc>
          <w:tcPr>
            <w:tcW w:w="795" w:type="dxa"/>
            <w:vMerge w:val="continue"/>
            <w:shd w:val="clear" w:color="auto" w:fill="BEBEBE" w:themeFill="background1" w:themeFillShade="BF"/>
            <w:vAlign w:val="center"/>
          </w:tcPr>
          <w:p>
            <w:pPr>
              <w:snapToGrid w:val="0"/>
              <w:spacing w:after="0"/>
              <w:jc w:val="center"/>
              <w:rPr>
                <w:rFonts w:cs="仿宋"/>
                <w:color w:val="000000"/>
              </w:rPr>
            </w:pPr>
          </w:p>
        </w:tc>
        <w:tc>
          <w:tcPr>
            <w:tcW w:w="1140" w:type="dxa"/>
            <w:vMerge w:val="continue"/>
            <w:shd w:val="clear" w:color="auto" w:fill="BEBEBE" w:themeFill="background1" w:themeFillShade="B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一、智慧停车</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一体道闸机</w:t>
            </w:r>
          </w:p>
        </w:tc>
        <w:tc>
          <w:tcPr>
            <w:tcW w:w="5055" w:type="dxa"/>
            <w:vMerge w:val="restart"/>
            <w:shd w:val="clear" w:color="auto" w:fill="FFFFFF"/>
            <w:vAlign w:val="center"/>
          </w:tcPr>
          <w:p>
            <w:pPr>
              <w:pStyle w:val="45"/>
              <w:numPr>
                <w:ilvl w:val="0"/>
                <w:numId w:val="4"/>
              </w:numPr>
              <w:snapToGrid w:val="0"/>
              <w:spacing w:after="0"/>
              <w:ind w:left="0" w:firstLine="0"/>
              <w:textAlignment w:val="center"/>
              <w:rPr>
                <w:rFonts w:cs="仿宋"/>
                <w:color w:val="000000"/>
              </w:rPr>
            </w:pPr>
            <w:r>
              <w:rPr>
                <w:rFonts w:hint="eastAsia" w:cs="仿宋"/>
                <w:color w:val="000000"/>
              </w:rPr>
              <w:t>杆件类型：直杆、4米</w:t>
            </w:r>
          </w:p>
          <w:p>
            <w:pPr>
              <w:pStyle w:val="45"/>
              <w:numPr>
                <w:ilvl w:val="0"/>
                <w:numId w:val="4"/>
              </w:numPr>
              <w:snapToGrid w:val="0"/>
              <w:spacing w:after="0"/>
              <w:ind w:left="0" w:firstLine="0"/>
              <w:textAlignment w:val="center"/>
              <w:rPr>
                <w:rFonts w:cs="仿宋"/>
                <w:color w:val="000000"/>
              </w:rPr>
            </w:pPr>
            <w:r>
              <w:rPr>
                <w:rFonts w:hint="eastAsia" w:cs="仿宋"/>
                <w:color w:val="000000"/>
              </w:rPr>
              <w:t>起杆速度：2S</w:t>
            </w:r>
          </w:p>
          <w:p>
            <w:pPr>
              <w:pStyle w:val="45"/>
              <w:numPr>
                <w:ilvl w:val="0"/>
                <w:numId w:val="4"/>
              </w:numPr>
              <w:snapToGrid w:val="0"/>
              <w:spacing w:after="0"/>
              <w:ind w:left="0" w:firstLine="0"/>
              <w:textAlignment w:val="center"/>
              <w:rPr>
                <w:rFonts w:cs="仿宋"/>
                <w:color w:val="000000"/>
              </w:rPr>
            </w:pPr>
            <w:r>
              <w:rPr>
                <w:rFonts w:hint="eastAsia" w:cs="仿宋"/>
                <w:color w:val="000000"/>
              </w:rPr>
              <w:t>RS-485接口：1个、RS-232接口 1个（以太网模块扩展接口）</w:t>
            </w:r>
          </w:p>
          <w:p>
            <w:pPr>
              <w:pStyle w:val="45"/>
              <w:numPr>
                <w:ilvl w:val="0"/>
                <w:numId w:val="4"/>
              </w:numPr>
              <w:snapToGrid w:val="0"/>
              <w:spacing w:after="0"/>
              <w:ind w:left="0" w:firstLine="0"/>
              <w:textAlignment w:val="center"/>
              <w:rPr>
                <w:rFonts w:cs="仿宋"/>
                <w:color w:val="000000"/>
              </w:rPr>
            </w:pPr>
            <w:r>
              <w:rPr>
                <w:rFonts w:hint="eastAsia" w:cs="仿宋"/>
                <w:color w:val="000000"/>
              </w:rPr>
              <w:t>I/O接口：5个（升、降、地感1、地感2、防砸）</w:t>
            </w:r>
          </w:p>
          <w:p>
            <w:pPr>
              <w:pStyle w:val="45"/>
              <w:numPr>
                <w:ilvl w:val="0"/>
                <w:numId w:val="4"/>
              </w:numPr>
              <w:snapToGrid w:val="0"/>
              <w:spacing w:after="0"/>
              <w:ind w:left="0" w:firstLine="0"/>
              <w:textAlignment w:val="center"/>
              <w:rPr>
                <w:rFonts w:cs="仿宋"/>
                <w:color w:val="000000"/>
              </w:rPr>
            </w:pPr>
            <w:r>
              <w:rPr>
                <w:rFonts w:hint="eastAsia" w:cs="仿宋"/>
                <w:color w:val="000000"/>
              </w:rPr>
              <w:t>状态输出：3路（开到位、关到位、红绿灯）</w:t>
            </w:r>
          </w:p>
          <w:p>
            <w:pPr>
              <w:pStyle w:val="45"/>
              <w:numPr>
                <w:ilvl w:val="0"/>
                <w:numId w:val="4"/>
              </w:numPr>
              <w:snapToGrid w:val="0"/>
              <w:spacing w:after="0"/>
              <w:ind w:left="0" w:firstLine="0"/>
              <w:textAlignment w:val="center"/>
              <w:rPr>
                <w:rFonts w:cs="仿宋"/>
                <w:color w:val="000000"/>
              </w:rPr>
            </w:pPr>
            <w:r>
              <w:rPr>
                <w:rFonts w:hint="eastAsia" w:cs="仿宋"/>
                <w:color w:val="000000"/>
              </w:rPr>
              <w:t>供电方式：AC186~264V、功耗：75W</w:t>
            </w:r>
          </w:p>
          <w:p>
            <w:pPr>
              <w:pStyle w:val="45"/>
              <w:numPr>
                <w:ilvl w:val="0"/>
                <w:numId w:val="4"/>
              </w:numPr>
              <w:snapToGrid w:val="0"/>
              <w:spacing w:after="0"/>
              <w:ind w:left="0" w:firstLine="0"/>
              <w:textAlignment w:val="center"/>
              <w:rPr>
                <w:rFonts w:cs="仿宋"/>
                <w:color w:val="000000"/>
              </w:rPr>
            </w:pPr>
            <w:r>
              <w:rPr>
                <w:rFonts w:hint="eastAsia" w:cs="仿宋"/>
                <w:color w:val="000000"/>
              </w:rPr>
              <w:t>工作温度：-40℃～+70℃</w:t>
            </w:r>
          </w:p>
          <w:p>
            <w:pPr>
              <w:pStyle w:val="45"/>
              <w:numPr>
                <w:ilvl w:val="0"/>
                <w:numId w:val="4"/>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4"/>
              </w:numPr>
              <w:snapToGrid w:val="0"/>
              <w:spacing w:after="0"/>
              <w:ind w:left="0" w:firstLine="0"/>
              <w:textAlignment w:val="center"/>
              <w:rPr>
                <w:rFonts w:cs="仿宋"/>
                <w:color w:val="000000"/>
              </w:rPr>
            </w:pPr>
            <w:r>
              <w:rPr>
                <w:rFonts w:hint="eastAsia" w:cs="仿宋"/>
                <w:color w:val="000000"/>
              </w:rPr>
              <w:t>防护等级：IP54</w:t>
            </w:r>
          </w:p>
          <w:p>
            <w:pPr>
              <w:pStyle w:val="45"/>
              <w:numPr>
                <w:ilvl w:val="0"/>
                <w:numId w:val="4"/>
              </w:numPr>
              <w:snapToGrid w:val="0"/>
              <w:spacing w:after="0"/>
              <w:ind w:left="0" w:firstLine="0"/>
              <w:textAlignment w:val="center"/>
              <w:rPr>
                <w:rFonts w:cs="仿宋"/>
                <w:color w:val="000000"/>
              </w:rPr>
            </w:pPr>
            <w:r>
              <w:rPr>
                <w:rFonts w:hint="eastAsia" w:cs="仿宋"/>
                <w:color w:val="000000"/>
              </w:rPr>
              <w:t>产品尺寸：382mm×330mm×1000mm（长×宽×高）</w:t>
            </w:r>
          </w:p>
          <w:p>
            <w:pPr>
              <w:pStyle w:val="45"/>
              <w:numPr>
                <w:ilvl w:val="0"/>
                <w:numId w:val="4"/>
              </w:numPr>
              <w:snapToGrid w:val="0"/>
              <w:spacing w:after="0"/>
              <w:ind w:left="0" w:firstLine="0"/>
              <w:textAlignment w:val="center"/>
              <w:rPr>
                <w:rFonts w:cs="仿宋"/>
                <w:color w:val="000000"/>
              </w:rPr>
            </w:pPr>
            <w:r>
              <w:rPr>
                <w:rFonts w:hint="eastAsia" w:cs="仿宋"/>
                <w:color w:val="000000"/>
              </w:rPr>
              <w:t>安装方式：立式，采用压铁和膨胀螺丝将道闸进行固定安装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防砸雷达</w:t>
            </w:r>
          </w:p>
        </w:tc>
        <w:tc>
          <w:tcPr>
            <w:tcW w:w="5055" w:type="dxa"/>
            <w:shd w:val="clear" w:color="auto" w:fill="FFFFFF"/>
            <w:vAlign w:val="center"/>
          </w:tcPr>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发射频率：77GHz ~81GHz</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发射功率：≤10mW</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波束宽度：俯仰 ±10 °，水 平±36 °</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响应时间：50ms</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检测区域：0.3~6m（可调）</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防砸区域：0~2m（可调）</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RS-485接口：1个</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I/O接口：2个（1个升级按钮输入，1个继电器输出）</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工作电压：DC9V~12V</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工作电流：＜0.25A</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功耗：＜3W</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工作温度：-40℃～+85℃</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防护等级：IP67</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产品尺寸：96mm×60mm×16.4mm（长×宽×高）</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安装方式：箱侧安装</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出入口控制终端</w:t>
            </w:r>
          </w:p>
        </w:tc>
        <w:tc>
          <w:tcPr>
            <w:tcW w:w="5055" w:type="dxa"/>
            <w:vMerge w:val="restart"/>
            <w:shd w:val="clear" w:color="auto" w:fill="FFFFFF"/>
            <w:vAlign w:val="center"/>
          </w:tcPr>
          <w:p>
            <w:pPr>
              <w:pStyle w:val="45"/>
              <w:numPr>
                <w:ilvl w:val="0"/>
                <w:numId w:val="6"/>
              </w:numPr>
              <w:snapToGrid w:val="0"/>
              <w:spacing w:after="0"/>
              <w:ind w:left="0" w:firstLine="0"/>
              <w:textAlignment w:val="center"/>
              <w:rPr>
                <w:rFonts w:cs="仿宋"/>
                <w:color w:val="000000"/>
              </w:rPr>
            </w:pPr>
            <w:r>
              <w:rPr>
                <w:rFonts w:hint="eastAsia" w:cs="仿宋"/>
                <w:color w:val="000000"/>
              </w:rPr>
              <w:t>显示屏：显示终端（4行4字，支持红绿黄三色显示）</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显示屏尺寸：256mm×256mm（长×宽）</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显示屏像素构成：1R1PG</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显示屏分辨率：4096Dots（64x64，4行4字），点间距4.0mm</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显示屏亮度：≥5000cd/㎡，可调并可根据环境亮度自适应</w:t>
            </w:r>
          </w:p>
          <w:p>
            <w:pPr>
              <w:pStyle w:val="45"/>
              <w:numPr>
                <w:ilvl w:val="0"/>
                <w:numId w:val="6"/>
              </w:numPr>
              <w:snapToGrid w:val="0"/>
              <w:spacing w:after="0"/>
              <w:ind w:left="0" w:firstLine="0"/>
              <w:textAlignment w:val="center"/>
              <w:rPr>
                <w:rFonts w:cs="仿宋"/>
                <w:color w:val="000000"/>
              </w:rPr>
            </w:pPr>
            <w:r>
              <w:rPr>
                <w:rFonts w:hint="eastAsia" w:cs="仿宋"/>
                <w:color w:val="000000"/>
              </w:rPr>
              <w:t>补光灯数量：3颗（暖光灯，色温为3000K，亮度可自动调）</w:t>
            </w:r>
          </w:p>
          <w:p>
            <w:pPr>
              <w:pStyle w:val="45"/>
              <w:numPr>
                <w:ilvl w:val="0"/>
                <w:numId w:val="6"/>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6"/>
              </w:numPr>
              <w:snapToGrid w:val="0"/>
              <w:spacing w:after="0"/>
              <w:ind w:left="0" w:firstLine="0"/>
              <w:textAlignment w:val="center"/>
              <w:rPr>
                <w:rFonts w:cs="仿宋"/>
                <w:color w:val="000000"/>
              </w:rPr>
            </w:pPr>
            <w:r>
              <w:rPr>
                <w:rFonts w:hint="eastAsia" w:cs="仿宋"/>
                <w:color w:val="000000"/>
              </w:rPr>
              <w:t>图像分辨率：1920×1080（不包含OSD黑边）</w:t>
            </w:r>
          </w:p>
          <w:p>
            <w:pPr>
              <w:pStyle w:val="45"/>
              <w:numPr>
                <w:ilvl w:val="0"/>
                <w:numId w:val="6"/>
              </w:numPr>
              <w:snapToGrid w:val="0"/>
              <w:spacing w:after="0"/>
              <w:ind w:left="0" w:firstLine="0"/>
              <w:textAlignment w:val="center"/>
              <w:rPr>
                <w:rFonts w:cs="仿宋"/>
                <w:color w:val="000000"/>
              </w:rPr>
            </w:pPr>
            <w:r>
              <w:rPr>
                <w:rFonts w:hint="eastAsia" w:cs="仿宋"/>
                <w:color w:val="000000"/>
              </w:rPr>
              <w:t>电子快门：1/25s~1/10000s（可手动或自动调节）</w:t>
            </w:r>
          </w:p>
          <w:p>
            <w:pPr>
              <w:pStyle w:val="45"/>
              <w:numPr>
                <w:ilvl w:val="0"/>
                <w:numId w:val="6"/>
              </w:numPr>
              <w:snapToGrid w:val="0"/>
              <w:spacing w:after="0"/>
              <w:ind w:left="0" w:firstLine="0"/>
              <w:textAlignment w:val="center"/>
              <w:rPr>
                <w:rFonts w:cs="仿宋"/>
                <w:color w:val="000000"/>
              </w:rPr>
            </w:pPr>
            <w:r>
              <w:rPr>
                <w:rFonts w:hint="eastAsia" w:cs="仿宋"/>
                <w:color w:val="000000"/>
              </w:rPr>
              <w:t>抓拍距离：2.5~8m</w:t>
            </w:r>
          </w:p>
          <w:p>
            <w:pPr>
              <w:pStyle w:val="45"/>
              <w:numPr>
                <w:ilvl w:val="0"/>
                <w:numId w:val="6"/>
              </w:numPr>
              <w:snapToGrid w:val="0"/>
              <w:spacing w:after="0"/>
              <w:ind w:left="0" w:firstLine="0"/>
              <w:textAlignment w:val="center"/>
              <w:rPr>
                <w:rFonts w:cs="仿宋"/>
                <w:color w:val="000000"/>
              </w:rPr>
            </w:pPr>
            <w:r>
              <w:rPr>
                <w:rFonts w:hint="eastAsia" w:cs="仿宋"/>
                <w:color w:val="000000"/>
              </w:rPr>
              <w:t>车辆检测：车辆捕获率≥99.9%</w:t>
            </w:r>
          </w:p>
          <w:p>
            <w:pPr>
              <w:pStyle w:val="45"/>
              <w:numPr>
                <w:ilvl w:val="0"/>
                <w:numId w:val="6"/>
              </w:numPr>
              <w:snapToGrid w:val="0"/>
              <w:spacing w:after="0"/>
              <w:ind w:left="0" w:firstLine="0"/>
              <w:textAlignment w:val="center"/>
              <w:rPr>
                <w:rFonts w:cs="仿宋"/>
                <w:color w:val="000000"/>
              </w:rPr>
            </w:pPr>
            <w:r>
              <w:rPr>
                <w:rFonts w:hint="eastAsia" w:cs="仿宋"/>
                <w:color w:val="000000"/>
              </w:rPr>
              <w:t>车牌识别率≥99.9%，车辆特征识别率≥95%</w:t>
            </w:r>
          </w:p>
          <w:p>
            <w:pPr>
              <w:pStyle w:val="45"/>
              <w:numPr>
                <w:ilvl w:val="0"/>
                <w:numId w:val="6"/>
              </w:numPr>
              <w:snapToGrid w:val="0"/>
              <w:spacing w:after="0"/>
              <w:ind w:left="0" w:firstLine="0"/>
              <w:textAlignment w:val="center"/>
              <w:rPr>
                <w:rFonts w:cs="仿宋"/>
                <w:color w:val="000000"/>
              </w:rPr>
            </w:pPr>
            <w:r>
              <w:rPr>
                <w:rFonts w:hint="eastAsia" w:cs="仿宋"/>
                <w:color w:val="000000"/>
              </w:rPr>
              <w:t>供电方式：AC220V</w:t>
            </w:r>
          </w:p>
          <w:p>
            <w:pPr>
              <w:pStyle w:val="45"/>
              <w:numPr>
                <w:ilvl w:val="0"/>
                <w:numId w:val="6"/>
              </w:numPr>
              <w:snapToGrid w:val="0"/>
              <w:spacing w:after="0"/>
              <w:ind w:left="0" w:firstLine="0"/>
              <w:textAlignment w:val="center"/>
              <w:rPr>
                <w:rFonts w:cs="仿宋"/>
                <w:color w:val="000000"/>
              </w:rPr>
            </w:pPr>
            <w:r>
              <w:rPr>
                <w:rFonts w:hint="eastAsia" w:cs="仿宋"/>
                <w:color w:val="000000"/>
              </w:rPr>
              <w:t>功耗：＜70W</w:t>
            </w:r>
          </w:p>
          <w:p>
            <w:pPr>
              <w:pStyle w:val="45"/>
              <w:numPr>
                <w:ilvl w:val="0"/>
                <w:numId w:val="6"/>
              </w:numPr>
              <w:snapToGrid w:val="0"/>
              <w:spacing w:after="0"/>
              <w:ind w:left="0" w:firstLine="0"/>
              <w:textAlignment w:val="center"/>
              <w:rPr>
                <w:rFonts w:cs="仿宋"/>
                <w:color w:val="000000"/>
              </w:rPr>
            </w:pPr>
            <w:r>
              <w:rPr>
                <w:rFonts w:hint="eastAsia" w:cs="仿宋"/>
                <w:color w:val="000000"/>
              </w:rPr>
              <w:t>工作温度：-30℃~+65℃</w:t>
            </w:r>
          </w:p>
          <w:p>
            <w:pPr>
              <w:pStyle w:val="45"/>
              <w:numPr>
                <w:ilvl w:val="0"/>
                <w:numId w:val="6"/>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6"/>
              </w:numPr>
              <w:snapToGrid w:val="0"/>
              <w:spacing w:after="0"/>
              <w:ind w:left="0" w:firstLine="0"/>
              <w:textAlignment w:val="center"/>
              <w:rPr>
                <w:rFonts w:cs="仿宋"/>
                <w:color w:val="000000"/>
              </w:rPr>
            </w:pPr>
            <w:r>
              <w:rPr>
                <w:rFonts w:hint="eastAsia" w:cs="仿宋"/>
                <w:color w:val="000000"/>
              </w:rPr>
              <w:t>外壳材料：金属+塑料</w:t>
            </w:r>
          </w:p>
          <w:p>
            <w:pPr>
              <w:pStyle w:val="45"/>
              <w:numPr>
                <w:ilvl w:val="0"/>
                <w:numId w:val="6"/>
              </w:numPr>
              <w:snapToGrid w:val="0"/>
              <w:spacing w:after="0"/>
              <w:ind w:left="0" w:firstLine="0"/>
              <w:textAlignment w:val="center"/>
              <w:rPr>
                <w:rFonts w:cs="仿宋"/>
                <w:color w:val="000000"/>
              </w:rPr>
            </w:pPr>
            <w:r>
              <w:rPr>
                <w:rFonts w:hint="eastAsia" w:cs="仿宋"/>
                <w:color w:val="000000"/>
              </w:rPr>
              <w:t>防护等级：IP54</w:t>
            </w:r>
          </w:p>
          <w:p>
            <w:pPr>
              <w:pStyle w:val="45"/>
              <w:numPr>
                <w:ilvl w:val="0"/>
                <w:numId w:val="6"/>
              </w:numPr>
              <w:snapToGrid w:val="0"/>
              <w:spacing w:after="0"/>
              <w:ind w:left="0" w:firstLine="0"/>
              <w:textAlignment w:val="center"/>
              <w:rPr>
                <w:rFonts w:cs="仿宋"/>
                <w:color w:val="000000"/>
              </w:rPr>
            </w:pPr>
            <w:r>
              <w:rPr>
                <w:rFonts w:hint="eastAsia" w:cs="仿宋"/>
                <w:color w:val="000000"/>
              </w:rPr>
              <w:t>产品尺寸：320mm×380.9mm×1423.9mm（长×宽×高）</w:t>
            </w:r>
          </w:p>
          <w:p>
            <w:pPr>
              <w:pStyle w:val="45"/>
              <w:numPr>
                <w:ilvl w:val="0"/>
                <w:numId w:val="6"/>
              </w:numPr>
              <w:snapToGrid w:val="0"/>
              <w:spacing w:after="0"/>
              <w:ind w:left="0" w:firstLine="0"/>
              <w:textAlignment w:val="center"/>
              <w:rPr>
                <w:rFonts w:cs="仿宋"/>
                <w:color w:val="000000"/>
              </w:rPr>
            </w:pPr>
            <w:r>
              <w:rPr>
                <w:rFonts w:hint="eastAsia" w:cs="仿宋"/>
                <w:color w:val="000000"/>
              </w:rPr>
              <w:t>安装方式：立式安装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系统软件</w:t>
            </w:r>
          </w:p>
        </w:tc>
        <w:tc>
          <w:tcPr>
            <w:tcW w:w="5055" w:type="dxa"/>
            <w:shd w:val="clear" w:color="auto" w:fill="FFFFFF"/>
            <w:vAlign w:val="center"/>
          </w:tcPr>
          <w:p>
            <w:pPr>
              <w:pStyle w:val="45"/>
              <w:numPr>
                <w:ilvl w:val="0"/>
                <w:numId w:val="7"/>
              </w:numPr>
              <w:snapToGrid w:val="0"/>
              <w:spacing w:after="0"/>
              <w:ind w:left="0" w:firstLine="0"/>
              <w:textAlignment w:val="center"/>
              <w:rPr>
                <w:rFonts w:cs="仿宋"/>
                <w:color w:val="000000"/>
              </w:rPr>
            </w:pPr>
            <w:r>
              <w:rPr>
                <w:rFonts w:hint="eastAsia" w:cs="仿宋"/>
                <w:color w:val="000000"/>
              </w:rPr>
              <w:t>支持用户自定义配置业务数据展现，展示用户认为最重要的数据；</w:t>
            </w:r>
          </w:p>
          <w:p>
            <w:pPr>
              <w:pStyle w:val="45"/>
              <w:numPr>
                <w:ilvl w:val="0"/>
                <w:numId w:val="7"/>
              </w:numPr>
              <w:snapToGrid w:val="0"/>
              <w:spacing w:after="0"/>
              <w:ind w:left="0" w:firstLine="0"/>
              <w:textAlignment w:val="center"/>
              <w:rPr>
                <w:rFonts w:cs="仿宋"/>
                <w:color w:val="000000"/>
              </w:rPr>
            </w:pPr>
            <w:r>
              <w:rPr>
                <w:rFonts w:hint="eastAsia" w:cs="仿宋"/>
                <w:color w:val="000000"/>
              </w:rPr>
              <w:t>一卡通集成停车场，门禁，考勤，消费，访客，梯控，巡更真正实现一次发卡，各个系统都能使用；</w:t>
            </w:r>
          </w:p>
          <w:p>
            <w:pPr>
              <w:pStyle w:val="45"/>
              <w:numPr>
                <w:ilvl w:val="0"/>
                <w:numId w:val="7"/>
              </w:numPr>
              <w:snapToGrid w:val="0"/>
              <w:spacing w:after="0"/>
              <w:ind w:left="0" w:firstLine="0"/>
              <w:textAlignment w:val="center"/>
              <w:rPr>
                <w:rFonts w:cs="仿宋"/>
                <w:color w:val="000000"/>
              </w:rPr>
            </w:pPr>
            <w:r>
              <w:rPr>
                <w:rFonts w:hint="eastAsia" w:cs="仿宋"/>
                <w:color w:val="000000"/>
              </w:rPr>
              <w:t>实现不停车出入，停车预约，停车诱导，反向寻车，自助缴费，APP缴费等功能；</w:t>
            </w:r>
          </w:p>
          <w:p>
            <w:pPr>
              <w:pStyle w:val="45"/>
              <w:numPr>
                <w:ilvl w:val="0"/>
                <w:numId w:val="7"/>
              </w:numPr>
              <w:snapToGrid w:val="0"/>
              <w:spacing w:after="0"/>
              <w:ind w:left="0" w:firstLine="0"/>
              <w:textAlignment w:val="center"/>
              <w:rPr>
                <w:rFonts w:cs="仿宋"/>
                <w:color w:val="000000"/>
              </w:rPr>
            </w:pPr>
            <w:r>
              <w:rPr>
                <w:rFonts w:hint="eastAsia" w:cs="仿宋"/>
                <w:color w:val="000000"/>
              </w:rPr>
              <w:t>支持IVS-B/PC等智能设备接入，实现全景拼接，人脸识别，人数统计；</w:t>
            </w:r>
          </w:p>
          <w:p>
            <w:pPr>
              <w:pStyle w:val="45"/>
              <w:numPr>
                <w:ilvl w:val="0"/>
                <w:numId w:val="7"/>
              </w:numPr>
              <w:snapToGrid w:val="0"/>
              <w:spacing w:after="0"/>
              <w:ind w:left="0" w:firstLine="0"/>
              <w:textAlignment w:val="center"/>
              <w:rPr>
                <w:rFonts w:cs="仿宋"/>
                <w:color w:val="000000"/>
              </w:rPr>
            </w:pPr>
            <w:r>
              <w:rPr>
                <w:rFonts w:hint="eastAsia" w:cs="仿宋"/>
                <w:color w:val="000000"/>
              </w:rPr>
              <w:t>支持矢量，光栅，在线/离线GIS、3维地图等多种地图应用；</w:t>
            </w:r>
          </w:p>
          <w:p>
            <w:pPr>
              <w:pStyle w:val="45"/>
              <w:numPr>
                <w:ilvl w:val="0"/>
                <w:numId w:val="7"/>
              </w:numPr>
              <w:snapToGrid w:val="0"/>
              <w:spacing w:after="0"/>
              <w:ind w:left="0" w:firstLine="0"/>
              <w:textAlignment w:val="center"/>
              <w:rPr>
                <w:rFonts w:cs="仿宋"/>
                <w:color w:val="000000"/>
              </w:rPr>
            </w:pPr>
            <w:r>
              <w:rPr>
                <w:rFonts w:hint="eastAsia" w:cs="仿宋"/>
                <w:color w:val="000000"/>
              </w:rPr>
              <w:t>支持多址模式下800M码流的接入、转发和存储；支持绑定模式下1500M码流的接入、转发和存储；</w:t>
            </w:r>
          </w:p>
          <w:p>
            <w:pPr>
              <w:pStyle w:val="45"/>
              <w:numPr>
                <w:ilvl w:val="0"/>
                <w:numId w:val="7"/>
              </w:numPr>
              <w:snapToGrid w:val="0"/>
              <w:spacing w:after="0"/>
              <w:ind w:left="0" w:firstLine="0"/>
              <w:textAlignment w:val="center"/>
              <w:rPr>
                <w:rFonts w:cs="仿宋"/>
                <w:color w:val="000000"/>
              </w:rPr>
            </w:pPr>
            <w:r>
              <w:rPr>
                <w:rFonts w:hint="eastAsia" w:cs="仿宋"/>
                <w:color w:val="000000"/>
              </w:rPr>
              <w:t>支持B/S、C/S客户端，以及iphone、ipad、android等移动端应用；</w:t>
            </w:r>
          </w:p>
          <w:p>
            <w:pPr>
              <w:pStyle w:val="45"/>
              <w:numPr>
                <w:ilvl w:val="0"/>
                <w:numId w:val="7"/>
              </w:numPr>
              <w:snapToGrid w:val="0"/>
              <w:spacing w:after="0"/>
              <w:ind w:left="0" w:firstLine="0"/>
              <w:textAlignment w:val="center"/>
              <w:rPr>
                <w:rFonts w:cs="仿宋"/>
                <w:color w:val="000000"/>
              </w:rPr>
            </w:pPr>
            <w:r>
              <w:rPr>
                <w:rFonts w:hint="eastAsia" w:cs="仿宋"/>
                <w:color w:val="000000"/>
              </w:rPr>
              <w:t>支持二次开发，提供平台SDK开发包、webservice、REST接口；</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辅助相机</w:t>
            </w:r>
          </w:p>
        </w:tc>
        <w:tc>
          <w:tcPr>
            <w:tcW w:w="5055" w:type="dxa"/>
            <w:vMerge w:val="restart"/>
            <w:shd w:val="clear" w:color="auto" w:fill="FFFFFF"/>
            <w:vAlign w:val="center"/>
          </w:tcPr>
          <w:p>
            <w:pPr>
              <w:pStyle w:val="45"/>
              <w:numPr>
                <w:ilvl w:val="0"/>
                <w:numId w:val="8"/>
              </w:numPr>
              <w:snapToGrid w:val="0"/>
              <w:spacing w:after="0"/>
              <w:ind w:left="0" w:firstLine="0"/>
              <w:textAlignment w:val="center"/>
              <w:rPr>
                <w:rFonts w:cs="仿宋"/>
                <w:color w:val="000000"/>
              </w:rPr>
            </w:pPr>
            <w:r>
              <w:rPr>
                <w:rFonts w:hint="eastAsia" w:cs="仿宋"/>
                <w:color w:val="000000"/>
              </w:rPr>
              <w:t>补光灯数量：3颗（暖光灯，色温为3000K，亮度可调）</w:t>
            </w:r>
          </w:p>
          <w:p>
            <w:pPr>
              <w:pStyle w:val="45"/>
              <w:numPr>
                <w:ilvl w:val="0"/>
                <w:numId w:val="8"/>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8"/>
              </w:numPr>
              <w:snapToGrid w:val="0"/>
              <w:spacing w:after="0"/>
              <w:ind w:left="0" w:firstLine="0"/>
              <w:textAlignment w:val="center"/>
              <w:rPr>
                <w:rFonts w:cs="仿宋"/>
                <w:color w:val="000000"/>
              </w:rPr>
            </w:pPr>
            <w:r>
              <w:rPr>
                <w:rFonts w:hint="eastAsia" w:cs="仿宋"/>
                <w:color w:val="000000"/>
              </w:rPr>
              <w:t>图像分辨率：1920×1080（不包含OSD黑边）</w:t>
            </w:r>
          </w:p>
          <w:p>
            <w:pPr>
              <w:pStyle w:val="45"/>
              <w:numPr>
                <w:ilvl w:val="0"/>
                <w:numId w:val="8"/>
              </w:numPr>
              <w:snapToGrid w:val="0"/>
              <w:spacing w:after="0"/>
              <w:ind w:left="0" w:firstLine="0"/>
              <w:textAlignment w:val="center"/>
              <w:rPr>
                <w:rFonts w:cs="仿宋"/>
                <w:color w:val="000000"/>
              </w:rPr>
            </w:pPr>
            <w:r>
              <w:rPr>
                <w:rFonts w:hint="eastAsia" w:cs="仿宋"/>
                <w:color w:val="000000"/>
              </w:rPr>
              <w:t>电子快门：1/25s~1/10000s（可手动或自动调节）</w:t>
            </w:r>
          </w:p>
          <w:p>
            <w:pPr>
              <w:pStyle w:val="45"/>
              <w:numPr>
                <w:ilvl w:val="0"/>
                <w:numId w:val="8"/>
              </w:numPr>
              <w:snapToGrid w:val="0"/>
              <w:spacing w:after="0"/>
              <w:ind w:left="0" w:firstLine="0"/>
              <w:textAlignment w:val="center"/>
              <w:rPr>
                <w:rFonts w:cs="仿宋"/>
                <w:color w:val="000000"/>
              </w:rPr>
            </w:pPr>
            <w:r>
              <w:rPr>
                <w:rFonts w:hint="eastAsia" w:cs="仿宋"/>
                <w:color w:val="000000"/>
              </w:rPr>
              <w:t>车牌识别率≥99.5%</w:t>
            </w:r>
          </w:p>
          <w:p>
            <w:pPr>
              <w:pStyle w:val="45"/>
              <w:numPr>
                <w:ilvl w:val="0"/>
                <w:numId w:val="8"/>
              </w:numPr>
              <w:snapToGrid w:val="0"/>
              <w:spacing w:after="0"/>
              <w:ind w:left="0" w:firstLine="0"/>
              <w:textAlignment w:val="center"/>
              <w:rPr>
                <w:rFonts w:cs="仿宋"/>
                <w:color w:val="000000"/>
              </w:rPr>
            </w:pPr>
            <w:r>
              <w:rPr>
                <w:rFonts w:hint="eastAsia" w:cs="仿宋"/>
                <w:color w:val="000000"/>
              </w:rPr>
              <w:t>供电方式：AC220V</w:t>
            </w:r>
          </w:p>
          <w:p>
            <w:pPr>
              <w:pStyle w:val="45"/>
              <w:numPr>
                <w:ilvl w:val="0"/>
                <w:numId w:val="8"/>
              </w:numPr>
              <w:snapToGrid w:val="0"/>
              <w:spacing w:after="0"/>
              <w:ind w:left="0" w:firstLine="0"/>
              <w:textAlignment w:val="center"/>
              <w:rPr>
                <w:rFonts w:cs="仿宋"/>
                <w:color w:val="000000"/>
              </w:rPr>
            </w:pPr>
            <w:r>
              <w:rPr>
                <w:rFonts w:hint="eastAsia" w:cs="仿宋"/>
                <w:color w:val="000000"/>
              </w:rPr>
              <w:t>功耗：＜24W</w:t>
            </w:r>
          </w:p>
          <w:p>
            <w:pPr>
              <w:pStyle w:val="45"/>
              <w:numPr>
                <w:ilvl w:val="0"/>
                <w:numId w:val="8"/>
              </w:numPr>
              <w:snapToGrid w:val="0"/>
              <w:spacing w:after="0"/>
              <w:ind w:left="0" w:firstLine="0"/>
              <w:textAlignment w:val="center"/>
              <w:rPr>
                <w:rFonts w:cs="仿宋"/>
                <w:color w:val="000000"/>
              </w:rPr>
            </w:pPr>
            <w:r>
              <w:rPr>
                <w:rFonts w:hint="eastAsia" w:cs="仿宋"/>
                <w:color w:val="000000"/>
              </w:rPr>
              <w:t>工作温度：-30℃~+65℃</w:t>
            </w:r>
          </w:p>
          <w:p>
            <w:pPr>
              <w:pStyle w:val="45"/>
              <w:numPr>
                <w:ilvl w:val="0"/>
                <w:numId w:val="8"/>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8"/>
              </w:numPr>
              <w:snapToGrid w:val="0"/>
              <w:spacing w:after="0"/>
              <w:ind w:left="0" w:firstLine="0"/>
              <w:textAlignment w:val="center"/>
              <w:rPr>
                <w:rFonts w:cs="仿宋"/>
                <w:color w:val="000000"/>
              </w:rPr>
            </w:pPr>
            <w:r>
              <w:rPr>
                <w:rFonts w:hint="eastAsia" w:cs="仿宋"/>
                <w:color w:val="000000"/>
              </w:rPr>
              <w:t>防护等级：IP66</w:t>
            </w:r>
          </w:p>
          <w:p>
            <w:pPr>
              <w:pStyle w:val="45"/>
              <w:numPr>
                <w:ilvl w:val="0"/>
                <w:numId w:val="8"/>
              </w:numPr>
              <w:snapToGrid w:val="0"/>
              <w:spacing w:after="0"/>
              <w:ind w:left="0" w:firstLine="0"/>
              <w:textAlignment w:val="center"/>
              <w:rPr>
                <w:rFonts w:cs="仿宋"/>
                <w:color w:val="000000"/>
              </w:rPr>
            </w:pPr>
            <w:r>
              <w:rPr>
                <w:rFonts w:hint="eastAsia" w:cs="仿宋"/>
                <w:color w:val="000000"/>
              </w:rPr>
              <w:t>产品尺寸：381mm×154mm×106mm（长×宽×高）</w:t>
            </w:r>
          </w:p>
          <w:p>
            <w:pPr>
              <w:pStyle w:val="45"/>
              <w:numPr>
                <w:ilvl w:val="0"/>
                <w:numId w:val="8"/>
              </w:numPr>
              <w:snapToGrid w:val="0"/>
              <w:spacing w:after="0"/>
              <w:ind w:left="0" w:firstLine="0"/>
              <w:textAlignment w:val="center"/>
              <w:rPr>
                <w:rFonts w:cs="仿宋"/>
                <w:color w:val="000000"/>
              </w:rPr>
            </w:pPr>
            <w:r>
              <w:rPr>
                <w:rFonts w:hint="eastAsia" w:cs="仿宋"/>
                <w:color w:val="000000"/>
              </w:rPr>
              <w:t>安装方式：万向节或球头支架</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智慧停车系统运行调试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二、数字公交站</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车辆信息显示屏</w:t>
            </w:r>
          </w:p>
        </w:tc>
        <w:tc>
          <w:tcPr>
            <w:tcW w:w="5055" w:type="dxa"/>
            <w:shd w:val="clear" w:color="auto" w:fill="FFFFFF"/>
            <w:vAlign w:val="center"/>
          </w:tcPr>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液晶面板尺寸：43英寸</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液晶面板性能：TFT LCD</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显示比例：9:16</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分辨率：1080*1920</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亮度：330cd/㎡</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对比度：3000:1</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电源：AC100~240V 50HZ/60HZ</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功耗：52W</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外形尺寸 （mm）：1915.0*650.0*63.6</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安装方式：立式</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工作温度：﹣10℃~50℃</w:t>
            </w:r>
          </w:p>
          <w:p>
            <w:pPr>
              <w:pStyle w:val="45"/>
              <w:numPr>
                <w:ilvl w:val="0"/>
                <w:numId w:val="9"/>
              </w:numPr>
              <w:snapToGrid w:val="0"/>
              <w:spacing w:after="0"/>
              <w:ind w:left="0" w:firstLine="0"/>
              <w:textAlignment w:val="center"/>
              <w:rPr>
                <w:rFonts w:cs="仿宋"/>
                <w:color w:val="000000"/>
              </w:rPr>
            </w:pPr>
            <w:r>
              <w:rPr>
                <w:rFonts w:hint="eastAsia" w:cs="仿宋"/>
                <w:color w:val="000000"/>
                <w:lang w:bidi="ar"/>
              </w:rPr>
              <w:t>工作湿度：10%~90%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车辆信息展示软件</w:t>
            </w:r>
          </w:p>
        </w:tc>
        <w:tc>
          <w:tcPr>
            <w:tcW w:w="5055" w:type="dxa"/>
            <w:shd w:val="clear" w:color="auto" w:fill="FFFFFF"/>
            <w:vAlign w:val="center"/>
          </w:tcPr>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支持多种素材的播放，包括文本、图片、音频、视频、Office文档、PDF文档、实时监控视频、网页、星期、日期、时间、天气</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支持本地4K解码和显示功能，以及多种播放模式：循环、定时、插播、垫片、广告字幕</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支持设备的网络设置、设备管理、网络配置、用户管理、重启设置、定时开关机</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基于B/S架构，实现素材管理、节目管理、计划管理、系统设置、统计报表</w:t>
            </w:r>
          </w:p>
          <w:p>
            <w:pPr>
              <w:pStyle w:val="45"/>
              <w:numPr>
                <w:ilvl w:val="0"/>
                <w:numId w:val="10"/>
              </w:numPr>
              <w:snapToGrid w:val="0"/>
              <w:spacing w:after="0"/>
              <w:ind w:left="0" w:firstLine="0"/>
              <w:textAlignment w:val="center"/>
              <w:rPr>
                <w:rFonts w:cs="仿宋"/>
                <w:color w:val="000000"/>
              </w:rPr>
            </w:pPr>
            <w:r>
              <w:rPr>
                <w:rFonts w:hint="eastAsia" w:cs="仿宋"/>
                <w:color w:val="000000"/>
                <w:lang w:bidi="ar"/>
              </w:rPr>
              <w:t>支持断网、断电续传功能，本地P2P下载功能，定时下载，带宽限制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9</w:t>
            </w:r>
          </w:p>
        </w:tc>
        <w:tc>
          <w:tcPr>
            <w:tcW w:w="1260" w:type="dxa"/>
            <w:shd w:val="clear" w:color="auto" w:fill="FFFFFF" w:themeFill="background1"/>
            <w:vAlign w:val="center"/>
          </w:tcPr>
          <w:p>
            <w:pPr>
              <w:snapToGrid w:val="0"/>
              <w:spacing w:after="0"/>
              <w:textAlignment w:val="center"/>
              <w:rPr>
                <w:rFonts w:cs="仿宋"/>
                <w:color w:val="000000"/>
              </w:rPr>
            </w:pPr>
            <w:r>
              <w:rPr>
                <w:rFonts w:hint="eastAsia" w:cs="仿宋"/>
                <w:color w:val="000000"/>
              </w:rPr>
              <w:t>智能显示终端盒</w:t>
            </w:r>
          </w:p>
        </w:tc>
        <w:tc>
          <w:tcPr>
            <w:tcW w:w="5055" w:type="dxa"/>
            <w:shd w:val="clear" w:color="auto" w:fill="FFFFFF" w:themeFill="background1"/>
            <w:vAlign w:val="center"/>
          </w:tcPr>
          <w:p>
            <w:pPr>
              <w:pStyle w:val="45"/>
              <w:numPr>
                <w:ilvl w:val="0"/>
                <w:numId w:val="11"/>
              </w:numPr>
              <w:snapToGrid w:val="0"/>
              <w:spacing w:after="0"/>
              <w:ind w:left="0" w:firstLine="0"/>
              <w:textAlignment w:val="center"/>
              <w:rPr>
                <w:rFonts w:cs="仿宋"/>
                <w:color w:val="000000"/>
              </w:rPr>
            </w:pPr>
            <w:r>
              <w:rPr>
                <w:rFonts w:hint="eastAsia" w:cs="仿宋"/>
                <w:color w:val="000000"/>
              </w:rPr>
              <w:t>SD卡：TF卡槽1个，最大容量支持 128 GB</w:t>
            </w:r>
          </w:p>
          <w:p>
            <w:pPr>
              <w:pStyle w:val="45"/>
              <w:numPr>
                <w:ilvl w:val="0"/>
                <w:numId w:val="11"/>
              </w:numPr>
              <w:snapToGrid w:val="0"/>
              <w:spacing w:after="0"/>
              <w:ind w:left="0" w:firstLine="0"/>
              <w:textAlignment w:val="center"/>
              <w:rPr>
                <w:rFonts w:cs="仿宋"/>
                <w:color w:val="000000"/>
              </w:rPr>
            </w:pPr>
            <w:r>
              <w:rPr>
                <w:rFonts w:hint="eastAsia" w:cs="仿宋"/>
                <w:color w:val="000000"/>
              </w:rPr>
              <w:t>串口：RJ45接口形式的RS-232串口</w:t>
            </w:r>
          </w:p>
          <w:p>
            <w:pPr>
              <w:pStyle w:val="45"/>
              <w:numPr>
                <w:ilvl w:val="0"/>
                <w:numId w:val="11"/>
              </w:numPr>
              <w:snapToGrid w:val="0"/>
              <w:spacing w:after="0"/>
              <w:ind w:left="0" w:firstLine="0"/>
              <w:textAlignment w:val="center"/>
              <w:rPr>
                <w:rFonts w:cs="仿宋"/>
                <w:color w:val="000000"/>
              </w:rPr>
            </w:pPr>
            <w:r>
              <w:rPr>
                <w:rFonts w:hint="eastAsia" w:cs="仿宋"/>
                <w:color w:val="000000"/>
              </w:rPr>
              <w:t>USB接口：1个USB3.0、1个USB2.0</w:t>
            </w:r>
          </w:p>
          <w:p>
            <w:pPr>
              <w:pStyle w:val="45"/>
              <w:numPr>
                <w:ilvl w:val="0"/>
                <w:numId w:val="11"/>
              </w:numPr>
              <w:snapToGrid w:val="0"/>
              <w:spacing w:after="0"/>
              <w:ind w:left="0" w:firstLine="0"/>
              <w:textAlignment w:val="center"/>
              <w:rPr>
                <w:rFonts w:cs="仿宋"/>
                <w:color w:val="000000"/>
              </w:rPr>
            </w:pPr>
            <w:r>
              <w:rPr>
                <w:rFonts w:hint="eastAsia" w:cs="仿宋"/>
                <w:color w:val="000000"/>
              </w:rPr>
              <w:t>输出接口：HDMI接口</w:t>
            </w:r>
          </w:p>
          <w:p>
            <w:pPr>
              <w:pStyle w:val="45"/>
              <w:numPr>
                <w:ilvl w:val="0"/>
                <w:numId w:val="11"/>
              </w:numPr>
              <w:snapToGrid w:val="0"/>
              <w:spacing w:after="0"/>
              <w:ind w:left="0" w:firstLine="0"/>
              <w:textAlignment w:val="center"/>
              <w:rPr>
                <w:rFonts w:cs="仿宋"/>
                <w:color w:val="000000"/>
              </w:rPr>
            </w:pPr>
            <w:r>
              <w:rPr>
                <w:rFonts w:hint="eastAsia" w:cs="仿宋"/>
                <w:color w:val="000000"/>
              </w:rPr>
              <w:t>工作温度：–10 ℃～+55℃</w:t>
            </w:r>
          </w:p>
          <w:p>
            <w:pPr>
              <w:pStyle w:val="45"/>
              <w:numPr>
                <w:ilvl w:val="0"/>
                <w:numId w:val="11"/>
              </w:numPr>
              <w:snapToGrid w:val="0"/>
              <w:spacing w:after="0"/>
              <w:ind w:left="0" w:firstLine="0"/>
              <w:textAlignment w:val="center"/>
              <w:rPr>
                <w:rFonts w:cs="仿宋"/>
                <w:color w:val="000000"/>
              </w:rPr>
            </w:pPr>
            <w:r>
              <w:rPr>
                <w:rFonts w:hint="eastAsia" w:cs="仿宋"/>
                <w:color w:val="000000"/>
              </w:rPr>
              <w:t>尺寸：150*105*30mm</w:t>
            </w:r>
          </w:p>
          <w:p>
            <w:pPr>
              <w:pStyle w:val="45"/>
              <w:numPr>
                <w:ilvl w:val="0"/>
                <w:numId w:val="11"/>
              </w:numPr>
              <w:snapToGrid w:val="0"/>
              <w:spacing w:after="0"/>
              <w:ind w:left="0" w:firstLine="0"/>
              <w:textAlignment w:val="center"/>
              <w:rPr>
                <w:rFonts w:cs="仿宋"/>
                <w:color w:val="000000"/>
              </w:rPr>
            </w:pPr>
            <w:r>
              <w:rPr>
                <w:rFonts w:hint="eastAsia" w:cs="仿宋"/>
                <w:color w:val="000000"/>
              </w:rPr>
              <w:t>电源：12V/1A max适配器</w:t>
            </w:r>
          </w:p>
        </w:tc>
        <w:tc>
          <w:tcPr>
            <w:tcW w:w="795"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LCD播放盒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1.6G CPU*4 4G RAM 32G ROM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集中控制软件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集成通讯、显示屏状态管理、电子站牌照明开关管理、门禁报警管理、温控管理，故障回传管理,时控管理等多种接口，可远程升级，保证发布信息的准确性及系统运行的稳定性</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无线4G路由器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不低于4口，满足设备整体通讯功能需求，工业级32位通信处理器，标准电源DC 12V/1.5A</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13</w:t>
            </w:r>
          </w:p>
        </w:tc>
        <w:tc>
          <w:tcPr>
            <w:tcW w:w="1260" w:type="dxa"/>
            <w:vMerge w:val="restart"/>
            <w:shd w:val="clear" w:color="auto" w:fill="FFFFFF" w:themeFill="background1"/>
            <w:vAlign w:val="center"/>
          </w:tcPr>
          <w:p>
            <w:pPr>
              <w:snapToGrid w:val="0"/>
              <w:spacing w:after="0"/>
              <w:textAlignment w:val="center"/>
              <w:rPr>
                <w:rFonts w:cs="仿宋"/>
                <w:color w:val="000000"/>
              </w:rPr>
            </w:pPr>
            <w:r>
              <w:rPr>
                <w:rFonts w:hint="eastAsia" w:cs="仿宋"/>
                <w:color w:val="000000"/>
                <w:lang w:bidi="ar"/>
              </w:rPr>
              <w:t>综合管理软件</w:t>
            </w:r>
          </w:p>
        </w:tc>
        <w:tc>
          <w:tcPr>
            <w:tcW w:w="5055" w:type="dxa"/>
            <w:vMerge w:val="restart"/>
            <w:shd w:val="clear" w:color="auto" w:fill="FFFFFF" w:themeFill="background1"/>
            <w:vAlign w:val="center"/>
          </w:tcPr>
          <w:p>
            <w:pPr>
              <w:snapToGrid w:val="0"/>
              <w:spacing w:after="0"/>
              <w:textAlignment w:val="center"/>
              <w:rPr>
                <w:rFonts w:cs="仿宋"/>
                <w:color w:val="000000"/>
              </w:rPr>
            </w:pPr>
            <w:r>
              <w:rPr>
                <w:rFonts w:hint="eastAsia" w:cs="仿宋"/>
                <w:color w:val="000000"/>
              </w:rPr>
              <w:t>1、系统采用B/S架构，根据远程查询、调度等应用的特点，满足联机事务处理、较强的数据实时性等要求。高强度的信息安全保障，系统安全性和稳定性高，保证整体系统的长期稳定运行。</w:t>
            </w:r>
          </w:p>
          <w:p>
            <w:pPr>
              <w:snapToGrid w:val="0"/>
              <w:spacing w:after="0"/>
              <w:textAlignment w:val="center"/>
              <w:rPr>
                <w:rFonts w:cs="仿宋"/>
                <w:color w:val="000000"/>
              </w:rPr>
            </w:pPr>
            <w:r>
              <w:rPr>
                <w:rFonts w:hint="eastAsia" w:cs="仿宋"/>
                <w:color w:val="000000"/>
              </w:rPr>
              <w:t>2、系统平台可无缝兼容公交车辆现用GPS调度、通信网络监控管理平台，数据准确率要求达到99.9%以上。</w:t>
            </w:r>
          </w:p>
          <w:p>
            <w:pPr>
              <w:snapToGrid w:val="0"/>
              <w:spacing w:after="0"/>
              <w:textAlignment w:val="center"/>
              <w:rPr>
                <w:rFonts w:cs="仿宋"/>
                <w:color w:val="000000"/>
              </w:rPr>
            </w:pPr>
            <w:r>
              <w:rPr>
                <w:rFonts w:hint="eastAsia" w:cs="仿宋"/>
                <w:color w:val="000000"/>
              </w:rPr>
              <w:t>3、通过解析车辆北斗/GPS数据，结合智能调度系统对接后取到的静态数据，根据线路、站点的对应关系，按照系统定义的规则和算法进行业务逻辑判断、运算、存储，并将相应产生的车辆预报站信息发布到对应的电子站牌上。</w:t>
            </w:r>
          </w:p>
          <w:p>
            <w:pPr>
              <w:snapToGrid w:val="0"/>
              <w:spacing w:after="0"/>
              <w:textAlignment w:val="center"/>
              <w:rPr>
                <w:rFonts w:cs="仿宋"/>
                <w:color w:val="000000"/>
              </w:rPr>
            </w:pPr>
            <w:r>
              <w:rPr>
                <w:rFonts w:hint="eastAsia" w:cs="仿宋"/>
                <w:color w:val="000000"/>
              </w:rPr>
              <w:t>4、在对应的线路牌上以公交图标的方式动态显示本线路上运营车辆的位置信息，并预报距离本站最近的车辆与本站的站距，在调度提供数据支持的情况下，可以显示车辆内部拥挤度，路线拥堵状态，让乘客可以根据信息大体判断车辆到达时间，以便选择合适的出行方式。</w:t>
            </w:r>
          </w:p>
          <w:p>
            <w:pPr>
              <w:snapToGrid w:val="0"/>
              <w:spacing w:after="0"/>
              <w:textAlignment w:val="center"/>
              <w:rPr>
                <w:rFonts w:cs="仿宋"/>
                <w:color w:val="000000"/>
              </w:rPr>
            </w:pPr>
            <w:r>
              <w:rPr>
                <w:rFonts w:hint="eastAsia" w:cs="仿宋"/>
                <w:color w:val="000000"/>
              </w:rPr>
              <w:t>5、LCD液晶显示系统可自由分割窗口，通过图像叠加技术对显示窗口进行合理功能划分。除公交站牌窗口外，可以显示视频、图片，文字等多媒体信息并且可以独立于电子站牌系统外进行分布式多平台管理。可对接外部网络系统显示网络实时信息，比如天气预报，实时新闻等多媒体信息。</w:t>
            </w:r>
          </w:p>
          <w:p>
            <w:pPr>
              <w:snapToGrid w:val="0"/>
              <w:spacing w:after="0"/>
              <w:textAlignment w:val="center"/>
              <w:rPr>
                <w:rFonts w:cs="仿宋"/>
                <w:color w:val="000000"/>
              </w:rPr>
            </w:pPr>
            <w:r>
              <w:rPr>
                <w:rFonts w:hint="eastAsia" w:cs="仿宋"/>
                <w:color w:val="000000"/>
              </w:rPr>
              <w:t>6、可以实时监测电子站牌设备工作情况</w:t>
            </w:r>
          </w:p>
          <w:p>
            <w:pPr>
              <w:snapToGrid w:val="0"/>
              <w:spacing w:after="0"/>
              <w:textAlignment w:val="center"/>
              <w:rPr>
                <w:rFonts w:cs="仿宋"/>
                <w:color w:val="000000"/>
              </w:rPr>
            </w:pPr>
            <w:r>
              <w:rPr>
                <w:rFonts w:hint="eastAsia" w:cs="仿宋"/>
                <w:color w:val="000000"/>
              </w:rPr>
              <w:t>7、可以远程设置灯光照明自动开关时间</w:t>
            </w:r>
          </w:p>
          <w:p>
            <w:pPr>
              <w:snapToGrid w:val="0"/>
              <w:spacing w:after="0"/>
              <w:textAlignment w:val="center"/>
              <w:rPr>
                <w:rFonts w:cs="仿宋"/>
                <w:color w:val="000000"/>
              </w:rPr>
            </w:pPr>
            <w:r>
              <w:rPr>
                <w:rFonts w:hint="eastAsia" w:cs="仿宋"/>
                <w:color w:val="000000"/>
              </w:rPr>
              <w:t>8、可以远程设置LCD显示屏自动开关时间</w:t>
            </w:r>
          </w:p>
          <w:p>
            <w:pPr>
              <w:snapToGrid w:val="0"/>
              <w:spacing w:after="0"/>
              <w:textAlignment w:val="center"/>
              <w:rPr>
                <w:rFonts w:cs="仿宋"/>
                <w:color w:val="000000"/>
              </w:rPr>
            </w:pPr>
            <w:r>
              <w:rPr>
                <w:rFonts w:hint="eastAsia" w:cs="仿宋"/>
                <w:color w:val="000000"/>
              </w:rPr>
              <w:t>9、可以远程监测电子站牌内部设备网络工作状态，通过后端平台进行实时监控，出现网络异常可在平台中进行提醒并自动调整设备异常修复操作。</w:t>
            </w:r>
          </w:p>
          <w:p>
            <w:pPr>
              <w:snapToGrid w:val="0"/>
              <w:spacing w:after="0"/>
              <w:textAlignment w:val="center"/>
              <w:rPr>
                <w:rFonts w:cs="仿宋"/>
                <w:color w:val="000000"/>
              </w:rPr>
            </w:pPr>
            <w:r>
              <w:rPr>
                <w:rFonts w:hint="eastAsia" w:cs="仿宋"/>
                <w:color w:val="000000"/>
              </w:rPr>
              <w:t>10、接入气象局数据，相关部门可将气象数据或气象报警预警发布在前端显示屏。</w:t>
            </w:r>
          </w:p>
        </w:tc>
        <w:tc>
          <w:tcPr>
            <w:tcW w:w="795"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themeFill="background1"/>
            <w:vAlign w:val="center"/>
          </w:tcPr>
          <w:p>
            <w:pPr>
              <w:snapToGrid w:val="0"/>
              <w:spacing w:after="0"/>
              <w:jc w:val="center"/>
              <w:rPr>
                <w:rFonts w:cs="仿宋"/>
                <w:color w:val="000000"/>
              </w:rPr>
            </w:pPr>
          </w:p>
        </w:tc>
        <w:tc>
          <w:tcPr>
            <w:tcW w:w="1260" w:type="dxa"/>
            <w:vMerge w:val="continue"/>
            <w:shd w:val="clear" w:color="auto" w:fill="FFFFFF" w:themeFill="background1"/>
            <w:vAlign w:val="center"/>
          </w:tcPr>
          <w:p>
            <w:pPr>
              <w:snapToGrid w:val="0"/>
              <w:spacing w:after="0"/>
              <w:rPr>
                <w:rFonts w:cs="仿宋"/>
                <w:color w:val="000000"/>
              </w:rPr>
            </w:pPr>
          </w:p>
        </w:tc>
        <w:tc>
          <w:tcPr>
            <w:tcW w:w="5055" w:type="dxa"/>
            <w:vMerge w:val="continue"/>
            <w:shd w:val="clear" w:color="auto" w:fill="FFFFFF" w:themeFill="background1"/>
            <w:vAlign w:val="center"/>
          </w:tcPr>
          <w:p>
            <w:pPr>
              <w:snapToGrid w:val="0"/>
              <w:spacing w:after="0"/>
              <w:rPr>
                <w:rFonts w:cs="仿宋"/>
                <w:color w:val="000000"/>
              </w:rPr>
            </w:pPr>
          </w:p>
        </w:tc>
        <w:tc>
          <w:tcPr>
            <w:tcW w:w="795" w:type="dxa"/>
            <w:vMerge w:val="continue"/>
            <w:shd w:val="clear" w:color="auto" w:fill="FFFFFF" w:themeFill="background1"/>
            <w:vAlign w:val="center"/>
          </w:tcPr>
          <w:p>
            <w:pPr>
              <w:snapToGrid w:val="0"/>
              <w:spacing w:after="0"/>
              <w:jc w:val="center"/>
              <w:rPr>
                <w:rFonts w:cs="仿宋"/>
                <w:color w:val="000000"/>
              </w:rPr>
            </w:pPr>
          </w:p>
        </w:tc>
        <w:tc>
          <w:tcPr>
            <w:tcW w:w="1140" w:type="dxa"/>
            <w:vMerge w:val="continue"/>
            <w:shd w:val="clear" w:color="auto" w:fill="FFFFFF" w:themeFill="background1"/>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rPr>
                <w:rFonts w:cs="仿宋"/>
                <w:color w:val="000000"/>
              </w:rPr>
            </w:pPr>
            <w:r>
              <w:rPr>
                <w:rFonts w:hint="eastAsia" w:cs="仿宋"/>
                <w:color w:val="000000"/>
              </w:rPr>
              <w:t>数字公交站系统运行调试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三、五义学堂</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室内监控半球</w:t>
            </w:r>
          </w:p>
        </w:tc>
        <w:tc>
          <w:tcPr>
            <w:tcW w:w="5055" w:type="dxa"/>
            <w:vMerge w:val="restart"/>
            <w:shd w:val="clear" w:color="auto" w:fill="FFFFFF"/>
            <w:vAlign w:val="center"/>
          </w:tcPr>
          <w:p>
            <w:pPr>
              <w:pStyle w:val="45"/>
              <w:numPr>
                <w:ilvl w:val="0"/>
                <w:numId w:val="12"/>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12"/>
              </w:numPr>
              <w:snapToGrid w:val="0"/>
              <w:spacing w:after="0"/>
              <w:ind w:left="0" w:firstLine="0"/>
              <w:textAlignment w:val="center"/>
              <w:rPr>
                <w:rFonts w:cs="仿宋"/>
                <w:color w:val="000000"/>
              </w:rPr>
            </w:pPr>
            <w:r>
              <w:rPr>
                <w:rFonts w:hint="eastAsia" w:cs="仿宋"/>
                <w:color w:val="000000"/>
              </w:rPr>
              <w:t>像素：200万</w:t>
            </w:r>
          </w:p>
          <w:p>
            <w:pPr>
              <w:pStyle w:val="45"/>
              <w:numPr>
                <w:ilvl w:val="0"/>
                <w:numId w:val="12"/>
              </w:numPr>
              <w:snapToGrid w:val="0"/>
              <w:spacing w:after="0"/>
              <w:ind w:left="0" w:firstLine="0"/>
              <w:textAlignment w:val="center"/>
              <w:rPr>
                <w:rFonts w:cs="仿宋"/>
                <w:color w:val="000000"/>
              </w:rPr>
            </w:pPr>
            <w:r>
              <w:rPr>
                <w:rFonts w:hint="eastAsia" w:cs="仿宋"/>
                <w:color w:val="000000"/>
              </w:rPr>
              <w:t>最大分辨率：1920×1080</w:t>
            </w:r>
          </w:p>
          <w:p>
            <w:pPr>
              <w:pStyle w:val="45"/>
              <w:numPr>
                <w:ilvl w:val="0"/>
                <w:numId w:val="12"/>
              </w:numPr>
              <w:snapToGrid w:val="0"/>
              <w:spacing w:after="0"/>
              <w:ind w:left="0" w:firstLine="0"/>
              <w:textAlignment w:val="center"/>
              <w:rPr>
                <w:rFonts w:cs="仿宋"/>
                <w:color w:val="000000"/>
              </w:rPr>
            </w:pPr>
            <w:r>
              <w:rPr>
                <w:rFonts w:hint="eastAsia" w:cs="仿宋"/>
                <w:color w:val="000000"/>
              </w:rPr>
              <w:t>电子快门：1/3s~1/100000s（可手动或自动调节）</w:t>
            </w:r>
          </w:p>
          <w:p>
            <w:pPr>
              <w:pStyle w:val="45"/>
              <w:numPr>
                <w:ilvl w:val="0"/>
                <w:numId w:val="12"/>
              </w:numPr>
              <w:snapToGrid w:val="0"/>
              <w:spacing w:after="0"/>
              <w:ind w:left="0" w:firstLine="0"/>
              <w:textAlignment w:val="center"/>
              <w:rPr>
                <w:rFonts w:cs="仿宋"/>
                <w:color w:val="000000"/>
              </w:rPr>
            </w:pPr>
            <w:r>
              <w:rPr>
                <w:rFonts w:hint="eastAsia" w:cs="仿宋"/>
                <w:color w:val="000000"/>
              </w:rPr>
              <w:t>最低照度：0.002Lux(彩色模式);0.0002Lux(黑白模式);0Lux(补光灯开启)</w:t>
            </w:r>
          </w:p>
          <w:p>
            <w:pPr>
              <w:pStyle w:val="45"/>
              <w:numPr>
                <w:ilvl w:val="0"/>
                <w:numId w:val="12"/>
              </w:numPr>
              <w:snapToGrid w:val="0"/>
              <w:spacing w:after="0"/>
              <w:ind w:left="0" w:firstLine="0"/>
              <w:textAlignment w:val="center"/>
              <w:rPr>
                <w:rFonts w:cs="仿宋"/>
                <w:color w:val="000000"/>
              </w:rPr>
            </w:pPr>
            <w:r>
              <w:rPr>
                <w:rFonts w:hint="eastAsia" w:cs="仿宋"/>
                <w:color w:val="000000"/>
              </w:rPr>
              <w:t>信噪比：&gt;56dB</w:t>
            </w:r>
          </w:p>
          <w:p>
            <w:pPr>
              <w:pStyle w:val="45"/>
              <w:numPr>
                <w:ilvl w:val="0"/>
                <w:numId w:val="12"/>
              </w:numPr>
              <w:snapToGrid w:val="0"/>
              <w:spacing w:after="0"/>
              <w:ind w:left="0" w:firstLine="0"/>
              <w:textAlignment w:val="center"/>
              <w:rPr>
                <w:rFonts w:cs="仿宋"/>
                <w:color w:val="000000"/>
              </w:rPr>
            </w:pPr>
            <w:r>
              <w:rPr>
                <w:rFonts w:hint="eastAsia" w:cs="仿宋"/>
                <w:color w:val="000000"/>
              </w:rPr>
              <w:t>最大补光距离：30m(红外）</w:t>
            </w:r>
          </w:p>
          <w:p>
            <w:pPr>
              <w:pStyle w:val="45"/>
              <w:numPr>
                <w:ilvl w:val="0"/>
                <w:numId w:val="12"/>
              </w:numPr>
              <w:snapToGrid w:val="0"/>
              <w:spacing w:after="0"/>
              <w:ind w:left="0" w:firstLine="0"/>
              <w:textAlignment w:val="center"/>
              <w:rPr>
                <w:rFonts w:cs="仿宋"/>
                <w:color w:val="000000"/>
              </w:rPr>
            </w:pPr>
            <w:r>
              <w:rPr>
                <w:rFonts w:hint="eastAsia" w:cs="仿宋"/>
                <w:color w:val="000000"/>
              </w:rPr>
              <w:t>补光灯数量：1颗（红外灯）</w:t>
            </w:r>
          </w:p>
          <w:p>
            <w:pPr>
              <w:pStyle w:val="45"/>
              <w:numPr>
                <w:ilvl w:val="0"/>
                <w:numId w:val="12"/>
              </w:numPr>
              <w:snapToGrid w:val="0"/>
              <w:spacing w:after="0"/>
              <w:ind w:left="0" w:firstLine="0"/>
              <w:textAlignment w:val="center"/>
              <w:rPr>
                <w:rFonts w:cs="仿宋"/>
                <w:color w:val="000000"/>
              </w:rPr>
            </w:pPr>
            <w:r>
              <w:rPr>
                <w:rFonts w:hint="eastAsia" w:cs="仿宋"/>
                <w:color w:val="000000"/>
              </w:rPr>
              <w:t>调整角度：水平：0°~355°垂直：0°~+75°旋转：0°~355°</w:t>
            </w:r>
          </w:p>
          <w:p>
            <w:pPr>
              <w:pStyle w:val="45"/>
              <w:numPr>
                <w:ilvl w:val="0"/>
                <w:numId w:val="12"/>
              </w:numPr>
              <w:snapToGrid w:val="0"/>
              <w:spacing w:after="0"/>
              <w:ind w:left="0" w:firstLine="0"/>
              <w:textAlignment w:val="center"/>
              <w:rPr>
                <w:rFonts w:cs="仿宋"/>
                <w:color w:val="000000"/>
              </w:rPr>
            </w:pPr>
            <w:r>
              <w:rPr>
                <w:rFonts w:hint="eastAsia" w:cs="仿宋"/>
                <w:color w:val="000000"/>
              </w:rPr>
              <w:t>数字变倍：16倍</w:t>
            </w:r>
          </w:p>
          <w:p>
            <w:pPr>
              <w:pStyle w:val="45"/>
              <w:numPr>
                <w:ilvl w:val="0"/>
                <w:numId w:val="12"/>
              </w:numPr>
              <w:snapToGrid w:val="0"/>
              <w:spacing w:after="0"/>
              <w:ind w:left="0" w:firstLine="0"/>
              <w:textAlignment w:val="center"/>
              <w:rPr>
                <w:rFonts w:cs="仿宋"/>
                <w:color w:val="000000"/>
              </w:rPr>
            </w:pPr>
            <w:r>
              <w:rPr>
                <w:rFonts w:hint="eastAsia" w:cs="仿宋"/>
                <w:color w:val="000000"/>
              </w:rPr>
              <w:t>供电方式：DC12V/POE</w:t>
            </w:r>
          </w:p>
          <w:p>
            <w:pPr>
              <w:pStyle w:val="45"/>
              <w:numPr>
                <w:ilvl w:val="0"/>
                <w:numId w:val="12"/>
              </w:numPr>
              <w:snapToGrid w:val="0"/>
              <w:spacing w:after="0"/>
              <w:ind w:left="0" w:firstLine="0"/>
              <w:textAlignment w:val="center"/>
              <w:rPr>
                <w:rFonts w:cs="仿宋"/>
                <w:color w:val="000000"/>
              </w:rPr>
            </w:pPr>
            <w:r>
              <w:rPr>
                <w:rFonts w:hint="eastAsia" w:cs="仿宋"/>
                <w:color w:val="000000"/>
              </w:rPr>
              <w:t>工作温度：-40℃~+60℃</w:t>
            </w:r>
          </w:p>
          <w:p>
            <w:pPr>
              <w:pStyle w:val="45"/>
              <w:numPr>
                <w:ilvl w:val="0"/>
                <w:numId w:val="12"/>
              </w:numPr>
              <w:snapToGrid w:val="0"/>
              <w:spacing w:after="0"/>
              <w:ind w:left="0" w:firstLine="0"/>
              <w:textAlignment w:val="center"/>
              <w:rPr>
                <w:rFonts w:cs="仿宋"/>
                <w:color w:val="000000"/>
              </w:rPr>
            </w:pPr>
            <w:r>
              <w:rPr>
                <w:rFonts w:hint="eastAsia" w:cs="仿宋"/>
                <w:color w:val="000000"/>
              </w:rPr>
              <w:t>工作湿度：≤95%</w:t>
            </w:r>
          </w:p>
          <w:p>
            <w:pPr>
              <w:pStyle w:val="45"/>
              <w:numPr>
                <w:ilvl w:val="0"/>
                <w:numId w:val="12"/>
              </w:numPr>
              <w:snapToGrid w:val="0"/>
              <w:spacing w:after="0"/>
              <w:ind w:left="0" w:firstLine="0"/>
              <w:textAlignment w:val="center"/>
              <w:rPr>
                <w:rFonts w:cs="仿宋"/>
                <w:color w:val="000000"/>
              </w:rPr>
            </w:pPr>
            <w:r>
              <w:rPr>
                <w:rFonts w:hint="eastAsia" w:cs="仿宋"/>
                <w:color w:val="000000"/>
              </w:rPr>
              <w:t>防护等级：IP67；IK10</w:t>
            </w:r>
          </w:p>
          <w:p>
            <w:pPr>
              <w:pStyle w:val="45"/>
              <w:numPr>
                <w:ilvl w:val="0"/>
                <w:numId w:val="12"/>
              </w:numPr>
              <w:snapToGrid w:val="0"/>
              <w:spacing w:after="0"/>
              <w:ind w:left="0" w:firstLine="0"/>
              <w:textAlignment w:val="center"/>
              <w:rPr>
                <w:rFonts w:cs="仿宋"/>
                <w:color w:val="000000"/>
              </w:rPr>
            </w:pPr>
            <w:r>
              <w:rPr>
                <w:rFonts w:hint="eastAsia" w:cs="仿宋"/>
                <w:color w:val="000000"/>
              </w:rPr>
              <w:t>产品尺寸：Ф122.0mm×89.0mm</w:t>
            </w:r>
          </w:p>
          <w:p>
            <w:pPr>
              <w:pStyle w:val="45"/>
              <w:numPr>
                <w:ilvl w:val="0"/>
                <w:numId w:val="12"/>
              </w:numPr>
              <w:snapToGrid w:val="0"/>
              <w:spacing w:after="0"/>
              <w:ind w:left="0" w:firstLine="0"/>
              <w:textAlignment w:val="center"/>
              <w:rPr>
                <w:rFonts w:cs="仿宋"/>
                <w:color w:val="000000"/>
              </w:rPr>
            </w:pPr>
            <w:r>
              <w:rPr>
                <w:rFonts w:hint="eastAsia" w:cs="仿宋"/>
                <w:color w:val="000000"/>
              </w:rPr>
              <w:t>安装方式：壁装；顶装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人脸识别打卡机</w:t>
            </w:r>
          </w:p>
        </w:tc>
        <w:tc>
          <w:tcPr>
            <w:tcW w:w="5055" w:type="dxa"/>
            <w:vMerge w:val="restart"/>
            <w:shd w:val="clear" w:color="auto" w:fill="FFFFFF"/>
            <w:vAlign w:val="center"/>
          </w:tcPr>
          <w:p>
            <w:pPr>
              <w:pStyle w:val="45"/>
              <w:numPr>
                <w:ilvl w:val="0"/>
                <w:numId w:val="13"/>
              </w:numPr>
              <w:snapToGrid w:val="0"/>
              <w:spacing w:after="0"/>
              <w:ind w:left="0" w:firstLine="0"/>
              <w:textAlignment w:val="center"/>
              <w:rPr>
                <w:rFonts w:cs="仿宋"/>
                <w:color w:val="000000"/>
              </w:rPr>
            </w:pPr>
            <w:r>
              <w:rPr>
                <w:rFonts w:hint="eastAsia" w:cs="仿宋"/>
                <w:color w:val="000000"/>
              </w:rPr>
              <w:t>显示屏：7英寸IPS屏</w:t>
            </w:r>
          </w:p>
          <w:p>
            <w:pPr>
              <w:pStyle w:val="45"/>
              <w:numPr>
                <w:ilvl w:val="0"/>
                <w:numId w:val="13"/>
              </w:numPr>
              <w:snapToGrid w:val="0"/>
              <w:spacing w:after="0"/>
              <w:ind w:left="0" w:firstLine="0"/>
              <w:textAlignment w:val="center"/>
              <w:rPr>
                <w:rFonts w:cs="仿宋"/>
                <w:color w:val="000000"/>
              </w:rPr>
            </w:pPr>
            <w:r>
              <w:rPr>
                <w:rFonts w:hint="eastAsia" w:cs="仿宋"/>
                <w:color w:val="000000"/>
              </w:rPr>
              <w:t>屏幕类型：电容触摸屏</w:t>
            </w:r>
          </w:p>
          <w:p>
            <w:pPr>
              <w:pStyle w:val="45"/>
              <w:numPr>
                <w:ilvl w:val="0"/>
                <w:numId w:val="13"/>
              </w:numPr>
              <w:snapToGrid w:val="0"/>
              <w:spacing w:after="0"/>
              <w:ind w:left="0" w:firstLine="0"/>
              <w:textAlignment w:val="center"/>
              <w:rPr>
                <w:rFonts w:cs="仿宋"/>
                <w:color w:val="000000"/>
              </w:rPr>
            </w:pPr>
            <w:r>
              <w:rPr>
                <w:rFonts w:hint="eastAsia" w:cs="仿宋"/>
                <w:color w:val="000000"/>
              </w:rPr>
              <w:t>屏幕分辨率：1024×600</w:t>
            </w:r>
          </w:p>
          <w:p>
            <w:pPr>
              <w:pStyle w:val="45"/>
              <w:numPr>
                <w:ilvl w:val="0"/>
                <w:numId w:val="13"/>
              </w:numPr>
              <w:snapToGrid w:val="0"/>
              <w:spacing w:after="0"/>
              <w:ind w:left="0" w:firstLine="0"/>
              <w:textAlignment w:val="center"/>
              <w:rPr>
                <w:rFonts w:cs="仿宋"/>
                <w:color w:val="000000"/>
              </w:rPr>
            </w:pPr>
            <w:r>
              <w:rPr>
                <w:rFonts w:hint="eastAsia" w:cs="仿宋"/>
                <w:color w:val="000000"/>
              </w:rPr>
              <w:t>摄像头：200万CMOS高清摄像头</w:t>
            </w:r>
          </w:p>
          <w:p>
            <w:pPr>
              <w:pStyle w:val="45"/>
              <w:numPr>
                <w:ilvl w:val="0"/>
                <w:numId w:val="13"/>
              </w:numPr>
              <w:snapToGrid w:val="0"/>
              <w:spacing w:after="0"/>
              <w:ind w:left="0" w:firstLine="0"/>
              <w:textAlignment w:val="center"/>
              <w:rPr>
                <w:rFonts w:cs="仿宋"/>
                <w:color w:val="000000"/>
              </w:rPr>
            </w:pPr>
            <w:r>
              <w:rPr>
                <w:rFonts w:hint="eastAsia" w:cs="仿宋"/>
                <w:color w:val="000000"/>
              </w:rPr>
              <w:t>状态指示灯：1个</w:t>
            </w:r>
          </w:p>
          <w:p>
            <w:pPr>
              <w:pStyle w:val="45"/>
              <w:numPr>
                <w:ilvl w:val="0"/>
                <w:numId w:val="13"/>
              </w:numPr>
              <w:snapToGrid w:val="0"/>
              <w:spacing w:after="0"/>
              <w:ind w:left="0" w:firstLine="0"/>
              <w:textAlignment w:val="center"/>
              <w:rPr>
                <w:rFonts w:cs="仿宋"/>
                <w:color w:val="000000"/>
              </w:rPr>
            </w:pPr>
            <w:r>
              <w:rPr>
                <w:rFonts w:hint="eastAsia" w:cs="仿宋"/>
                <w:color w:val="000000"/>
              </w:rPr>
              <w:t>开门模式：（1）支持刷卡/远程/密码/人脸识别开门模式；（2）支持组合开门模式设置</w:t>
            </w:r>
          </w:p>
          <w:p>
            <w:pPr>
              <w:pStyle w:val="45"/>
              <w:numPr>
                <w:ilvl w:val="0"/>
                <w:numId w:val="13"/>
              </w:numPr>
              <w:snapToGrid w:val="0"/>
              <w:spacing w:after="0"/>
              <w:ind w:left="0" w:firstLine="0"/>
              <w:textAlignment w:val="center"/>
              <w:rPr>
                <w:rFonts w:cs="仿宋"/>
                <w:color w:val="000000"/>
              </w:rPr>
            </w:pPr>
            <w:r>
              <w:rPr>
                <w:rFonts w:hint="eastAsia" w:cs="仿宋"/>
                <w:color w:val="000000"/>
              </w:rPr>
              <w:t>读卡距离：1cm～5cm</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人脸识别范围：适应0.3m～2.0m识别距离，身高范围0.9m～2.4m</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人脸识别准确率：≥99.5%</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人脸识别速度：&lt;0.35s</w:t>
            </w:r>
          </w:p>
          <w:p>
            <w:pPr>
              <w:pStyle w:val="45"/>
              <w:numPr>
                <w:ilvl w:val="0"/>
                <w:numId w:val="13"/>
              </w:numPr>
              <w:snapToGrid w:val="0"/>
              <w:spacing w:after="0"/>
              <w:ind w:left="0" w:firstLine="0"/>
              <w:textAlignment w:val="center"/>
              <w:rPr>
                <w:rFonts w:cs="仿宋"/>
                <w:color w:val="000000"/>
              </w:rPr>
            </w:pPr>
            <w:r>
              <w:rPr>
                <w:rFonts w:hint="eastAsia" w:cs="仿宋"/>
                <w:color w:val="000000"/>
              </w:rPr>
              <w:t>供电方式：DC 12V 2A</w:t>
            </w:r>
          </w:p>
          <w:p>
            <w:pPr>
              <w:pStyle w:val="45"/>
              <w:numPr>
                <w:ilvl w:val="0"/>
                <w:numId w:val="13"/>
              </w:numPr>
              <w:snapToGrid w:val="0"/>
              <w:spacing w:after="0"/>
              <w:ind w:left="0" w:firstLine="0"/>
              <w:textAlignment w:val="center"/>
              <w:rPr>
                <w:rFonts w:cs="仿宋"/>
                <w:color w:val="000000"/>
              </w:rPr>
            </w:pPr>
            <w:r>
              <w:rPr>
                <w:rFonts w:hint="eastAsia" w:cs="仿宋"/>
                <w:color w:val="000000"/>
              </w:rPr>
              <w:t>功耗：12W</w:t>
            </w:r>
          </w:p>
          <w:p>
            <w:pPr>
              <w:pStyle w:val="45"/>
              <w:numPr>
                <w:ilvl w:val="0"/>
                <w:numId w:val="13"/>
              </w:numPr>
              <w:snapToGrid w:val="0"/>
              <w:spacing w:after="0"/>
              <w:ind w:left="0" w:firstLine="0"/>
              <w:textAlignment w:val="center"/>
              <w:rPr>
                <w:rFonts w:cs="仿宋"/>
                <w:color w:val="000000"/>
              </w:rPr>
            </w:pPr>
            <w:r>
              <w:rPr>
                <w:rFonts w:hint="eastAsia" w:cs="仿宋"/>
                <w:color w:val="000000"/>
              </w:rPr>
              <w:t>产品尺寸：283.0mm×130.0mm×36.9mm</w:t>
            </w:r>
          </w:p>
          <w:p>
            <w:pPr>
              <w:pStyle w:val="45"/>
              <w:numPr>
                <w:ilvl w:val="0"/>
                <w:numId w:val="13"/>
              </w:numPr>
              <w:snapToGrid w:val="0"/>
              <w:spacing w:after="0"/>
              <w:ind w:left="0" w:firstLine="0"/>
              <w:textAlignment w:val="center"/>
              <w:rPr>
                <w:rFonts w:cs="仿宋"/>
                <w:color w:val="000000"/>
              </w:rPr>
            </w:pPr>
            <w:r>
              <w:rPr>
                <w:rFonts w:hint="eastAsia" w:cs="仿宋"/>
                <w:color w:val="000000"/>
              </w:rPr>
              <w:t>工作温度：-10℃~+55℃</w:t>
            </w:r>
          </w:p>
          <w:p>
            <w:pPr>
              <w:pStyle w:val="45"/>
              <w:numPr>
                <w:ilvl w:val="0"/>
                <w:numId w:val="13"/>
              </w:numPr>
              <w:snapToGrid w:val="0"/>
              <w:spacing w:after="0"/>
              <w:ind w:left="0" w:firstLine="0"/>
              <w:textAlignment w:val="center"/>
              <w:rPr>
                <w:rFonts w:cs="仿宋"/>
                <w:color w:val="000000"/>
              </w:rPr>
            </w:pPr>
            <w:r>
              <w:rPr>
                <w:rFonts w:hint="eastAsia" w:cs="仿宋"/>
                <w:color w:val="000000"/>
              </w:rPr>
              <w:t>工作湿度：0%~90%（无凝结）</w:t>
            </w:r>
          </w:p>
          <w:p>
            <w:pPr>
              <w:pStyle w:val="45"/>
              <w:numPr>
                <w:ilvl w:val="0"/>
                <w:numId w:val="13"/>
              </w:numPr>
              <w:snapToGrid w:val="0"/>
              <w:spacing w:after="0"/>
              <w:ind w:left="0" w:firstLine="0"/>
              <w:textAlignment w:val="center"/>
              <w:rPr>
                <w:rFonts w:cs="仿宋"/>
                <w:color w:val="000000"/>
              </w:rPr>
            </w:pPr>
            <w:r>
              <w:rPr>
                <w:rFonts w:hint="eastAsia" w:cs="仿宋"/>
                <w:color w:val="000000"/>
              </w:rPr>
              <w:t>使用环境：室内</w:t>
            </w:r>
          </w:p>
          <w:p>
            <w:pPr>
              <w:pStyle w:val="45"/>
              <w:numPr>
                <w:ilvl w:val="0"/>
                <w:numId w:val="13"/>
              </w:numPr>
              <w:snapToGrid w:val="0"/>
              <w:spacing w:after="0"/>
              <w:ind w:left="0" w:firstLine="0"/>
              <w:textAlignment w:val="center"/>
              <w:rPr>
                <w:rFonts w:cs="仿宋"/>
                <w:color w:val="000000"/>
              </w:rPr>
            </w:pPr>
            <w:r>
              <w:rPr>
                <w:rFonts w:hint="eastAsia" w:cs="仿宋"/>
                <w:color w:val="000000"/>
              </w:rPr>
              <w:t>安装方式：壁挂安装</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学生课桌椅</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学生课桌椅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饮水机</w:t>
            </w:r>
          </w:p>
        </w:tc>
        <w:tc>
          <w:tcPr>
            <w:tcW w:w="5055" w:type="dxa"/>
            <w:shd w:val="clear" w:color="auto" w:fill="FFFFFF"/>
            <w:vAlign w:val="center"/>
          </w:tcPr>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加热方式：沸腾胆加热</w:t>
            </w:r>
          </w:p>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额定加热功率：550瓦特</w:t>
            </w:r>
          </w:p>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外形尺寸（长x宽x高）：328*298*895毫米</w:t>
            </w:r>
          </w:p>
          <w:p>
            <w:pPr>
              <w:pStyle w:val="45"/>
              <w:numPr>
                <w:ilvl w:val="0"/>
                <w:numId w:val="14"/>
              </w:numPr>
              <w:snapToGrid w:val="0"/>
              <w:spacing w:after="0"/>
              <w:ind w:left="0" w:firstLine="0"/>
              <w:textAlignment w:val="center"/>
              <w:rPr>
                <w:rFonts w:cs="仿宋"/>
                <w:color w:val="000000"/>
              </w:rPr>
            </w:pPr>
            <w:r>
              <w:rPr>
                <w:rFonts w:hint="eastAsia" w:cs="仿宋"/>
                <w:color w:val="000000"/>
                <w:lang w:bidi="ar"/>
              </w:rPr>
              <w:t>可搭配净水桶型号：4.5-18.9L</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升降折叠黑板</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升降折叠黑板</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五义学堂系统运行调试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四、客流量监测</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21</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室外球机（含4米L型立杆，横臂1.5米等配套安装材料）</w:t>
            </w:r>
          </w:p>
        </w:tc>
        <w:tc>
          <w:tcPr>
            <w:tcW w:w="5055" w:type="dxa"/>
            <w:vMerge w:val="restart"/>
            <w:shd w:val="clear" w:color="auto" w:fill="FFFFFF"/>
            <w:vAlign w:val="center"/>
          </w:tcPr>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图像传感器：1/2.8英寸CMOS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传感器总像素：约130万像素</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水平解析度：≥710TVL</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最大图像尺寸：1280×960</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分辨率：130W</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电子快门：1/1～1/30000s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焦距：5.0mm～115mm</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变倍速度：约3.5s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预置点：300个</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电源：AC24V/2.2A ±25%（含红外控制电路）</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功耗：13W/26W(红外灯、加热器开启）</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工作环境：温度-40～70℃； 湿度＜95%</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防护等级：IP66，TVS 6000V防雷、防浪涌和防突波保护，符合GB/T 17626.5 4级标准</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产品尺寸：Φ208mmx336mm</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防水抱杆箱</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采用不低于1.5mm 厚的 304 不锈钢板；箱体尺寸≥450mm*350mm*300mm，室外防水,专业防尘,散热，含电源、防雷、网络转换设备等配套材料</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新建手孔井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500*500mm、井深500mm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客流量监测系统运行调试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五、智慧信息屏</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户外信息屏（含仿古造型)）</w:t>
            </w:r>
          </w:p>
        </w:tc>
        <w:tc>
          <w:tcPr>
            <w:tcW w:w="5055" w:type="dxa"/>
            <w:shd w:val="clear" w:color="auto" w:fill="FFFFFF"/>
            <w:vAlign w:val="center"/>
          </w:tcPr>
          <w:p>
            <w:pPr>
              <w:pStyle w:val="45"/>
              <w:numPr>
                <w:ilvl w:val="0"/>
                <w:numId w:val="16"/>
              </w:numPr>
              <w:snapToGrid w:val="0"/>
              <w:spacing w:after="0"/>
              <w:ind w:left="0" w:firstLine="0"/>
              <w:textAlignment w:val="center"/>
              <w:rPr>
                <w:rFonts w:cs="仿宋"/>
                <w:color w:val="000000"/>
              </w:rPr>
            </w:pPr>
            <w:r>
              <w:rPr>
                <w:rFonts w:hint="eastAsia" w:cs="仿宋"/>
                <w:color w:val="000000"/>
              </w:rPr>
              <w:t>显示屏尺寸 43英寸</w:t>
            </w:r>
          </w:p>
          <w:p>
            <w:pPr>
              <w:pStyle w:val="45"/>
              <w:numPr>
                <w:ilvl w:val="0"/>
                <w:numId w:val="16"/>
              </w:numPr>
              <w:snapToGrid w:val="0"/>
              <w:spacing w:after="0"/>
              <w:ind w:left="0" w:firstLine="0"/>
              <w:textAlignment w:val="center"/>
              <w:rPr>
                <w:rFonts w:cs="仿宋"/>
                <w:color w:val="000000"/>
              </w:rPr>
            </w:pPr>
            <w:r>
              <w:rPr>
                <w:rFonts w:hint="eastAsia" w:cs="仿宋"/>
                <w:color w:val="000000"/>
              </w:rPr>
              <w:t>显示比例 16:9</w:t>
            </w:r>
          </w:p>
          <w:p>
            <w:pPr>
              <w:pStyle w:val="45"/>
              <w:numPr>
                <w:ilvl w:val="0"/>
                <w:numId w:val="16"/>
              </w:numPr>
              <w:snapToGrid w:val="0"/>
              <w:spacing w:after="0"/>
              <w:ind w:left="0" w:firstLine="0"/>
              <w:textAlignment w:val="center"/>
              <w:rPr>
                <w:rFonts w:cs="仿宋"/>
                <w:color w:val="000000"/>
              </w:rPr>
            </w:pPr>
            <w:r>
              <w:rPr>
                <w:rFonts w:hint="eastAsia" w:cs="仿宋"/>
                <w:color w:val="000000"/>
              </w:rPr>
              <w:t>分辨率 1920*1080</w:t>
            </w:r>
          </w:p>
          <w:p>
            <w:pPr>
              <w:pStyle w:val="45"/>
              <w:numPr>
                <w:ilvl w:val="0"/>
                <w:numId w:val="16"/>
              </w:numPr>
              <w:snapToGrid w:val="0"/>
              <w:spacing w:after="0"/>
              <w:ind w:left="0" w:firstLine="0"/>
              <w:textAlignment w:val="center"/>
              <w:rPr>
                <w:rFonts w:cs="仿宋"/>
                <w:color w:val="000000"/>
              </w:rPr>
            </w:pPr>
            <w:r>
              <w:rPr>
                <w:rFonts w:hint="eastAsia" w:cs="仿宋"/>
                <w:color w:val="000000"/>
              </w:rPr>
              <w:t>亮度 2000cd/㎡</w:t>
            </w:r>
          </w:p>
          <w:p>
            <w:pPr>
              <w:pStyle w:val="45"/>
              <w:numPr>
                <w:ilvl w:val="0"/>
                <w:numId w:val="16"/>
              </w:numPr>
              <w:snapToGrid w:val="0"/>
              <w:spacing w:after="0"/>
              <w:ind w:left="0" w:firstLine="0"/>
              <w:textAlignment w:val="center"/>
              <w:rPr>
                <w:rFonts w:cs="仿宋"/>
                <w:color w:val="000000"/>
              </w:rPr>
            </w:pPr>
            <w:r>
              <w:rPr>
                <w:rFonts w:hint="eastAsia" w:cs="仿宋"/>
                <w:color w:val="000000"/>
              </w:rPr>
              <w:t>对比度 4000:1</w:t>
            </w:r>
          </w:p>
          <w:p>
            <w:pPr>
              <w:pStyle w:val="45"/>
              <w:numPr>
                <w:ilvl w:val="0"/>
                <w:numId w:val="16"/>
              </w:numPr>
              <w:snapToGrid w:val="0"/>
              <w:spacing w:after="0"/>
              <w:ind w:left="0" w:firstLine="0"/>
              <w:textAlignment w:val="center"/>
              <w:rPr>
                <w:rFonts w:cs="仿宋"/>
                <w:color w:val="000000"/>
              </w:rPr>
            </w:pPr>
            <w:r>
              <w:rPr>
                <w:rFonts w:hint="eastAsia" w:cs="仿宋"/>
                <w:color w:val="000000"/>
              </w:rPr>
              <w:t>外壳 防护等级 IP55</w:t>
            </w:r>
          </w:p>
          <w:p>
            <w:pPr>
              <w:pStyle w:val="45"/>
              <w:numPr>
                <w:ilvl w:val="0"/>
                <w:numId w:val="16"/>
              </w:numPr>
              <w:snapToGrid w:val="0"/>
              <w:spacing w:after="0"/>
              <w:ind w:left="0" w:firstLine="0"/>
              <w:textAlignment w:val="center"/>
              <w:rPr>
                <w:rFonts w:cs="仿宋"/>
                <w:color w:val="000000"/>
              </w:rPr>
            </w:pPr>
            <w:r>
              <w:rPr>
                <w:rFonts w:hint="eastAsia" w:cs="仿宋"/>
                <w:color w:val="000000"/>
              </w:rPr>
              <w:t>安装方式 立式</w:t>
            </w:r>
          </w:p>
          <w:p>
            <w:pPr>
              <w:pStyle w:val="45"/>
              <w:numPr>
                <w:ilvl w:val="0"/>
                <w:numId w:val="16"/>
              </w:numPr>
              <w:snapToGrid w:val="0"/>
              <w:spacing w:after="0"/>
              <w:ind w:left="0" w:firstLine="0"/>
              <w:textAlignment w:val="center"/>
              <w:rPr>
                <w:rFonts w:cs="仿宋"/>
                <w:color w:val="000000"/>
              </w:rPr>
            </w:pPr>
            <w:r>
              <w:rPr>
                <w:rFonts w:hint="eastAsia" w:cs="仿宋"/>
                <w:color w:val="000000"/>
              </w:rPr>
              <w:t>工作温度 -30°Cto+50°C</w:t>
            </w:r>
          </w:p>
          <w:p>
            <w:pPr>
              <w:pStyle w:val="45"/>
              <w:numPr>
                <w:ilvl w:val="0"/>
                <w:numId w:val="16"/>
              </w:numPr>
              <w:snapToGrid w:val="0"/>
              <w:spacing w:after="0"/>
              <w:ind w:left="0" w:firstLine="0"/>
              <w:textAlignment w:val="center"/>
              <w:rPr>
                <w:rFonts w:cs="仿宋"/>
                <w:color w:val="000000"/>
              </w:rPr>
            </w:pPr>
            <w:r>
              <w:rPr>
                <w:rFonts w:hint="eastAsia" w:cs="仿宋"/>
                <w:color w:val="000000"/>
              </w:rPr>
              <w:t>工作湿度 5% to 90%</w:t>
            </w:r>
          </w:p>
          <w:p>
            <w:pPr>
              <w:pStyle w:val="45"/>
              <w:numPr>
                <w:ilvl w:val="0"/>
                <w:numId w:val="16"/>
              </w:numPr>
              <w:snapToGrid w:val="0"/>
              <w:spacing w:after="0"/>
              <w:ind w:left="0" w:firstLine="0"/>
              <w:textAlignment w:val="center"/>
              <w:rPr>
                <w:rFonts w:cs="仿宋"/>
                <w:color w:val="000000"/>
              </w:rPr>
            </w:pPr>
            <w:r>
              <w:rPr>
                <w:rFonts w:hint="eastAsia" w:cs="仿宋"/>
                <w:color w:val="000000"/>
              </w:rPr>
              <w:t>电源 220V</w:t>
            </w:r>
          </w:p>
          <w:p>
            <w:pPr>
              <w:pStyle w:val="45"/>
              <w:numPr>
                <w:ilvl w:val="0"/>
                <w:numId w:val="16"/>
              </w:numPr>
              <w:snapToGrid w:val="0"/>
              <w:spacing w:after="0"/>
              <w:ind w:left="0" w:firstLine="0"/>
              <w:textAlignment w:val="center"/>
              <w:rPr>
                <w:rFonts w:cs="仿宋"/>
                <w:color w:val="000000"/>
              </w:rPr>
            </w:pPr>
            <w:r>
              <w:rPr>
                <w:rFonts w:hint="eastAsia" w:cs="仿宋"/>
                <w:color w:val="000000"/>
              </w:rPr>
              <w:t>功率 300W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智能显示终端盒</w:t>
            </w:r>
          </w:p>
        </w:tc>
        <w:tc>
          <w:tcPr>
            <w:tcW w:w="5055" w:type="dxa"/>
            <w:shd w:val="clear" w:color="auto" w:fill="FFFFFF"/>
            <w:vAlign w:val="center"/>
          </w:tcPr>
          <w:p>
            <w:pPr>
              <w:pStyle w:val="45"/>
              <w:numPr>
                <w:ilvl w:val="0"/>
                <w:numId w:val="17"/>
              </w:numPr>
              <w:snapToGrid w:val="0"/>
              <w:spacing w:after="0"/>
              <w:ind w:left="0" w:firstLine="0"/>
              <w:textAlignment w:val="center"/>
              <w:rPr>
                <w:rFonts w:cs="仿宋"/>
                <w:color w:val="000000"/>
              </w:rPr>
            </w:pPr>
            <w:r>
              <w:rPr>
                <w:rFonts w:hint="eastAsia" w:cs="仿宋"/>
                <w:color w:val="000000"/>
              </w:rPr>
              <w:t>SD卡：TF卡槽1个，最大容量支持 128 GB</w:t>
            </w:r>
          </w:p>
          <w:p>
            <w:pPr>
              <w:pStyle w:val="45"/>
              <w:numPr>
                <w:ilvl w:val="0"/>
                <w:numId w:val="17"/>
              </w:numPr>
              <w:snapToGrid w:val="0"/>
              <w:spacing w:after="0"/>
              <w:ind w:left="0" w:firstLine="0"/>
              <w:textAlignment w:val="center"/>
              <w:rPr>
                <w:rFonts w:cs="仿宋"/>
                <w:color w:val="000000"/>
              </w:rPr>
            </w:pPr>
            <w:r>
              <w:rPr>
                <w:rFonts w:hint="eastAsia" w:cs="仿宋"/>
                <w:color w:val="000000"/>
              </w:rPr>
              <w:t>串口：RJ45接口形式的RS-232串口</w:t>
            </w:r>
          </w:p>
          <w:p>
            <w:pPr>
              <w:pStyle w:val="45"/>
              <w:numPr>
                <w:ilvl w:val="0"/>
                <w:numId w:val="17"/>
              </w:numPr>
              <w:snapToGrid w:val="0"/>
              <w:spacing w:after="0"/>
              <w:ind w:left="0" w:firstLine="0"/>
              <w:textAlignment w:val="center"/>
              <w:rPr>
                <w:rFonts w:cs="仿宋"/>
                <w:color w:val="000000"/>
              </w:rPr>
            </w:pPr>
            <w:r>
              <w:rPr>
                <w:rFonts w:hint="eastAsia" w:cs="仿宋"/>
                <w:color w:val="000000"/>
              </w:rPr>
              <w:t>USB接口：1个USB3.0、1个USB2.0</w:t>
            </w:r>
          </w:p>
          <w:p>
            <w:pPr>
              <w:pStyle w:val="45"/>
              <w:numPr>
                <w:ilvl w:val="0"/>
                <w:numId w:val="17"/>
              </w:numPr>
              <w:snapToGrid w:val="0"/>
              <w:spacing w:after="0"/>
              <w:ind w:left="0" w:firstLine="0"/>
              <w:textAlignment w:val="center"/>
              <w:rPr>
                <w:rFonts w:cs="仿宋"/>
                <w:color w:val="000000"/>
              </w:rPr>
            </w:pPr>
            <w:r>
              <w:rPr>
                <w:rFonts w:hint="eastAsia" w:cs="仿宋"/>
                <w:color w:val="000000"/>
              </w:rPr>
              <w:t>输出接口：HDMI接口</w:t>
            </w:r>
          </w:p>
          <w:p>
            <w:pPr>
              <w:pStyle w:val="45"/>
              <w:numPr>
                <w:ilvl w:val="0"/>
                <w:numId w:val="17"/>
              </w:numPr>
              <w:snapToGrid w:val="0"/>
              <w:spacing w:after="0"/>
              <w:ind w:left="0" w:firstLine="0"/>
              <w:textAlignment w:val="center"/>
              <w:rPr>
                <w:rFonts w:cs="仿宋"/>
                <w:color w:val="000000"/>
              </w:rPr>
            </w:pPr>
            <w:r>
              <w:rPr>
                <w:rFonts w:hint="eastAsia" w:cs="仿宋"/>
                <w:color w:val="000000"/>
              </w:rPr>
              <w:t>工作温度：–10 ℃～+55 ℃</w:t>
            </w:r>
          </w:p>
          <w:p>
            <w:pPr>
              <w:pStyle w:val="45"/>
              <w:numPr>
                <w:ilvl w:val="0"/>
                <w:numId w:val="17"/>
              </w:numPr>
              <w:snapToGrid w:val="0"/>
              <w:spacing w:after="0"/>
              <w:ind w:left="0" w:firstLine="0"/>
              <w:textAlignment w:val="center"/>
              <w:rPr>
                <w:rFonts w:cs="仿宋"/>
                <w:color w:val="000000"/>
              </w:rPr>
            </w:pPr>
            <w:r>
              <w:rPr>
                <w:rFonts w:hint="eastAsia" w:cs="仿宋"/>
                <w:color w:val="000000"/>
              </w:rPr>
              <w:t>尺寸：150*105*30mm</w:t>
            </w:r>
          </w:p>
          <w:p>
            <w:pPr>
              <w:pStyle w:val="45"/>
              <w:numPr>
                <w:ilvl w:val="0"/>
                <w:numId w:val="17"/>
              </w:numPr>
              <w:snapToGrid w:val="0"/>
              <w:spacing w:after="0"/>
              <w:ind w:left="0" w:firstLine="0"/>
              <w:textAlignment w:val="center"/>
              <w:rPr>
                <w:rFonts w:cs="仿宋"/>
                <w:color w:val="000000"/>
              </w:rPr>
            </w:pPr>
            <w:r>
              <w:rPr>
                <w:rFonts w:hint="eastAsia" w:cs="仿宋"/>
                <w:color w:val="000000"/>
              </w:rPr>
              <w:t>电源：12V/1A max适配器</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信息发布软件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信息发布软件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智慧信息系统运行调试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六、智慧公厕</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厕位间人体检测</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1、尺寸：φ95mm 厚度34mm</w:t>
            </w:r>
          </w:p>
          <w:p>
            <w:pPr>
              <w:snapToGrid w:val="0"/>
              <w:spacing w:after="0"/>
              <w:textAlignment w:val="center"/>
              <w:rPr>
                <w:rFonts w:cs="仿宋"/>
                <w:color w:val="000000"/>
              </w:rPr>
            </w:pPr>
            <w:r>
              <w:rPr>
                <w:rFonts w:hint="eastAsia" w:cs="仿宋"/>
                <w:color w:val="000000"/>
              </w:rPr>
              <w:t>2、供电：DC12V</w:t>
            </w:r>
          </w:p>
          <w:p>
            <w:pPr>
              <w:snapToGrid w:val="0"/>
              <w:spacing w:after="0"/>
              <w:textAlignment w:val="center"/>
              <w:rPr>
                <w:rFonts w:cs="仿宋"/>
                <w:color w:val="000000"/>
              </w:rPr>
            </w:pPr>
            <w:r>
              <w:rPr>
                <w:rFonts w:hint="eastAsia" w:cs="仿宋"/>
                <w:color w:val="000000"/>
              </w:rPr>
              <w:t>3、感应距离：20mm-8m</w:t>
            </w:r>
          </w:p>
          <w:p>
            <w:pPr>
              <w:snapToGrid w:val="0"/>
              <w:spacing w:after="0"/>
              <w:textAlignment w:val="center"/>
              <w:rPr>
                <w:rFonts w:cs="仿宋"/>
                <w:color w:val="000000"/>
              </w:rPr>
            </w:pPr>
            <w:r>
              <w:rPr>
                <w:rFonts w:hint="eastAsia" w:cs="仿宋"/>
                <w:color w:val="000000"/>
              </w:rPr>
              <w:t>4、通讯方式：RS485</w:t>
            </w:r>
          </w:p>
          <w:p>
            <w:pPr>
              <w:snapToGrid w:val="0"/>
              <w:spacing w:after="0"/>
              <w:textAlignment w:val="center"/>
              <w:rPr>
                <w:rFonts w:cs="仿宋"/>
                <w:color w:val="000000"/>
              </w:rPr>
            </w:pPr>
            <w:r>
              <w:rPr>
                <w:rFonts w:hint="eastAsia" w:cs="仿宋"/>
                <w:color w:val="000000"/>
              </w:rPr>
              <w:t>5、安装方式：吊顶安装</w:t>
            </w:r>
          </w:p>
          <w:p>
            <w:pPr>
              <w:snapToGrid w:val="0"/>
              <w:spacing w:after="0"/>
              <w:textAlignment w:val="center"/>
              <w:rPr>
                <w:rFonts w:cs="仿宋"/>
                <w:color w:val="000000"/>
              </w:rPr>
            </w:pPr>
            <w:r>
              <w:rPr>
                <w:rFonts w:hint="eastAsia" w:cs="仿宋"/>
                <w:color w:val="000000"/>
              </w:rPr>
              <w:t>6、感应方式：激光感应，准确率不低于97%</w:t>
            </w:r>
          </w:p>
          <w:p>
            <w:pPr>
              <w:snapToGrid w:val="0"/>
              <w:spacing w:after="0"/>
              <w:textAlignment w:val="center"/>
              <w:rPr>
                <w:rFonts w:cs="仿宋"/>
                <w:color w:val="000000"/>
              </w:rPr>
            </w:pPr>
            <w:r>
              <w:rPr>
                <w:rFonts w:hint="eastAsia" w:cs="仿宋"/>
                <w:color w:val="000000"/>
              </w:rPr>
              <w:t>7、工作温度：-20~65℃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厕位指示灯</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1、尺寸：200*45*45mm</w:t>
            </w:r>
          </w:p>
          <w:p>
            <w:pPr>
              <w:snapToGrid w:val="0"/>
              <w:spacing w:after="0"/>
              <w:textAlignment w:val="center"/>
              <w:rPr>
                <w:rFonts w:cs="仿宋"/>
                <w:color w:val="000000"/>
              </w:rPr>
            </w:pPr>
            <w:r>
              <w:rPr>
                <w:rFonts w:hint="eastAsia" w:cs="仿宋"/>
                <w:color w:val="000000"/>
              </w:rPr>
              <w:t>2、供电：DC12V</w:t>
            </w:r>
          </w:p>
          <w:p>
            <w:pPr>
              <w:snapToGrid w:val="0"/>
              <w:spacing w:after="0"/>
              <w:textAlignment w:val="center"/>
              <w:rPr>
                <w:rFonts w:cs="仿宋"/>
                <w:color w:val="000000"/>
              </w:rPr>
            </w:pPr>
            <w:r>
              <w:rPr>
                <w:rFonts w:hint="eastAsia" w:cs="仿宋"/>
                <w:color w:val="000000"/>
              </w:rPr>
              <w:t>3、控制方式：开关量信号控制</w:t>
            </w:r>
          </w:p>
          <w:p>
            <w:pPr>
              <w:snapToGrid w:val="0"/>
              <w:spacing w:after="0"/>
              <w:textAlignment w:val="center"/>
              <w:rPr>
                <w:rFonts w:cs="仿宋"/>
                <w:color w:val="000000"/>
              </w:rPr>
            </w:pPr>
            <w:r>
              <w:rPr>
                <w:rFonts w:hint="eastAsia" w:cs="仿宋"/>
                <w:color w:val="000000"/>
              </w:rPr>
              <w:t>4、安装方式：壁挂安装</w:t>
            </w:r>
          </w:p>
          <w:p>
            <w:pPr>
              <w:snapToGrid w:val="0"/>
              <w:spacing w:after="0"/>
              <w:textAlignment w:val="center"/>
              <w:rPr>
                <w:rFonts w:cs="仿宋"/>
                <w:color w:val="000000"/>
              </w:rPr>
            </w:pPr>
            <w:r>
              <w:rPr>
                <w:rFonts w:hint="eastAsia" w:cs="仿宋"/>
                <w:color w:val="000000"/>
              </w:rPr>
              <w:t>5、控制方式：可IO控制或有线485控制，通过红绿灯指示厕位有人无人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除臭设备</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1、产品功率：50W</w:t>
            </w:r>
          </w:p>
          <w:p>
            <w:pPr>
              <w:snapToGrid w:val="0"/>
              <w:spacing w:after="0"/>
              <w:textAlignment w:val="center"/>
              <w:rPr>
                <w:rFonts w:cs="仿宋"/>
                <w:color w:val="000000"/>
                <w:lang w:bidi="ar"/>
              </w:rPr>
            </w:pPr>
            <w:r>
              <w:rPr>
                <w:rFonts w:hint="eastAsia" w:cs="仿宋"/>
                <w:color w:val="000000"/>
                <w:lang w:bidi="ar"/>
              </w:rPr>
              <w:t>2、适用面积：≤20㎡</w:t>
            </w:r>
          </w:p>
          <w:p>
            <w:pPr>
              <w:snapToGrid w:val="0"/>
              <w:spacing w:after="0"/>
              <w:textAlignment w:val="center"/>
              <w:rPr>
                <w:rFonts w:cs="仿宋"/>
                <w:color w:val="000000"/>
                <w:lang w:bidi="ar"/>
              </w:rPr>
            </w:pPr>
            <w:r>
              <w:rPr>
                <w:rFonts w:hint="eastAsia" w:cs="仿宋"/>
                <w:color w:val="000000"/>
                <w:lang w:bidi="ar"/>
              </w:rPr>
              <w:t>3、工作电压：220VAC，</w:t>
            </w:r>
          </w:p>
          <w:p>
            <w:pPr>
              <w:snapToGrid w:val="0"/>
              <w:spacing w:after="0"/>
              <w:textAlignment w:val="center"/>
              <w:rPr>
                <w:rFonts w:cs="仿宋"/>
                <w:color w:val="000000"/>
                <w:lang w:bidi="ar"/>
              </w:rPr>
            </w:pPr>
            <w:r>
              <w:rPr>
                <w:rFonts w:hint="eastAsia" w:cs="仿宋"/>
                <w:color w:val="000000"/>
                <w:lang w:bidi="ar"/>
              </w:rPr>
              <w:t>4、安装方式：壁挂</w:t>
            </w:r>
          </w:p>
          <w:p>
            <w:pPr>
              <w:snapToGrid w:val="0"/>
              <w:spacing w:after="0"/>
              <w:textAlignment w:val="center"/>
              <w:rPr>
                <w:rFonts w:cs="仿宋"/>
                <w:color w:val="000000"/>
              </w:rPr>
            </w:pPr>
            <w:r>
              <w:rPr>
                <w:rFonts w:hint="eastAsia" w:cs="仿宋"/>
                <w:color w:val="000000"/>
                <w:lang w:bidi="ar"/>
              </w:rPr>
              <w:t>5、产品尺寸：495*280*180mm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智能镜子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尺寸：800*1300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智能镜子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尺寸：800*600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卫生评价器</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1、屏幕尺寸：7英寸电容触摸屏</w:t>
            </w:r>
          </w:p>
          <w:p>
            <w:pPr>
              <w:snapToGrid w:val="0"/>
              <w:spacing w:after="0"/>
              <w:textAlignment w:val="center"/>
              <w:rPr>
                <w:rFonts w:cs="仿宋"/>
                <w:color w:val="000000"/>
                <w:lang w:bidi="ar"/>
              </w:rPr>
            </w:pPr>
            <w:r>
              <w:rPr>
                <w:rFonts w:hint="eastAsia" w:cs="仿宋"/>
                <w:color w:val="000000"/>
                <w:lang w:bidi="ar"/>
              </w:rPr>
              <w:t>2、供电电压：DC12V</w:t>
            </w:r>
          </w:p>
          <w:p>
            <w:pPr>
              <w:snapToGrid w:val="0"/>
              <w:spacing w:after="0"/>
              <w:textAlignment w:val="center"/>
              <w:rPr>
                <w:rFonts w:cs="仿宋"/>
                <w:color w:val="000000"/>
              </w:rPr>
            </w:pPr>
            <w:r>
              <w:rPr>
                <w:rFonts w:hint="eastAsia" w:cs="仿宋"/>
                <w:color w:val="000000"/>
                <w:lang w:bidi="ar"/>
              </w:rPr>
              <w:t>3、安装方式：镶嵌或壁挂</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紧急按钮</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声光报警联动器用于当紧急按钮触发后，发出报警声音和警灯闪动。材质：ABS阻燃材质，控制方式：无线射频信号传输，供电：DC 12V 0.3A ，规格125*75*45mm闪动频次 ：150次/分钟，声音：110dB工作温度：-20°C–60 °C，工作湿度：10–90 %RH。安装说明：适用于残卫、第三卫、母婴室。</w:t>
            </w:r>
          </w:p>
          <w:p>
            <w:pPr>
              <w:snapToGrid w:val="0"/>
              <w:spacing w:after="0"/>
              <w:textAlignment w:val="center"/>
              <w:rPr>
                <w:rFonts w:cs="仿宋"/>
                <w:b/>
                <w:bCs/>
                <w:color w:val="000000"/>
              </w:rPr>
            </w:pPr>
            <w:r>
              <w:rPr>
                <w:rFonts w:hint="eastAsia" w:cs="仿宋"/>
                <w:b/>
                <w:bCs/>
                <w:color w:val="000000"/>
                <w:lang w:bidi="ar"/>
              </w:rPr>
              <w:t>提供由国家安全防范报警系统产品质量监督检验中心提供的产品检验报告</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环境监测设备</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1、探测类型包括：温度、湿度、氨气检测，检测原理：温度、湿度</w:t>
            </w:r>
          </w:p>
          <w:p>
            <w:pPr>
              <w:snapToGrid w:val="0"/>
              <w:spacing w:after="0"/>
              <w:textAlignment w:val="center"/>
              <w:rPr>
                <w:rFonts w:cs="仿宋"/>
                <w:color w:val="000000"/>
                <w:lang w:bidi="ar"/>
              </w:rPr>
            </w:pPr>
            <w:r>
              <w:rPr>
                <w:rFonts w:hint="eastAsia" w:cs="仿宋"/>
                <w:color w:val="000000"/>
                <w:lang w:bidi="ar"/>
              </w:rPr>
              <w:t>2、接口：RS485接口、RF433模块</w:t>
            </w:r>
          </w:p>
          <w:p>
            <w:pPr>
              <w:pStyle w:val="23"/>
              <w:snapToGrid w:val="0"/>
              <w:spacing w:after="0"/>
              <w:ind w:firstLine="0" w:firstLineChars="0"/>
              <w:rPr>
                <w:rFonts w:cs="仿宋"/>
                <w:color w:val="000000"/>
                <w:lang w:bidi="ar"/>
              </w:rPr>
            </w:pPr>
            <w:r>
              <w:rPr>
                <w:rFonts w:hint="eastAsia" w:cs="仿宋"/>
                <w:color w:val="000000"/>
                <w:lang w:bidi="ar"/>
              </w:rPr>
              <w:t>3、工作温度：-20°C–60 °C，工作湿度：10–90 %RH（无冷凝）</w:t>
            </w:r>
          </w:p>
          <w:p>
            <w:pPr>
              <w:pStyle w:val="23"/>
              <w:snapToGrid w:val="0"/>
              <w:spacing w:after="0"/>
              <w:ind w:firstLine="0" w:firstLineChars="0"/>
              <w:rPr>
                <w:rFonts w:cs="仿宋"/>
                <w:lang w:bidi="ar"/>
              </w:rPr>
            </w:pPr>
            <w:r>
              <w:rPr>
                <w:rFonts w:hint="eastAsia" w:cs="仿宋"/>
                <w:b/>
                <w:bCs/>
                <w:color w:val="000000"/>
                <w:lang w:bidi="ar"/>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信息引导屏</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1、尺寸：43英寸</w:t>
            </w:r>
          </w:p>
          <w:p>
            <w:pPr>
              <w:snapToGrid w:val="0"/>
              <w:spacing w:after="0"/>
              <w:textAlignment w:val="center"/>
              <w:rPr>
                <w:rFonts w:cs="仿宋"/>
                <w:color w:val="000000"/>
                <w:lang w:bidi="ar"/>
              </w:rPr>
            </w:pPr>
            <w:r>
              <w:rPr>
                <w:rFonts w:hint="eastAsia" w:cs="仿宋"/>
                <w:color w:val="000000"/>
                <w:lang w:bidi="ar"/>
              </w:rPr>
              <w:t>2、分辨率：1920*1080</w:t>
            </w:r>
          </w:p>
          <w:p>
            <w:pPr>
              <w:snapToGrid w:val="0"/>
              <w:spacing w:after="0"/>
              <w:textAlignment w:val="center"/>
              <w:rPr>
                <w:rFonts w:cs="仿宋"/>
                <w:color w:val="000000"/>
                <w:lang w:bidi="ar"/>
              </w:rPr>
            </w:pPr>
            <w:r>
              <w:rPr>
                <w:rFonts w:hint="eastAsia" w:cs="仿宋"/>
                <w:color w:val="000000"/>
                <w:lang w:bidi="ar"/>
              </w:rPr>
              <w:t>3、接口：支持HDMI和VGA视频接口，厕所引导、显示厕位平面图，厕位使用情况，客流、环境等数据，支持开机自定义信号源输入</w:t>
            </w:r>
          </w:p>
          <w:p>
            <w:pPr>
              <w:snapToGrid w:val="0"/>
              <w:spacing w:after="0"/>
              <w:textAlignment w:val="center"/>
              <w:rPr>
                <w:rFonts w:cs="仿宋"/>
                <w:color w:val="000000"/>
              </w:rPr>
            </w:pPr>
            <w:r>
              <w:rPr>
                <w:rFonts w:hint="eastAsia" w:cs="仿宋"/>
                <w:color w:val="000000"/>
                <w:lang w:bidi="ar"/>
              </w:rPr>
              <w:t>4、工作温度：-20℃~60℃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智能水表</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1、通讯方式：有线RS485</w:t>
            </w:r>
          </w:p>
          <w:p>
            <w:pPr>
              <w:snapToGrid w:val="0"/>
              <w:spacing w:after="0"/>
              <w:textAlignment w:val="center"/>
              <w:rPr>
                <w:rFonts w:cs="仿宋"/>
                <w:color w:val="000000"/>
              </w:rPr>
            </w:pPr>
            <w:r>
              <w:rPr>
                <w:rFonts w:hint="eastAsia" w:cs="仿宋"/>
                <w:color w:val="000000"/>
                <w:lang w:bidi="ar"/>
              </w:rPr>
              <w:t>2、工作温度：0℃~60℃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组</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39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智能电表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支持单相或三相、220V/380V电压，工作温度：-20℃~60℃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智能网关</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尺寸：220*205*40mm（Windows系统）4G内存64G硬盘，网络支持Ethernet，DHCP和静态IP模式；支持Wi-Fi 802.11b/g/n协议；支持蓝牙功能，V2.1+EDR/Bluetooth 3.0/3.0+HS/4.0；支持4G路由功能，TDD/FDD频段；支持软件看门狗；电源输入DC12V/5A；电源输出2路12v/2A；IO IN：6组/OUT 3组；RS485端口：4个高速口；RS232端口：1个；RJ45端口： 1个WLAN，3个LAN；3.5音频输出口：1个；HDMI端口：1路，支持720P/1080P 输出；USB端口：4个</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智慧公厕应用软件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定制开发，根据厕所布局图设计显示界面，可显示厕所使用状态、环境数据、客流量数据、天气数据、视频播放窗口、文字通告栏、满意度评价窗口、紧急求助报警等功能模块。</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客流量监控器</w:t>
            </w:r>
          </w:p>
        </w:tc>
        <w:tc>
          <w:tcPr>
            <w:tcW w:w="5055" w:type="dxa"/>
            <w:shd w:val="clear" w:color="auto" w:fill="FFFFFF"/>
            <w:vAlign w:val="center"/>
          </w:tcPr>
          <w:p>
            <w:pPr>
              <w:pStyle w:val="45"/>
              <w:numPr>
                <w:ilvl w:val="0"/>
                <w:numId w:val="18"/>
              </w:numPr>
              <w:snapToGrid w:val="0"/>
              <w:spacing w:after="0"/>
              <w:ind w:left="0" w:firstLine="0"/>
              <w:textAlignment w:val="center"/>
              <w:rPr>
                <w:rFonts w:cs="仿宋"/>
                <w:color w:val="000000"/>
              </w:rPr>
            </w:pPr>
            <w:r>
              <w:rPr>
                <w:rFonts w:hint="eastAsia" w:cs="仿宋"/>
                <w:color w:val="000000"/>
              </w:rPr>
              <w:t>成像器件：1/3英寸CMOS</w:t>
            </w:r>
          </w:p>
          <w:p>
            <w:pPr>
              <w:pStyle w:val="45"/>
              <w:numPr>
                <w:ilvl w:val="0"/>
                <w:numId w:val="18"/>
              </w:numPr>
              <w:snapToGrid w:val="0"/>
              <w:spacing w:after="0"/>
              <w:ind w:left="0" w:firstLine="0"/>
              <w:textAlignment w:val="center"/>
              <w:rPr>
                <w:rFonts w:cs="仿宋"/>
                <w:color w:val="000000"/>
              </w:rPr>
            </w:pPr>
            <w:r>
              <w:rPr>
                <w:rFonts w:hint="eastAsia" w:cs="仿宋"/>
                <w:color w:val="000000"/>
              </w:rPr>
              <w:t>有效像素：130万</w:t>
            </w:r>
          </w:p>
          <w:p>
            <w:pPr>
              <w:pStyle w:val="45"/>
              <w:numPr>
                <w:ilvl w:val="0"/>
                <w:numId w:val="18"/>
              </w:numPr>
              <w:snapToGrid w:val="0"/>
              <w:spacing w:after="0"/>
              <w:ind w:left="0" w:firstLine="0"/>
              <w:textAlignment w:val="center"/>
              <w:rPr>
                <w:rFonts w:cs="仿宋"/>
                <w:color w:val="000000"/>
              </w:rPr>
            </w:pPr>
            <w:r>
              <w:rPr>
                <w:rFonts w:hint="eastAsia" w:cs="仿宋"/>
                <w:color w:val="000000"/>
              </w:rPr>
              <w:t>信噪比：＞56dB</w:t>
            </w:r>
          </w:p>
          <w:p>
            <w:pPr>
              <w:pStyle w:val="45"/>
              <w:numPr>
                <w:ilvl w:val="0"/>
                <w:numId w:val="18"/>
              </w:numPr>
              <w:snapToGrid w:val="0"/>
              <w:spacing w:after="0"/>
              <w:ind w:left="0" w:firstLine="0"/>
              <w:textAlignment w:val="center"/>
              <w:rPr>
                <w:rFonts w:cs="仿宋"/>
                <w:color w:val="000000"/>
              </w:rPr>
            </w:pPr>
            <w:r>
              <w:rPr>
                <w:rFonts w:hint="eastAsia" w:cs="仿宋"/>
                <w:color w:val="000000"/>
              </w:rPr>
              <w:t>分辨率：1280×960@25fps</w:t>
            </w:r>
          </w:p>
          <w:p>
            <w:pPr>
              <w:pStyle w:val="45"/>
              <w:numPr>
                <w:ilvl w:val="0"/>
                <w:numId w:val="18"/>
              </w:numPr>
              <w:snapToGrid w:val="0"/>
              <w:spacing w:after="0"/>
              <w:ind w:left="0" w:firstLine="0"/>
              <w:textAlignment w:val="center"/>
              <w:rPr>
                <w:rFonts w:cs="仿宋"/>
                <w:color w:val="000000"/>
              </w:rPr>
            </w:pPr>
            <w:r>
              <w:rPr>
                <w:rFonts w:hint="eastAsia" w:cs="仿宋"/>
                <w:color w:val="000000"/>
              </w:rPr>
              <w:t>压缩格式：H.265，H.264，H.264B，H.264H</w:t>
            </w:r>
          </w:p>
          <w:p>
            <w:pPr>
              <w:pStyle w:val="45"/>
              <w:numPr>
                <w:ilvl w:val="0"/>
                <w:numId w:val="18"/>
              </w:numPr>
              <w:snapToGrid w:val="0"/>
              <w:spacing w:after="0"/>
              <w:ind w:left="0" w:firstLine="0"/>
              <w:textAlignment w:val="center"/>
              <w:rPr>
                <w:rFonts w:cs="仿宋"/>
                <w:color w:val="000000"/>
              </w:rPr>
            </w:pPr>
            <w:r>
              <w:rPr>
                <w:rFonts w:hint="eastAsia" w:cs="仿宋"/>
                <w:color w:val="000000"/>
              </w:rPr>
              <w:t>报警输入：1路</w:t>
            </w:r>
          </w:p>
          <w:p>
            <w:pPr>
              <w:pStyle w:val="45"/>
              <w:numPr>
                <w:ilvl w:val="0"/>
                <w:numId w:val="18"/>
              </w:numPr>
              <w:snapToGrid w:val="0"/>
              <w:spacing w:after="0"/>
              <w:ind w:left="0" w:firstLine="0"/>
              <w:textAlignment w:val="center"/>
              <w:rPr>
                <w:rFonts w:cs="仿宋"/>
                <w:color w:val="000000"/>
              </w:rPr>
            </w:pPr>
            <w:r>
              <w:rPr>
                <w:rFonts w:hint="eastAsia" w:cs="仿宋"/>
                <w:color w:val="000000"/>
              </w:rPr>
              <w:t>报警输出：1路</w:t>
            </w:r>
          </w:p>
          <w:p>
            <w:pPr>
              <w:pStyle w:val="45"/>
              <w:numPr>
                <w:ilvl w:val="0"/>
                <w:numId w:val="18"/>
              </w:numPr>
              <w:snapToGrid w:val="0"/>
              <w:spacing w:after="0"/>
              <w:ind w:left="0" w:firstLine="0"/>
              <w:textAlignment w:val="center"/>
              <w:rPr>
                <w:rFonts w:cs="仿宋"/>
                <w:color w:val="000000"/>
              </w:rPr>
            </w:pPr>
            <w:r>
              <w:rPr>
                <w:rFonts w:hint="eastAsia" w:cs="仿宋"/>
                <w:color w:val="000000"/>
              </w:rPr>
              <w:t>控制接口：RS-485</w:t>
            </w:r>
          </w:p>
          <w:p>
            <w:pPr>
              <w:pStyle w:val="45"/>
              <w:numPr>
                <w:ilvl w:val="0"/>
                <w:numId w:val="18"/>
              </w:numPr>
              <w:snapToGrid w:val="0"/>
              <w:spacing w:after="0"/>
              <w:ind w:left="0" w:firstLine="0"/>
              <w:textAlignment w:val="center"/>
              <w:rPr>
                <w:rFonts w:cs="仿宋"/>
                <w:color w:val="000000"/>
              </w:rPr>
            </w:pPr>
            <w:r>
              <w:rPr>
                <w:rFonts w:hint="eastAsia" w:cs="仿宋"/>
                <w:color w:val="000000"/>
              </w:rPr>
              <w:t>电源电压：DC 12V，PoE</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环境数据传感器（三合一）</w:t>
            </w:r>
          </w:p>
        </w:tc>
        <w:tc>
          <w:tcPr>
            <w:tcW w:w="5055" w:type="dxa"/>
            <w:shd w:val="clear" w:color="auto" w:fill="FFFFFF"/>
            <w:vAlign w:val="center"/>
          </w:tcPr>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尺寸：145*100*50mm</w:t>
            </w:r>
          </w:p>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含温度、湿度、氨气数据</w:t>
            </w:r>
          </w:p>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通讯方式：RS 485</w:t>
            </w:r>
          </w:p>
          <w:p>
            <w:pPr>
              <w:pStyle w:val="45"/>
              <w:numPr>
                <w:ilvl w:val="0"/>
                <w:numId w:val="19"/>
              </w:numPr>
              <w:snapToGrid w:val="0"/>
              <w:spacing w:after="0"/>
              <w:ind w:left="0" w:firstLine="0"/>
              <w:textAlignment w:val="center"/>
              <w:rPr>
                <w:rFonts w:cs="仿宋"/>
                <w:color w:val="000000"/>
              </w:rPr>
            </w:pPr>
            <w:r>
              <w:rPr>
                <w:rFonts w:hint="eastAsia" w:cs="仿宋"/>
                <w:color w:val="000000"/>
                <w:lang w:bidi="ar"/>
              </w:rPr>
              <w:t>4、供电：DC12V-24</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供电箱</w:t>
            </w:r>
          </w:p>
        </w:tc>
        <w:tc>
          <w:tcPr>
            <w:tcW w:w="5055" w:type="dxa"/>
            <w:shd w:val="clear" w:color="auto" w:fill="FFFFFF"/>
            <w:vAlign w:val="center"/>
          </w:tcPr>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尺寸：235*205*52mm</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外壳材质：钣金(烤漆)</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输入电压：110-230VAC</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输出电压：12VDC / 20 A</w:t>
            </w:r>
          </w:p>
          <w:p>
            <w:pPr>
              <w:pStyle w:val="45"/>
              <w:numPr>
                <w:ilvl w:val="0"/>
                <w:numId w:val="20"/>
              </w:numPr>
              <w:snapToGrid w:val="0"/>
              <w:spacing w:after="0"/>
              <w:ind w:left="0" w:firstLine="0"/>
              <w:textAlignment w:val="center"/>
              <w:rPr>
                <w:rFonts w:cs="仿宋"/>
                <w:color w:val="000000"/>
              </w:rPr>
            </w:pPr>
            <w:r>
              <w:rPr>
                <w:rFonts w:hint="eastAsia" w:cs="仿宋"/>
                <w:color w:val="000000"/>
                <w:lang w:bidi="ar"/>
              </w:rPr>
              <w:t>5、安装方式：壁挂或暗装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智慧公厕系统运行调试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七、无线WIFi</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46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室外无线AP</w:t>
            </w:r>
          </w:p>
        </w:tc>
        <w:tc>
          <w:tcPr>
            <w:tcW w:w="5055" w:type="dxa"/>
            <w:vMerge w:val="restart"/>
            <w:shd w:val="clear" w:color="auto" w:fill="FFFFFF"/>
            <w:vAlign w:val="center"/>
          </w:tcPr>
          <w:p>
            <w:pPr>
              <w:pStyle w:val="45"/>
              <w:numPr>
                <w:ilvl w:val="0"/>
                <w:numId w:val="21"/>
              </w:numPr>
              <w:snapToGrid w:val="0"/>
              <w:spacing w:after="0"/>
              <w:ind w:left="0" w:firstLine="0"/>
              <w:textAlignment w:val="center"/>
              <w:rPr>
                <w:rFonts w:cs="仿宋"/>
                <w:color w:val="000000"/>
              </w:rPr>
            </w:pPr>
            <w:r>
              <w:rPr>
                <w:rFonts w:hint="eastAsia" w:cs="仿宋"/>
                <w:color w:val="000000"/>
              </w:rPr>
              <w:t>端口及硬件要求 ≥2个10/100/1000以太网接口≥1个IoT物联网接口，要求支持物理网扩展能力。支持RFID、Zigbee等全制式物联网协议的扩展</w:t>
            </w:r>
          </w:p>
          <w:p>
            <w:pPr>
              <w:pStyle w:val="45"/>
              <w:numPr>
                <w:ilvl w:val="0"/>
                <w:numId w:val="21"/>
              </w:numPr>
              <w:snapToGrid w:val="0"/>
              <w:spacing w:after="0"/>
              <w:ind w:left="0" w:firstLine="0"/>
              <w:textAlignment w:val="center"/>
              <w:rPr>
                <w:rFonts w:cs="仿宋"/>
                <w:color w:val="000000"/>
              </w:rPr>
            </w:pPr>
            <w:r>
              <w:rPr>
                <w:rFonts w:hint="eastAsia" w:cs="仿宋"/>
                <w:color w:val="000000"/>
              </w:rPr>
              <w:t>发射功率≥27dBm，支持802.11ac协议,支持新一代11ac二代协议，工作频段2.4GHz和5GHz，空间流数802.11ac≥2802.11n≥2，协商速率 ≥1267Mbps，支持蓝牙，支持GPS。空间流数≥4.防护等级≥IP68。支持IPv4/IPv6双协议栈、Native原生，特别支持IPv6 Portal、IPv6 SAVI。为保证美观和使用效果最佳，需支持内置智能全向天线。</w:t>
            </w:r>
          </w:p>
          <w:p>
            <w:pPr>
              <w:pStyle w:val="45"/>
              <w:numPr>
                <w:ilvl w:val="0"/>
                <w:numId w:val="21"/>
              </w:numPr>
              <w:snapToGrid w:val="0"/>
              <w:spacing w:after="0"/>
              <w:ind w:left="0" w:firstLine="0"/>
              <w:textAlignment w:val="center"/>
              <w:rPr>
                <w:rFonts w:cs="仿宋"/>
                <w:color w:val="000000"/>
              </w:rPr>
            </w:pPr>
            <w:r>
              <w:rPr>
                <w:rFonts w:hint="eastAsia" w:cs="仿宋"/>
                <w:color w:val="000000"/>
              </w:rPr>
              <w:t>认证：配合无线控制器，可以实现包括公众号认证、固定账号认证、短信认证等多种认证方式，实现广告推送，粉丝营销。可以设置允许上网的时长，闲置切断，以及认证成功后跳转URL，支持开启免认证（认证成功后无需再次认证）。</w:t>
            </w:r>
          </w:p>
          <w:p>
            <w:pPr>
              <w:pStyle w:val="45"/>
              <w:numPr>
                <w:ilvl w:val="0"/>
                <w:numId w:val="21"/>
              </w:numPr>
              <w:snapToGrid w:val="0"/>
              <w:spacing w:after="0"/>
              <w:ind w:left="0" w:firstLine="0"/>
              <w:textAlignment w:val="center"/>
              <w:rPr>
                <w:rFonts w:cs="仿宋"/>
                <w:color w:val="000000"/>
              </w:rPr>
            </w:pPr>
            <w:r>
              <w:rPr>
                <w:rFonts w:hint="eastAsia" w:cs="仿宋"/>
                <w:color w:val="000000"/>
              </w:rPr>
              <w:t>无线AP需配合景区设施配套颜色。</w:t>
            </w:r>
          </w:p>
          <w:p>
            <w:pPr>
              <w:snapToGrid w:val="0"/>
              <w:spacing w:after="0"/>
              <w:textAlignment w:val="center"/>
              <w:rPr>
                <w:rFonts w:cs="仿宋"/>
                <w:b/>
                <w:bCs/>
                <w:color w:val="000000"/>
              </w:rPr>
            </w:pPr>
            <w:r>
              <w:rPr>
                <w:rFonts w:hint="eastAsia" w:cs="仿宋"/>
                <w:b/>
                <w:bCs/>
                <w:color w:val="000000"/>
              </w:rPr>
              <w:t>提供无线电发射设备型号核准证书</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47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无线控制器</w:t>
            </w:r>
          </w:p>
        </w:tc>
        <w:tc>
          <w:tcPr>
            <w:tcW w:w="5055" w:type="dxa"/>
            <w:vMerge w:val="restart"/>
            <w:shd w:val="clear" w:color="auto" w:fill="FFFFFF"/>
            <w:vAlign w:val="center"/>
          </w:tcPr>
          <w:p>
            <w:pPr>
              <w:pStyle w:val="45"/>
              <w:numPr>
                <w:ilvl w:val="0"/>
                <w:numId w:val="22"/>
              </w:numPr>
              <w:snapToGrid w:val="0"/>
              <w:spacing w:after="0"/>
              <w:ind w:left="0" w:firstLine="0"/>
              <w:textAlignment w:val="center"/>
              <w:rPr>
                <w:rFonts w:cs="仿宋"/>
                <w:color w:val="000000"/>
              </w:rPr>
            </w:pPr>
            <w:r>
              <w:rPr>
                <w:rFonts w:hint="eastAsia" w:cs="仿宋"/>
                <w:color w:val="000000"/>
              </w:rPr>
              <w:t>端口及硬件要求：≥5个10/100/1000Base-T以太网3层接口，要求每个接口能独立工作在3层模式下≥1个USB接口≥1个SD插槽,支持NAT地址转换，支持NAT ALG，支持NAT Log，VPN：支持L2TP、SSL VPN。支持二层漫游、支持三层漫游要求支持MAC地址认证、Portal认证、内置QQ认证、内置邮箱认证、云平台认证。</w:t>
            </w:r>
          </w:p>
          <w:p>
            <w:pPr>
              <w:pStyle w:val="45"/>
              <w:numPr>
                <w:ilvl w:val="0"/>
                <w:numId w:val="22"/>
              </w:numPr>
              <w:snapToGrid w:val="0"/>
              <w:spacing w:after="0"/>
              <w:ind w:left="0" w:firstLine="0"/>
              <w:textAlignment w:val="center"/>
              <w:rPr>
                <w:rFonts w:cs="仿宋"/>
                <w:color w:val="000000"/>
              </w:rPr>
            </w:pPr>
            <w:r>
              <w:rPr>
                <w:rFonts w:hint="eastAsia" w:cs="仿宋"/>
                <w:color w:val="000000"/>
              </w:rPr>
              <w:t>默认支持管理AP数量≥20，或支持管理面板AP数量≥40；支持无线AP授权扩展，扩展后最大支持管理放装AP数量≥40，或支持管理面板AP数量≥80。默认支持管理80个终结者分体，不支持扩展，终结者本体管理无上限。BYOD：支持DHCP指纹检测，支持HTTP UA指纹检测，支持OUI检测，支持配置检测策略。DPI识别：支持应用流量分析，支持应用流量历史记录，支持WAN口流量分析。</w:t>
            </w:r>
          </w:p>
          <w:p>
            <w:pPr>
              <w:pStyle w:val="45"/>
              <w:numPr>
                <w:ilvl w:val="0"/>
                <w:numId w:val="22"/>
              </w:numPr>
              <w:snapToGrid w:val="0"/>
              <w:spacing w:after="0"/>
              <w:ind w:left="0" w:firstLine="0"/>
              <w:textAlignment w:val="center"/>
              <w:rPr>
                <w:rFonts w:cs="仿宋"/>
                <w:color w:val="000000"/>
              </w:rPr>
            </w:pPr>
            <w:r>
              <w:rPr>
                <w:rFonts w:hint="eastAsia" w:cs="仿宋"/>
                <w:color w:val="000000"/>
              </w:rPr>
              <w:t>运维平台：该产品厂家需提供免费云端维护平台，并提供免费手机APP管理软件。</w:t>
            </w:r>
          </w:p>
          <w:p>
            <w:pPr>
              <w:pStyle w:val="45"/>
              <w:numPr>
                <w:ilvl w:val="0"/>
                <w:numId w:val="22"/>
              </w:numPr>
              <w:snapToGrid w:val="0"/>
              <w:spacing w:after="0"/>
              <w:ind w:left="0" w:firstLine="0"/>
              <w:textAlignment w:val="center"/>
              <w:rPr>
                <w:rFonts w:cs="仿宋"/>
                <w:color w:val="000000"/>
              </w:rPr>
            </w:pPr>
            <w:r>
              <w:rPr>
                <w:rFonts w:hint="eastAsia" w:cs="仿宋"/>
                <w:color w:val="000000"/>
              </w:rPr>
              <w:t>运维平台功能：要求通过平台可以收集网络及设备的各种关键指标：支持查看信道利用率情况，丢包率，时间延迟，包重传次数，漫游成功率，终端信号强度等，统计健康度得分，输出体检报告，并结合报告，给出优化建议。支持云端工勘，生成信号仿真图像；</w:t>
            </w:r>
          </w:p>
          <w:p>
            <w:pPr>
              <w:pStyle w:val="45"/>
              <w:numPr>
                <w:ilvl w:val="0"/>
                <w:numId w:val="22"/>
              </w:numPr>
              <w:snapToGrid w:val="0"/>
              <w:spacing w:after="0"/>
              <w:ind w:left="0" w:firstLine="0"/>
              <w:textAlignment w:val="center"/>
              <w:rPr>
                <w:rFonts w:cs="仿宋"/>
                <w:color w:val="000000"/>
              </w:rPr>
            </w:pPr>
            <w:r>
              <w:rPr>
                <w:rFonts w:hint="eastAsia" w:cs="仿宋"/>
                <w:color w:val="000000"/>
              </w:rPr>
              <w:t>支持认证配置：关注公众号连WIFI、短信登录、固定账号登录、一键上网、哑终端认证、访客认证。支持对接APP或第三方会员系统认证。支持配置单次及单日上网时长、支持配置二次重连免认证、支持设置限速、支持认证界面推送用户指定广告界面、支持设置每日允许上网时间段。</w:t>
            </w:r>
          </w:p>
          <w:p>
            <w:pPr>
              <w:pStyle w:val="45"/>
              <w:numPr>
                <w:ilvl w:val="0"/>
                <w:numId w:val="22"/>
              </w:numPr>
              <w:snapToGrid w:val="0"/>
              <w:spacing w:after="0"/>
              <w:ind w:left="0" w:firstLine="0"/>
              <w:textAlignment w:val="center"/>
              <w:rPr>
                <w:rFonts w:cs="仿宋"/>
                <w:color w:val="000000"/>
              </w:rPr>
            </w:pPr>
            <w:r>
              <w:rPr>
                <w:rFonts w:hint="eastAsia" w:cs="仿宋"/>
                <w:color w:val="000000"/>
              </w:rPr>
              <w:t>运维APP功能：手机APP配合平台，可以查看设备运行信息包括内存CPU占用率、设备在线离线状态及时长、实时速率包括上行及下行、设备版本号、端口状态。支持设备重启、配置备份、配置还原、版本升级、文件管理操作。</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POE交换机</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16+2SFP千兆POE交换机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49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无线控制器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无线控制器license</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单端口光纤PoE供电器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(-40℃-65℃)-90Vac-264Vac-60W-55V-1.1A-DC</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SFP-GE-单模模块-(1310nm,10km,LC)</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防水抱杆箱</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采用不低于 1.5mm 厚的 304 不锈钢板；箱体尺寸≥450mm*350mm*300mm，室外防水,专业防尘,散热，含电源、防雷、网络转换设备等配套材料</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无线WIFi系统运行调试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八、智慧路灯</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w:t>
            </w:r>
          </w:p>
        </w:tc>
        <w:tc>
          <w:tcPr>
            <w:tcW w:w="5055" w:type="dxa"/>
            <w:shd w:val="clear" w:color="auto" w:fill="FFFFFF"/>
            <w:vAlign w:val="center"/>
          </w:tcPr>
          <w:p>
            <w:pPr>
              <w:pStyle w:val="45"/>
              <w:numPr>
                <w:ilvl w:val="0"/>
                <w:numId w:val="23"/>
              </w:numPr>
              <w:snapToGrid w:val="0"/>
              <w:spacing w:after="0"/>
              <w:ind w:left="0" w:firstLine="0"/>
              <w:textAlignment w:val="center"/>
              <w:rPr>
                <w:rFonts w:cs="仿宋"/>
                <w:color w:val="000000"/>
                <w:lang w:bidi="ar"/>
              </w:rPr>
            </w:pPr>
            <w:r>
              <w:rPr>
                <w:rFonts w:hint="eastAsia" w:cs="仿宋"/>
                <w:color w:val="000000"/>
                <w:lang w:bidi="ar"/>
              </w:rPr>
              <w:t>含灯杆、单灯控制器及光源、灯基座</w:t>
            </w:r>
          </w:p>
          <w:p>
            <w:pPr>
              <w:pStyle w:val="45"/>
              <w:numPr>
                <w:ilvl w:val="0"/>
                <w:numId w:val="23"/>
              </w:numPr>
              <w:snapToGrid w:val="0"/>
              <w:spacing w:after="0"/>
              <w:ind w:left="0" w:firstLine="0"/>
              <w:textAlignment w:val="center"/>
              <w:rPr>
                <w:rFonts w:cs="仿宋"/>
                <w:color w:val="000000"/>
              </w:rPr>
            </w:pPr>
            <w:r>
              <w:rPr>
                <w:rFonts w:hint="eastAsia" w:cs="仿宋"/>
                <w:color w:val="000000"/>
                <w:lang w:bidi="ar"/>
              </w:rPr>
              <w:t>杆高6米、壁厚5MM、地笼按尺寸定制、外形按尺寸定制、喷氟碳漆、预留智能设备安装位置、含固定地笼、增加仿古油漆5遍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IP音频终端</w:t>
            </w:r>
          </w:p>
        </w:tc>
        <w:tc>
          <w:tcPr>
            <w:tcW w:w="5055" w:type="dxa"/>
            <w:shd w:val="clear" w:color="auto" w:fill="FFFFFF"/>
            <w:vAlign w:val="center"/>
          </w:tcPr>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 xml:space="preserve">额定功率：15-80W </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 xml:space="preserve">额定电压：70-100W </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灵敏度:89DB</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频率响应：200Hz-18KHz</w:t>
            </w:r>
          </w:p>
          <w:p>
            <w:pPr>
              <w:pStyle w:val="45"/>
              <w:numPr>
                <w:ilvl w:val="0"/>
                <w:numId w:val="24"/>
              </w:numPr>
              <w:snapToGrid w:val="0"/>
              <w:spacing w:after="0"/>
              <w:ind w:left="0" w:firstLine="0"/>
              <w:textAlignment w:val="center"/>
              <w:rPr>
                <w:rFonts w:cs="仿宋"/>
                <w:color w:val="000000"/>
              </w:rPr>
            </w:pPr>
            <w:r>
              <w:rPr>
                <w:rFonts w:hint="eastAsia" w:cs="仿宋"/>
                <w:color w:val="000000"/>
                <w:lang w:bidi="ar"/>
              </w:rPr>
              <w:t>尺寸：130*130*220/338/460/578/700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监控摄像设备</w:t>
            </w:r>
          </w:p>
        </w:tc>
        <w:tc>
          <w:tcPr>
            <w:tcW w:w="5055" w:type="dxa"/>
            <w:shd w:val="clear" w:color="auto" w:fill="FFFFFF"/>
            <w:vAlign w:val="center"/>
          </w:tcPr>
          <w:p>
            <w:pPr>
              <w:pStyle w:val="45"/>
              <w:numPr>
                <w:ilvl w:val="0"/>
                <w:numId w:val="25"/>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25"/>
              </w:numPr>
              <w:snapToGrid w:val="0"/>
              <w:spacing w:after="0"/>
              <w:ind w:left="0" w:firstLine="0"/>
              <w:textAlignment w:val="center"/>
              <w:rPr>
                <w:rFonts w:cs="仿宋"/>
                <w:color w:val="000000"/>
              </w:rPr>
            </w:pPr>
            <w:r>
              <w:rPr>
                <w:rFonts w:hint="eastAsia" w:cs="仿宋"/>
                <w:color w:val="000000"/>
              </w:rPr>
              <w:t>最大分辨率：300W</w:t>
            </w:r>
          </w:p>
          <w:p>
            <w:pPr>
              <w:pStyle w:val="45"/>
              <w:numPr>
                <w:ilvl w:val="0"/>
                <w:numId w:val="25"/>
              </w:numPr>
              <w:snapToGrid w:val="0"/>
              <w:spacing w:after="0"/>
              <w:ind w:left="0" w:firstLine="0"/>
              <w:textAlignment w:val="center"/>
              <w:rPr>
                <w:rFonts w:cs="仿宋"/>
                <w:color w:val="000000"/>
              </w:rPr>
            </w:pPr>
            <w:r>
              <w:rPr>
                <w:rFonts w:hint="eastAsia" w:cs="仿宋"/>
                <w:color w:val="000000"/>
              </w:rPr>
              <w:t>调整角度：垂直:-10°～70°</w:t>
            </w:r>
          </w:p>
          <w:p>
            <w:pPr>
              <w:pStyle w:val="45"/>
              <w:numPr>
                <w:ilvl w:val="0"/>
                <w:numId w:val="25"/>
              </w:numPr>
              <w:snapToGrid w:val="0"/>
              <w:spacing w:after="0"/>
              <w:ind w:left="0" w:firstLine="0"/>
              <w:textAlignment w:val="center"/>
              <w:rPr>
                <w:rFonts w:cs="仿宋"/>
                <w:color w:val="000000"/>
              </w:rPr>
            </w:pPr>
            <w:r>
              <w:rPr>
                <w:rFonts w:hint="eastAsia" w:cs="仿宋"/>
                <w:color w:val="000000"/>
              </w:rPr>
              <w:t>电子快门：1/3s~1/100000s;可手动或自动调节</w:t>
            </w:r>
          </w:p>
          <w:p>
            <w:pPr>
              <w:pStyle w:val="45"/>
              <w:numPr>
                <w:ilvl w:val="0"/>
                <w:numId w:val="25"/>
              </w:numPr>
              <w:snapToGrid w:val="0"/>
              <w:spacing w:after="0"/>
              <w:ind w:left="0" w:firstLine="0"/>
              <w:textAlignment w:val="center"/>
              <w:rPr>
                <w:rFonts w:cs="仿宋"/>
                <w:color w:val="000000"/>
              </w:rPr>
            </w:pPr>
            <w:r>
              <w:rPr>
                <w:rFonts w:hint="eastAsia" w:cs="仿宋"/>
                <w:color w:val="000000"/>
              </w:rPr>
              <w:t>最低照度：0.01Lux(彩色模式);0.001Lux(黑白模式);0Lux（红外灯开启）</w:t>
            </w:r>
          </w:p>
          <w:p>
            <w:pPr>
              <w:pStyle w:val="45"/>
              <w:numPr>
                <w:ilvl w:val="0"/>
                <w:numId w:val="25"/>
              </w:numPr>
              <w:snapToGrid w:val="0"/>
              <w:spacing w:after="0"/>
              <w:ind w:left="0" w:firstLine="0"/>
              <w:textAlignment w:val="center"/>
              <w:rPr>
                <w:rFonts w:cs="仿宋"/>
                <w:color w:val="000000"/>
              </w:rPr>
            </w:pPr>
            <w:r>
              <w:rPr>
                <w:rFonts w:hint="eastAsia" w:cs="仿宋"/>
                <w:color w:val="000000"/>
              </w:rPr>
              <w:t>最大红外距离：10米</w:t>
            </w:r>
          </w:p>
          <w:p>
            <w:pPr>
              <w:pStyle w:val="45"/>
              <w:numPr>
                <w:ilvl w:val="0"/>
                <w:numId w:val="25"/>
              </w:numPr>
              <w:snapToGrid w:val="0"/>
              <w:spacing w:after="0"/>
              <w:ind w:left="0" w:firstLine="0"/>
              <w:textAlignment w:val="center"/>
              <w:rPr>
                <w:rFonts w:cs="仿宋"/>
                <w:color w:val="000000"/>
              </w:rPr>
            </w:pPr>
            <w:r>
              <w:rPr>
                <w:rFonts w:hint="eastAsia" w:cs="仿宋"/>
                <w:color w:val="000000"/>
              </w:rPr>
              <w:t>信噪比：＞56dB</w:t>
            </w:r>
          </w:p>
          <w:p>
            <w:pPr>
              <w:pStyle w:val="45"/>
              <w:numPr>
                <w:ilvl w:val="0"/>
                <w:numId w:val="25"/>
              </w:numPr>
              <w:snapToGrid w:val="0"/>
              <w:spacing w:after="0"/>
              <w:ind w:left="0" w:firstLine="0"/>
              <w:textAlignment w:val="center"/>
              <w:rPr>
                <w:rFonts w:cs="仿宋"/>
                <w:color w:val="000000"/>
              </w:rPr>
            </w:pPr>
            <w:r>
              <w:rPr>
                <w:rFonts w:hint="eastAsia" w:cs="仿宋"/>
                <w:color w:val="000000"/>
              </w:rPr>
              <w:t>供电方式：DC12+POE</w:t>
            </w:r>
          </w:p>
          <w:p>
            <w:pPr>
              <w:pStyle w:val="45"/>
              <w:numPr>
                <w:ilvl w:val="0"/>
                <w:numId w:val="25"/>
              </w:numPr>
              <w:snapToGrid w:val="0"/>
              <w:spacing w:after="0"/>
              <w:ind w:left="0" w:firstLine="0"/>
              <w:textAlignment w:val="center"/>
              <w:rPr>
                <w:rFonts w:cs="仿宋"/>
                <w:color w:val="000000"/>
              </w:rPr>
            </w:pPr>
            <w:r>
              <w:rPr>
                <w:rFonts w:hint="eastAsia" w:cs="仿宋"/>
                <w:color w:val="000000"/>
              </w:rPr>
              <w:t>功耗：基本功耗：8W最大功耗：12W（红外灯最亮，电动变焦，加热开启，ICR切换）</w:t>
            </w:r>
          </w:p>
          <w:p>
            <w:pPr>
              <w:pStyle w:val="45"/>
              <w:numPr>
                <w:ilvl w:val="0"/>
                <w:numId w:val="25"/>
              </w:numPr>
              <w:snapToGrid w:val="0"/>
              <w:spacing w:after="0"/>
              <w:ind w:left="0" w:firstLine="0"/>
              <w:textAlignment w:val="center"/>
              <w:rPr>
                <w:rFonts w:cs="仿宋"/>
                <w:color w:val="000000"/>
              </w:rPr>
            </w:pPr>
            <w:r>
              <w:rPr>
                <w:rFonts w:hint="eastAsia" w:cs="仿宋"/>
                <w:color w:val="000000"/>
              </w:rPr>
              <w:t>工作温度：-30℃~+60℃</w:t>
            </w:r>
          </w:p>
          <w:p>
            <w:pPr>
              <w:pStyle w:val="45"/>
              <w:numPr>
                <w:ilvl w:val="0"/>
                <w:numId w:val="25"/>
              </w:numPr>
              <w:snapToGrid w:val="0"/>
              <w:spacing w:after="0"/>
              <w:ind w:left="0" w:firstLine="0"/>
              <w:textAlignment w:val="center"/>
              <w:rPr>
                <w:rFonts w:cs="仿宋"/>
                <w:color w:val="000000"/>
              </w:rPr>
            </w:pPr>
            <w:r>
              <w:rPr>
                <w:rFonts w:hint="eastAsia" w:cs="仿宋"/>
                <w:color w:val="000000"/>
              </w:rPr>
              <w:t>工作湿度：≤95%</w:t>
            </w:r>
          </w:p>
          <w:p>
            <w:pPr>
              <w:pStyle w:val="45"/>
              <w:numPr>
                <w:ilvl w:val="0"/>
                <w:numId w:val="25"/>
              </w:numPr>
              <w:snapToGrid w:val="0"/>
              <w:spacing w:after="0"/>
              <w:ind w:left="0" w:firstLine="0"/>
              <w:textAlignment w:val="center"/>
              <w:rPr>
                <w:rFonts w:cs="仿宋"/>
                <w:color w:val="000000"/>
              </w:rPr>
            </w:pPr>
            <w:r>
              <w:rPr>
                <w:rFonts w:hint="eastAsia" w:cs="仿宋"/>
                <w:color w:val="000000"/>
              </w:rPr>
              <w:t>防护等级：IP67;IK10;</w:t>
            </w:r>
          </w:p>
          <w:p>
            <w:pPr>
              <w:pStyle w:val="45"/>
              <w:numPr>
                <w:ilvl w:val="0"/>
                <w:numId w:val="25"/>
              </w:numPr>
              <w:snapToGrid w:val="0"/>
              <w:spacing w:after="0"/>
              <w:ind w:left="0" w:firstLine="0"/>
              <w:textAlignment w:val="center"/>
              <w:rPr>
                <w:rFonts w:cs="仿宋"/>
                <w:color w:val="000000"/>
              </w:rPr>
            </w:pPr>
            <w:r>
              <w:rPr>
                <w:rFonts w:hint="eastAsia" w:cs="仿宋"/>
                <w:color w:val="000000"/>
              </w:rPr>
              <w:t>尺寸：Φ204mm*78mm*62mm</w:t>
            </w:r>
          </w:p>
          <w:p>
            <w:pPr>
              <w:pStyle w:val="45"/>
              <w:numPr>
                <w:ilvl w:val="0"/>
                <w:numId w:val="25"/>
              </w:numPr>
              <w:snapToGrid w:val="0"/>
              <w:spacing w:after="0"/>
              <w:ind w:left="0" w:firstLine="0"/>
              <w:textAlignment w:val="center"/>
              <w:rPr>
                <w:rFonts w:cs="仿宋"/>
                <w:color w:val="000000"/>
              </w:rPr>
            </w:pPr>
            <w:r>
              <w:rPr>
                <w:rFonts w:hint="eastAsia" w:cs="仿宋"/>
                <w:color w:val="000000"/>
              </w:rPr>
              <w:t>安装方式：顶装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57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智慧路灯杆配套无线WIFI</w:t>
            </w:r>
          </w:p>
        </w:tc>
        <w:tc>
          <w:tcPr>
            <w:tcW w:w="5055" w:type="dxa"/>
            <w:vMerge w:val="restart"/>
            <w:shd w:val="clear" w:color="auto" w:fill="FFFFFF"/>
            <w:vAlign w:val="center"/>
          </w:tcPr>
          <w:p>
            <w:pPr>
              <w:pStyle w:val="45"/>
              <w:numPr>
                <w:ilvl w:val="0"/>
                <w:numId w:val="26"/>
              </w:numPr>
              <w:snapToGrid w:val="0"/>
              <w:spacing w:after="0"/>
              <w:ind w:left="0" w:firstLine="0"/>
              <w:textAlignment w:val="center"/>
              <w:rPr>
                <w:rFonts w:cs="仿宋"/>
                <w:color w:val="000000"/>
              </w:rPr>
            </w:pPr>
            <w:r>
              <w:rPr>
                <w:rFonts w:hint="eastAsia" w:cs="仿宋"/>
                <w:color w:val="000000"/>
              </w:rPr>
              <w:t>工作模式：支持802.11ac协议,支持新一代11ac二代协议。</w:t>
            </w:r>
          </w:p>
          <w:p>
            <w:pPr>
              <w:pStyle w:val="45"/>
              <w:numPr>
                <w:ilvl w:val="0"/>
                <w:numId w:val="26"/>
              </w:numPr>
              <w:snapToGrid w:val="0"/>
              <w:spacing w:after="0"/>
              <w:ind w:left="0" w:firstLine="0"/>
              <w:textAlignment w:val="center"/>
              <w:rPr>
                <w:rFonts w:cs="仿宋"/>
                <w:color w:val="000000"/>
              </w:rPr>
            </w:pPr>
            <w:r>
              <w:rPr>
                <w:rFonts w:hint="eastAsia" w:cs="仿宋"/>
                <w:color w:val="000000"/>
              </w:rPr>
              <w:t>接口≥2个10/100/1000以太网接口。</w:t>
            </w:r>
          </w:p>
          <w:p>
            <w:pPr>
              <w:pStyle w:val="45"/>
              <w:numPr>
                <w:ilvl w:val="0"/>
                <w:numId w:val="26"/>
              </w:numPr>
              <w:snapToGrid w:val="0"/>
              <w:spacing w:after="0"/>
              <w:ind w:left="0" w:firstLine="0"/>
              <w:textAlignment w:val="center"/>
              <w:rPr>
                <w:rFonts w:cs="仿宋"/>
                <w:color w:val="000000"/>
              </w:rPr>
            </w:pPr>
            <w:r>
              <w:rPr>
                <w:rFonts w:hint="eastAsia" w:cs="仿宋"/>
                <w:color w:val="000000"/>
              </w:rPr>
              <w:t>WAVE2：须是支持新一代11ac技术，支持WAVE2，支持MU-MIMO，通过MU-MIMO技术可实现AP同一时刻向多个终端发送数据。</w:t>
            </w:r>
          </w:p>
          <w:p>
            <w:pPr>
              <w:pStyle w:val="45"/>
              <w:numPr>
                <w:ilvl w:val="0"/>
                <w:numId w:val="26"/>
              </w:numPr>
              <w:snapToGrid w:val="0"/>
              <w:spacing w:after="0"/>
              <w:ind w:left="0" w:firstLine="0"/>
              <w:textAlignment w:val="center"/>
              <w:rPr>
                <w:rFonts w:cs="仿宋"/>
                <w:color w:val="000000"/>
              </w:rPr>
            </w:pPr>
            <w:r>
              <w:rPr>
                <w:rFonts w:hint="eastAsia" w:cs="仿宋"/>
                <w:color w:val="000000"/>
              </w:rPr>
              <w:t>空间流数：802.11n≥2，802.11ac≥2。协议支持：同时支持802.11a/n/ac和802.11b/g/n工作。协商速率：5GHz频段867Mbps，2.4GHz频段400Mbps。</w:t>
            </w:r>
          </w:p>
          <w:p>
            <w:pPr>
              <w:pStyle w:val="45"/>
              <w:numPr>
                <w:ilvl w:val="0"/>
                <w:numId w:val="26"/>
              </w:numPr>
              <w:snapToGrid w:val="0"/>
              <w:spacing w:after="0"/>
              <w:ind w:left="0" w:firstLine="0"/>
              <w:textAlignment w:val="center"/>
              <w:rPr>
                <w:rFonts w:cs="仿宋"/>
                <w:color w:val="000000"/>
              </w:rPr>
            </w:pPr>
            <w:r>
              <w:rPr>
                <w:rFonts w:hint="eastAsia" w:cs="仿宋"/>
                <w:color w:val="000000"/>
              </w:rPr>
              <w:t>工作温度：-30ºC～55ºC。防护等级≥IP67。支持IPv4/IPv6双协议栈，为保证美观，采取内置天线，整机最大功耗≤25W 。</w:t>
            </w:r>
          </w:p>
          <w:p>
            <w:pPr>
              <w:snapToGrid w:val="0"/>
              <w:spacing w:after="0"/>
              <w:textAlignment w:val="center"/>
              <w:rPr>
                <w:rFonts w:cs="仿宋"/>
                <w:b/>
                <w:bCs/>
                <w:color w:val="000000"/>
              </w:rPr>
            </w:pPr>
            <w:r>
              <w:rPr>
                <w:rFonts w:hint="eastAsia" w:cs="仿宋"/>
                <w:b/>
                <w:bCs/>
                <w:color w:val="000000"/>
              </w:rPr>
              <w:t>无线电发射设备型号核准证书</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一键呼叫按钮</w:t>
            </w:r>
          </w:p>
        </w:tc>
        <w:tc>
          <w:tcPr>
            <w:tcW w:w="5055" w:type="dxa"/>
            <w:shd w:val="clear" w:color="auto" w:fill="FFFFFF"/>
            <w:vAlign w:val="center"/>
          </w:tcPr>
          <w:p>
            <w:pPr>
              <w:pStyle w:val="45"/>
              <w:numPr>
                <w:ilvl w:val="0"/>
                <w:numId w:val="27"/>
              </w:numPr>
              <w:snapToGrid w:val="0"/>
              <w:spacing w:after="0"/>
              <w:ind w:left="0" w:firstLine="0"/>
              <w:textAlignment w:val="center"/>
              <w:rPr>
                <w:rFonts w:cs="仿宋"/>
                <w:color w:val="000000"/>
              </w:rPr>
            </w:pPr>
            <w:r>
              <w:rPr>
                <w:rFonts w:hint="eastAsia" w:cs="仿宋"/>
                <w:color w:val="000000"/>
              </w:rPr>
              <w:t>IP一键告警设备/全双工免提通话(HF)•智能DSS键支持宽带高清编码： L16G 以及G.722</w:t>
            </w:r>
          </w:p>
          <w:p>
            <w:pPr>
              <w:pStyle w:val="45"/>
              <w:numPr>
                <w:ilvl w:val="0"/>
                <w:numId w:val="27"/>
              </w:numPr>
              <w:snapToGrid w:val="0"/>
              <w:spacing w:after="0"/>
              <w:ind w:left="0" w:firstLine="0"/>
              <w:textAlignment w:val="center"/>
              <w:rPr>
                <w:rFonts w:cs="仿宋"/>
                <w:color w:val="000000"/>
              </w:rPr>
            </w:pPr>
            <w:r>
              <w:rPr>
                <w:rFonts w:hint="eastAsia" w:cs="仿宋"/>
                <w:color w:val="000000"/>
              </w:rPr>
              <w:t>支持G.711a/u,G.726，G.729a/b，G.723,iLBC等多种压缩编码； 支持VAD（静音检测）,CNG（舒适噪音）</w:t>
            </w:r>
          </w:p>
          <w:p>
            <w:pPr>
              <w:pStyle w:val="45"/>
              <w:numPr>
                <w:ilvl w:val="0"/>
                <w:numId w:val="27"/>
              </w:numPr>
              <w:snapToGrid w:val="0"/>
              <w:spacing w:after="0"/>
              <w:ind w:left="0" w:firstLine="0"/>
              <w:textAlignment w:val="center"/>
              <w:rPr>
                <w:rFonts w:cs="仿宋"/>
                <w:color w:val="000000"/>
              </w:rPr>
            </w:pPr>
            <w:r>
              <w:rPr>
                <w:rFonts w:hint="eastAsia" w:cs="仿宋"/>
                <w:color w:val="000000"/>
              </w:rPr>
              <w:t>支持 AJB(自动jitbuffer)；AEC(声学回音消除)；AGC（自动增益控制）</w:t>
            </w:r>
          </w:p>
          <w:p>
            <w:pPr>
              <w:pStyle w:val="45"/>
              <w:numPr>
                <w:ilvl w:val="0"/>
                <w:numId w:val="27"/>
              </w:numPr>
              <w:snapToGrid w:val="0"/>
              <w:spacing w:after="0"/>
              <w:ind w:left="0" w:firstLine="0"/>
              <w:textAlignment w:val="center"/>
              <w:rPr>
                <w:rFonts w:cs="仿宋"/>
                <w:color w:val="000000"/>
              </w:rPr>
            </w:pPr>
            <w:r>
              <w:rPr>
                <w:rFonts w:hint="eastAsia" w:cs="仿宋"/>
                <w:color w:val="000000"/>
              </w:rPr>
              <w:t>支持跨网传输</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智慧云盒</w:t>
            </w:r>
          </w:p>
        </w:tc>
        <w:tc>
          <w:tcPr>
            <w:tcW w:w="5055" w:type="dxa"/>
            <w:shd w:val="clear" w:color="auto" w:fill="FFFFFF"/>
            <w:vAlign w:val="center"/>
          </w:tcPr>
          <w:p>
            <w:pPr>
              <w:pStyle w:val="45"/>
              <w:numPr>
                <w:ilvl w:val="0"/>
                <w:numId w:val="28"/>
              </w:numPr>
              <w:snapToGrid w:val="0"/>
              <w:spacing w:after="0"/>
              <w:ind w:left="0" w:firstLine="0"/>
              <w:textAlignment w:val="center"/>
              <w:rPr>
                <w:rFonts w:cs="仿宋"/>
                <w:color w:val="000000"/>
                <w:lang w:bidi="ar"/>
              </w:rPr>
            </w:pPr>
            <w:r>
              <w:rPr>
                <w:rFonts w:hint="eastAsia" w:cs="仿宋"/>
                <w:color w:val="000000"/>
                <w:lang w:bidi="ar"/>
              </w:rPr>
              <w:t>支持5G/4G/PPPoE/DHCP/静态地址等连接方式，有线无线互为备份，多种工作模式选择；可外接PLC载波ZigBee/LoRa等单灯集中器，实现非智慧杆路灯的单灯集中管理</w:t>
            </w:r>
          </w:p>
          <w:p>
            <w:pPr>
              <w:pStyle w:val="45"/>
              <w:numPr>
                <w:ilvl w:val="0"/>
                <w:numId w:val="28"/>
              </w:numPr>
              <w:snapToGrid w:val="0"/>
              <w:spacing w:after="0"/>
              <w:ind w:left="0" w:firstLine="0"/>
              <w:textAlignment w:val="center"/>
              <w:rPr>
                <w:rFonts w:cs="仿宋"/>
                <w:color w:val="000000"/>
                <w:lang w:bidi="ar"/>
              </w:rPr>
            </w:pPr>
            <w:r>
              <w:rPr>
                <w:rFonts w:hint="eastAsia" w:cs="仿宋"/>
                <w:color w:val="000000"/>
                <w:lang w:bidi="ar"/>
              </w:rPr>
              <w:t>支持设备软硬件自检技术，故障自修复；在线链路检测，达到断线自动重连</w:t>
            </w:r>
          </w:p>
          <w:p>
            <w:pPr>
              <w:pStyle w:val="45"/>
              <w:numPr>
                <w:ilvl w:val="0"/>
                <w:numId w:val="28"/>
              </w:numPr>
              <w:snapToGrid w:val="0"/>
              <w:spacing w:after="0"/>
              <w:ind w:left="0" w:firstLine="0"/>
              <w:textAlignment w:val="center"/>
              <w:rPr>
                <w:rFonts w:cs="仿宋"/>
                <w:color w:val="000000"/>
              </w:rPr>
            </w:pPr>
            <w:r>
              <w:rPr>
                <w:rFonts w:hint="eastAsia" w:cs="仿宋"/>
                <w:color w:val="000000"/>
                <w:lang w:bidi="ar"/>
              </w:rPr>
              <w:t>支持TCP/IP、UDP、MQTT、MODBUS、TFTP</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显示终端</w:t>
            </w:r>
          </w:p>
        </w:tc>
        <w:tc>
          <w:tcPr>
            <w:tcW w:w="5055" w:type="dxa"/>
            <w:shd w:val="clear" w:color="auto" w:fill="FFFFFF"/>
            <w:vAlign w:val="center"/>
          </w:tcPr>
          <w:p>
            <w:pPr>
              <w:pStyle w:val="45"/>
              <w:numPr>
                <w:ilvl w:val="0"/>
                <w:numId w:val="29"/>
              </w:numPr>
              <w:snapToGrid w:val="0"/>
              <w:spacing w:after="0"/>
              <w:ind w:left="0" w:firstLine="0"/>
              <w:textAlignment w:val="center"/>
              <w:rPr>
                <w:rFonts w:cs="仿宋"/>
                <w:color w:val="000000"/>
              </w:rPr>
            </w:pPr>
            <w:r>
              <w:rPr>
                <w:rFonts w:hint="eastAsia" w:cs="仿宋"/>
                <w:color w:val="000000"/>
              </w:rPr>
              <w:t>P4户外全彩模组额定电流：40（mA） 额定电压：5（V）</w:t>
            </w:r>
          </w:p>
          <w:p>
            <w:pPr>
              <w:pStyle w:val="45"/>
              <w:numPr>
                <w:ilvl w:val="0"/>
                <w:numId w:val="29"/>
              </w:numPr>
              <w:snapToGrid w:val="0"/>
              <w:spacing w:after="0"/>
              <w:ind w:left="0" w:firstLine="0"/>
              <w:textAlignment w:val="center"/>
              <w:rPr>
                <w:rFonts w:cs="仿宋"/>
                <w:color w:val="000000"/>
              </w:rPr>
            </w:pPr>
            <w:r>
              <w:rPr>
                <w:rFonts w:hint="eastAsia" w:cs="仿宋"/>
                <w:color w:val="000000"/>
              </w:rPr>
              <w:t xml:space="preserve">分辨率256*256 </w:t>
            </w:r>
          </w:p>
          <w:p>
            <w:pPr>
              <w:pStyle w:val="45"/>
              <w:numPr>
                <w:ilvl w:val="0"/>
                <w:numId w:val="29"/>
              </w:numPr>
              <w:snapToGrid w:val="0"/>
              <w:spacing w:after="0"/>
              <w:ind w:left="0" w:firstLine="0"/>
              <w:textAlignment w:val="center"/>
              <w:rPr>
                <w:rFonts w:cs="仿宋"/>
                <w:color w:val="000000"/>
              </w:rPr>
            </w:pPr>
            <w:r>
              <w:rPr>
                <w:rFonts w:hint="eastAsia" w:cs="仿宋"/>
                <w:color w:val="000000"/>
              </w:rPr>
              <w:t>模组尺寸：256*128（mm）</w:t>
            </w:r>
          </w:p>
          <w:p>
            <w:pPr>
              <w:pStyle w:val="45"/>
              <w:numPr>
                <w:ilvl w:val="0"/>
                <w:numId w:val="29"/>
              </w:numPr>
              <w:snapToGrid w:val="0"/>
              <w:spacing w:after="0"/>
              <w:ind w:left="0" w:firstLine="0"/>
              <w:textAlignment w:val="center"/>
              <w:rPr>
                <w:rFonts w:cs="仿宋"/>
                <w:color w:val="000000"/>
              </w:rPr>
            </w:pPr>
            <w:r>
              <w:rPr>
                <w:rFonts w:hint="eastAsia" w:cs="仿宋"/>
                <w:color w:val="000000"/>
              </w:rPr>
              <w:t>屏幕尺寸：1024*512（mm）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含防雷模块，电源稳压模块，导轨，供电模块，信号传输模块，交换机，线缆等辅材</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智慧路灯平台软件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照明控制系统，广告发布，视频监控，环境监测系统，wifi管理，充电桩管理系统，广播系统，紧急呼叫系统</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九、大屏显示设备及景区配套设备</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64</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显示终端</w:t>
            </w:r>
          </w:p>
        </w:tc>
        <w:tc>
          <w:tcPr>
            <w:tcW w:w="5055" w:type="dxa"/>
            <w:vMerge w:val="restart"/>
            <w:shd w:val="clear" w:color="auto" w:fill="FFFFFF"/>
            <w:vAlign w:val="center"/>
          </w:tcPr>
          <w:p>
            <w:pPr>
              <w:pStyle w:val="45"/>
              <w:numPr>
                <w:ilvl w:val="0"/>
                <w:numId w:val="30"/>
              </w:numPr>
              <w:snapToGrid w:val="0"/>
              <w:spacing w:after="0"/>
              <w:ind w:left="0" w:firstLine="0"/>
              <w:textAlignment w:val="center"/>
              <w:rPr>
                <w:rFonts w:cs="仿宋"/>
                <w:color w:val="000000"/>
              </w:rPr>
            </w:pPr>
            <w:r>
              <w:rPr>
                <w:rFonts w:hint="eastAsia" w:cs="仿宋"/>
                <w:color w:val="000000"/>
              </w:rPr>
              <w:t>像素点间距≤1.667mm；模组尺寸：320mm*160mm，采用压铸铝箱体拼接</w:t>
            </w:r>
          </w:p>
          <w:p>
            <w:pPr>
              <w:pStyle w:val="45"/>
              <w:numPr>
                <w:ilvl w:val="0"/>
                <w:numId w:val="30"/>
              </w:numPr>
              <w:snapToGrid w:val="0"/>
              <w:spacing w:after="0"/>
              <w:ind w:left="0" w:firstLine="0"/>
              <w:textAlignment w:val="center"/>
              <w:rPr>
                <w:rFonts w:cs="仿宋"/>
                <w:color w:val="000000"/>
              </w:rPr>
            </w:pPr>
            <w:r>
              <w:rPr>
                <w:rFonts w:hint="eastAsia" w:cs="仿宋"/>
                <w:color w:val="000000"/>
              </w:rPr>
              <w:t xml:space="preserve">像素密度：≥360000 Dots/㎡ </w:t>
            </w:r>
          </w:p>
          <w:p>
            <w:pPr>
              <w:pStyle w:val="45"/>
              <w:numPr>
                <w:ilvl w:val="0"/>
                <w:numId w:val="30"/>
              </w:numPr>
              <w:snapToGrid w:val="0"/>
              <w:spacing w:after="0"/>
              <w:ind w:left="0" w:firstLine="0"/>
              <w:textAlignment w:val="center"/>
              <w:rPr>
                <w:rFonts w:cs="仿宋"/>
                <w:color w:val="000000"/>
              </w:rPr>
            </w:pPr>
            <w:r>
              <w:rPr>
                <w:rFonts w:hint="eastAsia" w:cs="仿宋"/>
                <w:color w:val="000000"/>
              </w:rPr>
              <w:t>刷新频率：≥3840HZ</w:t>
            </w:r>
          </w:p>
          <w:p>
            <w:pPr>
              <w:pStyle w:val="45"/>
              <w:numPr>
                <w:ilvl w:val="0"/>
                <w:numId w:val="30"/>
              </w:numPr>
              <w:snapToGrid w:val="0"/>
              <w:spacing w:after="0"/>
              <w:ind w:left="0" w:firstLine="0"/>
              <w:textAlignment w:val="center"/>
              <w:rPr>
                <w:rFonts w:cs="仿宋"/>
                <w:color w:val="000000"/>
              </w:rPr>
            </w:pPr>
            <w:r>
              <w:rPr>
                <w:rFonts w:hint="eastAsia" w:cs="仿宋"/>
                <w:color w:val="000000"/>
              </w:rPr>
              <w:t>显示尺寸：长≥5.12m；高≥1.92m</w:t>
            </w:r>
          </w:p>
          <w:p>
            <w:pPr>
              <w:pStyle w:val="45"/>
              <w:numPr>
                <w:ilvl w:val="0"/>
                <w:numId w:val="30"/>
              </w:numPr>
              <w:snapToGrid w:val="0"/>
              <w:spacing w:after="0"/>
              <w:ind w:left="0" w:firstLine="0"/>
              <w:textAlignment w:val="center"/>
              <w:rPr>
                <w:rFonts w:cs="仿宋"/>
                <w:color w:val="000000"/>
              </w:rPr>
            </w:pPr>
            <w:r>
              <w:rPr>
                <w:rFonts w:hint="eastAsia" w:cs="仿宋"/>
                <w:color w:val="000000"/>
              </w:rPr>
              <w:t>整屏分辨率≥3072*1152像素</w:t>
            </w:r>
          </w:p>
          <w:p>
            <w:pPr>
              <w:pStyle w:val="45"/>
              <w:numPr>
                <w:ilvl w:val="0"/>
                <w:numId w:val="30"/>
              </w:numPr>
              <w:snapToGrid w:val="0"/>
              <w:spacing w:after="0"/>
              <w:ind w:left="0" w:firstLine="0"/>
              <w:textAlignment w:val="center"/>
              <w:rPr>
                <w:rFonts w:cs="仿宋"/>
                <w:color w:val="000000"/>
              </w:rPr>
            </w:pPr>
            <w:r>
              <w:rPr>
                <w:rFonts w:hint="eastAsia" w:cs="仿宋"/>
                <w:color w:val="000000"/>
              </w:rPr>
              <w:t>模组负载变化率：≤6%</w:t>
            </w:r>
          </w:p>
          <w:p>
            <w:pPr>
              <w:pStyle w:val="45"/>
              <w:numPr>
                <w:ilvl w:val="0"/>
                <w:numId w:val="30"/>
              </w:numPr>
              <w:snapToGrid w:val="0"/>
              <w:spacing w:after="0"/>
              <w:ind w:left="0" w:firstLine="0"/>
              <w:textAlignment w:val="center"/>
              <w:rPr>
                <w:rFonts w:cs="仿宋"/>
                <w:color w:val="000000"/>
              </w:rPr>
            </w:pPr>
            <w:r>
              <w:rPr>
                <w:rFonts w:hint="eastAsia" w:cs="仿宋"/>
                <w:color w:val="000000"/>
              </w:rPr>
              <w:t>基色主波长误差：≤6nm</w:t>
            </w:r>
          </w:p>
          <w:p>
            <w:pPr>
              <w:pStyle w:val="45"/>
              <w:numPr>
                <w:ilvl w:val="0"/>
                <w:numId w:val="30"/>
              </w:numPr>
              <w:snapToGrid w:val="0"/>
              <w:spacing w:after="0"/>
              <w:ind w:left="0" w:firstLine="0"/>
              <w:textAlignment w:val="center"/>
              <w:rPr>
                <w:rFonts w:cs="仿宋"/>
                <w:color w:val="000000"/>
              </w:rPr>
            </w:pPr>
            <w:r>
              <w:rPr>
                <w:rFonts w:hint="eastAsia" w:cs="仿宋"/>
                <w:color w:val="000000"/>
              </w:rPr>
              <w:t>白平衡亮度：≥500cd/m2</w:t>
            </w:r>
          </w:p>
          <w:p>
            <w:pPr>
              <w:pStyle w:val="45"/>
              <w:numPr>
                <w:ilvl w:val="0"/>
                <w:numId w:val="30"/>
              </w:numPr>
              <w:snapToGrid w:val="0"/>
              <w:spacing w:after="0"/>
              <w:ind w:left="0" w:firstLine="0"/>
              <w:textAlignment w:val="center"/>
              <w:rPr>
                <w:rFonts w:cs="仿宋"/>
                <w:color w:val="000000"/>
              </w:rPr>
            </w:pPr>
            <w:r>
              <w:rPr>
                <w:rFonts w:hint="eastAsia" w:cs="仿宋"/>
                <w:color w:val="000000"/>
              </w:rPr>
              <w:t>对比度：≥4000:1</w:t>
            </w:r>
          </w:p>
          <w:p>
            <w:pPr>
              <w:pStyle w:val="45"/>
              <w:numPr>
                <w:ilvl w:val="0"/>
                <w:numId w:val="30"/>
              </w:numPr>
              <w:snapToGrid w:val="0"/>
              <w:spacing w:after="0"/>
              <w:ind w:left="0" w:firstLine="0"/>
              <w:textAlignment w:val="center"/>
              <w:rPr>
                <w:rFonts w:cs="仿宋"/>
                <w:color w:val="000000"/>
              </w:rPr>
            </w:pPr>
            <w:r>
              <w:rPr>
                <w:rFonts w:hint="eastAsia" w:cs="仿宋"/>
                <w:color w:val="000000"/>
              </w:rPr>
              <w:t>亮度均匀性：≥97%</w:t>
            </w:r>
          </w:p>
          <w:p>
            <w:pPr>
              <w:pStyle w:val="45"/>
              <w:numPr>
                <w:ilvl w:val="0"/>
                <w:numId w:val="30"/>
              </w:numPr>
              <w:snapToGrid w:val="0"/>
              <w:spacing w:after="0"/>
              <w:ind w:left="0" w:firstLine="0"/>
              <w:textAlignment w:val="center"/>
              <w:rPr>
                <w:rFonts w:cs="仿宋"/>
                <w:color w:val="000000"/>
              </w:rPr>
            </w:pPr>
            <w:r>
              <w:rPr>
                <w:rFonts w:hint="eastAsia" w:cs="仿宋"/>
                <w:color w:val="000000"/>
              </w:rPr>
              <w:t>驱动方式：恒流驱动</w:t>
            </w:r>
          </w:p>
          <w:p>
            <w:pPr>
              <w:pStyle w:val="45"/>
              <w:numPr>
                <w:ilvl w:val="0"/>
                <w:numId w:val="30"/>
              </w:numPr>
              <w:snapToGrid w:val="0"/>
              <w:spacing w:after="0"/>
              <w:ind w:left="0" w:firstLine="0"/>
              <w:textAlignment w:val="center"/>
              <w:rPr>
                <w:rFonts w:cs="仿宋"/>
                <w:color w:val="000000"/>
              </w:rPr>
            </w:pPr>
            <w:r>
              <w:rPr>
                <w:rFonts w:hint="eastAsia" w:cs="仿宋"/>
                <w:color w:val="000000"/>
              </w:rPr>
              <w:t xml:space="preserve">灰度等级：16bit </w:t>
            </w:r>
          </w:p>
          <w:p>
            <w:pPr>
              <w:pStyle w:val="45"/>
              <w:numPr>
                <w:ilvl w:val="0"/>
                <w:numId w:val="30"/>
              </w:numPr>
              <w:snapToGrid w:val="0"/>
              <w:spacing w:after="0"/>
              <w:ind w:left="0" w:firstLine="0"/>
              <w:textAlignment w:val="center"/>
              <w:rPr>
                <w:rFonts w:cs="仿宋"/>
                <w:color w:val="000000"/>
              </w:rPr>
            </w:pPr>
            <w:r>
              <w:rPr>
                <w:rFonts w:hint="eastAsia" w:cs="仿宋"/>
                <w:color w:val="000000"/>
              </w:rPr>
              <w:t>像素失控点：≤1/100000,无连续失控点</w:t>
            </w:r>
          </w:p>
          <w:p>
            <w:pPr>
              <w:pStyle w:val="45"/>
              <w:numPr>
                <w:ilvl w:val="0"/>
                <w:numId w:val="30"/>
              </w:numPr>
              <w:snapToGrid w:val="0"/>
              <w:spacing w:after="0"/>
              <w:ind w:left="0" w:firstLine="0"/>
              <w:textAlignment w:val="center"/>
              <w:rPr>
                <w:rFonts w:cs="仿宋"/>
                <w:color w:val="000000"/>
              </w:rPr>
            </w:pPr>
            <w:r>
              <w:rPr>
                <w:rFonts w:hint="eastAsia" w:cs="仿宋"/>
                <w:color w:val="000000"/>
              </w:rPr>
              <w:t>峰值功耗：≤650W /㎡，平均功耗≤285W/㎡</w:t>
            </w:r>
          </w:p>
          <w:p>
            <w:pPr>
              <w:pStyle w:val="45"/>
              <w:numPr>
                <w:ilvl w:val="0"/>
                <w:numId w:val="30"/>
              </w:numPr>
              <w:snapToGrid w:val="0"/>
              <w:spacing w:after="0"/>
              <w:ind w:left="0" w:firstLine="0"/>
              <w:textAlignment w:val="center"/>
              <w:rPr>
                <w:rFonts w:cs="仿宋"/>
                <w:color w:val="000000"/>
              </w:rPr>
            </w:pPr>
            <w:r>
              <w:rPr>
                <w:rFonts w:hint="eastAsia" w:cs="仿宋"/>
                <w:color w:val="000000"/>
              </w:rPr>
              <w:t>单元板（非箱体）信号双输入接口，采用2个独立输入排针</w:t>
            </w:r>
          </w:p>
          <w:p>
            <w:pPr>
              <w:pStyle w:val="45"/>
              <w:numPr>
                <w:ilvl w:val="0"/>
                <w:numId w:val="30"/>
              </w:numPr>
              <w:snapToGrid w:val="0"/>
              <w:spacing w:after="0"/>
              <w:ind w:left="0" w:firstLine="0"/>
              <w:textAlignment w:val="center"/>
              <w:rPr>
                <w:rFonts w:cs="仿宋"/>
                <w:color w:val="000000"/>
              </w:rPr>
            </w:pPr>
            <w:r>
              <w:rPr>
                <w:rFonts w:hint="eastAsia" w:cs="仿宋"/>
                <w:color w:val="000000"/>
              </w:rPr>
              <w:t>单元板（非箱体）电源接口双备份功能，采用2个独立电源插座</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m2</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接收器</w:t>
            </w:r>
          </w:p>
        </w:tc>
        <w:tc>
          <w:tcPr>
            <w:tcW w:w="5055" w:type="dxa"/>
            <w:shd w:val="clear" w:color="auto" w:fill="FFFFFF"/>
            <w:vAlign w:val="center"/>
          </w:tcPr>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工作电压:3V～5.5V,工作温度:-40℃～80℃</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控制点数：单卡带载256×512像素；8组320显示接口，32组RGB数据</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灰度等级：≤65536级</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灰度补偿：每级灰度独立补偿</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通过辐射骚扰GB/T 9254-2008 、静电放电抗扰度GB/T 17626.2-2018、浪涌（冲击）抗扰度试验GB/T 17626.5-2019检测</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列驱动IC：支持74HC595、常规恒流芯片、双锁存芯片、PWM芯片等主流LED驱动芯片</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扫描类型:支持智能描点，支持静态至1/64扫描之间的任意扫描类型</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数据走向:支持从左到右、从右到左、从上到下、从下到上走线</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支持数据对开</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支持接收卡预存画面设置</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支持回读接收卡存储的配置信息，支持回读接收卡的固件程序版本</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66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大屏控制器</w:t>
            </w:r>
          </w:p>
        </w:tc>
        <w:tc>
          <w:tcPr>
            <w:tcW w:w="5055" w:type="dxa"/>
            <w:vMerge w:val="restart"/>
            <w:shd w:val="clear" w:color="auto" w:fill="FFFFFF"/>
            <w:vAlign w:val="center"/>
          </w:tcPr>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最大带载524万像素，宽度≤8000，高度≤3840</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输入接口：HDMI2.0*2、DVI*1、EXT*1、VGA*1、CV*1，支持2路4Kx2K@60Hz</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前置USB2.0接口，支持视频播放、图片播放、视频和图片混合播放三种模式</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标配2.8"液晶屏，支持多语言菜单界面</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支持无线WiFi，支持手机APP无线控制</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支持高清1080p@30fps或720p@60fps内容U盘播放，前置U盘，支持视频播放、图片播放、视频和图片混合播放三种模式</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 xml:space="preserve">8千兆网口输出，通过网线连接显示屏，直连接收卡                                                       </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多屏控制软件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具备表格输入、网络功能、后台播放、定时播放、数据库显示、多显示屏支持、多屏独立编辑、多窗口多任务同时播放等功能。文本支持Word、Excel，可为节目窗叠加背景音乐，可在WIN7、WIN8、WINXP等操作系统下运行。丰富的图片浏览方式。日期、时间、日期+时间、模拟时钟等各种正负计时功能；日历可透明显示；可自动播放多个任务（*.LSP）。提供外部程序接口；视频源色度、饱和度、亮度、对比度软件调节。</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显示终端钢支架及基础</w:t>
            </w:r>
          </w:p>
        </w:tc>
        <w:tc>
          <w:tcPr>
            <w:tcW w:w="5055" w:type="dxa"/>
            <w:shd w:val="clear" w:color="auto" w:fill="FFFFFF"/>
            <w:vAlign w:val="center"/>
          </w:tcPr>
          <w:p>
            <w:pPr>
              <w:pStyle w:val="45"/>
              <w:numPr>
                <w:ilvl w:val="0"/>
                <w:numId w:val="33"/>
              </w:numPr>
              <w:snapToGrid w:val="0"/>
              <w:spacing w:after="0"/>
              <w:ind w:left="0" w:firstLine="0"/>
              <w:textAlignment w:val="center"/>
              <w:rPr>
                <w:rFonts w:cs="仿宋"/>
                <w:color w:val="000000"/>
              </w:rPr>
            </w:pPr>
            <w:r>
              <w:rPr>
                <w:rFonts w:hint="eastAsia" w:cs="仿宋"/>
                <w:color w:val="000000"/>
              </w:rPr>
              <w:t>钢结构采用国标材料，所有钢材需镀锌处理，要求抗绣，抗腐蚀，稳定牢固；</w:t>
            </w:r>
          </w:p>
          <w:p>
            <w:pPr>
              <w:pStyle w:val="45"/>
              <w:numPr>
                <w:ilvl w:val="0"/>
                <w:numId w:val="33"/>
              </w:numPr>
              <w:snapToGrid w:val="0"/>
              <w:spacing w:after="0"/>
              <w:ind w:left="0" w:firstLine="0"/>
              <w:textAlignment w:val="center"/>
              <w:rPr>
                <w:rFonts w:cs="仿宋"/>
                <w:color w:val="000000"/>
              </w:rPr>
            </w:pPr>
            <w:r>
              <w:rPr>
                <w:rFonts w:hint="eastAsia" w:cs="仿宋"/>
                <w:color w:val="000000"/>
              </w:rPr>
              <w:t>整屏采用框架结构安装，结构固定受力点不小于8处。显示屏完成面距幕墙距离小于12公分；</w:t>
            </w:r>
          </w:p>
          <w:p>
            <w:pPr>
              <w:pStyle w:val="45"/>
              <w:numPr>
                <w:ilvl w:val="0"/>
                <w:numId w:val="33"/>
              </w:numPr>
              <w:snapToGrid w:val="0"/>
              <w:spacing w:after="0"/>
              <w:ind w:left="0" w:firstLine="0"/>
              <w:textAlignment w:val="center"/>
              <w:rPr>
                <w:rFonts w:cs="仿宋"/>
                <w:color w:val="000000"/>
              </w:rPr>
            </w:pPr>
            <w:r>
              <w:rPr>
                <w:rFonts w:hint="eastAsia" w:cs="仿宋"/>
                <w:color w:val="000000"/>
              </w:rPr>
              <w:t>显示屏四周采用厚度不小于1.2mm黑色拉丝不锈钢包边；</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空气开关</w:t>
            </w:r>
          </w:p>
        </w:tc>
        <w:tc>
          <w:tcPr>
            <w:tcW w:w="5055" w:type="dxa"/>
            <w:shd w:val="clear" w:color="auto" w:fill="FFFFFF"/>
            <w:vAlign w:val="center"/>
          </w:tcPr>
          <w:p>
            <w:pPr>
              <w:snapToGrid w:val="0"/>
              <w:spacing w:after="0"/>
              <w:textAlignment w:val="center"/>
              <w:rPr>
                <w:rFonts w:cs="仿宋"/>
                <w:b/>
                <w:bCs/>
                <w:color w:val="000000"/>
              </w:rPr>
            </w:pPr>
            <w:r>
              <w:rPr>
                <w:rFonts w:hint="eastAsia" w:cs="仿宋"/>
                <w:color w:val="000000"/>
                <w:lang w:bidi="ar"/>
              </w:rPr>
              <w:t>4P63A空气开关</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控制设备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个人商务台式机电脑整机(十代i7-10700 16G 512G SSD RX550X 4G独显 )显示器不小于23英寸</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平板电脑</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屏幕尺寸：10.4英寸；分辨率：2000*1200dpi；护眼模式：莱茵认证；系统：Android；内存容量：128GB；运行内存：6GB。</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无线同屏器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双WIFI模块，投屏上网不冲突，内置天线，支持无阻挡20米内无线距离支持主持人控制模式，低CPU占用支持硬件编码；设备使用功耗低，投屏运算效率高；电脑软件与USB发射器可组合使用；不同信号源任意切换；支持4K分辨率输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机柜</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1200*600*600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74</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卡包功放</w:t>
            </w:r>
          </w:p>
        </w:tc>
        <w:tc>
          <w:tcPr>
            <w:tcW w:w="5055" w:type="dxa"/>
            <w:vMerge w:val="restart"/>
            <w:shd w:val="clear" w:color="auto" w:fill="FFFFFF"/>
            <w:vAlign w:val="center"/>
          </w:tcPr>
          <w:p>
            <w:pPr>
              <w:snapToGrid w:val="0"/>
              <w:spacing w:after="0"/>
              <w:textAlignment w:val="center"/>
              <w:rPr>
                <w:rFonts w:cs="仿宋"/>
                <w:color w:val="000000"/>
                <w:lang w:bidi="ar"/>
              </w:rPr>
            </w:pPr>
            <w:r>
              <w:rPr>
                <w:rFonts w:hint="eastAsia" w:cs="仿宋"/>
                <w:color w:val="000000"/>
                <w:lang w:bidi="ar"/>
              </w:rPr>
              <w:t>1.输出功率：立体声8Ω ：2×300W；立体声4Ω：2×450W；桥接单声道8Ω：700W</w:t>
            </w:r>
          </w:p>
          <w:p>
            <w:pPr>
              <w:snapToGrid w:val="0"/>
              <w:spacing w:after="0"/>
              <w:textAlignment w:val="center"/>
              <w:rPr>
                <w:rFonts w:cs="仿宋"/>
                <w:color w:val="000000"/>
                <w:lang w:bidi="ar"/>
              </w:rPr>
            </w:pPr>
            <w:r>
              <w:rPr>
                <w:rFonts w:hint="eastAsia" w:cs="仿宋"/>
                <w:color w:val="000000"/>
                <w:lang w:bidi="ar"/>
              </w:rPr>
              <w:t>2.信噪比 103db</w:t>
            </w:r>
          </w:p>
          <w:p>
            <w:pPr>
              <w:snapToGrid w:val="0"/>
              <w:spacing w:after="0"/>
              <w:textAlignment w:val="center"/>
              <w:rPr>
                <w:rFonts w:cs="仿宋"/>
                <w:color w:val="000000"/>
                <w:lang w:bidi="ar"/>
              </w:rPr>
            </w:pPr>
            <w:r>
              <w:rPr>
                <w:rFonts w:hint="eastAsia" w:cs="仿宋"/>
                <w:color w:val="000000"/>
                <w:lang w:bidi="ar"/>
              </w:rPr>
              <w:t>3.转换速率 60V/us</w:t>
            </w:r>
          </w:p>
          <w:p>
            <w:pPr>
              <w:snapToGrid w:val="0"/>
              <w:spacing w:after="0"/>
              <w:textAlignment w:val="center"/>
              <w:rPr>
                <w:rFonts w:cs="仿宋"/>
                <w:color w:val="000000"/>
                <w:lang w:bidi="ar"/>
              </w:rPr>
            </w:pPr>
            <w:r>
              <w:rPr>
                <w:rFonts w:hint="eastAsia" w:cs="仿宋"/>
                <w:color w:val="000000"/>
                <w:lang w:bidi="ar"/>
              </w:rPr>
              <w:t>4.阻尼系数 400:1</w:t>
            </w:r>
          </w:p>
          <w:p>
            <w:pPr>
              <w:snapToGrid w:val="0"/>
              <w:spacing w:after="0"/>
              <w:textAlignment w:val="center"/>
              <w:rPr>
                <w:rFonts w:cs="仿宋"/>
                <w:color w:val="000000"/>
                <w:lang w:bidi="ar"/>
              </w:rPr>
            </w:pPr>
            <w:r>
              <w:rPr>
                <w:rFonts w:hint="eastAsia" w:cs="仿宋"/>
                <w:color w:val="000000"/>
                <w:lang w:bidi="ar"/>
              </w:rPr>
              <w:t>5.频率响应 +/-0.1db,20HZ+20KHZ</w:t>
            </w:r>
          </w:p>
          <w:p>
            <w:pPr>
              <w:snapToGrid w:val="0"/>
              <w:spacing w:after="0"/>
              <w:textAlignment w:val="center"/>
              <w:rPr>
                <w:rFonts w:cs="仿宋"/>
                <w:color w:val="000000"/>
                <w:lang w:bidi="ar"/>
              </w:rPr>
            </w:pPr>
            <w:r>
              <w:rPr>
                <w:rFonts w:hint="eastAsia" w:cs="仿宋"/>
                <w:color w:val="000000"/>
                <w:lang w:bidi="ar"/>
              </w:rPr>
              <w:t>6.总谐波失真 ≦0.01%Rated power@8欧1kHZ</w:t>
            </w:r>
          </w:p>
          <w:p>
            <w:pPr>
              <w:snapToGrid w:val="0"/>
              <w:spacing w:after="0"/>
              <w:textAlignment w:val="center"/>
              <w:rPr>
                <w:rFonts w:cs="仿宋"/>
                <w:color w:val="000000"/>
                <w:lang w:bidi="ar"/>
              </w:rPr>
            </w:pPr>
            <w:r>
              <w:rPr>
                <w:rFonts w:hint="eastAsia" w:cs="仿宋"/>
                <w:color w:val="000000"/>
                <w:lang w:bidi="ar"/>
              </w:rPr>
              <w:t>7.互调失真 ≦0.01% Rated power@8欧</w:t>
            </w:r>
          </w:p>
          <w:p>
            <w:pPr>
              <w:snapToGrid w:val="0"/>
              <w:spacing w:after="0"/>
              <w:textAlignment w:val="center"/>
              <w:rPr>
                <w:rFonts w:cs="仿宋"/>
                <w:color w:val="000000"/>
                <w:lang w:bidi="ar"/>
              </w:rPr>
            </w:pPr>
            <w:r>
              <w:rPr>
                <w:rFonts w:hint="eastAsia" w:cs="仿宋"/>
                <w:color w:val="000000"/>
                <w:lang w:bidi="ar"/>
              </w:rPr>
              <w:t>8.输入灵敏度 0.775V,1.0V,1.44V</w:t>
            </w:r>
          </w:p>
          <w:p>
            <w:pPr>
              <w:snapToGrid w:val="0"/>
              <w:spacing w:after="0"/>
              <w:textAlignment w:val="center"/>
              <w:rPr>
                <w:rFonts w:cs="仿宋"/>
                <w:color w:val="000000"/>
                <w:lang w:bidi="ar"/>
              </w:rPr>
            </w:pPr>
            <w:r>
              <w:rPr>
                <w:rFonts w:hint="eastAsia" w:cs="仿宋"/>
                <w:color w:val="000000"/>
                <w:lang w:bidi="ar"/>
              </w:rPr>
              <w:t>9.共模拟制比 ≦-75db</w:t>
            </w:r>
          </w:p>
          <w:p>
            <w:pPr>
              <w:snapToGrid w:val="0"/>
              <w:spacing w:after="0"/>
              <w:textAlignment w:val="center"/>
              <w:rPr>
                <w:rFonts w:cs="仿宋"/>
                <w:color w:val="000000"/>
                <w:lang w:bidi="ar"/>
              </w:rPr>
            </w:pPr>
            <w:r>
              <w:rPr>
                <w:rFonts w:hint="eastAsia" w:cs="仿宋"/>
                <w:color w:val="000000"/>
                <w:lang w:bidi="ar"/>
              </w:rPr>
              <w:t>10.串音衰减 ≦-70db</w:t>
            </w:r>
          </w:p>
          <w:p>
            <w:pPr>
              <w:snapToGrid w:val="0"/>
              <w:spacing w:after="0"/>
              <w:textAlignment w:val="center"/>
              <w:rPr>
                <w:rFonts w:cs="仿宋"/>
                <w:color w:val="000000"/>
                <w:lang w:bidi="ar"/>
              </w:rPr>
            </w:pPr>
            <w:r>
              <w:rPr>
                <w:rFonts w:hint="eastAsia" w:cs="仿宋"/>
                <w:color w:val="000000"/>
                <w:lang w:bidi="ar"/>
              </w:rPr>
              <w:t xml:space="preserve">11.指示灯 Signal,protect,dctive,clip/limiting                                                                                                                             12.供电 220V 50/60HZ </w:t>
            </w:r>
          </w:p>
          <w:p>
            <w:pPr>
              <w:snapToGrid w:val="0"/>
              <w:spacing w:after="0"/>
              <w:textAlignment w:val="center"/>
              <w:rPr>
                <w:rFonts w:cs="仿宋"/>
                <w:color w:val="000000"/>
                <w:lang w:bidi="ar"/>
              </w:rPr>
            </w:pPr>
            <w:r>
              <w:rPr>
                <w:rFonts w:hint="eastAsia" w:cs="仿宋"/>
                <w:color w:val="000000"/>
                <w:lang w:bidi="ar"/>
              </w:rPr>
              <w:t>13.分离度 (@1KHz)：≥80dB</w:t>
            </w:r>
          </w:p>
          <w:p>
            <w:pPr>
              <w:snapToGrid w:val="0"/>
              <w:spacing w:after="0"/>
              <w:textAlignment w:val="center"/>
              <w:rPr>
                <w:rFonts w:cs="仿宋"/>
                <w:color w:val="000000"/>
                <w:lang w:bidi="ar"/>
              </w:rPr>
            </w:pPr>
            <w:r>
              <w:rPr>
                <w:rFonts w:hint="eastAsia" w:cs="仿宋"/>
                <w:color w:val="000000"/>
                <w:lang w:bidi="ar"/>
              </w:rPr>
              <w:t>14.失真度≤0.05%</w:t>
            </w:r>
          </w:p>
          <w:p>
            <w:pPr>
              <w:snapToGrid w:val="0"/>
              <w:spacing w:after="0"/>
              <w:textAlignment w:val="center"/>
              <w:rPr>
                <w:rFonts w:cs="仿宋"/>
                <w:color w:val="000000"/>
                <w:lang w:bidi="ar"/>
              </w:rPr>
            </w:pPr>
            <w:r>
              <w:rPr>
                <w:rFonts w:hint="eastAsia" w:cs="仿宋"/>
                <w:color w:val="000000"/>
                <w:lang w:bidi="ar"/>
              </w:rPr>
              <w:t>14.重量 16kg</w:t>
            </w:r>
          </w:p>
          <w:p>
            <w:pPr>
              <w:snapToGrid w:val="0"/>
              <w:spacing w:after="0"/>
              <w:textAlignment w:val="center"/>
              <w:rPr>
                <w:rFonts w:cs="仿宋"/>
                <w:color w:val="000000"/>
                <w:lang w:bidi="ar"/>
              </w:rPr>
            </w:pPr>
            <w:r>
              <w:rPr>
                <w:rFonts w:hint="eastAsia" w:cs="仿宋"/>
                <w:color w:val="000000"/>
                <w:lang w:bidi="ar"/>
              </w:rPr>
              <w:t>15.规格:483W×420D×88H</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会议音箱</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1.频率响应(±3dB)：90Hz-20kHz</w:t>
            </w:r>
          </w:p>
          <w:p>
            <w:pPr>
              <w:snapToGrid w:val="0"/>
              <w:spacing w:after="0"/>
              <w:textAlignment w:val="center"/>
              <w:rPr>
                <w:rFonts w:cs="仿宋"/>
                <w:color w:val="000000"/>
                <w:lang w:bidi="ar"/>
              </w:rPr>
            </w:pPr>
            <w:r>
              <w:rPr>
                <w:rFonts w:hint="eastAsia" w:cs="仿宋"/>
                <w:color w:val="000000"/>
                <w:lang w:bidi="ar"/>
              </w:rPr>
              <w:t xml:space="preserve">2.单元: 4×3"full/25 mm(VC)  </w:t>
            </w:r>
          </w:p>
          <w:p>
            <w:pPr>
              <w:snapToGrid w:val="0"/>
              <w:spacing w:after="0"/>
              <w:textAlignment w:val="center"/>
              <w:rPr>
                <w:rFonts w:cs="仿宋"/>
                <w:color w:val="000000"/>
                <w:lang w:bidi="ar"/>
              </w:rPr>
            </w:pPr>
            <w:r>
              <w:rPr>
                <w:rFonts w:hint="eastAsia" w:cs="仿宋"/>
                <w:color w:val="000000"/>
                <w:lang w:bidi="ar"/>
              </w:rPr>
              <w:t xml:space="preserve">3.标称阻抗:8 Ohm  功率:120W(AES),320W(PEAK) </w:t>
            </w:r>
          </w:p>
          <w:p>
            <w:pPr>
              <w:snapToGrid w:val="0"/>
              <w:spacing w:after="0"/>
              <w:textAlignment w:val="center"/>
              <w:rPr>
                <w:rFonts w:cs="仿宋"/>
                <w:color w:val="000000"/>
                <w:lang w:bidi="ar"/>
              </w:rPr>
            </w:pPr>
            <w:r>
              <w:rPr>
                <w:rFonts w:hint="eastAsia" w:cs="仿宋"/>
                <w:color w:val="000000"/>
                <w:lang w:bidi="ar"/>
              </w:rPr>
              <w:t xml:space="preserve">4.灵敏度: 99dB/w/m </w:t>
            </w:r>
          </w:p>
          <w:p>
            <w:pPr>
              <w:snapToGrid w:val="0"/>
              <w:spacing w:after="0"/>
              <w:textAlignment w:val="center"/>
              <w:rPr>
                <w:rFonts w:cs="仿宋"/>
                <w:color w:val="000000"/>
                <w:lang w:bidi="ar"/>
              </w:rPr>
            </w:pPr>
            <w:r>
              <w:rPr>
                <w:rFonts w:hint="eastAsia" w:cs="仿宋"/>
                <w:color w:val="000000"/>
                <w:lang w:bidi="ar"/>
              </w:rPr>
              <w:t xml:space="preserve">5.最大声压级: 120dB </w:t>
            </w:r>
          </w:p>
          <w:p>
            <w:pPr>
              <w:snapToGrid w:val="0"/>
              <w:spacing w:after="0"/>
              <w:textAlignment w:val="center"/>
              <w:rPr>
                <w:rFonts w:cs="仿宋"/>
                <w:color w:val="000000"/>
                <w:lang w:bidi="ar"/>
              </w:rPr>
            </w:pPr>
            <w:r>
              <w:rPr>
                <w:rFonts w:hint="eastAsia" w:cs="仿宋"/>
                <w:color w:val="000000"/>
                <w:lang w:bidi="ar"/>
              </w:rPr>
              <w:t>6.覆盖角度: H120°× V20°</w:t>
            </w:r>
          </w:p>
          <w:p>
            <w:pPr>
              <w:snapToGrid w:val="0"/>
              <w:spacing w:after="0"/>
              <w:textAlignment w:val="center"/>
              <w:rPr>
                <w:rFonts w:cs="仿宋"/>
                <w:color w:val="000000"/>
                <w:lang w:bidi="ar"/>
              </w:rPr>
            </w:pPr>
            <w:r>
              <w:rPr>
                <w:rFonts w:hint="eastAsia" w:cs="仿宋"/>
                <w:color w:val="000000"/>
                <w:lang w:bidi="ar"/>
              </w:rPr>
              <w:t xml:space="preserve">7.插座: 10个M6  </w:t>
            </w:r>
          </w:p>
          <w:p>
            <w:pPr>
              <w:snapToGrid w:val="0"/>
              <w:spacing w:after="0"/>
              <w:textAlignment w:val="center"/>
              <w:rPr>
                <w:rFonts w:cs="仿宋"/>
                <w:color w:val="000000"/>
                <w:lang w:bidi="ar"/>
              </w:rPr>
            </w:pPr>
            <w:r>
              <w:rPr>
                <w:rFonts w:hint="eastAsia" w:cs="仿宋"/>
                <w:color w:val="000000"/>
                <w:lang w:bidi="ar"/>
              </w:rPr>
              <w:t xml:space="preserve">8.产品尺寸(W×D×H): (W*D*H)150*100*530mm  </w:t>
            </w:r>
          </w:p>
          <w:p>
            <w:pPr>
              <w:snapToGrid w:val="0"/>
              <w:spacing w:after="0"/>
              <w:textAlignment w:val="center"/>
              <w:rPr>
                <w:rFonts w:cs="仿宋"/>
                <w:color w:val="000000"/>
                <w:lang w:bidi="ar"/>
              </w:rPr>
            </w:pPr>
            <w:r>
              <w:rPr>
                <w:rFonts w:hint="eastAsia" w:cs="仿宋"/>
                <w:color w:val="000000"/>
                <w:lang w:bidi="ar"/>
              </w:rPr>
              <w:t>9.净重: 3.5kg</w:t>
            </w:r>
          </w:p>
          <w:p>
            <w:pPr>
              <w:snapToGrid w:val="0"/>
              <w:spacing w:after="0"/>
              <w:textAlignment w:val="center"/>
              <w:rPr>
                <w:rFonts w:cs="仿宋"/>
                <w:color w:val="000000"/>
              </w:rPr>
            </w:pPr>
            <w:r>
              <w:rPr>
                <w:rFonts w:hint="eastAsia" w:cs="仿宋"/>
                <w:color w:val="000000"/>
                <w:lang w:bidi="ar"/>
              </w:rPr>
              <w:t>10.颜色：黑色</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会议手持话筒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1调制方式 FM</w:t>
            </w:r>
            <w:r>
              <w:rPr>
                <w:rFonts w:hint="eastAsia" w:cs="仿宋"/>
                <w:color w:val="000000"/>
                <w:lang w:bidi="ar"/>
              </w:rPr>
              <w:br w:type="textWrapping"/>
            </w:r>
            <w:r>
              <w:rPr>
                <w:rFonts w:hint="eastAsia" w:cs="仿宋"/>
                <w:color w:val="000000"/>
                <w:lang w:bidi="ar"/>
              </w:rPr>
              <w:t>2.音频频响40~18000Hz</w:t>
            </w:r>
            <w:r>
              <w:rPr>
                <w:rFonts w:hint="eastAsia" w:cs="仿宋"/>
                <w:color w:val="000000"/>
                <w:lang w:bidi="ar"/>
              </w:rPr>
              <w:br w:type="textWrapping"/>
            </w:r>
            <w:r>
              <w:rPr>
                <w:rFonts w:hint="eastAsia" w:cs="仿宋"/>
                <w:color w:val="000000"/>
                <w:lang w:bidi="ar"/>
              </w:rPr>
              <w:t>3.失真度≤1%</w:t>
            </w:r>
            <w:r>
              <w:rPr>
                <w:rFonts w:hint="eastAsia" w:cs="仿宋"/>
                <w:color w:val="000000"/>
                <w:lang w:bidi="ar"/>
              </w:rPr>
              <w:br w:type="textWrapping"/>
            </w:r>
            <w:r>
              <w:rPr>
                <w:rFonts w:hint="eastAsia" w:cs="仿宋"/>
                <w:color w:val="000000"/>
                <w:lang w:bidi="ar"/>
              </w:rPr>
              <w:t xml:space="preserve">4.音头规格：动圈式，心型指向 </w:t>
            </w:r>
            <w:r>
              <w:rPr>
                <w:rFonts w:hint="eastAsia" w:cs="仿宋"/>
                <w:color w:val="000000"/>
                <w:lang w:bidi="ar"/>
              </w:rPr>
              <w:br w:type="textWrapping"/>
            </w:r>
            <w:r>
              <w:rPr>
                <w:rFonts w:hint="eastAsia" w:cs="仿宋"/>
                <w:color w:val="000000"/>
                <w:lang w:bidi="ar"/>
              </w:rPr>
              <w:t>5.电池规格 2×1.5V AA Size，续用时间 5~10小时</w:t>
            </w:r>
            <w:r>
              <w:rPr>
                <w:rFonts w:hint="eastAsia" w:cs="仿宋"/>
                <w:color w:val="000000"/>
                <w:lang w:bidi="ar"/>
              </w:rPr>
              <w:br w:type="textWrapping"/>
            </w:r>
            <w:r>
              <w:rPr>
                <w:rFonts w:hint="eastAsia" w:cs="仿宋"/>
                <w:color w:val="000000"/>
                <w:lang w:bidi="ar"/>
              </w:rPr>
              <w:t>6.接收方式 超外差二次变频</w:t>
            </w:r>
            <w:r>
              <w:rPr>
                <w:rFonts w:hint="eastAsia" w:cs="仿宋"/>
                <w:color w:val="000000"/>
                <w:lang w:bidi="ar"/>
              </w:rPr>
              <w:br w:type="textWrapping"/>
            </w:r>
            <w:r>
              <w:rPr>
                <w:rFonts w:hint="eastAsia" w:cs="仿宋"/>
                <w:color w:val="000000"/>
                <w:lang w:bidi="ar"/>
              </w:rPr>
              <w:t>7.接收灵敏度 -100dBm</w:t>
            </w:r>
            <w:r>
              <w:rPr>
                <w:rFonts w:hint="eastAsia" w:cs="仿宋"/>
                <w:color w:val="000000"/>
                <w:lang w:bidi="ar"/>
              </w:rPr>
              <w:br w:type="textWrapping"/>
            </w:r>
            <w:r>
              <w:rPr>
                <w:rFonts w:hint="eastAsia" w:cs="仿宋"/>
                <w:color w:val="000000"/>
                <w:lang w:bidi="ar"/>
              </w:rPr>
              <w:t>8.信噪比 ≥100dB</w:t>
            </w:r>
            <w:r>
              <w:rPr>
                <w:rFonts w:hint="eastAsia" w:cs="仿宋"/>
                <w:color w:val="000000"/>
                <w:lang w:bidi="ar"/>
              </w:rPr>
              <w:br w:type="textWrapping"/>
            </w:r>
            <w:r>
              <w:rPr>
                <w:rFonts w:hint="eastAsia" w:cs="仿宋"/>
                <w:color w:val="000000"/>
                <w:lang w:bidi="ar"/>
              </w:rPr>
              <w:t>9.音频输出 (XLR)卡侬座独立平衡输出和Φ6.35插座混合不平衡输出</w:t>
            </w:r>
            <w:r>
              <w:rPr>
                <w:rFonts w:hint="eastAsia" w:cs="仿宋"/>
                <w:color w:val="000000"/>
                <w:lang w:bidi="ar"/>
              </w:rPr>
              <w:br w:type="textWrapping"/>
            </w:r>
            <w:r>
              <w:rPr>
                <w:rFonts w:hint="eastAsia" w:cs="仿宋"/>
                <w:color w:val="000000"/>
                <w:lang w:bidi="ar"/>
              </w:rPr>
              <w:t>10.尺寸(WxDxH)：420mm×179mm×44mm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rPr>
                <w:rFonts w:cs="仿宋"/>
                <w:color w:val="000000"/>
              </w:rPr>
            </w:pPr>
            <w:r>
              <w:rPr>
                <w:rFonts w:hint="eastAsia" w:cs="仿宋"/>
                <w:color w:val="000000"/>
              </w:rPr>
              <w:t>77</w:t>
            </w:r>
          </w:p>
        </w:tc>
        <w:tc>
          <w:tcPr>
            <w:tcW w:w="1260" w:type="dxa"/>
            <w:shd w:val="clear" w:color="auto" w:fill="FFFFFF" w:themeFill="background1"/>
            <w:vAlign w:val="center"/>
          </w:tcPr>
          <w:p>
            <w:pPr>
              <w:snapToGrid w:val="0"/>
              <w:spacing w:after="0"/>
              <w:rPr>
                <w:rFonts w:cs="仿宋"/>
                <w:color w:val="000000"/>
              </w:rPr>
            </w:pPr>
            <w:r>
              <w:rPr>
                <w:rFonts w:hint="eastAsia" w:cs="仿宋"/>
                <w:color w:val="000000"/>
              </w:rPr>
              <w:t>终端显示软件</w:t>
            </w:r>
          </w:p>
        </w:tc>
        <w:tc>
          <w:tcPr>
            <w:tcW w:w="5055" w:type="dxa"/>
            <w:shd w:val="clear" w:color="auto" w:fill="FFFFFF" w:themeFill="background1"/>
            <w:vAlign w:val="center"/>
          </w:tcPr>
          <w:p>
            <w:pPr>
              <w:pStyle w:val="45"/>
              <w:numPr>
                <w:ilvl w:val="0"/>
                <w:numId w:val="34"/>
              </w:numPr>
              <w:snapToGrid w:val="0"/>
              <w:spacing w:after="0"/>
              <w:ind w:left="0" w:firstLine="0"/>
              <w:rPr>
                <w:rFonts w:cs="仿宋"/>
                <w:color w:val="000000"/>
              </w:rPr>
            </w:pPr>
            <w:r>
              <w:rPr>
                <w:rFonts w:hint="eastAsia" w:cs="仿宋"/>
                <w:color w:val="000000"/>
              </w:rPr>
              <w:t>客流数据：地点、进、出、实时客流、累计客流</w:t>
            </w:r>
          </w:p>
          <w:p>
            <w:pPr>
              <w:pStyle w:val="45"/>
              <w:numPr>
                <w:ilvl w:val="0"/>
                <w:numId w:val="34"/>
              </w:numPr>
              <w:snapToGrid w:val="0"/>
              <w:spacing w:after="0"/>
              <w:ind w:left="0" w:firstLine="0"/>
              <w:rPr>
                <w:rFonts w:cs="仿宋"/>
                <w:color w:val="000000"/>
              </w:rPr>
            </w:pPr>
            <w:r>
              <w:rPr>
                <w:rFonts w:hint="eastAsia" w:cs="仿宋"/>
                <w:color w:val="000000"/>
              </w:rPr>
              <w:t>车流数据：车辆进出信息记录（车牌号、进入时间、出去时间等）、泊位信息</w:t>
            </w:r>
          </w:p>
        </w:tc>
        <w:tc>
          <w:tcPr>
            <w:tcW w:w="795" w:type="dxa"/>
            <w:shd w:val="clear" w:color="auto" w:fill="FFFFFF" w:themeFill="background1"/>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themeFill="background1"/>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光纤收发器</w:t>
            </w:r>
          </w:p>
        </w:tc>
        <w:tc>
          <w:tcPr>
            <w:tcW w:w="5055" w:type="dxa"/>
            <w:shd w:val="clear" w:color="auto" w:fill="FFFFFF"/>
            <w:vAlign w:val="center"/>
          </w:tcPr>
          <w:p>
            <w:pPr>
              <w:snapToGrid w:val="0"/>
              <w:spacing w:after="0"/>
              <w:rPr>
                <w:rFonts w:cs="仿宋"/>
                <w:color w:val="000000"/>
              </w:rPr>
            </w:pPr>
            <w:r>
              <w:rPr>
                <w:rFonts w:hint="eastAsia" w:cs="仿宋"/>
                <w:color w:val="000000"/>
              </w:rPr>
              <w:t>光纤收发器</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79</w:t>
            </w:r>
          </w:p>
        </w:tc>
        <w:tc>
          <w:tcPr>
            <w:tcW w:w="1260" w:type="dxa"/>
            <w:shd w:val="clear" w:color="auto" w:fill="FFFFFF" w:themeFill="background1"/>
            <w:vAlign w:val="center"/>
          </w:tcPr>
          <w:p>
            <w:pPr>
              <w:snapToGrid w:val="0"/>
              <w:spacing w:after="0"/>
              <w:textAlignment w:val="center"/>
              <w:rPr>
                <w:rFonts w:cs="仿宋"/>
                <w:color w:val="000000"/>
                <w:lang w:bidi="ar"/>
              </w:rPr>
            </w:pPr>
            <w:r>
              <w:rPr>
                <w:rFonts w:hint="eastAsia" w:cs="仿宋"/>
                <w:color w:val="000000"/>
                <w:lang w:bidi="ar"/>
              </w:rPr>
              <w:t>对接程序</w:t>
            </w:r>
          </w:p>
        </w:tc>
        <w:tc>
          <w:tcPr>
            <w:tcW w:w="5055" w:type="dxa"/>
            <w:shd w:val="clear" w:color="auto" w:fill="FFFFFF" w:themeFill="background1"/>
            <w:vAlign w:val="center"/>
          </w:tcPr>
          <w:p>
            <w:pPr>
              <w:snapToGrid w:val="0"/>
              <w:spacing w:after="0"/>
              <w:rPr>
                <w:rFonts w:cs="仿宋"/>
                <w:color w:val="000000"/>
              </w:rPr>
            </w:pPr>
            <w:r>
              <w:rPr>
                <w:rFonts w:hint="eastAsia" w:cs="仿宋"/>
                <w:color w:val="000000"/>
              </w:rPr>
              <w:t>对接公安和城市大脑，显示公安及城市大脑相应数据。</w:t>
            </w:r>
          </w:p>
        </w:tc>
        <w:tc>
          <w:tcPr>
            <w:tcW w:w="795"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套</w:t>
            </w:r>
          </w:p>
        </w:tc>
        <w:tc>
          <w:tcPr>
            <w:tcW w:w="1140"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十合一拓展坞</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千兆网口+HDIM+VGA+TF/SD+USB3.0*3+PD快充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平板配套设备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无线键盘及鼠标等</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其他配套辅材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其他配套辅材</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83</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防火墙</w:t>
            </w:r>
          </w:p>
        </w:tc>
        <w:tc>
          <w:tcPr>
            <w:tcW w:w="5055" w:type="dxa"/>
            <w:vMerge w:val="restart"/>
            <w:shd w:val="clear" w:color="auto" w:fill="FFFFFF"/>
            <w:vAlign w:val="center"/>
          </w:tcPr>
          <w:p>
            <w:pPr>
              <w:pStyle w:val="45"/>
              <w:numPr>
                <w:ilvl w:val="0"/>
                <w:numId w:val="35"/>
              </w:numPr>
              <w:snapToGrid w:val="0"/>
              <w:spacing w:after="0"/>
              <w:ind w:left="0" w:firstLine="0"/>
              <w:textAlignment w:val="center"/>
              <w:rPr>
                <w:rFonts w:cs="仿宋"/>
              </w:rPr>
            </w:pPr>
            <w:r>
              <w:rPr>
                <w:rFonts w:hint="eastAsia" w:cs="仿宋"/>
              </w:rPr>
              <w:t>配置要求:不低于7个GE电口、2个combo口、1个管理口、2个Bypass口，支持硬盘扩展，带机量500，自带125条SSL VPN</w:t>
            </w:r>
          </w:p>
          <w:p>
            <w:pPr>
              <w:pStyle w:val="45"/>
              <w:numPr>
                <w:ilvl w:val="0"/>
                <w:numId w:val="35"/>
              </w:numPr>
              <w:snapToGrid w:val="0"/>
              <w:spacing w:after="0"/>
              <w:ind w:left="0" w:firstLine="0"/>
              <w:textAlignment w:val="center"/>
              <w:rPr>
                <w:rFonts w:cs="仿宋"/>
                <w:color w:val="000000"/>
              </w:rPr>
            </w:pPr>
            <w:r>
              <w:rPr>
                <w:rFonts w:hint="eastAsia" w:cs="仿宋"/>
                <w:color w:val="000000"/>
              </w:rPr>
              <w:t>硬件架构:采用非X86多核架构，支持（双）交/直流电源。性能要求:吞吐量≥1Gbps, 最大并发连接数≥50万, 每秒新建连接数≥15K, VPN: 实现高性能IPSec、L2TP、GRE VPN、SSL VPN等功能。支持IPsec VPN隧道自动建立，无需流量触发；支持IPsec VPN智能选路，根据应用和隧道质量调度流量。</w:t>
            </w:r>
          </w:p>
          <w:p>
            <w:pPr>
              <w:pStyle w:val="45"/>
              <w:numPr>
                <w:ilvl w:val="0"/>
                <w:numId w:val="35"/>
              </w:numPr>
              <w:snapToGrid w:val="0"/>
              <w:spacing w:after="0"/>
              <w:ind w:left="0" w:firstLine="0"/>
              <w:textAlignment w:val="center"/>
              <w:rPr>
                <w:rFonts w:cs="仿宋"/>
                <w:color w:val="000000"/>
              </w:rPr>
            </w:pPr>
            <w:r>
              <w:rPr>
                <w:rFonts w:hint="eastAsia" w:cs="仿宋"/>
                <w:color w:val="000000"/>
              </w:rPr>
              <w:t>AI特性:支持与态势感知智能联动，设备实时上报威胁日志，当设备遭到攻击，能够智能感知自动下发规则，及时拦截阻断。情报智能IP信誉联动，能够自动过滤具有僵尸主机DDoS攻击、命令注入攻击、木马下载和端口扫描等风险的IP地址集合。支持AI智能指纹识别，支持文件指纹识别，终端指纹识别，实现多样化的接入方式和认证策略，差异化的用户权限控制。支持智能用户行为画像，能够检验正常行为模型和异常行为模型,智能化分析用户行为轨迹。支持智能化运维，可多维度威胁风险可视化呈现设备状态，实现风险故障快速定位，实现各类安全策略及威胁的有效可视化关联。</w:t>
            </w:r>
          </w:p>
          <w:p>
            <w:pPr>
              <w:pStyle w:val="45"/>
              <w:numPr>
                <w:ilvl w:val="0"/>
                <w:numId w:val="35"/>
              </w:numPr>
              <w:snapToGrid w:val="0"/>
              <w:spacing w:after="0"/>
              <w:ind w:left="0" w:firstLine="0"/>
              <w:textAlignment w:val="center"/>
              <w:rPr>
                <w:rFonts w:cs="仿宋"/>
                <w:color w:val="000000"/>
              </w:rPr>
            </w:pPr>
            <w:r>
              <w:rPr>
                <w:rFonts w:hint="eastAsia" w:cs="仿宋"/>
                <w:color w:val="000000"/>
              </w:rPr>
              <w:t>Web安全防护:支持Web攻击防护功能，能够阻断C&amp;C攻击、SQL注入、XSS、http flood等，识别黑链URL，保障WEB站点可用性。支持资产扫描功能，快速梳理资产，定位内网数据风险点。</w:t>
            </w:r>
          </w:p>
          <w:p>
            <w:pPr>
              <w:pStyle w:val="45"/>
              <w:numPr>
                <w:ilvl w:val="0"/>
                <w:numId w:val="35"/>
              </w:numPr>
              <w:snapToGrid w:val="0"/>
              <w:spacing w:after="0"/>
              <w:ind w:left="0" w:firstLine="0"/>
              <w:textAlignment w:val="center"/>
              <w:rPr>
                <w:rFonts w:cs="仿宋"/>
                <w:color w:val="000000"/>
              </w:rPr>
            </w:pPr>
            <w:r>
              <w:rPr>
                <w:rFonts w:hint="eastAsia" w:cs="仿宋"/>
                <w:color w:val="000000"/>
              </w:rPr>
              <w:t>应用识别:可识别应用层协议数量≥3000种，针对微信、QQ等应用能够准确识别管控文字、语音、文件传输等行为，进行精细化管控。数据安全:支持数据防泄露，对传输的文件和内容进行识别过滤，对内容与身份证、信用卡、银行卡、社会安全卡号等类型进行匹配。</w:t>
            </w:r>
          </w:p>
          <w:p>
            <w:pPr>
              <w:pStyle w:val="45"/>
              <w:numPr>
                <w:ilvl w:val="0"/>
                <w:numId w:val="35"/>
              </w:numPr>
              <w:snapToGrid w:val="0"/>
              <w:spacing w:after="0"/>
              <w:ind w:left="0" w:firstLine="0"/>
              <w:textAlignment w:val="center"/>
              <w:rPr>
                <w:rFonts w:cs="仿宋"/>
                <w:color w:val="000000"/>
              </w:rPr>
            </w:pPr>
            <w:r>
              <w:rPr>
                <w:rFonts w:hint="eastAsia" w:cs="仿宋"/>
                <w:color w:val="000000"/>
              </w:rPr>
              <w:t>沙箱功能:支持云端安全沙箱的功能，能够对未知文件，异常网络行为、可执行文件等进行沙盒检测。高级威胁检测能力:能够联动态势感知系统，上报设备威胁日志，进行整体网络安全预判，发现可疑行为，进行规则下发阻断。</w:t>
            </w:r>
          </w:p>
          <w:p>
            <w:pPr>
              <w:pStyle w:val="45"/>
              <w:numPr>
                <w:ilvl w:val="0"/>
                <w:numId w:val="35"/>
              </w:numPr>
              <w:snapToGrid w:val="0"/>
              <w:spacing w:after="0"/>
              <w:ind w:left="0" w:firstLine="0"/>
              <w:textAlignment w:val="center"/>
              <w:rPr>
                <w:rFonts w:cs="仿宋"/>
                <w:color w:val="000000"/>
              </w:rPr>
            </w:pPr>
            <w:r>
              <w:rPr>
                <w:rFonts w:hint="eastAsia" w:cs="仿宋"/>
                <w:color w:val="000000"/>
              </w:rPr>
              <w:t>终端接入认证:支持物联网终端IP/MAC地址白名单功能: 通过平台下发IP/MAC地址白名单,不在白名单列表中的用户不能接入,实现终端的受控访问。</w:t>
            </w:r>
          </w:p>
          <w:p>
            <w:pPr>
              <w:pStyle w:val="45"/>
              <w:numPr>
                <w:ilvl w:val="0"/>
                <w:numId w:val="35"/>
              </w:numPr>
              <w:snapToGrid w:val="0"/>
              <w:spacing w:after="0"/>
              <w:ind w:left="0" w:firstLine="0"/>
              <w:textAlignment w:val="center"/>
              <w:rPr>
                <w:rFonts w:cs="仿宋"/>
                <w:color w:val="000000"/>
              </w:rPr>
            </w:pPr>
            <w:r>
              <w:rPr>
                <w:rFonts w:hint="eastAsia" w:cs="仿宋"/>
                <w:color w:val="000000"/>
              </w:rPr>
              <w:t>支持设备界面查看视频终端的热力图，当用户发现异常接入终端，支持直接阻断此ip流量，提供一键封堵功能。</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上网行为管理</w:t>
            </w:r>
          </w:p>
        </w:tc>
        <w:tc>
          <w:tcPr>
            <w:tcW w:w="5055" w:type="dxa"/>
            <w:shd w:val="clear" w:color="auto" w:fill="FFFFFF"/>
            <w:vAlign w:val="center"/>
          </w:tcPr>
          <w:p>
            <w:pPr>
              <w:pStyle w:val="45"/>
              <w:numPr>
                <w:ilvl w:val="0"/>
                <w:numId w:val="36"/>
              </w:numPr>
              <w:snapToGrid w:val="0"/>
              <w:spacing w:after="0"/>
              <w:ind w:left="0" w:firstLine="0"/>
              <w:textAlignment w:val="center"/>
              <w:rPr>
                <w:rFonts w:cs="仿宋"/>
                <w:color w:val="000000"/>
              </w:rPr>
            </w:pPr>
            <w:r>
              <w:rPr>
                <w:rFonts w:hint="eastAsia" w:cs="仿宋"/>
                <w:color w:val="000000"/>
              </w:rPr>
              <w:t>硬件：采用非X86多核架构，2U机架式设备，具备2.4寸液晶屏，10个千兆电口+4对Combo口，2个扩展槽位，自带1T硬盘，单电源。</w:t>
            </w:r>
          </w:p>
          <w:p>
            <w:pPr>
              <w:pStyle w:val="45"/>
              <w:numPr>
                <w:ilvl w:val="0"/>
                <w:numId w:val="36"/>
              </w:numPr>
              <w:snapToGrid w:val="0"/>
              <w:spacing w:after="0"/>
              <w:ind w:left="0" w:firstLine="0"/>
              <w:textAlignment w:val="center"/>
              <w:rPr>
                <w:rFonts w:cs="仿宋"/>
                <w:color w:val="000000"/>
              </w:rPr>
            </w:pPr>
            <w:r>
              <w:rPr>
                <w:rFonts w:hint="eastAsia" w:cs="仿宋"/>
                <w:color w:val="000000"/>
              </w:rPr>
              <w:t>性能：三层吞吐量2Gbps，七层吞吐量800Mbps；功能全开适用带宽120M，行为审计&amp;应用控制适用终端规模500台</w:t>
            </w:r>
          </w:p>
          <w:p>
            <w:pPr>
              <w:pStyle w:val="45"/>
              <w:numPr>
                <w:ilvl w:val="0"/>
                <w:numId w:val="36"/>
              </w:numPr>
              <w:snapToGrid w:val="0"/>
              <w:spacing w:after="0"/>
              <w:ind w:left="0" w:firstLine="0"/>
              <w:textAlignment w:val="center"/>
              <w:rPr>
                <w:rFonts w:cs="仿宋"/>
                <w:color w:val="000000"/>
              </w:rPr>
            </w:pPr>
            <w:r>
              <w:rPr>
                <w:rFonts w:hint="eastAsia" w:cs="仿宋"/>
                <w:color w:val="000000"/>
              </w:rPr>
              <w:t>功能：支持路由、透明、混合模式部署，支持接口镜像，支持4G扩展网卡，支持流量管理、应用管控、URL过滤、SSL加密内容审计、防私接路由管理等，支持本地认证、短信认证、二维码认证、混合认证等多种认证方式，支持VPN功能、负载均衡等功能，能够实现应用缓存以及广告推送，能够与至少32家无线非经平台对接。</w:t>
            </w:r>
          </w:p>
          <w:p>
            <w:pPr>
              <w:pStyle w:val="45"/>
              <w:numPr>
                <w:ilvl w:val="0"/>
                <w:numId w:val="36"/>
              </w:numPr>
              <w:snapToGrid w:val="0"/>
              <w:spacing w:after="0"/>
              <w:ind w:left="0" w:firstLine="0"/>
              <w:textAlignment w:val="center"/>
              <w:rPr>
                <w:rFonts w:cs="仿宋"/>
                <w:color w:val="000000"/>
              </w:rPr>
            </w:pPr>
            <w:r>
              <w:rPr>
                <w:rFonts w:hint="eastAsia" w:cs="仿宋"/>
                <w:color w:val="000000"/>
              </w:rPr>
              <w:t>配套授权：自带一年应用识别&amp;URL特征库升级服务，免费10个SSL VPN并发数，链路负载不限制链路数量，服务器负载功能免授权。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一年特征库授权</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一年特征库授权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核心交换机</w:t>
            </w:r>
          </w:p>
        </w:tc>
        <w:tc>
          <w:tcPr>
            <w:tcW w:w="5055" w:type="dxa"/>
            <w:shd w:val="clear" w:color="auto" w:fill="FFFFFF"/>
            <w:vAlign w:val="center"/>
          </w:tcPr>
          <w:p>
            <w:pPr>
              <w:pStyle w:val="45"/>
              <w:numPr>
                <w:ilvl w:val="0"/>
                <w:numId w:val="37"/>
              </w:numPr>
              <w:snapToGrid w:val="0"/>
              <w:spacing w:after="0"/>
              <w:ind w:left="0" w:firstLine="0"/>
              <w:textAlignment w:val="center"/>
              <w:rPr>
                <w:rFonts w:cs="仿宋"/>
                <w:color w:val="000000"/>
              </w:rPr>
            </w:pPr>
            <w:r>
              <w:rPr>
                <w:rFonts w:hint="eastAsia" w:cs="仿宋"/>
                <w:color w:val="000000"/>
              </w:rPr>
              <w:t>提供千兆电接口数≥24个,其中光电复用接口≥8，万兆SFP+光口≥4个，提供1个扩展槽位，可扩展8端口万兆光接口或者2端口万兆电接口和2电口40G接口；交换容量≥598Gbps，整机包转发率≥220Mpps</w:t>
            </w:r>
          </w:p>
          <w:p>
            <w:pPr>
              <w:pStyle w:val="45"/>
              <w:numPr>
                <w:ilvl w:val="0"/>
                <w:numId w:val="37"/>
              </w:numPr>
              <w:snapToGrid w:val="0"/>
              <w:spacing w:after="0"/>
              <w:ind w:left="0" w:firstLine="0"/>
              <w:textAlignment w:val="center"/>
              <w:rPr>
                <w:rFonts w:cs="仿宋"/>
                <w:color w:val="000000"/>
              </w:rPr>
            </w:pPr>
            <w:r>
              <w:rPr>
                <w:rFonts w:hint="eastAsia" w:cs="仿宋"/>
                <w:color w:val="000000"/>
              </w:rPr>
              <w:t>提供交换机虚拟化技术，可以将多台交换机虚拟化为一台逻辑设备，可以实现一致的转发表项，统一的管理，跨物理设备的链路聚合；</w:t>
            </w:r>
          </w:p>
          <w:p>
            <w:pPr>
              <w:pStyle w:val="45"/>
              <w:numPr>
                <w:ilvl w:val="0"/>
                <w:numId w:val="37"/>
              </w:numPr>
              <w:snapToGrid w:val="0"/>
              <w:spacing w:after="0"/>
              <w:ind w:left="0" w:firstLine="0"/>
              <w:textAlignment w:val="center"/>
              <w:rPr>
                <w:rFonts w:cs="仿宋"/>
                <w:color w:val="000000"/>
              </w:rPr>
            </w:pPr>
            <w:r>
              <w:rPr>
                <w:rFonts w:hint="eastAsia" w:cs="仿宋"/>
                <w:color w:val="000000"/>
              </w:rPr>
              <w:t>支持静态路由，支持RIPv1/v2、RIPng，支持OSPFv1/v2，OSPFv3，支持BGP4，BGP4+ for IPv6,支持等价路由，策略路由,支持VRRP/VRRPv3；</w:t>
            </w:r>
          </w:p>
          <w:p>
            <w:pPr>
              <w:pStyle w:val="45"/>
              <w:numPr>
                <w:ilvl w:val="0"/>
                <w:numId w:val="37"/>
              </w:numPr>
              <w:snapToGrid w:val="0"/>
              <w:spacing w:after="0"/>
              <w:ind w:left="0" w:firstLine="0"/>
              <w:textAlignment w:val="center"/>
              <w:rPr>
                <w:rFonts w:cs="仿宋"/>
                <w:color w:val="000000"/>
              </w:rPr>
            </w:pPr>
            <w:r>
              <w:rPr>
                <w:rFonts w:hint="eastAsia" w:cs="仿宋"/>
                <w:color w:val="000000"/>
              </w:rPr>
              <w:t>支持Jumbo Frame，支持802.1X，MAC认证，端口安全，支持LACP协议，支持4K个VLAN，支持最大16K MAC地址及黑洞MAC；</w:t>
            </w:r>
          </w:p>
          <w:p>
            <w:pPr>
              <w:pStyle w:val="45"/>
              <w:numPr>
                <w:ilvl w:val="0"/>
                <w:numId w:val="37"/>
              </w:numPr>
              <w:snapToGrid w:val="0"/>
              <w:spacing w:after="0"/>
              <w:ind w:left="0" w:firstLine="0"/>
              <w:textAlignment w:val="center"/>
              <w:rPr>
                <w:rFonts w:cs="仿宋"/>
                <w:color w:val="000000"/>
              </w:rPr>
            </w:pPr>
            <w:r>
              <w:rPr>
                <w:rFonts w:hint="eastAsia" w:cs="仿宋"/>
                <w:color w:val="000000"/>
              </w:rPr>
              <w:t>设备具备抗攻击能力、流量控制功能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汇聚交换机</w:t>
            </w:r>
          </w:p>
        </w:tc>
        <w:tc>
          <w:tcPr>
            <w:tcW w:w="5055" w:type="dxa"/>
            <w:vMerge w:val="restart"/>
            <w:shd w:val="clear" w:color="auto" w:fill="FFFFFF"/>
            <w:vAlign w:val="center"/>
          </w:tcPr>
          <w:p>
            <w:pPr>
              <w:pStyle w:val="45"/>
              <w:numPr>
                <w:ilvl w:val="0"/>
                <w:numId w:val="38"/>
              </w:numPr>
              <w:snapToGrid w:val="0"/>
              <w:spacing w:after="0"/>
              <w:ind w:left="0" w:firstLine="0"/>
              <w:textAlignment w:val="center"/>
              <w:rPr>
                <w:rFonts w:cs="仿宋"/>
                <w:color w:val="000000"/>
              </w:rPr>
            </w:pPr>
            <w:r>
              <w:rPr>
                <w:rFonts w:hint="eastAsia" w:cs="仿宋"/>
                <w:color w:val="000000"/>
              </w:rPr>
              <w:t>接口类型：千兆光口≥16，独立Combo口≥8，万兆端口≥4。</w:t>
            </w:r>
          </w:p>
          <w:p>
            <w:pPr>
              <w:pStyle w:val="45"/>
              <w:numPr>
                <w:ilvl w:val="0"/>
                <w:numId w:val="38"/>
              </w:numPr>
              <w:snapToGrid w:val="0"/>
              <w:spacing w:after="0"/>
              <w:ind w:left="0" w:firstLine="0"/>
              <w:textAlignment w:val="center"/>
              <w:rPr>
                <w:rFonts w:cs="仿宋"/>
                <w:color w:val="000000"/>
              </w:rPr>
            </w:pPr>
            <w:r>
              <w:rPr>
                <w:rFonts w:hint="eastAsia" w:cs="仿宋"/>
                <w:color w:val="000000"/>
              </w:rPr>
              <w:t>交换容量：336Gbps/3.36Tbps，转发性能≥108Mpps 。性能指标：MAC地址表≥16K，路由表容量≥4k（支持OSPF），ACL：3K。最大堆叠台数&gt;=9台，最大堆叠带宽&gt;=80G，支持跨设备链路聚合，单一IP管理，分布式弹性路由，支持通过标准以太端口进行堆叠，支持完善的堆叠分裂检测机制，堆叠分裂后能自动完成MAC和IP地址的重配置，无需手动干预。</w:t>
            </w:r>
          </w:p>
          <w:p>
            <w:pPr>
              <w:pStyle w:val="45"/>
              <w:numPr>
                <w:ilvl w:val="0"/>
                <w:numId w:val="38"/>
              </w:numPr>
              <w:snapToGrid w:val="0"/>
              <w:spacing w:after="0"/>
              <w:ind w:left="0" w:firstLine="0"/>
              <w:textAlignment w:val="center"/>
              <w:rPr>
                <w:rFonts w:cs="仿宋"/>
                <w:color w:val="000000"/>
              </w:rPr>
            </w:pPr>
            <w:r>
              <w:rPr>
                <w:rFonts w:hint="eastAsia" w:cs="仿宋"/>
                <w:color w:val="000000"/>
              </w:rPr>
              <w:t>VLAN特性：支持黑洞MAC地址，支持设置端口MAC地址学习最大个数，支持基于端口的VLAN</w:t>
            </w:r>
          </w:p>
          <w:p>
            <w:pPr>
              <w:pStyle w:val="45"/>
              <w:numPr>
                <w:ilvl w:val="0"/>
                <w:numId w:val="38"/>
              </w:numPr>
              <w:snapToGrid w:val="0"/>
              <w:spacing w:after="0"/>
              <w:ind w:left="0" w:firstLine="0"/>
              <w:textAlignment w:val="center"/>
              <w:rPr>
                <w:rFonts w:cs="仿宋"/>
                <w:color w:val="000000"/>
              </w:rPr>
            </w:pPr>
            <w:r>
              <w:rPr>
                <w:rFonts w:hint="eastAsia" w:cs="仿宋"/>
                <w:color w:val="000000"/>
              </w:rPr>
              <w:t>支持QinQ，支持Voice VLAN，支持协议VLAN，支持MAC VLAN，最大VLAN数(不是VLAN ID)&gt;=4094。链路聚合：支持GE端口聚合，支持静态聚合，支持动态聚合，支持跨设备聚合，支持最多8个端口聚合；支持最多128个聚合组（IRF2）；支持LACP。镜像功能：支持本地端口镜像和远程端口镜像RSPAN；支持流镜像，同时支持N：M的端口镜像（M大于1）。路由协议：支持IPv4静态路由、RIP V1/V2、OSPF V1/V2/V3。</w:t>
            </w:r>
          </w:p>
          <w:p>
            <w:pPr>
              <w:pStyle w:val="45"/>
              <w:numPr>
                <w:ilvl w:val="0"/>
                <w:numId w:val="38"/>
              </w:numPr>
              <w:snapToGrid w:val="0"/>
              <w:spacing w:after="0"/>
              <w:ind w:left="0" w:firstLine="0"/>
              <w:textAlignment w:val="center"/>
              <w:rPr>
                <w:rFonts w:cs="仿宋"/>
                <w:color w:val="000000"/>
              </w:rPr>
            </w:pPr>
            <w:r>
              <w:rPr>
                <w:rFonts w:hint="eastAsia" w:cs="仿宋"/>
                <w:color w:val="000000"/>
              </w:rPr>
              <w:t>可靠性：支持RRPP（快速环网保护协议），支持Smartlink;支持RSTP功能，支持MSTP功能，支持PVST功能。</w:t>
            </w:r>
          </w:p>
          <w:p>
            <w:pPr>
              <w:pStyle w:val="45"/>
              <w:numPr>
                <w:ilvl w:val="0"/>
                <w:numId w:val="38"/>
              </w:numPr>
              <w:snapToGrid w:val="0"/>
              <w:spacing w:after="0"/>
              <w:ind w:left="0" w:firstLine="0"/>
              <w:textAlignment w:val="center"/>
              <w:rPr>
                <w:rFonts w:cs="仿宋"/>
                <w:color w:val="000000"/>
              </w:rPr>
            </w:pPr>
            <w:r>
              <w:rPr>
                <w:rFonts w:hint="eastAsia" w:cs="仿宋"/>
                <w:color w:val="000000"/>
              </w:rPr>
              <w:t>访问控制策略：支持基于第二层、第三层和第四层的ACL；支持SP/WRR/SP+WRR队列调度；支持基于端口的限速；支持基于流的重定向；整机提供ACl条目数不小于512条；支持802.1x认证，支持集中式MAC地址认证；支持IPv6 ACL；支持基于端口和VLAN的 ACL；</w:t>
            </w:r>
          </w:p>
          <w:p>
            <w:pPr>
              <w:pStyle w:val="45"/>
              <w:numPr>
                <w:ilvl w:val="0"/>
                <w:numId w:val="38"/>
              </w:numPr>
              <w:snapToGrid w:val="0"/>
              <w:spacing w:after="0"/>
              <w:ind w:left="0" w:firstLine="0"/>
              <w:textAlignment w:val="center"/>
              <w:rPr>
                <w:rFonts w:cs="仿宋"/>
                <w:color w:val="000000"/>
              </w:rPr>
            </w:pPr>
            <w:r>
              <w:rPr>
                <w:rFonts w:hint="eastAsia" w:cs="仿宋"/>
                <w:color w:val="000000"/>
              </w:rPr>
              <w:t>安全特性：支持用户分级管理和口令保护，支持SSH2.0，支持端口隔离，支持 802.1X，支持端口安全，支持MAC地址认证，支持IP Source Guard，支持HTTPs，支持EAD</w:t>
            </w:r>
          </w:p>
          <w:p>
            <w:pPr>
              <w:pStyle w:val="45"/>
              <w:numPr>
                <w:ilvl w:val="0"/>
                <w:numId w:val="38"/>
              </w:numPr>
              <w:snapToGrid w:val="0"/>
              <w:spacing w:after="0"/>
              <w:ind w:left="0" w:firstLine="0"/>
              <w:textAlignment w:val="center"/>
              <w:rPr>
                <w:rFonts w:cs="仿宋"/>
                <w:color w:val="000000"/>
              </w:rPr>
            </w:pPr>
            <w:r>
              <w:rPr>
                <w:rFonts w:hint="eastAsia" w:cs="仿宋"/>
                <w:color w:val="000000"/>
              </w:rPr>
              <w:t>管理和维护：支持SNMP V1/V2/V3、RMON、SSHV2，支持iMC网管系统</w:t>
            </w:r>
          </w:p>
          <w:p>
            <w:pPr>
              <w:pStyle w:val="45"/>
              <w:numPr>
                <w:ilvl w:val="0"/>
                <w:numId w:val="38"/>
              </w:numPr>
              <w:snapToGrid w:val="0"/>
              <w:spacing w:after="0"/>
              <w:ind w:left="0" w:firstLine="0"/>
              <w:textAlignment w:val="center"/>
              <w:rPr>
                <w:rFonts w:cs="仿宋"/>
                <w:color w:val="000000"/>
              </w:rPr>
            </w:pPr>
            <w:r>
              <w:rPr>
                <w:rFonts w:hint="eastAsia" w:cs="仿宋"/>
                <w:color w:val="000000"/>
              </w:rPr>
              <w:t>绿色节能：支持端口休眠，关闭没有应用的端口，节省能源，端口定时down功能（Schedule job），智能风扇调速</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接入交换机</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8 千兆电口+1千兆光口（一键VLAN）</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89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POE供电模块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单端口POE注入单元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16口POE交换机</w:t>
            </w:r>
          </w:p>
        </w:tc>
        <w:tc>
          <w:tcPr>
            <w:tcW w:w="5055" w:type="dxa"/>
            <w:shd w:val="clear" w:color="auto" w:fill="FFFFFF"/>
            <w:vAlign w:val="center"/>
          </w:tcPr>
          <w:p>
            <w:pPr>
              <w:pStyle w:val="45"/>
              <w:numPr>
                <w:ilvl w:val="0"/>
                <w:numId w:val="39"/>
              </w:numPr>
              <w:snapToGrid w:val="0"/>
              <w:spacing w:after="0"/>
              <w:ind w:left="0" w:firstLine="0"/>
              <w:textAlignment w:val="center"/>
              <w:rPr>
                <w:rFonts w:cs="仿宋"/>
                <w:color w:val="000000"/>
              </w:rPr>
            </w:pPr>
            <w:r>
              <w:rPr>
                <w:rFonts w:hint="eastAsia" w:cs="仿宋"/>
                <w:color w:val="000000"/>
              </w:rPr>
              <w:t>交换容量≥56Gbps，转发性能≥27Mpps</w:t>
            </w:r>
          </w:p>
          <w:p>
            <w:pPr>
              <w:pStyle w:val="45"/>
              <w:numPr>
                <w:ilvl w:val="0"/>
                <w:numId w:val="39"/>
              </w:numPr>
              <w:snapToGrid w:val="0"/>
              <w:spacing w:after="0"/>
              <w:ind w:left="0" w:firstLine="0"/>
              <w:textAlignment w:val="center"/>
              <w:rPr>
                <w:rFonts w:cs="仿宋"/>
                <w:color w:val="000000"/>
              </w:rPr>
            </w:pPr>
            <w:r>
              <w:rPr>
                <w:rFonts w:hint="eastAsia" w:cs="仿宋"/>
                <w:color w:val="000000"/>
              </w:rPr>
              <w:t>支持10/100/1000M以太网电接口≥16个，千兆光口不少于2个，支持供电功率180W；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8口POE交换机</w:t>
            </w:r>
          </w:p>
        </w:tc>
        <w:tc>
          <w:tcPr>
            <w:tcW w:w="5055" w:type="dxa"/>
            <w:shd w:val="clear" w:color="auto" w:fill="FFFFFF"/>
            <w:vAlign w:val="center"/>
          </w:tcPr>
          <w:p>
            <w:pPr>
              <w:pStyle w:val="45"/>
              <w:numPr>
                <w:ilvl w:val="0"/>
                <w:numId w:val="40"/>
              </w:numPr>
              <w:snapToGrid w:val="0"/>
              <w:spacing w:after="0"/>
              <w:ind w:left="0" w:firstLine="0"/>
              <w:textAlignment w:val="center"/>
              <w:rPr>
                <w:rFonts w:cs="仿宋"/>
                <w:color w:val="000000"/>
              </w:rPr>
            </w:pPr>
            <w:r>
              <w:rPr>
                <w:rFonts w:hint="eastAsia" w:cs="仿宋"/>
                <w:color w:val="000000"/>
              </w:rPr>
              <w:t>交换容量≥20Gbps，包转发率≥14.9Mpps</w:t>
            </w:r>
          </w:p>
          <w:p>
            <w:pPr>
              <w:pStyle w:val="45"/>
              <w:numPr>
                <w:ilvl w:val="0"/>
                <w:numId w:val="40"/>
              </w:numPr>
              <w:snapToGrid w:val="0"/>
              <w:spacing w:after="0"/>
              <w:ind w:left="0" w:firstLine="0"/>
              <w:textAlignment w:val="center"/>
              <w:rPr>
                <w:rFonts w:cs="仿宋"/>
                <w:color w:val="000000"/>
              </w:rPr>
            </w:pPr>
            <w:r>
              <w:rPr>
                <w:rFonts w:hint="eastAsia" w:cs="仿宋"/>
                <w:color w:val="000000"/>
              </w:rPr>
              <w:t>10/100/1000M以太网电接口≥8口，2口千兆SFP,非网管，整机POE供电功率60W，单端口最大供电功率30W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千兆单模SFP光模块，波长1310nm，最大传输距离10km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监控存储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4T</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硬盘录像机</w:t>
            </w:r>
          </w:p>
        </w:tc>
        <w:tc>
          <w:tcPr>
            <w:tcW w:w="5055" w:type="dxa"/>
            <w:shd w:val="clear" w:color="auto" w:fill="FFFFFF"/>
            <w:vAlign w:val="center"/>
          </w:tcPr>
          <w:p>
            <w:pPr>
              <w:pStyle w:val="45"/>
              <w:numPr>
                <w:ilvl w:val="0"/>
                <w:numId w:val="41"/>
              </w:numPr>
              <w:snapToGrid w:val="0"/>
              <w:spacing w:after="0"/>
              <w:ind w:left="0" w:firstLine="0"/>
              <w:textAlignment w:val="center"/>
              <w:rPr>
                <w:rFonts w:cs="仿宋"/>
                <w:color w:val="000000"/>
              </w:rPr>
            </w:pPr>
            <w:r>
              <w:rPr>
                <w:rFonts w:hint="eastAsia" w:cs="仿宋"/>
                <w:color w:val="000000"/>
              </w:rPr>
              <w:t>USB接口3个，2个前置USB2.0接口、1个后置USB3.0接口</w:t>
            </w:r>
          </w:p>
          <w:p>
            <w:pPr>
              <w:pStyle w:val="45"/>
              <w:numPr>
                <w:ilvl w:val="0"/>
                <w:numId w:val="41"/>
              </w:numPr>
              <w:snapToGrid w:val="0"/>
              <w:spacing w:after="0"/>
              <w:ind w:left="0" w:firstLine="0"/>
              <w:textAlignment w:val="center"/>
              <w:rPr>
                <w:rFonts w:cs="仿宋"/>
                <w:color w:val="000000"/>
              </w:rPr>
            </w:pPr>
            <w:r>
              <w:rPr>
                <w:rFonts w:hint="eastAsia" w:cs="仿宋"/>
                <w:color w:val="000000"/>
              </w:rPr>
              <w:t>多路回放最大支持16路回放；解码能力8路1080P@30fps</w:t>
            </w:r>
          </w:p>
          <w:p>
            <w:pPr>
              <w:pStyle w:val="45"/>
              <w:numPr>
                <w:ilvl w:val="0"/>
                <w:numId w:val="41"/>
              </w:numPr>
              <w:snapToGrid w:val="0"/>
              <w:spacing w:after="0"/>
              <w:ind w:left="0" w:firstLine="0"/>
              <w:textAlignment w:val="center"/>
              <w:rPr>
                <w:rFonts w:cs="仿宋"/>
                <w:color w:val="000000"/>
              </w:rPr>
            </w:pPr>
            <w:r>
              <w:rPr>
                <w:rFonts w:hint="eastAsia" w:cs="仿宋"/>
                <w:color w:val="000000"/>
              </w:rPr>
              <w:t>视频输出1路VGA输出，1路HDMI输出，其中VGA和HDMI同源输出，VGA最大输出分辨率1080P，HDMI最大输出分辨率4K</w:t>
            </w:r>
          </w:p>
          <w:p>
            <w:pPr>
              <w:pStyle w:val="45"/>
              <w:numPr>
                <w:ilvl w:val="0"/>
                <w:numId w:val="41"/>
              </w:numPr>
              <w:snapToGrid w:val="0"/>
              <w:spacing w:after="0"/>
              <w:ind w:left="0" w:firstLine="0"/>
              <w:textAlignment w:val="center"/>
              <w:rPr>
                <w:rFonts w:cs="仿宋"/>
                <w:color w:val="000000"/>
              </w:rPr>
            </w:pPr>
            <w:r>
              <w:rPr>
                <w:rFonts w:hint="eastAsia" w:cs="仿宋"/>
                <w:color w:val="000000"/>
              </w:rPr>
              <w:t>网络带宽160Mbps接入、128Mbps存储、48Mbps转发</w:t>
            </w:r>
          </w:p>
          <w:p>
            <w:pPr>
              <w:pStyle w:val="45"/>
              <w:numPr>
                <w:ilvl w:val="0"/>
                <w:numId w:val="41"/>
              </w:numPr>
              <w:snapToGrid w:val="0"/>
              <w:spacing w:after="0"/>
              <w:ind w:left="0" w:firstLine="0"/>
              <w:textAlignment w:val="center"/>
              <w:rPr>
                <w:rFonts w:cs="仿宋"/>
                <w:color w:val="000000"/>
              </w:rPr>
            </w:pPr>
            <w:r>
              <w:rPr>
                <w:rFonts w:hint="eastAsia" w:cs="仿宋"/>
                <w:color w:val="000000"/>
              </w:rPr>
              <w:t>网络接口2个RJ-45，10/100/1000Mbps自适应以太网口</w:t>
            </w:r>
          </w:p>
          <w:p>
            <w:pPr>
              <w:pStyle w:val="45"/>
              <w:numPr>
                <w:ilvl w:val="0"/>
                <w:numId w:val="41"/>
              </w:numPr>
              <w:snapToGrid w:val="0"/>
              <w:spacing w:after="0"/>
              <w:ind w:left="0" w:firstLine="0"/>
              <w:textAlignment w:val="center"/>
              <w:rPr>
                <w:rFonts w:cs="仿宋"/>
                <w:color w:val="000000"/>
              </w:rPr>
            </w:pPr>
            <w:r>
              <w:rPr>
                <w:rFonts w:hint="eastAsia" w:cs="仿宋"/>
                <w:color w:val="000000"/>
              </w:rPr>
              <w:t>网络协议HTTP、HTTPS、TCP/IP、IPv4/IPv6、UPnP、SNMP、RTSP、UDP、SMTP、NTP、DHCP、DNS、IPFilter、DDNS、FTP、AlarmServer、IPSearch(SupportDahuaIPcamera、DVR、NVS、etc.)、P2P、主动注册</w:t>
            </w:r>
          </w:p>
          <w:p>
            <w:pPr>
              <w:pStyle w:val="45"/>
              <w:numPr>
                <w:ilvl w:val="0"/>
                <w:numId w:val="41"/>
              </w:numPr>
              <w:snapToGrid w:val="0"/>
              <w:spacing w:after="0"/>
              <w:ind w:left="0" w:firstLine="0"/>
              <w:textAlignment w:val="center"/>
              <w:rPr>
                <w:rFonts w:cs="仿宋"/>
                <w:color w:val="000000"/>
              </w:rPr>
            </w:pPr>
            <w:r>
              <w:rPr>
                <w:rFonts w:hint="eastAsia" w:cs="仿宋"/>
                <w:color w:val="000000"/>
              </w:rPr>
              <w:t>硬盘接口8个，SATA3.0，单盘最大10T</w:t>
            </w:r>
          </w:p>
          <w:p>
            <w:pPr>
              <w:pStyle w:val="45"/>
              <w:numPr>
                <w:ilvl w:val="0"/>
                <w:numId w:val="41"/>
              </w:numPr>
              <w:snapToGrid w:val="0"/>
              <w:spacing w:after="0"/>
              <w:ind w:left="0" w:firstLine="0"/>
              <w:textAlignment w:val="center"/>
              <w:rPr>
                <w:rFonts w:cs="仿宋"/>
                <w:color w:val="000000"/>
              </w:rPr>
            </w:pPr>
            <w:r>
              <w:rPr>
                <w:rFonts w:hint="eastAsia" w:cs="仿宋"/>
                <w:color w:val="000000"/>
              </w:rPr>
              <w:t>报警输出4路，其中3路继电器输出，1路12V1Actrl输出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95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显示终端系统运行调试</w:t>
            </w:r>
          </w:p>
        </w:tc>
        <w:tc>
          <w:tcPr>
            <w:tcW w:w="795"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十、古建筑保护</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烟感探测器</w:t>
            </w:r>
          </w:p>
        </w:tc>
        <w:tc>
          <w:tcPr>
            <w:tcW w:w="5055" w:type="dxa"/>
            <w:shd w:val="clear" w:color="auto" w:fill="FFFFFF"/>
            <w:vAlign w:val="center"/>
          </w:tcPr>
          <w:p>
            <w:pPr>
              <w:pStyle w:val="45"/>
              <w:numPr>
                <w:ilvl w:val="0"/>
                <w:numId w:val="42"/>
              </w:numPr>
              <w:snapToGrid w:val="0"/>
              <w:spacing w:after="0"/>
              <w:ind w:left="0" w:firstLine="0"/>
              <w:textAlignment w:val="center"/>
              <w:rPr>
                <w:rFonts w:cs="仿宋"/>
                <w:color w:val="000000"/>
              </w:rPr>
            </w:pPr>
            <w:r>
              <w:rPr>
                <w:rFonts w:hint="eastAsia" w:cs="仿宋"/>
                <w:color w:val="000000"/>
              </w:rPr>
              <w:t>供电：内置锂电池</w:t>
            </w:r>
          </w:p>
          <w:p>
            <w:pPr>
              <w:pStyle w:val="45"/>
              <w:numPr>
                <w:ilvl w:val="0"/>
                <w:numId w:val="42"/>
              </w:numPr>
              <w:snapToGrid w:val="0"/>
              <w:spacing w:after="0"/>
              <w:ind w:left="0" w:firstLine="0"/>
              <w:textAlignment w:val="center"/>
              <w:rPr>
                <w:rFonts w:cs="仿宋"/>
                <w:color w:val="000000"/>
              </w:rPr>
            </w:pPr>
            <w:r>
              <w:rPr>
                <w:rFonts w:hint="eastAsia" w:cs="仿宋"/>
                <w:color w:val="000000"/>
              </w:rPr>
              <w:t>电池工作时长：≥3年</w:t>
            </w:r>
          </w:p>
          <w:p>
            <w:pPr>
              <w:pStyle w:val="45"/>
              <w:numPr>
                <w:ilvl w:val="0"/>
                <w:numId w:val="42"/>
              </w:numPr>
              <w:snapToGrid w:val="0"/>
              <w:spacing w:after="0"/>
              <w:ind w:left="0" w:firstLine="0"/>
              <w:textAlignment w:val="center"/>
              <w:rPr>
                <w:rFonts w:cs="仿宋"/>
                <w:color w:val="000000"/>
              </w:rPr>
            </w:pPr>
            <w:r>
              <w:rPr>
                <w:rFonts w:hint="eastAsia" w:cs="仿宋"/>
                <w:color w:val="000000"/>
              </w:rPr>
              <w:t>上报间隔：≥10min</w:t>
            </w:r>
          </w:p>
          <w:p>
            <w:pPr>
              <w:pStyle w:val="45"/>
              <w:numPr>
                <w:ilvl w:val="0"/>
                <w:numId w:val="42"/>
              </w:numPr>
              <w:snapToGrid w:val="0"/>
              <w:spacing w:after="0"/>
              <w:ind w:left="0" w:firstLine="0"/>
              <w:textAlignment w:val="center"/>
              <w:rPr>
                <w:rFonts w:cs="仿宋"/>
                <w:color w:val="000000"/>
              </w:rPr>
            </w:pPr>
            <w:r>
              <w:rPr>
                <w:rFonts w:hint="eastAsia" w:cs="仿宋"/>
                <w:color w:val="000000"/>
              </w:rPr>
              <w:t>采样间隔：10-720分钟可设置</w:t>
            </w:r>
          </w:p>
          <w:p>
            <w:pPr>
              <w:pStyle w:val="45"/>
              <w:numPr>
                <w:ilvl w:val="0"/>
                <w:numId w:val="42"/>
              </w:numPr>
              <w:snapToGrid w:val="0"/>
              <w:spacing w:after="0"/>
              <w:ind w:left="0" w:firstLine="0"/>
              <w:textAlignment w:val="center"/>
              <w:rPr>
                <w:rFonts w:cs="仿宋"/>
                <w:color w:val="000000"/>
              </w:rPr>
            </w:pPr>
            <w:r>
              <w:rPr>
                <w:rFonts w:hint="eastAsia" w:cs="仿宋"/>
                <w:color w:val="000000"/>
              </w:rPr>
              <w:t>通信制式：Lora</w:t>
            </w:r>
          </w:p>
          <w:p>
            <w:pPr>
              <w:pStyle w:val="45"/>
              <w:numPr>
                <w:ilvl w:val="0"/>
                <w:numId w:val="42"/>
              </w:numPr>
              <w:snapToGrid w:val="0"/>
              <w:spacing w:after="0"/>
              <w:ind w:left="0" w:firstLine="0"/>
              <w:textAlignment w:val="center"/>
              <w:rPr>
                <w:rFonts w:cs="仿宋"/>
                <w:color w:val="000000"/>
              </w:rPr>
            </w:pPr>
            <w:r>
              <w:rPr>
                <w:rFonts w:hint="eastAsia" w:cs="仿宋"/>
                <w:color w:val="000000"/>
              </w:rPr>
              <w:t>响应时间：-般小于15秒</w:t>
            </w:r>
          </w:p>
          <w:p>
            <w:pPr>
              <w:pStyle w:val="45"/>
              <w:numPr>
                <w:ilvl w:val="0"/>
                <w:numId w:val="42"/>
              </w:numPr>
              <w:snapToGrid w:val="0"/>
              <w:spacing w:after="0"/>
              <w:ind w:left="0" w:firstLine="0"/>
              <w:textAlignment w:val="center"/>
              <w:rPr>
                <w:rFonts w:cs="仿宋"/>
                <w:color w:val="000000"/>
              </w:rPr>
            </w:pPr>
            <w:r>
              <w:rPr>
                <w:rFonts w:hint="eastAsia" w:cs="仿宋"/>
                <w:color w:val="000000"/>
              </w:rPr>
              <w:t>烟雾灵敏度：1.06士26%F.t</w:t>
            </w:r>
          </w:p>
          <w:p>
            <w:pPr>
              <w:pStyle w:val="45"/>
              <w:numPr>
                <w:ilvl w:val="0"/>
                <w:numId w:val="42"/>
              </w:numPr>
              <w:snapToGrid w:val="0"/>
              <w:spacing w:after="0"/>
              <w:ind w:left="0" w:firstLine="0"/>
              <w:textAlignment w:val="center"/>
              <w:rPr>
                <w:rFonts w:cs="仿宋"/>
                <w:color w:val="000000"/>
              </w:rPr>
            </w:pPr>
            <w:r>
              <w:rPr>
                <w:rFonts w:hint="eastAsia" w:cs="仿宋"/>
                <w:color w:val="000000"/>
              </w:rPr>
              <w:t>开关量工作功率：120V AC/24V DC</w:t>
            </w:r>
          </w:p>
          <w:p>
            <w:pPr>
              <w:pStyle w:val="45"/>
              <w:numPr>
                <w:ilvl w:val="0"/>
                <w:numId w:val="42"/>
              </w:numPr>
              <w:snapToGrid w:val="0"/>
              <w:spacing w:after="0"/>
              <w:ind w:left="0" w:firstLine="0"/>
              <w:textAlignment w:val="center"/>
              <w:rPr>
                <w:rFonts w:cs="仿宋"/>
                <w:color w:val="000000"/>
              </w:rPr>
            </w:pPr>
            <w:r>
              <w:rPr>
                <w:rFonts w:hint="eastAsia" w:cs="仿宋"/>
                <w:color w:val="000000"/>
              </w:rPr>
              <w:t>9、运行温度：-20- -60°C 0-95%RH</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烟感网关</w:t>
            </w:r>
          </w:p>
        </w:tc>
        <w:tc>
          <w:tcPr>
            <w:tcW w:w="5055" w:type="dxa"/>
            <w:shd w:val="clear" w:color="auto" w:fill="FFFFFF"/>
            <w:vAlign w:val="center"/>
          </w:tcPr>
          <w:p>
            <w:pPr>
              <w:pStyle w:val="45"/>
              <w:numPr>
                <w:ilvl w:val="0"/>
                <w:numId w:val="43"/>
              </w:numPr>
              <w:snapToGrid w:val="0"/>
              <w:spacing w:after="0"/>
              <w:ind w:left="0" w:firstLine="0"/>
              <w:textAlignment w:val="center"/>
              <w:rPr>
                <w:rFonts w:cs="仿宋"/>
                <w:color w:val="000000"/>
              </w:rPr>
            </w:pPr>
            <w:r>
              <w:rPr>
                <w:rFonts w:hint="eastAsia" w:cs="仿宋"/>
                <w:color w:val="000000"/>
              </w:rPr>
              <w:t>额定电压：9~ 15V</w:t>
            </w:r>
          </w:p>
          <w:p>
            <w:pPr>
              <w:pStyle w:val="45"/>
              <w:numPr>
                <w:ilvl w:val="0"/>
                <w:numId w:val="43"/>
              </w:numPr>
              <w:snapToGrid w:val="0"/>
              <w:spacing w:after="0"/>
              <w:ind w:left="0" w:firstLine="0"/>
              <w:textAlignment w:val="center"/>
              <w:rPr>
                <w:rFonts w:cs="仿宋"/>
                <w:color w:val="000000"/>
              </w:rPr>
            </w:pPr>
            <w:r>
              <w:rPr>
                <w:rFonts w:hint="eastAsia" w:cs="仿宋"/>
                <w:color w:val="000000"/>
              </w:rPr>
              <w:t>额定电流：&lt;= 200ma</w:t>
            </w:r>
          </w:p>
          <w:p>
            <w:pPr>
              <w:pStyle w:val="45"/>
              <w:numPr>
                <w:ilvl w:val="0"/>
                <w:numId w:val="43"/>
              </w:numPr>
              <w:snapToGrid w:val="0"/>
              <w:spacing w:after="0"/>
              <w:ind w:left="0" w:firstLine="0"/>
              <w:textAlignment w:val="center"/>
              <w:rPr>
                <w:rFonts w:cs="仿宋"/>
                <w:color w:val="000000"/>
              </w:rPr>
            </w:pPr>
            <w:r>
              <w:rPr>
                <w:rFonts w:hint="eastAsia" w:cs="仿宋"/>
                <w:color w:val="000000"/>
              </w:rPr>
              <w:t>工作温度：40~ +85 °C</w:t>
            </w:r>
          </w:p>
          <w:p>
            <w:pPr>
              <w:pStyle w:val="45"/>
              <w:numPr>
                <w:ilvl w:val="0"/>
                <w:numId w:val="43"/>
              </w:numPr>
              <w:snapToGrid w:val="0"/>
              <w:spacing w:after="0"/>
              <w:ind w:left="0" w:firstLine="0"/>
              <w:textAlignment w:val="center"/>
              <w:rPr>
                <w:rFonts w:cs="仿宋"/>
                <w:color w:val="000000"/>
              </w:rPr>
            </w:pPr>
            <w:r>
              <w:rPr>
                <w:rFonts w:hint="eastAsia" w:cs="仿宋"/>
                <w:color w:val="000000"/>
              </w:rPr>
              <w:t>存储温度：-40~+90 °C</w:t>
            </w:r>
          </w:p>
          <w:p>
            <w:pPr>
              <w:pStyle w:val="45"/>
              <w:numPr>
                <w:ilvl w:val="0"/>
                <w:numId w:val="43"/>
              </w:numPr>
              <w:snapToGrid w:val="0"/>
              <w:spacing w:after="0"/>
              <w:ind w:left="0" w:firstLine="0"/>
              <w:textAlignment w:val="center"/>
              <w:rPr>
                <w:rFonts w:cs="仿宋"/>
                <w:color w:val="000000"/>
              </w:rPr>
            </w:pPr>
            <w:r>
              <w:rPr>
                <w:rFonts w:hint="eastAsia" w:cs="仿宋"/>
                <w:color w:val="000000"/>
              </w:rPr>
              <w:t>端口：网口：1路、RS485接口：1路</w:t>
            </w:r>
          </w:p>
          <w:p>
            <w:pPr>
              <w:pStyle w:val="45"/>
              <w:numPr>
                <w:ilvl w:val="0"/>
                <w:numId w:val="43"/>
              </w:numPr>
              <w:snapToGrid w:val="0"/>
              <w:spacing w:after="0"/>
              <w:ind w:left="0" w:firstLine="0"/>
              <w:textAlignment w:val="center"/>
              <w:rPr>
                <w:rFonts w:cs="仿宋"/>
                <w:color w:val="000000"/>
              </w:rPr>
            </w:pPr>
            <w:r>
              <w:rPr>
                <w:rFonts w:hint="eastAsia" w:cs="仿宋"/>
                <w:color w:val="000000"/>
              </w:rPr>
              <w:t>6、LoRa工作频段：450 ~ 810 MHZ</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98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烟感检测软件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烟感检测软件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rPr>
              <w:t>99</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室内监控半球</w:t>
            </w:r>
          </w:p>
        </w:tc>
        <w:tc>
          <w:tcPr>
            <w:tcW w:w="5055" w:type="dxa"/>
            <w:vMerge w:val="restart"/>
            <w:shd w:val="clear" w:color="auto" w:fill="FFFFFF"/>
            <w:vAlign w:val="center"/>
          </w:tcPr>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传感器类型1/2.8英寸CMOS；像素200万；最大分辨率1920×1080</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最低照度0.002Lux（彩色模式）；0.0002Lux（黑白模式）；0Lux（补光灯开启）</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最大补光距离30m（红外）</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通用行为分析绊线入侵；区域入侵</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视频压缩标准H.265；H.264；H.264H；H.264B；MJPEG；智能编码H.264：支持H.265：支持；宽动态120dB；报警事件无SD卡；SD卡空间不足；SD卡出错；网络断开；IP冲突；动态检测；视频遮挡；区域入侵；绊线入侵；场景变更；非法访问；电压检测；安全异常；</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供电方式DC12V/POE</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监控摄像设备</w:t>
            </w:r>
          </w:p>
        </w:tc>
        <w:tc>
          <w:tcPr>
            <w:tcW w:w="5055" w:type="dxa"/>
            <w:vMerge w:val="restart"/>
            <w:shd w:val="clear" w:color="auto" w:fill="FFFFFF"/>
            <w:vAlign w:val="center"/>
          </w:tcPr>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传感器类型：1/2.8英寸CMOS</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分辨率：300W</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电子快门：1/3s~1/100000s;可手动或自动调节</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照度：0.01Lux(彩色模式);0.001Lux(黑白模式);0Lux（红外灯开启）</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红外距离：10米</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智能功能：支持遮挡报警，SD卡异常，区域入侵，拌线入侵，物品/消失，场景变更，徘徊检测，全局配置，快速移动，人员聚集，停车检测，音频异常侦测，外部报警，客流量统计，区域人数统计,热度图</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供电方式：DC12+POE</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工作温度：-30℃~+60℃</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工作湿度：≤95%</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防护等级：IP67;IK10;</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尺寸：Φ204mm*78mm*62mm</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室外配电箱</w:t>
            </w:r>
          </w:p>
        </w:tc>
        <w:tc>
          <w:tcPr>
            <w:tcW w:w="5055" w:type="dxa"/>
            <w:shd w:val="clear" w:color="auto" w:fill="FFFFFF"/>
            <w:vAlign w:val="center"/>
          </w:tcPr>
          <w:p>
            <w:pPr>
              <w:snapToGrid w:val="0"/>
              <w:spacing w:after="0"/>
              <w:rPr>
                <w:rFonts w:cs="仿宋"/>
                <w:color w:val="000000"/>
              </w:rPr>
            </w:pPr>
            <w:r>
              <w:rPr>
                <w:rFonts w:hint="eastAsia" w:cs="仿宋"/>
                <w:color w:val="000000"/>
              </w:rPr>
              <w:t>仿古防腐屋、800*800*600、含基础等配件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古建筑保护监测系统运行调试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十一、便民服务柜</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103</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硬件</w:t>
            </w:r>
          </w:p>
        </w:tc>
        <w:tc>
          <w:tcPr>
            <w:tcW w:w="5055" w:type="dxa"/>
            <w:shd w:val="clear" w:color="auto" w:fill="FFFFFF"/>
            <w:vAlign w:val="center"/>
          </w:tcPr>
          <w:p>
            <w:pPr>
              <w:snapToGrid w:val="0"/>
              <w:spacing w:after="0"/>
              <w:rPr>
                <w:rFonts w:cs="仿宋"/>
                <w:color w:val="000000"/>
              </w:rPr>
            </w:pPr>
            <w:r>
              <w:rPr>
                <w:rFonts w:hint="eastAsia" w:cs="仿宋"/>
                <w:color w:val="000000"/>
              </w:rPr>
              <w:t>主机配置19寸三防触摸屏，工控机；主柜分为大小24个柜门，柜体采用1.2mm冷轧板，经冷加工成型后，用二氧化碳气体保护焊接装配而成；柜体结构坚固结实。箱体表面经除锈、除油、打磨、磷化处理后喷塑（塑粉为室外专用粉，不易生锈），塑面的颜色可由客户选定。表面经除锈、除油、打磨、磷化处理后喷塑。</w:t>
            </w:r>
          </w:p>
          <w:p>
            <w:pPr>
              <w:snapToGrid w:val="0"/>
              <w:spacing w:after="0"/>
              <w:rPr>
                <w:rFonts w:cs="仿宋"/>
                <w:color w:val="000000"/>
              </w:rPr>
            </w:pPr>
            <w:r>
              <w:rPr>
                <w:rFonts w:hint="eastAsia" w:cs="仿宋"/>
                <w:color w:val="000000"/>
              </w:rPr>
              <w:t>安装配双目摄像头，硬件针孔摄像，身份证读卡，二维码扫码器，热敏打印机等。</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104</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接口开发</w:t>
            </w:r>
          </w:p>
        </w:tc>
        <w:tc>
          <w:tcPr>
            <w:tcW w:w="5055" w:type="dxa"/>
            <w:shd w:val="clear" w:color="auto" w:fill="FFFFFF"/>
            <w:vAlign w:val="center"/>
          </w:tcPr>
          <w:p>
            <w:pPr>
              <w:snapToGrid w:val="0"/>
              <w:spacing w:after="0"/>
              <w:rPr>
                <w:rFonts w:cs="仿宋"/>
                <w:color w:val="000000"/>
              </w:rPr>
            </w:pPr>
            <w:r>
              <w:rPr>
                <w:rFonts w:hint="eastAsia" w:cs="仿宋"/>
                <w:color w:val="000000"/>
              </w:rPr>
              <w:t>接口短信推送接口</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105</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控制软件</w:t>
            </w:r>
          </w:p>
        </w:tc>
        <w:tc>
          <w:tcPr>
            <w:tcW w:w="5055" w:type="dxa"/>
            <w:shd w:val="clear" w:color="auto" w:fill="FFFFFF"/>
            <w:vAlign w:val="center"/>
          </w:tcPr>
          <w:p>
            <w:pPr>
              <w:pStyle w:val="45"/>
              <w:numPr>
                <w:ilvl w:val="0"/>
                <w:numId w:val="46"/>
              </w:numPr>
              <w:snapToGrid w:val="0"/>
              <w:spacing w:after="0"/>
              <w:ind w:left="0" w:firstLine="0"/>
              <w:rPr>
                <w:rFonts w:cs="仿宋"/>
                <w:color w:val="000000"/>
              </w:rPr>
            </w:pPr>
            <w:r>
              <w:rPr>
                <w:rFonts w:hint="eastAsia" w:cs="仿宋"/>
                <w:color w:val="000000"/>
              </w:rPr>
              <w:t>后台文件记录：员工登录后台系统后，输入文件和客户信息，同时通过连接的热敏不干胶打印机打印出文件二维码，将二维码贴在文件袋上，文件即记录成功。</w:t>
            </w:r>
          </w:p>
          <w:p>
            <w:pPr>
              <w:pStyle w:val="45"/>
              <w:numPr>
                <w:ilvl w:val="0"/>
                <w:numId w:val="46"/>
              </w:numPr>
              <w:snapToGrid w:val="0"/>
              <w:spacing w:after="0"/>
              <w:ind w:left="0" w:firstLine="0"/>
              <w:rPr>
                <w:rFonts w:cs="仿宋"/>
                <w:color w:val="000000"/>
              </w:rPr>
            </w:pPr>
            <w:r>
              <w:rPr>
                <w:rFonts w:hint="eastAsia" w:cs="仿宋"/>
                <w:color w:val="000000"/>
              </w:rPr>
              <w:t xml:space="preserve">后台文件柜报警：（1）当文件柜的柜门打开后10分钟内未关闭的，系统将会给出提示，告诉员工柜门未关闭；（2）当文件柜出现故障时，系统会给出警报提示；（3）文件存放时长过长时，系统提示； </w:t>
            </w:r>
          </w:p>
          <w:p>
            <w:pPr>
              <w:pStyle w:val="45"/>
              <w:numPr>
                <w:ilvl w:val="0"/>
                <w:numId w:val="46"/>
              </w:numPr>
              <w:snapToGrid w:val="0"/>
              <w:spacing w:after="0"/>
              <w:ind w:left="0" w:firstLine="0"/>
              <w:rPr>
                <w:rFonts w:cs="仿宋"/>
                <w:color w:val="000000"/>
              </w:rPr>
            </w:pPr>
            <w:r>
              <w:rPr>
                <w:rFonts w:hint="eastAsia" w:cs="仿宋"/>
                <w:color w:val="000000"/>
              </w:rPr>
              <w:t>后台文件柜状态查看：员工登录后台系统后：（1）输入文件或客户信息进行搜索，可以查看到该文件状态；（2）查看全部文件柜，显示文件柜布局的图，通过颜色区分文件柜状态和相关字段内容。</w:t>
            </w:r>
          </w:p>
          <w:p>
            <w:pPr>
              <w:pStyle w:val="45"/>
              <w:numPr>
                <w:ilvl w:val="0"/>
                <w:numId w:val="46"/>
              </w:numPr>
              <w:snapToGrid w:val="0"/>
              <w:spacing w:after="0"/>
              <w:ind w:left="0" w:firstLine="0"/>
              <w:rPr>
                <w:rFonts w:cs="仿宋"/>
                <w:color w:val="000000"/>
              </w:rPr>
            </w:pPr>
            <w:r>
              <w:rPr>
                <w:rFonts w:hint="eastAsia" w:cs="仿宋"/>
                <w:color w:val="000000"/>
              </w:rPr>
              <w:t>短信验证：开通短信提醒功能，存、取件短信推送</w:t>
            </w:r>
          </w:p>
          <w:p>
            <w:pPr>
              <w:pStyle w:val="45"/>
              <w:numPr>
                <w:ilvl w:val="0"/>
                <w:numId w:val="46"/>
              </w:numPr>
              <w:snapToGrid w:val="0"/>
              <w:spacing w:after="0"/>
              <w:ind w:left="0" w:firstLine="0"/>
              <w:rPr>
                <w:rFonts w:cs="仿宋"/>
                <w:color w:val="000000"/>
              </w:rPr>
            </w:pPr>
            <w:r>
              <w:rPr>
                <w:rFonts w:hint="eastAsia" w:cs="仿宋"/>
                <w:color w:val="000000"/>
              </w:rPr>
              <w:t>人脸识别：采用双目摄像头，提高人脸识别率，实现读取二代身份证扫描与现场采集人脸进行比对</w:t>
            </w:r>
          </w:p>
          <w:p>
            <w:pPr>
              <w:pStyle w:val="45"/>
              <w:numPr>
                <w:ilvl w:val="0"/>
                <w:numId w:val="46"/>
              </w:numPr>
              <w:snapToGrid w:val="0"/>
              <w:spacing w:after="0"/>
              <w:ind w:left="0" w:firstLine="0"/>
              <w:rPr>
                <w:rFonts w:cs="仿宋"/>
                <w:color w:val="000000"/>
              </w:rPr>
            </w:pPr>
            <w:r>
              <w:rPr>
                <w:rFonts w:hint="eastAsia" w:cs="仿宋"/>
                <w:color w:val="000000"/>
              </w:rPr>
              <w:t>群众存件：申请人成功提交事项时，一窗受理平台调用服务接口，告知E邮柜系统生成存件码，申请人在E邮柜上选择存件，输入存件码即可存件。</w:t>
            </w:r>
          </w:p>
          <w:p>
            <w:pPr>
              <w:pStyle w:val="45"/>
              <w:numPr>
                <w:ilvl w:val="0"/>
                <w:numId w:val="46"/>
              </w:numPr>
              <w:snapToGrid w:val="0"/>
              <w:spacing w:after="0"/>
              <w:ind w:left="0" w:firstLine="0"/>
              <w:rPr>
                <w:rFonts w:cs="仿宋"/>
                <w:color w:val="000000"/>
              </w:rPr>
            </w:pPr>
            <w:r>
              <w:rPr>
                <w:rFonts w:hint="eastAsia" w:cs="仿宋"/>
                <w:color w:val="000000"/>
              </w:rPr>
              <w:t>群众取件：客户接收到取件短信通知后，凭取件凭证（身份证/取件码/手机号码等）在智能文件柜处输入凭证信息，进行取件。</w:t>
            </w:r>
          </w:p>
          <w:p>
            <w:pPr>
              <w:pStyle w:val="45"/>
              <w:numPr>
                <w:ilvl w:val="0"/>
                <w:numId w:val="46"/>
              </w:numPr>
              <w:snapToGrid w:val="0"/>
              <w:spacing w:after="0"/>
              <w:ind w:left="0" w:firstLine="0"/>
              <w:rPr>
                <w:rFonts w:cs="仿宋"/>
                <w:color w:val="000000"/>
              </w:rPr>
            </w:pPr>
            <w:r>
              <w:rPr>
                <w:rFonts w:hint="eastAsia" w:cs="仿宋"/>
                <w:color w:val="000000"/>
              </w:rPr>
              <w:t>员工存件：工在文件录入后台系统后，用扫描枪扫描文件袋上的二维码，在文件柜上输入用户名密码登录文件柜系统，将相应的文件存入对应的柜子中，关闭柜门即存件成功。</w:t>
            </w:r>
          </w:p>
          <w:p>
            <w:pPr>
              <w:pStyle w:val="45"/>
              <w:numPr>
                <w:ilvl w:val="0"/>
                <w:numId w:val="46"/>
              </w:numPr>
              <w:snapToGrid w:val="0"/>
              <w:spacing w:after="0"/>
              <w:ind w:left="0" w:firstLine="0"/>
              <w:rPr>
                <w:rFonts w:cs="仿宋"/>
                <w:color w:val="000000"/>
              </w:rPr>
            </w:pPr>
            <w:r>
              <w:rPr>
                <w:rFonts w:hint="eastAsia" w:cs="仿宋"/>
                <w:color w:val="000000"/>
              </w:rPr>
              <w:t>员工取件：客户物件出现问题时可以进行员工登录系统，进行取件操作。</w:t>
            </w:r>
          </w:p>
          <w:p>
            <w:pPr>
              <w:pStyle w:val="45"/>
              <w:numPr>
                <w:ilvl w:val="0"/>
                <w:numId w:val="46"/>
              </w:numPr>
              <w:snapToGrid w:val="0"/>
              <w:spacing w:after="0"/>
              <w:ind w:left="0" w:firstLine="0"/>
              <w:rPr>
                <w:rFonts w:cs="仿宋"/>
                <w:color w:val="000000"/>
              </w:rPr>
            </w:pPr>
            <w:r>
              <w:rPr>
                <w:rFonts w:hint="eastAsia" w:cs="仿宋"/>
                <w:color w:val="000000"/>
              </w:rPr>
              <w:t>前端文件柜状态查看 员工在文件柜处登录文件柜系统，选择查看状态的操作，可以查看到当前文件柜的存件状态。</w:t>
            </w:r>
          </w:p>
          <w:p>
            <w:pPr>
              <w:pStyle w:val="45"/>
              <w:numPr>
                <w:ilvl w:val="0"/>
                <w:numId w:val="46"/>
              </w:numPr>
              <w:snapToGrid w:val="0"/>
              <w:spacing w:after="0"/>
              <w:ind w:left="0" w:firstLine="0"/>
              <w:rPr>
                <w:rFonts w:cs="仿宋"/>
                <w:color w:val="000000"/>
              </w:rPr>
            </w:pPr>
            <w:r>
              <w:rPr>
                <w:rFonts w:hint="eastAsia" w:cs="仿宋"/>
                <w:color w:val="000000"/>
              </w:rPr>
              <w:t>电子签名：用户在存取件后，进行实名签字确认。</w:t>
            </w:r>
          </w:p>
          <w:p>
            <w:pPr>
              <w:pStyle w:val="45"/>
              <w:numPr>
                <w:ilvl w:val="0"/>
                <w:numId w:val="46"/>
              </w:numPr>
              <w:snapToGrid w:val="0"/>
              <w:spacing w:after="0"/>
              <w:ind w:left="0" w:firstLine="0"/>
              <w:rPr>
                <w:rFonts w:cs="仿宋"/>
                <w:color w:val="000000"/>
              </w:rPr>
            </w:pPr>
            <w:r>
              <w:rPr>
                <w:rFonts w:hint="eastAsia" w:cs="仿宋"/>
                <w:color w:val="000000"/>
              </w:rPr>
              <w:t>接入智能数据处理系统：设备同网上办事大厅、政务审批系统进行对接，实现数据同步。</w:t>
            </w:r>
          </w:p>
          <w:p>
            <w:pPr>
              <w:pStyle w:val="45"/>
              <w:numPr>
                <w:ilvl w:val="0"/>
                <w:numId w:val="46"/>
              </w:numPr>
              <w:snapToGrid w:val="0"/>
              <w:spacing w:after="0"/>
              <w:ind w:left="0" w:firstLine="0"/>
              <w:rPr>
                <w:rFonts w:cs="仿宋"/>
                <w:color w:val="000000"/>
              </w:rPr>
            </w:pPr>
            <w:r>
              <w:rPr>
                <w:rFonts w:hint="eastAsia" w:cs="仿宋"/>
                <w:color w:val="000000"/>
              </w:rPr>
              <w:t>自助申请系统对接：与市级自助申请一窗系统完成对接，通过自助申请一窗系统完成收件表单，系统下发验证码，通过验证码完成收件。</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106</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服务器</w:t>
            </w:r>
          </w:p>
        </w:tc>
        <w:tc>
          <w:tcPr>
            <w:tcW w:w="5055" w:type="dxa"/>
            <w:shd w:val="clear" w:color="auto" w:fill="FFFFFF"/>
            <w:vAlign w:val="center"/>
          </w:tcPr>
          <w:p>
            <w:pPr>
              <w:snapToGrid w:val="0"/>
              <w:spacing w:after="0"/>
              <w:rPr>
                <w:rFonts w:cs="仿宋"/>
                <w:color w:val="000000"/>
              </w:rPr>
            </w:pPr>
            <w:r>
              <w:rPr>
                <w:rFonts w:hint="eastAsia" w:cs="仿宋"/>
                <w:color w:val="000000"/>
              </w:rPr>
              <w:t>4核心，16G内存，200G硬盘</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十二、综合布线系统及附属工程</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RVV3*2.5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RVV3*1.0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110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RVV2*1.5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6类网络线</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6类室外防水网络线，室外型</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室外6芯单模光纤</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RVSP2*1.5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RVVP4*1.0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86型H60镀锌铁盒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86型H60镀锌铁盒</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油漆（底盒）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仿古油漆</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10m2</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管材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KBG DN20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管材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KBG DN25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油漆（KBG)</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仿古油漆</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10m2</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10A插座6位防雷二三插座带多功能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10A插座3位防雷二三插座带多功能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10A插座2位防雷二三插座带多功能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插头</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开挖及修复</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开挖柏油马路及修复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开挖及修复</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开挖绿化及修复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显示屏混泥土基座800*600*500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流量监控杆混泥土基座500*500*500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基础</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智慧杆细石混泥土基础制作1000*1000*1000及原有古砖修复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基础</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室外落地箱基础1000*800*400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水表井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水表井600*600*700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维修井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对接箱维修井400*400*400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133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花岗岩</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花岗岩630*750定制LOGO</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134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维修井封堵</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原有维修井封堵，开挖石板重新施工500*500*700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bl>
    <w:p>
      <w:pPr>
        <w:rPr>
          <w:rFonts w:cs="仿宋"/>
          <w:color w:val="000000"/>
          <w:szCs w:val="21"/>
          <w:highlight w:val="yellow"/>
          <w:lang w:bidi="ar"/>
        </w:rPr>
      </w:pPr>
    </w:p>
    <w:p>
      <w:pPr>
        <w:keepNext/>
        <w:keepLines/>
        <w:numPr>
          <w:ilvl w:val="0"/>
          <w:numId w:val="2"/>
        </w:numPr>
        <w:tabs>
          <w:tab w:val="left" w:pos="840"/>
        </w:tabs>
        <w:spacing w:before="260" w:after="260"/>
        <w:outlineLvl w:val="1"/>
        <w:rPr>
          <w:rFonts w:cs="仿宋"/>
          <w:b/>
          <w:sz w:val="28"/>
          <w:szCs w:val="28"/>
        </w:rPr>
      </w:pPr>
      <w:r>
        <w:rPr>
          <w:rFonts w:hint="eastAsia" w:cs="仿宋"/>
          <w:b/>
          <w:bCs/>
        </w:rPr>
        <w:t>商务需求</w:t>
      </w:r>
    </w:p>
    <w:p>
      <w:pPr>
        <w:keepNext/>
        <w:keepLines/>
        <w:numPr>
          <w:ilvl w:val="1"/>
          <w:numId w:val="2"/>
        </w:numPr>
        <w:tabs>
          <w:tab w:val="left" w:pos="840"/>
        </w:tabs>
        <w:spacing w:before="260" w:after="260"/>
        <w:outlineLvl w:val="2"/>
        <w:rPr>
          <w:rFonts w:cs="仿宋"/>
          <w:b/>
          <w:bCs/>
        </w:rPr>
      </w:pPr>
      <w:r>
        <w:rPr>
          <w:rFonts w:hint="eastAsia" w:cs="仿宋"/>
          <w:b/>
          <w:bCs/>
        </w:rPr>
        <w:t>交货时间及地点</w:t>
      </w:r>
    </w:p>
    <w:p>
      <w:pPr>
        <w:adjustRightInd w:val="0"/>
        <w:ind w:firstLine="480" w:firstLineChars="200"/>
        <w:rPr>
          <w:rFonts w:cs="仿宋"/>
        </w:rPr>
      </w:pPr>
      <w:r>
        <w:rPr>
          <w:rFonts w:hint="eastAsia" w:cs="仿宋"/>
        </w:rPr>
        <w:t>(1)本</w:t>
      </w:r>
      <w:r>
        <w:rPr>
          <w:rFonts w:hint="eastAsia" w:cs="仿宋"/>
          <w:highlight w:val="none"/>
        </w:rPr>
        <w:t>项目建设周期为90日历天。</w:t>
      </w:r>
    </w:p>
    <w:p>
      <w:pPr>
        <w:adjustRightInd w:val="0"/>
        <w:ind w:firstLine="480" w:firstLineChars="200"/>
        <w:rPr>
          <w:rFonts w:cs="仿宋"/>
        </w:rPr>
      </w:pPr>
      <w:r>
        <w:rPr>
          <w:rFonts w:hint="eastAsia" w:cs="仿宋"/>
        </w:rPr>
        <w:t>(2)交货地点：采购人指定地点。</w:t>
      </w:r>
    </w:p>
    <w:p>
      <w:pPr>
        <w:adjustRightInd w:val="0"/>
        <w:ind w:firstLine="480" w:firstLineChars="200"/>
        <w:rPr>
          <w:rFonts w:cs="仿宋"/>
        </w:rPr>
      </w:pPr>
      <w:r>
        <w:rPr>
          <w:rFonts w:hint="eastAsia" w:cs="仿宋"/>
        </w:rPr>
        <w:t>(3)中标人提供的中标物品，必须符合本采购文件要求、原包装送达采购单位；如有不符，采购人可以无条件退货，所造成的损失由中标人承担。更换后的零部件质保期按更换日起顺延。</w:t>
      </w:r>
    </w:p>
    <w:p>
      <w:pPr>
        <w:keepNext/>
        <w:keepLines/>
        <w:numPr>
          <w:ilvl w:val="1"/>
          <w:numId w:val="2"/>
        </w:numPr>
        <w:tabs>
          <w:tab w:val="left" w:pos="840"/>
        </w:tabs>
        <w:spacing w:before="260" w:after="260"/>
        <w:outlineLvl w:val="2"/>
        <w:rPr>
          <w:rFonts w:cs="仿宋"/>
          <w:b/>
          <w:bCs/>
        </w:rPr>
      </w:pPr>
      <w:r>
        <w:rPr>
          <w:rFonts w:hint="eastAsia" w:cs="仿宋"/>
          <w:b/>
          <w:bCs/>
        </w:rPr>
        <w:t>维保期及售后技术服务要求</w:t>
      </w:r>
    </w:p>
    <w:p>
      <w:pPr>
        <w:adjustRightInd w:val="0"/>
        <w:ind w:firstLine="480" w:firstLineChars="200"/>
        <w:rPr>
          <w:rFonts w:cs="仿宋"/>
        </w:rPr>
      </w:pPr>
      <w:r>
        <w:rPr>
          <w:rFonts w:hint="eastAsia" w:cs="仿宋"/>
        </w:rPr>
        <w:t xml:space="preserve"> (1)中标人负责场景相关的安装调试，项目验收完成起，维保期硬件一年，软件一年。</w:t>
      </w:r>
    </w:p>
    <w:p>
      <w:pPr>
        <w:adjustRightInd w:val="0"/>
        <w:ind w:firstLine="480" w:firstLineChars="200"/>
        <w:rPr>
          <w:rFonts w:cs="仿宋"/>
        </w:rPr>
      </w:pPr>
      <w:r>
        <w:rPr>
          <w:rFonts w:hint="eastAsia" w:cs="仿宋"/>
        </w:rPr>
        <w:t xml:space="preserve"> (2)维保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adjustRightInd w:val="0"/>
        <w:ind w:firstLine="480" w:firstLineChars="200"/>
        <w:rPr>
          <w:rFonts w:cs="仿宋"/>
        </w:rPr>
      </w:pPr>
      <w:r>
        <w:rPr>
          <w:rFonts w:hint="eastAsia" w:cs="仿宋"/>
        </w:rPr>
        <w:t>(3)投标人应提供技术支持方案，内容由投标人根据实际选择以下要点：服务机构（维保点）的地址、人员状况、维修能力、联系方式、营业执照、公司资质材料、相关案例等。</w:t>
      </w:r>
    </w:p>
    <w:p>
      <w:pPr>
        <w:adjustRightInd w:val="0"/>
        <w:ind w:firstLine="480" w:firstLineChars="200"/>
        <w:rPr>
          <w:rFonts w:cs="仿宋"/>
        </w:rPr>
      </w:pPr>
      <w:r>
        <w:rPr>
          <w:rFonts w:hint="eastAsia" w:cs="仿宋"/>
        </w:rPr>
        <w:t>(4)完整准确地表述原厂家的标准售后服务承诺（范围、标准及期限等）、投标人可能增加的服务承诺等。</w:t>
      </w:r>
    </w:p>
    <w:p>
      <w:pPr>
        <w:adjustRightInd w:val="0"/>
        <w:ind w:firstLine="480" w:firstLineChars="200"/>
        <w:rPr>
          <w:rFonts w:cs="仿宋"/>
        </w:rPr>
      </w:pPr>
      <w:r>
        <w:rPr>
          <w:rFonts w:hint="eastAsia" w:cs="仿宋"/>
        </w:rPr>
        <w:t>(5)明示服务承诺可能涉及的前提设定和费用，否则将被认为是无条件和免费的。</w:t>
      </w:r>
    </w:p>
    <w:p>
      <w:pPr>
        <w:keepNext/>
        <w:keepLines/>
        <w:numPr>
          <w:ilvl w:val="1"/>
          <w:numId w:val="2"/>
        </w:numPr>
        <w:tabs>
          <w:tab w:val="left" w:pos="840"/>
        </w:tabs>
        <w:spacing w:before="260" w:after="260"/>
        <w:outlineLvl w:val="2"/>
        <w:rPr>
          <w:rFonts w:cs="仿宋"/>
          <w:b/>
          <w:bCs/>
        </w:rPr>
      </w:pPr>
      <w:r>
        <w:rPr>
          <w:rFonts w:hint="eastAsia" w:cs="仿宋"/>
          <w:b/>
          <w:bCs/>
        </w:rPr>
        <w:t>项目实施计划</w:t>
      </w:r>
    </w:p>
    <w:p>
      <w:pPr>
        <w:adjustRightInd w:val="0"/>
        <w:ind w:firstLine="480" w:firstLineChars="200"/>
        <w:rPr>
          <w:rFonts w:cs="仿宋"/>
        </w:rPr>
      </w:pPr>
      <w:r>
        <w:rPr>
          <w:rFonts w:hint="eastAsia" w:cs="仿宋"/>
        </w:rPr>
        <w:t>项目实施的组织工作方案：工作时间进度表、工作程序或步骤、管理和协调方法、送货方案等。</w:t>
      </w:r>
    </w:p>
    <w:p>
      <w:pPr>
        <w:keepNext/>
        <w:keepLines/>
        <w:numPr>
          <w:ilvl w:val="1"/>
          <w:numId w:val="2"/>
        </w:numPr>
        <w:tabs>
          <w:tab w:val="left" w:pos="840"/>
        </w:tabs>
        <w:spacing w:before="260" w:after="260"/>
        <w:outlineLvl w:val="2"/>
        <w:rPr>
          <w:rFonts w:cs="仿宋"/>
          <w:b/>
          <w:bCs/>
        </w:rPr>
      </w:pPr>
      <w:r>
        <w:rPr>
          <w:rFonts w:hint="eastAsia" w:cs="仿宋"/>
          <w:b/>
          <w:bCs/>
        </w:rPr>
        <w:t>付款方式</w:t>
      </w:r>
    </w:p>
    <w:p>
      <w:pPr>
        <w:ind w:firstLine="480" w:firstLineChars="200"/>
      </w:pPr>
      <w:r>
        <w:rPr>
          <w:rFonts w:hint="eastAsia" w:cs="仿宋"/>
        </w:rPr>
        <w:t>合同签订后支付合同总额的30%作为预付款，设备供货、安装、调试完成并经验收合格采购人按合同规定审核后付清余款，并退还履约保证金（无息）。同时扣除1.5%的质量保证金，质保期满且无质量、服务问题，所扣质量保证金无息退还。</w:t>
      </w:r>
    </w:p>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3"/>
      </w:pPr>
      <w:r>
        <w:rPr>
          <w:rFonts w:hint="eastAsia"/>
        </w:rPr>
        <w:t>第四部分</w:t>
      </w:r>
      <w:r>
        <w:t xml:space="preserve">   </w:t>
      </w:r>
      <w:bookmarkStart w:id="6" w:name="_Toc184310285"/>
      <w:bookmarkEnd w:id="6"/>
      <w:bookmarkStart w:id="7" w:name="_Toc184310318"/>
      <w:bookmarkEnd w:id="7"/>
      <w:bookmarkStart w:id="8" w:name="_Toc184313265"/>
      <w:bookmarkEnd w:id="8"/>
      <w:bookmarkStart w:id="9" w:name="_Toc184312104"/>
      <w:bookmarkEnd w:id="9"/>
      <w:bookmarkStart w:id="10" w:name="_Toc184313261"/>
      <w:bookmarkEnd w:id="10"/>
      <w:bookmarkStart w:id="11" w:name="_Toc184308096"/>
      <w:bookmarkEnd w:id="11"/>
      <w:bookmarkStart w:id="12" w:name="_Toc184310314"/>
      <w:bookmarkEnd w:id="12"/>
      <w:bookmarkStart w:id="13" w:name="_Toc184313277"/>
      <w:bookmarkEnd w:id="13"/>
      <w:bookmarkStart w:id="14" w:name="_Toc184312079"/>
      <w:bookmarkEnd w:id="14"/>
      <w:bookmarkStart w:id="15" w:name="_Toc184312086"/>
      <w:bookmarkEnd w:id="15"/>
      <w:bookmarkStart w:id="16" w:name="_Toc184308071"/>
      <w:bookmarkEnd w:id="16"/>
      <w:bookmarkStart w:id="17" w:name="_Toc184314477"/>
      <w:bookmarkEnd w:id="17"/>
      <w:bookmarkStart w:id="18" w:name="_Toc184313295"/>
      <w:bookmarkEnd w:id="18"/>
      <w:bookmarkStart w:id="19" w:name="_Toc184314433"/>
      <w:bookmarkEnd w:id="19"/>
      <w:bookmarkStart w:id="20" w:name="_Toc184313260"/>
      <w:bookmarkEnd w:id="20"/>
      <w:bookmarkStart w:id="21" w:name="_Toc184312099"/>
      <w:bookmarkEnd w:id="21"/>
      <w:bookmarkStart w:id="22" w:name="_Toc184313274"/>
      <w:bookmarkEnd w:id="22"/>
      <w:bookmarkStart w:id="23" w:name="_Toc184314449"/>
      <w:bookmarkEnd w:id="23"/>
      <w:bookmarkStart w:id="24" w:name="_Toc184314440"/>
      <w:bookmarkEnd w:id="24"/>
      <w:bookmarkStart w:id="25" w:name="_Toc184308102"/>
      <w:bookmarkEnd w:id="25"/>
      <w:bookmarkStart w:id="26" w:name="_Toc184314478"/>
      <w:bookmarkEnd w:id="26"/>
      <w:bookmarkStart w:id="27" w:name="_Toc184310272"/>
      <w:bookmarkEnd w:id="27"/>
      <w:bookmarkStart w:id="28" w:name="_Toc184308039"/>
      <w:bookmarkEnd w:id="28"/>
      <w:bookmarkStart w:id="29" w:name="_Toc184312072"/>
      <w:bookmarkEnd w:id="29"/>
      <w:bookmarkStart w:id="30" w:name="_Toc184313272"/>
      <w:bookmarkEnd w:id="30"/>
      <w:bookmarkStart w:id="31" w:name="_Toc184314446"/>
      <w:bookmarkEnd w:id="31"/>
      <w:bookmarkStart w:id="32" w:name="_Toc184314473"/>
      <w:bookmarkEnd w:id="32"/>
      <w:bookmarkStart w:id="33" w:name="_Toc184310289"/>
      <w:bookmarkEnd w:id="33"/>
      <w:bookmarkStart w:id="34" w:name="_Toc184308064"/>
      <w:bookmarkEnd w:id="34"/>
      <w:bookmarkStart w:id="35" w:name="_Toc184312073"/>
      <w:bookmarkEnd w:id="35"/>
      <w:bookmarkStart w:id="36" w:name="_Toc184314442"/>
      <w:bookmarkEnd w:id="36"/>
      <w:bookmarkStart w:id="37" w:name="_Toc184310284"/>
      <w:bookmarkEnd w:id="37"/>
      <w:bookmarkStart w:id="38" w:name="_Toc184308080"/>
      <w:bookmarkEnd w:id="38"/>
      <w:bookmarkStart w:id="39" w:name="_Toc184312136"/>
      <w:bookmarkEnd w:id="39"/>
      <w:bookmarkStart w:id="40" w:name="_Toc184310278"/>
      <w:bookmarkEnd w:id="40"/>
      <w:bookmarkStart w:id="41" w:name="_Toc184314417"/>
      <w:bookmarkEnd w:id="41"/>
      <w:bookmarkStart w:id="42" w:name="_Toc184312106"/>
      <w:bookmarkEnd w:id="42"/>
      <w:bookmarkStart w:id="43" w:name="_Toc184308105"/>
      <w:bookmarkEnd w:id="43"/>
      <w:bookmarkStart w:id="44" w:name="_Toc184314415"/>
      <w:bookmarkEnd w:id="44"/>
      <w:bookmarkStart w:id="45" w:name="_Toc184312075"/>
      <w:bookmarkEnd w:id="45"/>
      <w:bookmarkStart w:id="46" w:name="_Toc184313254"/>
      <w:bookmarkEnd w:id="46"/>
      <w:bookmarkStart w:id="47" w:name="_Toc184308088"/>
      <w:bookmarkEnd w:id="47"/>
      <w:bookmarkStart w:id="48" w:name="_Toc184314445"/>
      <w:bookmarkEnd w:id="48"/>
      <w:bookmarkStart w:id="49" w:name="_Toc184312074"/>
      <w:bookmarkEnd w:id="49"/>
      <w:bookmarkStart w:id="50" w:name="_Toc184313239"/>
      <w:bookmarkEnd w:id="50"/>
      <w:bookmarkStart w:id="51" w:name="_Toc184310338"/>
      <w:bookmarkEnd w:id="51"/>
      <w:bookmarkStart w:id="52" w:name="_Toc184312096"/>
      <w:bookmarkEnd w:id="52"/>
      <w:bookmarkStart w:id="53" w:name="_Toc184312085"/>
      <w:bookmarkEnd w:id="53"/>
      <w:bookmarkStart w:id="54" w:name="_Toc184313306"/>
      <w:bookmarkEnd w:id="54"/>
      <w:bookmarkStart w:id="55" w:name="_Toc184308065"/>
      <w:bookmarkEnd w:id="55"/>
      <w:bookmarkStart w:id="56" w:name="_Toc184308062"/>
      <w:bookmarkEnd w:id="56"/>
      <w:bookmarkStart w:id="57" w:name="_Toc184310331"/>
      <w:bookmarkEnd w:id="57"/>
      <w:bookmarkStart w:id="58" w:name="_Toc184314470"/>
      <w:bookmarkEnd w:id="58"/>
      <w:bookmarkStart w:id="59" w:name="_Toc184310339"/>
      <w:bookmarkEnd w:id="59"/>
      <w:bookmarkStart w:id="60" w:name="_Toc184310291"/>
      <w:bookmarkEnd w:id="60"/>
      <w:bookmarkStart w:id="61" w:name="_Toc184310334"/>
      <w:bookmarkEnd w:id="61"/>
      <w:bookmarkStart w:id="62" w:name="_Toc184312091"/>
      <w:bookmarkEnd w:id="62"/>
      <w:bookmarkStart w:id="63" w:name="_Toc184310301"/>
      <w:bookmarkEnd w:id="63"/>
      <w:bookmarkStart w:id="64" w:name="_Toc184312130"/>
      <w:bookmarkEnd w:id="64"/>
      <w:bookmarkStart w:id="65" w:name="_Toc184308055"/>
      <w:bookmarkEnd w:id="65"/>
      <w:bookmarkStart w:id="66" w:name="_Toc184310287"/>
      <w:bookmarkEnd w:id="66"/>
      <w:bookmarkStart w:id="67" w:name="_Toc184312092"/>
      <w:bookmarkEnd w:id="67"/>
      <w:bookmarkStart w:id="68" w:name="_Toc184308042"/>
      <w:bookmarkEnd w:id="68"/>
      <w:bookmarkStart w:id="69" w:name="_Toc184312121"/>
      <w:bookmarkEnd w:id="69"/>
      <w:bookmarkStart w:id="70" w:name="_Toc184312067"/>
      <w:bookmarkEnd w:id="70"/>
      <w:bookmarkStart w:id="71" w:name="_Toc184308059"/>
      <w:bookmarkEnd w:id="71"/>
      <w:bookmarkStart w:id="72" w:name="_Toc184313241"/>
      <w:bookmarkEnd w:id="72"/>
      <w:bookmarkStart w:id="73" w:name="_Toc184314472"/>
      <w:bookmarkEnd w:id="73"/>
      <w:bookmarkStart w:id="74" w:name="_Toc184310305"/>
      <w:bookmarkEnd w:id="74"/>
      <w:bookmarkStart w:id="75" w:name="_Toc184314480"/>
      <w:bookmarkEnd w:id="75"/>
      <w:bookmarkStart w:id="76" w:name="_Toc184313249"/>
      <w:bookmarkEnd w:id="76"/>
      <w:bookmarkStart w:id="77" w:name="_Toc184308054"/>
      <w:bookmarkEnd w:id="77"/>
      <w:bookmarkStart w:id="78" w:name="_Toc184314427"/>
      <w:bookmarkEnd w:id="78"/>
      <w:bookmarkStart w:id="79" w:name="_Toc184313310"/>
      <w:bookmarkEnd w:id="79"/>
      <w:bookmarkStart w:id="80" w:name="_Toc184308040"/>
      <w:bookmarkEnd w:id="80"/>
      <w:bookmarkStart w:id="81" w:name="_Toc184310310"/>
      <w:bookmarkEnd w:id="81"/>
      <w:bookmarkStart w:id="82" w:name="_Toc184312068"/>
      <w:bookmarkEnd w:id="82"/>
      <w:bookmarkStart w:id="83" w:name="_Toc184310280"/>
      <w:bookmarkEnd w:id="83"/>
      <w:bookmarkStart w:id="84" w:name="_Toc184308047"/>
      <w:bookmarkEnd w:id="84"/>
      <w:bookmarkStart w:id="85" w:name="_Toc184310329"/>
      <w:bookmarkEnd w:id="85"/>
      <w:bookmarkStart w:id="86" w:name="_Toc184312125"/>
      <w:bookmarkEnd w:id="86"/>
      <w:bookmarkStart w:id="87" w:name="_Toc184310304"/>
      <w:bookmarkEnd w:id="87"/>
      <w:bookmarkStart w:id="88" w:name="_Toc184312134"/>
      <w:bookmarkEnd w:id="88"/>
      <w:bookmarkStart w:id="89" w:name="_Toc184313303"/>
      <w:bookmarkEnd w:id="89"/>
      <w:bookmarkStart w:id="90" w:name="_Toc184313244"/>
      <w:bookmarkEnd w:id="90"/>
      <w:bookmarkStart w:id="91" w:name="_Toc184313250"/>
      <w:bookmarkEnd w:id="91"/>
      <w:bookmarkStart w:id="92" w:name="_Toc184312108"/>
      <w:bookmarkEnd w:id="92"/>
      <w:bookmarkStart w:id="93" w:name="_Toc184314465"/>
      <w:bookmarkEnd w:id="93"/>
      <w:bookmarkStart w:id="94" w:name="_Toc184310286"/>
      <w:bookmarkEnd w:id="94"/>
      <w:bookmarkStart w:id="95" w:name="_Toc184314459"/>
      <w:bookmarkEnd w:id="95"/>
      <w:bookmarkStart w:id="96" w:name="_Toc184313288"/>
      <w:bookmarkEnd w:id="96"/>
      <w:bookmarkStart w:id="97" w:name="_Toc184314420"/>
      <w:bookmarkEnd w:id="97"/>
      <w:bookmarkStart w:id="98" w:name="_Toc184312094"/>
      <w:bookmarkEnd w:id="98"/>
      <w:bookmarkStart w:id="99" w:name="_Toc184313253"/>
      <w:bookmarkEnd w:id="99"/>
      <w:bookmarkStart w:id="100" w:name="_Toc184308068"/>
      <w:bookmarkEnd w:id="100"/>
      <w:bookmarkStart w:id="101" w:name="_Toc184313259"/>
      <w:bookmarkEnd w:id="101"/>
      <w:bookmarkStart w:id="102" w:name="_Toc184314414"/>
      <w:bookmarkEnd w:id="102"/>
      <w:bookmarkStart w:id="103" w:name="_Toc184312087"/>
      <w:bookmarkEnd w:id="103"/>
      <w:bookmarkStart w:id="104" w:name="_Toc184312076"/>
      <w:bookmarkEnd w:id="104"/>
      <w:bookmarkStart w:id="105" w:name="_Toc184308089"/>
      <w:bookmarkEnd w:id="105"/>
      <w:bookmarkStart w:id="106" w:name="_Toc184314476"/>
      <w:bookmarkEnd w:id="106"/>
      <w:bookmarkStart w:id="107" w:name="_Toc184314475"/>
      <w:bookmarkEnd w:id="107"/>
      <w:bookmarkStart w:id="108" w:name="_Toc184308041"/>
      <w:bookmarkEnd w:id="108"/>
      <w:bookmarkStart w:id="109" w:name="_Toc184314421"/>
      <w:bookmarkEnd w:id="109"/>
      <w:bookmarkStart w:id="110" w:name="_Toc184314425"/>
      <w:bookmarkEnd w:id="110"/>
      <w:bookmarkStart w:id="111" w:name="_Toc184314432"/>
      <w:bookmarkEnd w:id="111"/>
      <w:bookmarkStart w:id="112" w:name="_Toc184312117"/>
      <w:bookmarkEnd w:id="112"/>
      <w:bookmarkStart w:id="113" w:name="_Toc184312100"/>
      <w:bookmarkEnd w:id="113"/>
      <w:bookmarkStart w:id="114" w:name="_Toc184314441"/>
      <w:bookmarkEnd w:id="114"/>
      <w:bookmarkStart w:id="115" w:name="_Toc184313298"/>
      <w:bookmarkEnd w:id="115"/>
      <w:bookmarkStart w:id="116" w:name="_Toc184310341"/>
      <w:bookmarkEnd w:id="116"/>
      <w:bookmarkStart w:id="117" w:name="_Toc184308067"/>
      <w:bookmarkEnd w:id="117"/>
      <w:bookmarkStart w:id="118" w:name="_Toc184313263"/>
      <w:bookmarkEnd w:id="118"/>
      <w:bookmarkStart w:id="119" w:name="_Toc184314481"/>
      <w:bookmarkEnd w:id="119"/>
      <w:bookmarkStart w:id="120" w:name="_Toc184312088"/>
      <w:bookmarkEnd w:id="120"/>
      <w:bookmarkStart w:id="121" w:name="_Toc184310335"/>
      <w:bookmarkEnd w:id="121"/>
      <w:bookmarkStart w:id="122" w:name="_Toc184312137"/>
      <w:bookmarkEnd w:id="122"/>
      <w:bookmarkStart w:id="123" w:name="_Toc184310277"/>
      <w:bookmarkEnd w:id="123"/>
      <w:bookmarkStart w:id="124" w:name="_Toc184313285"/>
      <w:bookmarkEnd w:id="124"/>
      <w:bookmarkStart w:id="125" w:name="_Toc184314474"/>
      <w:bookmarkEnd w:id="125"/>
      <w:bookmarkStart w:id="126" w:name="_Toc184312109"/>
      <w:bookmarkEnd w:id="126"/>
      <w:bookmarkStart w:id="127" w:name="_Toc184312122"/>
      <w:bookmarkEnd w:id="127"/>
      <w:bookmarkStart w:id="128" w:name="_Toc184310296"/>
      <w:bookmarkEnd w:id="128"/>
      <w:bookmarkStart w:id="129" w:name="_Toc184310323"/>
      <w:bookmarkEnd w:id="129"/>
      <w:bookmarkStart w:id="130" w:name="_Toc184308094"/>
      <w:bookmarkEnd w:id="130"/>
      <w:bookmarkStart w:id="131" w:name="_Toc184310308"/>
      <w:bookmarkEnd w:id="131"/>
      <w:bookmarkStart w:id="132" w:name="_Toc184314439"/>
      <w:bookmarkEnd w:id="132"/>
      <w:bookmarkStart w:id="133" w:name="_Toc184314452"/>
      <w:bookmarkEnd w:id="133"/>
      <w:bookmarkStart w:id="134" w:name="_Toc184310325"/>
      <w:bookmarkEnd w:id="134"/>
      <w:bookmarkStart w:id="135" w:name="_Toc184313294"/>
      <w:bookmarkEnd w:id="135"/>
      <w:bookmarkStart w:id="136" w:name="_Toc184312103"/>
      <w:bookmarkEnd w:id="136"/>
      <w:bookmarkStart w:id="137" w:name="_Toc184312116"/>
      <w:bookmarkEnd w:id="137"/>
      <w:bookmarkStart w:id="138" w:name="_Toc184308093"/>
      <w:bookmarkEnd w:id="138"/>
      <w:bookmarkStart w:id="139" w:name="_Toc184310328"/>
      <w:bookmarkEnd w:id="139"/>
      <w:bookmarkStart w:id="140" w:name="_Toc184313299"/>
      <w:bookmarkEnd w:id="140"/>
      <w:bookmarkStart w:id="141" w:name="_Toc184313300"/>
      <w:bookmarkEnd w:id="141"/>
      <w:bookmarkStart w:id="142" w:name="_Toc184308085"/>
      <w:bookmarkEnd w:id="142"/>
      <w:bookmarkStart w:id="143" w:name="_Toc184313304"/>
      <w:bookmarkEnd w:id="143"/>
      <w:bookmarkStart w:id="144" w:name="_Toc184314466"/>
      <w:bookmarkEnd w:id="144"/>
      <w:bookmarkStart w:id="145" w:name="_Toc184310309"/>
      <w:bookmarkEnd w:id="145"/>
      <w:bookmarkStart w:id="146" w:name="_Toc184308092"/>
      <w:bookmarkEnd w:id="146"/>
      <w:bookmarkStart w:id="147" w:name="_Toc184313242"/>
      <w:bookmarkEnd w:id="147"/>
      <w:bookmarkStart w:id="148" w:name="_Toc184312097"/>
      <w:bookmarkEnd w:id="148"/>
      <w:bookmarkStart w:id="149" w:name="_Toc184312098"/>
      <w:bookmarkEnd w:id="149"/>
      <w:bookmarkStart w:id="150" w:name="_Toc184312124"/>
      <w:bookmarkEnd w:id="150"/>
      <w:bookmarkStart w:id="151" w:name="_Toc184312071"/>
      <w:bookmarkEnd w:id="151"/>
      <w:bookmarkStart w:id="152" w:name="_Toc184308058"/>
      <w:bookmarkEnd w:id="152"/>
      <w:bookmarkStart w:id="153" w:name="_Toc184308084"/>
      <w:bookmarkEnd w:id="153"/>
      <w:bookmarkStart w:id="154" w:name="_Toc184314447"/>
      <w:bookmarkEnd w:id="154"/>
      <w:bookmarkStart w:id="155" w:name="_Toc184313276"/>
      <w:bookmarkEnd w:id="155"/>
      <w:bookmarkStart w:id="156" w:name="_Toc184313279"/>
      <w:bookmarkEnd w:id="156"/>
      <w:bookmarkStart w:id="157" w:name="_Toc184310322"/>
      <w:bookmarkEnd w:id="157"/>
      <w:bookmarkStart w:id="158" w:name="_Toc184314468"/>
      <w:bookmarkEnd w:id="158"/>
      <w:bookmarkStart w:id="159" w:name="_Toc184313293"/>
      <w:bookmarkEnd w:id="159"/>
      <w:bookmarkStart w:id="160" w:name="_Toc184308078"/>
      <w:bookmarkEnd w:id="160"/>
      <w:bookmarkStart w:id="161" w:name="_Toc184312113"/>
      <w:bookmarkEnd w:id="161"/>
      <w:bookmarkStart w:id="162" w:name="_Toc184310315"/>
      <w:bookmarkEnd w:id="162"/>
      <w:bookmarkStart w:id="163" w:name="_Toc184313247"/>
      <w:bookmarkEnd w:id="163"/>
      <w:bookmarkStart w:id="164" w:name="_Toc184310300"/>
      <w:bookmarkEnd w:id="164"/>
      <w:bookmarkStart w:id="165" w:name="_Toc184314443"/>
      <w:bookmarkEnd w:id="165"/>
      <w:bookmarkStart w:id="166" w:name="_Toc184314436"/>
      <w:bookmarkEnd w:id="166"/>
      <w:bookmarkStart w:id="167" w:name="_Toc184313270"/>
      <w:bookmarkEnd w:id="167"/>
      <w:bookmarkStart w:id="168" w:name="_Toc184313287"/>
      <w:bookmarkEnd w:id="168"/>
      <w:bookmarkStart w:id="169" w:name="_Toc184312123"/>
      <w:bookmarkEnd w:id="169"/>
      <w:bookmarkStart w:id="170" w:name="_Toc184310317"/>
      <w:bookmarkEnd w:id="170"/>
      <w:bookmarkStart w:id="171" w:name="_Toc184313308"/>
      <w:bookmarkEnd w:id="171"/>
      <w:bookmarkStart w:id="172" w:name="_Toc184310326"/>
      <w:bookmarkEnd w:id="172"/>
      <w:bookmarkStart w:id="173" w:name="_Toc184313297"/>
      <w:bookmarkEnd w:id="173"/>
      <w:bookmarkStart w:id="174" w:name="_Toc184310306"/>
      <w:bookmarkEnd w:id="174"/>
      <w:bookmarkStart w:id="175" w:name="_Toc184314419"/>
      <w:bookmarkEnd w:id="175"/>
      <w:bookmarkStart w:id="176" w:name="_Toc184308104"/>
      <w:bookmarkEnd w:id="176"/>
      <w:bookmarkStart w:id="177" w:name="_Toc184314412"/>
      <w:bookmarkEnd w:id="177"/>
      <w:bookmarkStart w:id="178" w:name="_Toc184308075"/>
      <w:bookmarkEnd w:id="178"/>
      <w:bookmarkStart w:id="179" w:name="_Toc184314454"/>
      <w:bookmarkEnd w:id="179"/>
      <w:bookmarkStart w:id="180" w:name="_Toc184308081"/>
      <w:bookmarkEnd w:id="180"/>
      <w:bookmarkStart w:id="181" w:name="_Toc184314438"/>
      <w:bookmarkEnd w:id="181"/>
      <w:bookmarkStart w:id="182" w:name="_Toc184314456"/>
      <w:bookmarkEnd w:id="182"/>
      <w:bookmarkStart w:id="183" w:name="_Toc184314467"/>
      <w:bookmarkEnd w:id="183"/>
      <w:bookmarkStart w:id="184" w:name="_Toc184314461"/>
      <w:bookmarkEnd w:id="184"/>
      <w:bookmarkStart w:id="185" w:name="_Toc184308036"/>
      <w:bookmarkEnd w:id="185"/>
      <w:bookmarkStart w:id="186" w:name="_Toc184312131"/>
      <w:bookmarkEnd w:id="186"/>
      <w:bookmarkStart w:id="187" w:name="_Toc184313268"/>
      <w:bookmarkEnd w:id="187"/>
      <w:bookmarkStart w:id="188" w:name="_Toc184308046"/>
      <w:bookmarkEnd w:id="188"/>
      <w:bookmarkStart w:id="189" w:name="_Toc184314413"/>
      <w:bookmarkEnd w:id="189"/>
      <w:bookmarkStart w:id="190" w:name="_Toc184308061"/>
      <w:bookmarkEnd w:id="190"/>
      <w:bookmarkStart w:id="191" w:name="_Toc184313240"/>
      <w:bookmarkEnd w:id="191"/>
      <w:bookmarkStart w:id="192" w:name="_Toc184310303"/>
      <w:bookmarkEnd w:id="192"/>
      <w:bookmarkStart w:id="193" w:name="_Toc184314424"/>
      <w:bookmarkEnd w:id="193"/>
      <w:bookmarkStart w:id="194" w:name="_Toc184310337"/>
      <w:bookmarkEnd w:id="194"/>
      <w:bookmarkStart w:id="195" w:name="_Toc184312127"/>
      <w:bookmarkEnd w:id="195"/>
      <w:bookmarkStart w:id="196" w:name="_Toc184310276"/>
      <w:bookmarkEnd w:id="196"/>
      <w:bookmarkStart w:id="197" w:name="_Toc184308077"/>
      <w:bookmarkEnd w:id="197"/>
      <w:bookmarkStart w:id="198" w:name="_Toc184312112"/>
      <w:bookmarkEnd w:id="198"/>
      <w:bookmarkStart w:id="199" w:name="_Toc184313256"/>
      <w:bookmarkEnd w:id="199"/>
      <w:bookmarkStart w:id="200" w:name="_Toc184314423"/>
      <w:bookmarkEnd w:id="200"/>
      <w:bookmarkStart w:id="201" w:name="_Toc184313257"/>
      <w:bookmarkEnd w:id="201"/>
      <w:bookmarkStart w:id="202" w:name="_Toc184312120"/>
      <w:bookmarkEnd w:id="202"/>
      <w:bookmarkStart w:id="203" w:name="_Toc184314469"/>
      <w:bookmarkEnd w:id="203"/>
      <w:bookmarkStart w:id="204" w:name="_Toc184310294"/>
      <w:bookmarkEnd w:id="204"/>
      <w:bookmarkStart w:id="205" w:name="_Toc184310320"/>
      <w:bookmarkEnd w:id="205"/>
      <w:bookmarkStart w:id="206" w:name="_Toc184310293"/>
      <w:bookmarkEnd w:id="206"/>
      <w:bookmarkStart w:id="207" w:name="_Toc184314431"/>
      <w:bookmarkEnd w:id="207"/>
      <w:bookmarkStart w:id="208" w:name="_Toc184310316"/>
      <w:bookmarkEnd w:id="208"/>
      <w:bookmarkStart w:id="209" w:name="_Toc184312126"/>
      <w:bookmarkEnd w:id="209"/>
      <w:bookmarkStart w:id="210" w:name="_Toc184314482"/>
      <w:bookmarkEnd w:id="210"/>
      <w:bookmarkStart w:id="211" w:name="_Toc184308103"/>
      <w:bookmarkEnd w:id="211"/>
      <w:bookmarkStart w:id="212" w:name="_Toc184310307"/>
      <w:bookmarkEnd w:id="212"/>
      <w:bookmarkStart w:id="213" w:name="_Toc184313255"/>
      <w:bookmarkEnd w:id="213"/>
      <w:bookmarkStart w:id="214" w:name="_Toc184310290"/>
      <w:bookmarkEnd w:id="214"/>
      <w:bookmarkStart w:id="215" w:name="_Toc184313280"/>
      <w:bookmarkEnd w:id="215"/>
      <w:bookmarkStart w:id="216" w:name="_Toc184310321"/>
      <w:bookmarkEnd w:id="216"/>
      <w:bookmarkStart w:id="217" w:name="_Toc184312069"/>
      <w:bookmarkEnd w:id="217"/>
      <w:bookmarkStart w:id="218" w:name="_Toc184313289"/>
      <w:bookmarkEnd w:id="218"/>
      <w:bookmarkStart w:id="219" w:name="_Toc184308098"/>
      <w:bookmarkEnd w:id="219"/>
      <w:bookmarkStart w:id="220" w:name="_Toc184310298"/>
      <w:bookmarkEnd w:id="220"/>
      <w:bookmarkStart w:id="221" w:name="_Toc184312119"/>
      <w:bookmarkEnd w:id="221"/>
      <w:bookmarkStart w:id="222" w:name="_Toc184313296"/>
      <w:bookmarkEnd w:id="222"/>
      <w:bookmarkStart w:id="223" w:name="_Toc184310273"/>
      <w:bookmarkEnd w:id="223"/>
      <w:bookmarkStart w:id="224" w:name="_Toc184313278"/>
      <w:bookmarkEnd w:id="224"/>
      <w:bookmarkStart w:id="225" w:name="_Toc184310330"/>
      <w:bookmarkEnd w:id="225"/>
      <w:bookmarkStart w:id="226" w:name="_Toc184312129"/>
      <w:bookmarkEnd w:id="226"/>
      <w:bookmarkStart w:id="227" w:name="_Toc184310288"/>
      <w:bookmarkEnd w:id="227"/>
      <w:bookmarkStart w:id="228" w:name="_Toc184313246"/>
      <w:bookmarkEnd w:id="228"/>
      <w:bookmarkStart w:id="229" w:name="_Toc184312132"/>
      <w:bookmarkEnd w:id="229"/>
      <w:bookmarkStart w:id="230" w:name="_Toc184314434"/>
      <w:bookmarkEnd w:id="230"/>
      <w:bookmarkStart w:id="231" w:name="_Toc184310313"/>
      <w:bookmarkEnd w:id="231"/>
      <w:bookmarkStart w:id="232" w:name="_Toc184310281"/>
      <w:bookmarkEnd w:id="232"/>
      <w:bookmarkStart w:id="233" w:name="_Toc184308107"/>
      <w:bookmarkEnd w:id="233"/>
      <w:bookmarkStart w:id="234" w:name="_Toc184314471"/>
      <w:bookmarkEnd w:id="234"/>
      <w:bookmarkStart w:id="235" w:name="_Toc184310324"/>
      <w:bookmarkEnd w:id="235"/>
      <w:bookmarkStart w:id="236" w:name="_Toc184312077"/>
      <w:bookmarkEnd w:id="236"/>
      <w:bookmarkStart w:id="237" w:name="_Toc184314448"/>
      <w:bookmarkEnd w:id="237"/>
      <w:bookmarkStart w:id="238" w:name="_Toc184308037"/>
      <w:bookmarkEnd w:id="238"/>
      <w:bookmarkStart w:id="239" w:name="_Toc184310319"/>
      <w:bookmarkEnd w:id="239"/>
      <w:bookmarkStart w:id="240" w:name="_Toc184313252"/>
      <w:bookmarkEnd w:id="240"/>
      <w:bookmarkStart w:id="241" w:name="_Toc184308049"/>
      <w:bookmarkEnd w:id="241"/>
      <w:bookmarkStart w:id="242" w:name="_Toc184314422"/>
      <w:bookmarkEnd w:id="242"/>
      <w:bookmarkStart w:id="243" w:name="_Toc184308076"/>
      <w:bookmarkEnd w:id="243"/>
      <w:bookmarkStart w:id="244" w:name="_Toc184312080"/>
      <w:bookmarkEnd w:id="244"/>
      <w:bookmarkStart w:id="245" w:name="_Toc184314464"/>
      <w:bookmarkEnd w:id="245"/>
      <w:bookmarkStart w:id="246" w:name="_Toc184313258"/>
      <w:bookmarkEnd w:id="246"/>
      <w:bookmarkStart w:id="247" w:name="_Toc184312118"/>
      <w:bookmarkEnd w:id="247"/>
      <w:bookmarkStart w:id="248" w:name="_Toc184313292"/>
      <w:bookmarkEnd w:id="248"/>
      <w:bookmarkStart w:id="249" w:name="_Toc184308101"/>
      <w:bookmarkEnd w:id="249"/>
      <w:bookmarkStart w:id="250" w:name="_Toc184310327"/>
      <w:bookmarkEnd w:id="250"/>
      <w:bookmarkStart w:id="251" w:name="_Toc184308045"/>
      <w:bookmarkEnd w:id="251"/>
      <w:bookmarkStart w:id="252" w:name="_Toc184313273"/>
      <w:bookmarkEnd w:id="252"/>
      <w:bookmarkStart w:id="253" w:name="_Toc184310333"/>
      <w:bookmarkEnd w:id="253"/>
      <w:bookmarkStart w:id="254" w:name="_Toc184308073"/>
      <w:bookmarkEnd w:id="254"/>
      <w:bookmarkStart w:id="255" w:name="_Toc184314430"/>
      <w:bookmarkEnd w:id="255"/>
      <w:bookmarkStart w:id="256" w:name="_Toc184312114"/>
      <w:bookmarkEnd w:id="256"/>
      <w:bookmarkStart w:id="257" w:name="_Toc184313307"/>
      <w:bookmarkEnd w:id="257"/>
      <w:bookmarkStart w:id="258" w:name="_Toc184313291"/>
      <w:bookmarkEnd w:id="258"/>
      <w:bookmarkStart w:id="259" w:name="_Toc184313271"/>
      <w:bookmarkEnd w:id="259"/>
      <w:bookmarkStart w:id="260" w:name="_Toc184310292"/>
      <w:bookmarkEnd w:id="260"/>
      <w:bookmarkStart w:id="261" w:name="_Toc184314453"/>
      <w:bookmarkEnd w:id="261"/>
      <w:bookmarkStart w:id="262" w:name="_Toc184308070"/>
      <w:bookmarkEnd w:id="262"/>
      <w:bookmarkStart w:id="263" w:name="_Toc184312133"/>
      <w:bookmarkEnd w:id="263"/>
      <w:bookmarkStart w:id="264" w:name="_Toc184314416"/>
      <w:bookmarkEnd w:id="264"/>
      <w:bookmarkStart w:id="265" w:name="_Toc184308056"/>
      <w:bookmarkEnd w:id="265"/>
      <w:bookmarkStart w:id="266" w:name="_Toc184312128"/>
      <w:bookmarkEnd w:id="266"/>
      <w:bookmarkStart w:id="267" w:name="_Toc184314455"/>
      <w:bookmarkEnd w:id="267"/>
      <w:bookmarkStart w:id="268" w:name="_Toc184308051"/>
      <w:bookmarkEnd w:id="268"/>
      <w:bookmarkStart w:id="269" w:name="_Toc184313281"/>
      <w:bookmarkEnd w:id="269"/>
      <w:bookmarkStart w:id="270" w:name="_Toc184313302"/>
      <w:bookmarkEnd w:id="270"/>
      <w:bookmarkStart w:id="271" w:name="_Toc184308099"/>
      <w:bookmarkEnd w:id="271"/>
      <w:bookmarkStart w:id="272" w:name="_Toc184313262"/>
      <w:bookmarkEnd w:id="272"/>
      <w:bookmarkStart w:id="273" w:name="_Toc184312138"/>
      <w:bookmarkEnd w:id="273"/>
      <w:bookmarkStart w:id="274" w:name="_Toc184310283"/>
      <w:bookmarkEnd w:id="274"/>
      <w:bookmarkStart w:id="275" w:name="_Toc184313243"/>
      <w:bookmarkEnd w:id="275"/>
      <w:bookmarkStart w:id="276" w:name="_Toc184313264"/>
      <w:bookmarkEnd w:id="276"/>
      <w:bookmarkStart w:id="277" w:name="_Toc184308063"/>
      <w:bookmarkEnd w:id="277"/>
      <w:bookmarkStart w:id="278" w:name="_Toc184314426"/>
      <w:bookmarkEnd w:id="278"/>
      <w:bookmarkStart w:id="279" w:name="_Toc184314428"/>
      <w:bookmarkEnd w:id="279"/>
      <w:bookmarkStart w:id="280" w:name="_Toc184312111"/>
      <w:bookmarkEnd w:id="280"/>
      <w:bookmarkStart w:id="281" w:name="_Toc184310299"/>
      <w:bookmarkEnd w:id="281"/>
      <w:bookmarkStart w:id="282" w:name="_Toc184312070"/>
      <w:bookmarkEnd w:id="282"/>
      <w:bookmarkStart w:id="283" w:name="_Toc184308086"/>
      <w:bookmarkEnd w:id="283"/>
      <w:bookmarkStart w:id="284" w:name="_Toc184310312"/>
      <w:bookmarkEnd w:id="284"/>
      <w:bookmarkStart w:id="285" w:name="_Toc184308091"/>
      <w:bookmarkEnd w:id="285"/>
      <w:bookmarkStart w:id="286" w:name="_Toc184310297"/>
      <w:bookmarkEnd w:id="286"/>
      <w:bookmarkStart w:id="287" w:name="_Toc184310342"/>
      <w:bookmarkEnd w:id="287"/>
      <w:bookmarkStart w:id="288" w:name="_Toc184308100"/>
      <w:bookmarkEnd w:id="288"/>
      <w:bookmarkStart w:id="289" w:name="_Toc184314444"/>
      <w:bookmarkEnd w:id="289"/>
      <w:bookmarkStart w:id="290" w:name="_Toc184308057"/>
      <w:bookmarkEnd w:id="290"/>
      <w:bookmarkStart w:id="291" w:name="_Toc184312101"/>
      <w:bookmarkEnd w:id="291"/>
      <w:bookmarkStart w:id="292" w:name="_Toc184312093"/>
      <w:bookmarkEnd w:id="292"/>
      <w:bookmarkStart w:id="293" w:name="_Toc184310344"/>
      <w:bookmarkEnd w:id="293"/>
      <w:bookmarkStart w:id="294" w:name="_Toc184310295"/>
      <w:bookmarkEnd w:id="294"/>
      <w:bookmarkStart w:id="295" w:name="_Toc184310274"/>
      <w:bookmarkEnd w:id="295"/>
      <w:bookmarkStart w:id="296" w:name="_Toc184308082"/>
      <w:bookmarkEnd w:id="296"/>
      <w:bookmarkStart w:id="297" w:name="_Toc184310343"/>
      <w:bookmarkEnd w:id="297"/>
      <w:bookmarkStart w:id="298" w:name="_Toc184312081"/>
      <w:bookmarkEnd w:id="298"/>
      <w:bookmarkStart w:id="299" w:name="_Toc184314450"/>
      <w:bookmarkEnd w:id="299"/>
      <w:bookmarkStart w:id="300" w:name="_Toc184314410"/>
      <w:bookmarkEnd w:id="300"/>
      <w:bookmarkStart w:id="301" w:name="_Toc184310336"/>
      <w:bookmarkEnd w:id="301"/>
      <w:bookmarkStart w:id="302" w:name="_Toc184313305"/>
      <w:bookmarkEnd w:id="302"/>
      <w:bookmarkStart w:id="303" w:name="_Toc184308097"/>
      <w:bookmarkEnd w:id="303"/>
      <w:bookmarkStart w:id="304" w:name="_Toc184312135"/>
      <w:bookmarkEnd w:id="304"/>
      <w:bookmarkStart w:id="305" w:name="_Toc184312089"/>
      <w:bookmarkEnd w:id="305"/>
      <w:bookmarkStart w:id="306" w:name="_Toc184313245"/>
      <w:bookmarkEnd w:id="306"/>
      <w:bookmarkStart w:id="307" w:name="_Toc184308043"/>
      <w:bookmarkEnd w:id="307"/>
      <w:bookmarkStart w:id="308" w:name="_Toc184312082"/>
      <w:bookmarkEnd w:id="308"/>
      <w:bookmarkStart w:id="309" w:name="_Toc184308038"/>
      <w:bookmarkEnd w:id="309"/>
      <w:bookmarkStart w:id="310" w:name="_Toc184312095"/>
      <w:bookmarkEnd w:id="310"/>
      <w:bookmarkStart w:id="311" w:name="_Toc184314435"/>
      <w:bookmarkEnd w:id="311"/>
      <w:bookmarkStart w:id="312" w:name="_Toc184310332"/>
      <w:bookmarkEnd w:id="312"/>
      <w:bookmarkStart w:id="313" w:name="_Toc184313283"/>
      <w:bookmarkEnd w:id="313"/>
      <w:bookmarkStart w:id="314" w:name="_Toc184314462"/>
      <w:bookmarkEnd w:id="314"/>
      <w:bookmarkStart w:id="315" w:name="_Toc184313286"/>
      <w:bookmarkEnd w:id="315"/>
      <w:bookmarkStart w:id="316" w:name="_Toc184308095"/>
      <w:bookmarkEnd w:id="316"/>
      <w:bookmarkStart w:id="317" w:name="_Toc184314418"/>
      <w:bookmarkEnd w:id="317"/>
      <w:bookmarkStart w:id="318" w:name="_Toc184308050"/>
      <w:bookmarkEnd w:id="318"/>
      <w:bookmarkStart w:id="319" w:name="_Toc184314451"/>
      <w:bookmarkEnd w:id="319"/>
      <w:bookmarkStart w:id="320" w:name="_Toc184310282"/>
      <w:bookmarkEnd w:id="320"/>
      <w:bookmarkStart w:id="321" w:name="_Toc184314479"/>
      <w:bookmarkEnd w:id="321"/>
      <w:bookmarkStart w:id="322" w:name="_Toc184308090"/>
      <w:bookmarkEnd w:id="322"/>
      <w:bookmarkStart w:id="323" w:name="_Toc184310340"/>
      <w:bookmarkEnd w:id="323"/>
      <w:bookmarkStart w:id="324" w:name="_Toc184308052"/>
      <w:bookmarkEnd w:id="324"/>
      <w:bookmarkStart w:id="325" w:name="_Toc184308074"/>
      <w:bookmarkEnd w:id="325"/>
      <w:bookmarkStart w:id="326" w:name="_Toc184310279"/>
      <w:bookmarkEnd w:id="326"/>
      <w:bookmarkStart w:id="327" w:name="_Toc184314458"/>
      <w:bookmarkEnd w:id="327"/>
      <w:bookmarkStart w:id="328" w:name="_Toc184312107"/>
      <w:bookmarkEnd w:id="328"/>
      <w:bookmarkStart w:id="329" w:name="_Toc184312139"/>
      <w:bookmarkEnd w:id="329"/>
      <w:bookmarkStart w:id="330" w:name="_Toc184312078"/>
      <w:bookmarkEnd w:id="330"/>
      <w:bookmarkStart w:id="331" w:name="_Toc184313309"/>
      <w:bookmarkEnd w:id="331"/>
      <w:bookmarkStart w:id="332" w:name="_Toc184312102"/>
      <w:bookmarkEnd w:id="332"/>
      <w:bookmarkStart w:id="333" w:name="_Toc184313269"/>
      <w:bookmarkEnd w:id="333"/>
      <w:bookmarkStart w:id="334" w:name="_Toc184313267"/>
      <w:bookmarkEnd w:id="334"/>
      <w:bookmarkStart w:id="335" w:name="_Toc184308066"/>
      <w:bookmarkEnd w:id="335"/>
      <w:bookmarkStart w:id="336" w:name="_Toc184313266"/>
      <w:bookmarkEnd w:id="336"/>
      <w:bookmarkStart w:id="337" w:name="_Toc184313251"/>
      <w:bookmarkEnd w:id="337"/>
      <w:bookmarkStart w:id="338" w:name="_Toc184314457"/>
      <w:bookmarkEnd w:id="338"/>
      <w:bookmarkStart w:id="339" w:name="_Toc184308106"/>
      <w:bookmarkEnd w:id="339"/>
      <w:bookmarkStart w:id="340" w:name="_Toc184308079"/>
      <w:bookmarkEnd w:id="340"/>
      <w:bookmarkStart w:id="341" w:name="_Toc184314437"/>
      <w:bookmarkEnd w:id="341"/>
      <w:bookmarkStart w:id="342" w:name="_Toc184313301"/>
      <w:bookmarkEnd w:id="342"/>
      <w:bookmarkStart w:id="343" w:name="_Toc184308108"/>
      <w:bookmarkEnd w:id="343"/>
      <w:bookmarkStart w:id="344" w:name="_Toc184310275"/>
      <w:bookmarkEnd w:id="344"/>
      <w:bookmarkStart w:id="345" w:name="_Toc184314460"/>
      <w:bookmarkEnd w:id="345"/>
      <w:bookmarkStart w:id="346" w:name="_Toc184308044"/>
      <w:bookmarkEnd w:id="346"/>
      <w:bookmarkStart w:id="347" w:name="_Toc184310311"/>
      <w:bookmarkEnd w:id="347"/>
      <w:bookmarkStart w:id="348" w:name="_Toc184314429"/>
      <w:bookmarkEnd w:id="348"/>
      <w:bookmarkStart w:id="349" w:name="_Toc184312090"/>
      <w:bookmarkEnd w:id="349"/>
      <w:bookmarkStart w:id="350" w:name="_Toc184313290"/>
      <w:bookmarkEnd w:id="350"/>
      <w:bookmarkStart w:id="351" w:name="_Toc184313248"/>
      <w:bookmarkEnd w:id="351"/>
      <w:bookmarkStart w:id="352" w:name="_Toc184313238"/>
      <w:bookmarkEnd w:id="352"/>
      <w:bookmarkStart w:id="353" w:name="_Toc184308069"/>
      <w:bookmarkEnd w:id="353"/>
      <w:bookmarkStart w:id="354" w:name="_Toc184308087"/>
      <w:bookmarkEnd w:id="354"/>
      <w:bookmarkStart w:id="355" w:name="_Toc184308083"/>
      <w:bookmarkEnd w:id="355"/>
      <w:bookmarkStart w:id="356" w:name="_Toc184313284"/>
      <w:bookmarkEnd w:id="356"/>
      <w:bookmarkStart w:id="357" w:name="_Toc184308060"/>
      <w:bookmarkEnd w:id="357"/>
      <w:bookmarkStart w:id="358" w:name="_Toc184310302"/>
      <w:bookmarkEnd w:id="358"/>
      <w:bookmarkStart w:id="359" w:name="_Toc184313275"/>
      <w:bookmarkEnd w:id="359"/>
      <w:bookmarkStart w:id="360" w:name="_Toc184312110"/>
      <w:bookmarkEnd w:id="360"/>
      <w:bookmarkStart w:id="361" w:name="_Toc184312083"/>
      <w:bookmarkEnd w:id="361"/>
      <w:bookmarkStart w:id="362" w:name="_Toc184313282"/>
      <w:bookmarkEnd w:id="362"/>
      <w:bookmarkStart w:id="363" w:name="_Toc184314463"/>
      <w:bookmarkEnd w:id="363"/>
      <w:bookmarkStart w:id="364" w:name="_Toc184312084"/>
      <w:bookmarkEnd w:id="364"/>
      <w:bookmarkStart w:id="365" w:name="_Toc184308053"/>
      <w:bookmarkEnd w:id="365"/>
      <w:bookmarkStart w:id="366" w:name="_Toc184314411"/>
      <w:bookmarkEnd w:id="366"/>
      <w:bookmarkStart w:id="367" w:name="_Toc184308072"/>
      <w:bookmarkEnd w:id="367"/>
      <w:bookmarkStart w:id="368" w:name="_Toc184312105"/>
      <w:bookmarkEnd w:id="368"/>
      <w:bookmarkStart w:id="369" w:name="_Toc184308048"/>
      <w:bookmarkEnd w:id="369"/>
      <w:bookmarkStart w:id="370" w:name="_Toc184312115"/>
      <w:bookmarkEnd w:id="370"/>
      <w:r>
        <w:rPr>
          <w:rFonts w:hint="eastAsia"/>
        </w:rPr>
        <w:t>评标办法</w:t>
      </w:r>
    </w:p>
    <w:p>
      <w:pPr>
        <w:pStyle w:val="4"/>
      </w:pPr>
      <w:r>
        <w:rPr>
          <w:rFonts w:hint="eastAsia"/>
        </w:rPr>
        <w:t>评标办法前附表</w:t>
      </w:r>
    </w:p>
    <w:p>
      <w:pPr>
        <w:pStyle w:val="45"/>
        <w:numPr>
          <w:ilvl w:val="0"/>
          <w:numId w:val="47"/>
        </w:numPr>
        <w:adjustRightInd w:val="0"/>
        <w:spacing w:line="360" w:lineRule="auto"/>
        <w:rPr>
          <w:rFonts w:cs="仿宋"/>
        </w:rPr>
      </w:pPr>
      <w:r>
        <w:rPr>
          <w:rFonts w:hint="eastAsia" w:cs="仿宋"/>
          <w:b/>
          <w:bCs/>
          <w:szCs w:val="28"/>
        </w:rPr>
        <w:t>商务技术部分</w:t>
      </w:r>
      <w:r>
        <w:rPr>
          <w:rFonts w:hint="eastAsia" w:cs="仿宋"/>
          <w:b/>
          <w:bCs/>
        </w:rPr>
        <w:t>（80分）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90"/>
        <w:gridCol w:w="4600"/>
        <w:gridCol w:w="107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2" w:type="pct"/>
            <w:vAlign w:val="center"/>
          </w:tcPr>
          <w:p>
            <w:pPr>
              <w:adjustRightInd w:val="0"/>
              <w:snapToGrid w:val="0"/>
              <w:jc w:val="center"/>
              <w:rPr>
                <w:rFonts w:cs="仿宋"/>
              </w:rPr>
            </w:pPr>
            <w:r>
              <w:rPr>
                <w:rFonts w:hint="eastAsia" w:cs="仿宋"/>
              </w:rPr>
              <w:t>序号</w:t>
            </w:r>
          </w:p>
        </w:tc>
        <w:tc>
          <w:tcPr>
            <w:tcW w:w="766" w:type="pct"/>
            <w:vAlign w:val="center"/>
          </w:tcPr>
          <w:p>
            <w:pPr>
              <w:adjustRightInd w:val="0"/>
              <w:snapToGrid w:val="0"/>
              <w:jc w:val="center"/>
              <w:rPr>
                <w:rFonts w:cs="仿宋"/>
              </w:rPr>
            </w:pPr>
            <w:r>
              <w:rPr>
                <w:rFonts w:hint="eastAsia" w:cs="仿宋"/>
              </w:rPr>
              <w:t>评分因素</w:t>
            </w:r>
          </w:p>
        </w:tc>
        <w:tc>
          <w:tcPr>
            <w:tcW w:w="2714" w:type="pct"/>
            <w:vAlign w:val="center"/>
          </w:tcPr>
          <w:p>
            <w:pPr>
              <w:tabs>
                <w:tab w:val="left" w:pos="312"/>
              </w:tabs>
              <w:adjustRightInd w:val="0"/>
              <w:snapToGrid w:val="0"/>
              <w:jc w:val="center"/>
              <w:rPr>
                <w:rFonts w:cs="仿宋"/>
              </w:rPr>
            </w:pPr>
            <w:r>
              <w:rPr>
                <w:rFonts w:hint="eastAsia" w:cs="仿宋"/>
              </w:rPr>
              <w:t>评分标准</w:t>
            </w:r>
          </w:p>
        </w:tc>
        <w:tc>
          <w:tcPr>
            <w:tcW w:w="638" w:type="pct"/>
            <w:vAlign w:val="center"/>
          </w:tcPr>
          <w:p>
            <w:pPr>
              <w:tabs>
                <w:tab w:val="left" w:pos="312"/>
              </w:tabs>
              <w:adjustRightInd w:val="0"/>
              <w:snapToGrid w:val="0"/>
              <w:jc w:val="center"/>
              <w:rPr>
                <w:rFonts w:cs="仿宋"/>
              </w:rPr>
            </w:pPr>
            <w:r>
              <w:rPr>
                <w:rFonts w:hint="eastAsia" w:cs="仿宋"/>
              </w:rPr>
              <w:t>分值</w:t>
            </w:r>
          </w:p>
        </w:tc>
        <w:tc>
          <w:tcPr>
            <w:tcW w:w="638" w:type="pct"/>
            <w:vAlign w:val="center"/>
          </w:tcPr>
          <w:p>
            <w:pPr>
              <w:tabs>
                <w:tab w:val="left" w:pos="312"/>
              </w:tabs>
              <w:adjustRightInd w:val="0"/>
              <w:snapToGrid w:val="0"/>
              <w:jc w:val="center"/>
              <w:rPr>
                <w:rFonts w:cs="仿宋"/>
              </w:rPr>
            </w:pPr>
            <w:r>
              <w:rPr>
                <w:rFonts w:hint="eastAsia" w:cs="仿宋"/>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adjustRightInd w:val="0"/>
              <w:snapToGrid w:val="0"/>
              <w:spacing w:after="0"/>
              <w:jc w:val="center"/>
              <w:rPr>
                <w:rFonts w:cs="仿宋"/>
              </w:rPr>
            </w:pPr>
            <w:r>
              <w:rPr>
                <w:rFonts w:hint="eastAsia" w:cs="仿宋"/>
              </w:rPr>
              <w:t>1</w:t>
            </w:r>
          </w:p>
        </w:tc>
        <w:tc>
          <w:tcPr>
            <w:tcW w:w="766" w:type="pct"/>
            <w:vAlign w:val="center"/>
          </w:tcPr>
          <w:p>
            <w:pPr>
              <w:adjustRightInd w:val="0"/>
              <w:snapToGrid w:val="0"/>
              <w:spacing w:after="0"/>
              <w:jc w:val="center"/>
              <w:rPr>
                <w:rFonts w:cs="仿宋"/>
              </w:rPr>
            </w:pPr>
            <w:r>
              <w:rPr>
                <w:rFonts w:hint="eastAsia" w:cs="仿宋"/>
              </w:rPr>
              <w:t>投标人综合实力（10分）</w:t>
            </w:r>
          </w:p>
        </w:tc>
        <w:tc>
          <w:tcPr>
            <w:tcW w:w="2714" w:type="pct"/>
            <w:vAlign w:val="center"/>
          </w:tcPr>
          <w:p>
            <w:pPr>
              <w:numPr>
                <w:ilvl w:val="0"/>
                <w:numId w:val="48"/>
              </w:numPr>
              <w:adjustRightInd w:val="0"/>
              <w:snapToGrid w:val="0"/>
              <w:spacing w:after="0"/>
              <w:rPr>
                <w:rFonts w:cs="仿宋"/>
              </w:rPr>
            </w:pPr>
            <w:r>
              <w:rPr>
                <w:rFonts w:hint="eastAsia" w:cs="仿宋"/>
              </w:rPr>
              <w:t>投标人具有信息系统建设和服务能力等级证书能力等级达到CS4优秀级的得2分，达到CS3良好级的得1分，其余不得分。</w:t>
            </w:r>
          </w:p>
          <w:p>
            <w:pPr>
              <w:numPr>
                <w:ilvl w:val="0"/>
                <w:numId w:val="48"/>
              </w:numPr>
              <w:adjustRightInd w:val="0"/>
              <w:snapToGrid w:val="0"/>
              <w:spacing w:after="0"/>
              <w:rPr>
                <w:rFonts w:cs="仿宋"/>
              </w:rPr>
            </w:pPr>
            <w:r>
              <w:rPr>
                <w:rFonts w:hint="eastAsia" w:cs="仿宋"/>
              </w:rPr>
              <w:t>投标人具有有效的CMMI5级认证证书得2分，CMMI4级得1.5分，CMMI3级得1分，其余不得分。</w:t>
            </w:r>
          </w:p>
          <w:p>
            <w:pPr>
              <w:numPr>
                <w:ilvl w:val="0"/>
                <w:numId w:val="48"/>
              </w:numPr>
              <w:adjustRightInd w:val="0"/>
              <w:snapToGrid w:val="0"/>
              <w:spacing w:after="0"/>
              <w:rPr>
                <w:rFonts w:cs="仿宋"/>
              </w:rPr>
            </w:pPr>
            <w:r>
              <w:rPr>
                <w:rFonts w:hint="eastAsia" w:cs="仿宋"/>
              </w:rPr>
              <w:t>投标人具有知识产权管理体系认证证书，且认证范围至少需包含数字驾驶舱，得2分。</w:t>
            </w:r>
          </w:p>
          <w:p>
            <w:pPr>
              <w:numPr>
                <w:ilvl w:val="0"/>
                <w:numId w:val="48"/>
              </w:numPr>
              <w:adjustRightInd w:val="0"/>
              <w:snapToGrid w:val="0"/>
              <w:spacing w:after="0"/>
              <w:rPr>
                <w:rFonts w:cs="仿宋"/>
              </w:rPr>
            </w:pPr>
            <w:r>
              <w:rPr>
                <w:rFonts w:hint="eastAsia" w:cs="仿宋"/>
              </w:rPr>
              <w:t>投标人具有CCRC信息安全服务资质认证证书，得1分。</w:t>
            </w:r>
          </w:p>
          <w:p>
            <w:pPr>
              <w:numPr>
                <w:ilvl w:val="0"/>
                <w:numId w:val="48"/>
              </w:numPr>
              <w:adjustRightInd w:val="0"/>
              <w:snapToGrid w:val="0"/>
              <w:spacing w:after="0"/>
              <w:rPr>
                <w:rFonts w:cs="仿宋"/>
              </w:rPr>
            </w:pPr>
            <w:r>
              <w:rPr>
                <w:rFonts w:hint="eastAsia" w:cs="仿宋"/>
              </w:rPr>
              <w:t>投标人具有有效的ITSS信息技术服务运行维护标准符合性证书三级以上，得1分。</w:t>
            </w:r>
          </w:p>
          <w:p>
            <w:pPr>
              <w:numPr>
                <w:ilvl w:val="0"/>
                <w:numId w:val="48"/>
              </w:numPr>
              <w:adjustRightInd w:val="0"/>
              <w:snapToGrid w:val="0"/>
              <w:spacing w:after="0"/>
              <w:rPr>
                <w:rFonts w:cs="仿宋"/>
              </w:rPr>
            </w:pPr>
            <w:r>
              <w:rPr>
                <w:rFonts w:hint="eastAsia" w:cs="仿宋"/>
              </w:rPr>
              <w:t>投标人具有ISO27001信息安全管理认证、ISO9001质量管理体系认证、ISO20000信息技术服务管理体系认证、ISO14001环境管理体系认证的每具有1项得0.5分，最多得2分。</w:t>
            </w:r>
          </w:p>
        </w:tc>
        <w:tc>
          <w:tcPr>
            <w:tcW w:w="638" w:type="pct"/>
            <w:vAlign w:val="center"/>
          </w:tcPr>
          <w:p>
            <w:pPr>
              <w:tabs>
                <w:tab w:val="left" w:pos="312"/>
              </w:tabs>
              <w:adjustRightInd w:val="0"/>
              <w:snapToGrid w:val="0"/>
              <w:spacing w:after="0"/>
              <w:jc w:val="center"/>
              <w:rPr>
                <w:rFonts w:cs="仿宋"/>
              </w:rPr>
            </w:pPr>
            <w:r>
              <w:rPr>
                <w:rFonts w:hint="eastAsia" w:cs="仿宋"/>
              </w:rPr>
              <w:t>0-10</w:t>
            </w:r>
          </w:p>
        </w:tc>
        <w:tc>
          <w:tcPr>
            <w:tcW w:w="638" w:type="pct"/>
            <w:vAlign w:val="center"/>
          </w:tcPr>
          <w:p>
            <w:pPr>
              <w:tabs>
                <w:tab w:val="left" w:pos="312"/>
              </w:tabs>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42" w:type="pct"/>
            <w:vAlign w:val="center"/>
          </w:tcPr>
          <w:p>
            <w:pPr>
              <w:adjustRightInd w:val="0"/>
              <w:snapToGrid w:val="0"/>
              <w:spacing w:after="0"/>
              <w:jc w:val="center"/>
              <w:rPr>
                <w:rFonts w:cs="仿宋"/>
              </w:rPr>
            </w:pPr>
            <w:r>
              <w:rPr>
                <w:rFonts w:hint="eastAsia" w:cs="仿宋"/>
              </w:rPr>
              <w:t>2</w:t>
            </w:r>
          </w:p>
        </w:tc>
        <w:tc>
          <w:tcPr>
            <w:tcW w:w="766" w:type="pct"/>
            <w:vAlign w:val="center"/>
          </w:tcPr>
          <w:p>
            <w:pPr>
              <w:spacing w:after="0" w:line="300" w:lineRule="exact"/>
              <w:jc w:val="center"/>
              <w:rPr>
                <w:rFonts w:cs="仿宋"/>
              </w:rPr>
            </w:pPr>
            <w:r>
              <w:rPr>
                <w:rFonts w:hint="eastAsia" w:cs="仿宋"/>
              </w:rPr>
              <w:t>对项目现状和需求的理解（5分）</w:t>
            </w:r>
          </w:p>
        </w:tc>
        <w:tc>
          <w:tcPr>
            <w:tcW w:w="2714" w:type="pct"/>
            <w:vAlign w:val="center"/>
          </w:tcPr>
          <w:p>
            <w:pPr>
              <w:spacing w:after="0"/>
            </w:pPr>
            <w:r>
              <w:rPr>
                <w:rFonts w:hint="eastAsia"/>
              </w:rPr>
              <w:t>投标人针对欢潭村未来村庄建设的现状、各委办局的需求分析、对整个项目理解的透彻程度进行综合评定得0-5分。</w:t>
            </w:r>
          </w:p>
          <w:p>
            <w:pPr>
              <w:numPr>
                <w:ilvl w:val="0"/>
                <w:numId w:val="49"/>
              </w:numPr>
              <w:spacing w:after="0"/>
            </w:pPr>
            <w:r>
              <w:rPr>
                <w:rFonts w:hint="eastAsia"/>
              </w:rPr>
              <w:t>分析准确，理解透彻的得5分。</w:t>
            </w:r>
          </w:p>
          <w:p>
            <w:pPr>
              <w:numPr>
                <w:ilvl w:val="0"/>
                <w:numId w:val="49"/>
              </w:numPr>
              <w:spacing w:after="0"/>
            </w:pPr>
            <w:r>
              <w:rPr>
                <w:rFonts w:hint="eastAsia"/>
              </w:rPr>
              <w:t>分析基本准确，理解一般的得2-4分。</w:t>
            </w:r>
          </w:p>
          <w:p>
            <w:pPr>
              <w:numPr>
                <w:ilvl w:val="0"/>
                <w:numId w:val="49"/>
              </w:numPr>
              <w:spacing w:after="0"/>
            </w:pPr>
            <w:r>
              <w:rPr>
                <w:rFonts w:hint="eastAsia"/>
              </w:rPr>
              <w:t>分析模糊，理解模糊的得0-1分。</w:t>
            </w:r>
          </w:p>
        </w:tc>
        <w:tc>
          <w:tcPr>
            <w:tcW w:w="638" w:type="pct"/>
            <w:vAlign w:val="center"/>
          </w:tcPr>
          <w:p>
            <w:pPr>
              <w:adjustRightInd w:val="0"/>
              <w:snapToGrid w:val="0"/>
              <w:spacing w:after="0"/>
              <w:jc w:val="center"/>
              <w:rPr>
                <w:rFonts w:cs="仿宋"/>
              </w:rPr>
            </w:pPr>
            <w:r>
              <w:rPr>
                <w:rFonts w:hint="eastAsia" w:cs="仿宋"/>
              </w:rPr>
              <w:t>0-5</w:t>
            </w:r>
          </w:p>
        </w:tc>
        <w:tc>
          <w:tcPr>
            <w:tcW w:w="638" w:type="pct"/>
            <w:vAlign w:val="center"/>
          </w:tcPr>
          <w:p>
            <w:pPr>
              <w:adjustRightInd w:val="0"/>
              <w:snapToGrid w:val="0"/>
              <w:spacing w:after="0"/>
              <w:jc w:val="center"/>
              <w:rPr>
                <w:rFonts w:cs="仿宋"/>
                <w:highlight w:val="green"/>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3</w:t>
            </w:r>
          </w:p>
        </w:tc>
        <w:tc>
          <w:tcPr>
            <w:tcW w:w="766" w:type="pct"/>
            <w:vAlign w:val="center"/>
          </w:tcPr>
          <w:p>
            <w:pPr>
              <w:spacing w:after="0" w:line="300" w:lineRule="exact"/>
              <w:jc w:val="center"/>
              <w:rPr>
                <w:rFonts w:cs="仿宋"/>
                <w:szCs w:val="21"/>
              </w:rPr>
            </w:pPr>
            <w:r>
              <w:rPr>
                <w:rFonts w:hint="eastAsia" w:cs="仿宋"/>
              </w:rPr>
              <w:t>整体技术方案（15分）</w:t>
            </w:r>
          </w:p>
        </w:tc>
        <w:tc>
          <w:tcPr>
            <w:tcW w:w="2714" w:type="pct"/>
            <w:vAlign w:val="center"/>
          </w:tcPr>
          <w:p>
            <w:pPr>
              <w:adjustRightInd w:val="0"/>
              <w:snapToGrid w:val="0"/>
              <w:spacing w:after="0"/>
              <w:rPr>
                <w:rFonts w:cs="仿宋"/>
              </w:rPr>
            </w:pPr>
            <w:r>
              <w:rPr>
                <w:rFonts w:hint="eastAsia" w:cs="仿宋"/>
              </w:rPr>
              <w:t>投标人提供详尽技术设计方案，包括系统架构</w:t>
            </w:r>
            <w:r>
              <w:rPr>
                <w:rFonts w:hint="eastAsia" w:cs="仿宋"/>
                <w:lang w:eastAsia="zh-CN"/>
              </w:rPr>
              <w:t>（</w:t>
            </w:r>
            <w:r>
              <w:rPr>
                <w:rFonts w:hint="eastAsia" w:cs="仿宋"/>
                <w:lang w:val="en-US" w:eastAsia="zh-CN"/>
              </w:rPr>
              <w:t>0-3分</w:t>
            </w:r>
            <w:r>
              <w:rPr>
                <w:rFonts w:hint="eastAsia" w:cs="仿宋"/>
                <w:lang w:eastAsia="zh-CN"/>
              </w:rPr>
              <w:t>）</w:t>
            </w:r>
            <w:r>
              <w:rPr>
                <w:rFonts w:hint="eastAsia" w:cs="仿宋"/>
              </w:rPr>
              <w:t>、网络系统设计</w:t>
            </w:r>
            <w:r>
              <w:rPr>
                <w:rFonts w:hint="eastAsia" w:cs="仿宋"/>
                <w:lang w:eastAsia="zh-CN"/>
              </w:rPr>
              <w:t>（</w:t>
            </w:r>
            <w:r>
              <w:rPr>
                <w:rFonts w:hint="eastAsia" w:cs="仿宋"/>
                <w:lang w:val="en-US" w:eastAsia="zh-CN"/>
              </w:rPr>
              <w:t>0-3分</w:t>
            </w:r>
            <w:r>
              <w:rPr>
                <w:rFonts w:hint="eastAsia" w:cs="仿宋"/>
                <w:lang w:eastAsia="zh-CN"/>
              </w:rPr>
              <w:t>）</w:t>
            </w:r>
            <w:r>
              <w:rPr>
                <w:rFonts w:hint="eastAsia" w:cs="仿宋"/>
              </w:rPr>
              <w:t>、数据处理和存储设计</w:t>
            </w:r>
            <w:r>
              <w:rPr>
                <w:rFonts w:hint="eastAsia" w:cs="仿宋"/>
                <w:lang w:eastAsia="zh-CN"/>
              </w:rPr>
              <w:t>（</w:t>
            </w:r>
            <w:r>
              <w:rPr>
                <w:rFonts w:hint="eastAsia" w:cs="仿宋"/>
                <w:lang w:val="en-US" w:eastAsia="zh-CN"/>
              </w:rPr>
              <w:t>0-3分</w:t>
            </w:r>
            <w:r>
              <w:rPr>
                <w:rFonts w:hint="eastAsia" w:cs="仿宋"/>
                <w:lang w:eastAsia="zh-CN"/>
              </w:rPr>
              <w:t>）</w:t>
            </w:r>
            <w:r>
              <w:rPr>
                <w:rFonts w:hint="eastAsia" w:cs="仿宋"/>
              </w:rPr>
              <w:t>、功能设计</w:t>
            </w:r>
            <w:r>
              <w:rPr>
                <w:rFonts w:hint="eastAsia" w:cs="仿宋"/>
                <w:lang w:eastAsia="zh-CN"/>
              </w:rPr>
              <w:t>（</w:t>
            </w:r>
            <w:r>
              <w:rPr>
                <w:rFonts w:hint="eastAsia" w:cs="仿宋"/>
                <w:lang w:val="en-US" w:eastAsia="zh-CN"/>
              </w:rPr>
              <w:t>0-3分</w:t>
            </w:r>
            <w:r>
              <w:rPr>
                <w:rFonts w:hint="eastAsia" w:cs="仿宋"/>
                <w:lang w:eastAsia="zh-CN"/>
              </w:rPr>
              <w:t>）</w:t>
            </w:r>
            <w:r>
              <w:rPr>
                <w:rFonts w:hint="eastAsia" w:cs="仿宋"/>
              </w:rPr>
              <w:t>、网络安全设计</w:t>
            </w:r>
            <w:r>
              <w:rPr>
                <w:rFonts w:hint="eastAsia" w:cs="仿宋"/>
                <w:lang w:eastAsia="zh-CN"/>
              </w:rPr>
              <w:t>（</w:t>
            </w:r>
            <w:r>
              <w:rPr>
                <w:rFonts w:hint="eastAsia" w:cs="仿宋"/>
                <w:lang w:val="en-US" w:eastAsia="zh-CN"/>
              </w:rPr>
              <w:t>0-3分</w:t>
            </w:r>
            <w:r>
              <w:rPr>
                <w:rFonts w:hint="eastAsia" w:cs="仿宋"/>
                <w:lang w:eastAsia="zh-CN"/>
              </w:rPr>
              <w:t>）</w:t>
            </w:r>
            <w:r>
              <w:rPr>
                <w:rFonts w:hint="eastAsia" w:cs="仿宋"/>
              </w:rPr>
              <w:t>。</w:t>
            </w:r>
          </w:p>
        </w:tc>
        <w:tc>
          <w:tcPr>
            <w:tcW w:w="638" w:type="pct"/>
            <w:vAlign w:val="center"/>
          </w:tcPr>
          <w:p>
            <w:pPr>
              <w:adjustRightInd w:val="0"/>
              <w:snapToGrid w:val="0"/>
              <w:spacing w:after="0"/>
              <w:jc w:val="center"/>
              <w:rPr>
                <w:rFonts w:cs="仿宋"/>
              </w:rPr>
            </w:pPr>
            <w:r>
              <w:rPr>
                <w:rFonts w:hint="eastAsia" w:cs="仿宋"/>
              </w:rPr>
              <w:t>0-15</w:t>
            </w:r>
          </w:p>
        </w:tc>
        <w:tc>
          <w:tcPr>
            <w:tcW w:w="638" w:type="pct"/>
            <w:vAlign w:val="center"/>
          </w:tcPr>
          <w:p>
            <w:pPr>
              <w:adjustRightInd w:val="0"/>
              <w:snapToGrid w:val="0"/>
              <w:spacing w:after="0"/>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4</w:t>
            </w:r>
          </w:p>
        </w:tc>
        <w:tc>
          <w:tcPr>
            <w:tcW w:w="766" w:type="pct"/>
            <w:vAlign w:val="center"/>
          </w:tcPr>
          <w:p>
            <w:pPr>
              <w:spacing w:after="0" w:line="300" w:lineRule="exact"/>
              <w:jc w:val="center"/>
              <w:rPr>
                <w:rFonts w:cs="仿宋"/>
                <w:szCs w:val="21"/>
              </w:rPr>
            </w:pPr>
            <w:r>
              <w:rPr>
                <w:rFonts w:hint="eastAsia" w:cs="仿宋"/>
              </w:rPr>
              <w:t>类似项目业绩（2分）</w:t>
            </w:r>
          </w:p>
        </w:tc>
        <w:tc>
          <w:tcPr>
            <w:tcW w:w="2714" w:type="pct"/>
            <w:vAlign w:val="center"/>
          </w:tcPr>
          <w:p>
            <w:pPr>
              <w:adjustRightInd w:val="0"/>
              <w:snapToGrid w:val="0"/>
              <w:spacing w:after="0"/>
            </w:pPr>
            <w:r>
              <w:rPr>
                <w:rFonts w:hint="eastAsia"/>
              </w:rPr>
              <w:t>2019年1月1日以后具有类似项目合同业绩，每提供一个合同报告得1分，最高得2分。</w:t>
            </w:r>
          </w:p>
          <w:p>
            <w:pPr>
              <w:pStyle w:val="23"/>
              <w:spacing w:after="0"/>
              <w:ind w:firstLine="0" w:firstLineChars="0"/>
            </w:pPr>
            <w:r>
              <w:rPr>
                <w:rFonts w:hint="eastAsia"/>
              </w:rPr>
              <w:t>注：须提供相关合同报告复印件，加盖公章。</w:t>
            </w:r>
          </w:p>
        </w:tc>
        <w:tc>
          <w:tcPr>
            <w:tcW w:w="638" w:type="pct"/>
            <w:vAlign w:val="center"/>
          </w:tcPr>
          <w:p>
            <w:pPr>
              <w:adjustRightInd w:val="0"/>
              <w:snapToGrid w:val="0"/>
              <w:spacing w:after="0"/>
              <w:jc w:val="center"/>
              <w:rPr>
                <w:rFonts w:cs="仿宋"/>
              </w:rPr>
            </w:pPr>
            <w:r>
              <w:rPr>
                <w:rFonts w:hint="eastAsia" w:cs="仿宋"/>
              </w:rPr>
              <w:t>0-2</w:t>
            </w:r>
          </w:p>
        </w:tc>
        <w:tc>
          <w:tcPr>
            <w:tcW w:w="638" w:type="pct"/>
            <w:vAlign w:val="center"/>
          </w:tcPr>
          <w:p>
            <w:pPr>
              <w:adjustRightInd w:val="0"/>
              <w:snapToGrid w:val="0"/>
              <w:spacing w:after="0"/>
              <w:jc w:val="center"/>
              <w:rPr>
                <w:rFonts w:cs="仿宋"/>
                <w:highlight w:val="green"/>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5</w:t>
            </w:r>
          </w:p>
        </w:tc>
        <w:tc>
          <w:tcPr>
            <w:tcW w:w="766" w:type="pct"/>
            <w:vAlign w:val="center"/>
          </w:tcPr>
          <w:p>
            <w:pPr>
              <w:adjustRightInd w:val="0"/>
              <w:snapToGrid w:val="0"/>
              <w:spacing w:after="0"/>
              <w:jc w:val="center"/>
              <w:rPr>
                <w:rFonts w:cs="仿宋"/>
              </w:rPr>
            </w:pPr>
            <w:r>
              <w:rPr>
                <w:rFonts w:hint="eastAsia" w:cs="仿宋"/>
              </w:rPr>
              <w:t>软件开发能力（12分）</w:t>
            </w:r>
          </w:p>
        </w:tc>
        <w:tc>
          <w:tcPr>
            <w:tcW w:w="2714" w:type="pct"/>
            <w:vAlign w:val="center"/>
          </w:tcPr>
          <w:p>
            <w:pPr>
              <w:numPr>
                <w:ilvl w:val="0"/>
                <w:numId w:val="50"/>
              </w:numPr>
              <w:adjustRightInd w:val="0"/>
              <w:snapToGrid w:val="0"/>
              <w:spacing w:after="0"/>
              <w:rPr>
                <w:rFonts w:cs="仿宋"/>
              </w:rPr>
            </w:pPr>
            <w:r>
              <w:rPr>
                <w:rFonts w:hint="eastAsia" w:cs="仿宋"/>
              </w:rPr>
              <w:t>投标人具有下列软件著作权登记证书：文本语义分析类、应急指挥类、智慧停车类、数据汇聚类、数据中枢类、数据赋能协同类、可视化建模类、WIFI大数据管理类、智慧市政综合管理类、智慧党建类、人工智能流程处理类、大数据治理类、政务信息资源共享类、统一GIS类、统一支付类、领导决策驾驶舱类。全部具有得8分，每缺少一类证书扣1分，扣完为止。</w:t>
            </w:r>
          </w:p>
          <w:p>
            <w:pPr>
              <w:numPr>
                <w:ilvl w:val="0"/>
                <w:numId w:val="50"/>
              </w:numPr>
              <w:adjustRightInd w:val="0"/>
              <w:snapToGrid w:val="0"/>
              <w:spacing w:after="0"/>
              <w:rPr>
                <w:rFonts w:cs="仿宋"/>
              </w:rPr>
            </w:pPr>
            <w:r>
              <w:rPr>
                <w:rFonts w:hint="eastAsia" w:cs="仿宋"/>
              </w:rPr>
              <w:t>投标人具有数据图表类发明专利得1分。</w:t>
            </w:r>
          </w:p>
          <w:p>
            <w:pPr>
              <w:numPr>
                <w:ilvl w:val="0"/>
                <w:numId w:val="50"/>
              </w:numPr>
              <w:adjustRightInd w:val="0"/>
              <w:snapToGrid w:val="0"/>
              <w:spacing w:after="0"/>
              <w:rPr>
                <w:rFonts w:cs="仿宋"/>
              </w:rPr>
            </w:pPr>
            <w:r>
              <w:rPr>
                <w:rFonts w:hint="eastAsia" w:cs="仿宋"/>
              </w:rPr>
              <w:t>投标人具有信息检索类发明专利得1分。</w:t>
            </w:r>
          </w:p>
          <w:p>
            <w:pPr>
              <w:numPr>
                <w:ilvl w:val="0"/>
                <w:numId w:val="50"/>
              </w:numPr>
              <w:adjustRightInd w:val="0"/>
              <w:snapToGrid w:val="0"/>
              <w:spacing w:after="0"/>
              <w:rPr>
                <w:rFonts w:cs="仿宋"/>
              </w:rPr>
            </w:pPr>
            <w:r>
              <w:rPr>
                <w:rFonts w:hint="eastAsia" w:cs="仿宋"/>
              </w:rPr>
              <w:t>投标人具有政务大数据安全保障类发明专利得1分。</w:t>
            </w:r>
          </w:p>
          <w:p>
            <w:pPr>
              <w:numPr>
                <w:ilvl w:val="0"/>
                <w:numId w:val="50"/>
              </w:numPr>
              <w:adjustRightInd w:val="0"/>
              <w:snapToGrid w:val="0"/>
              <w:spacing w:after="0"/>
              <w:rPr>
                <w:rFonts w:cs="仿宋"/>
              </w:rPr>
            </w:pPr>
            <w:r>
              <w:rPr>
                <w:rFonts w:hint="eastAsia" w:cs="仿宋"/>
              </w:rPr>
              <w:t>投标人具有信息安全存储加密类发明专利得1分。</w:t>
            </w:r>
          </w:p>
          <w:p>
            <w:pPr>
              <w:pStyle w:val="23"/>
              <w:spacing w:after="0"/>
              <w:ind w:firstLine="0" w:firstLineChars="0"/>
              <w:rPr>
                <w:rFonts w:cs="仿宋"/>
              </w:rPr>
            </w:pPr>
            <w:r>
              <w:rPr>
                <w:rFonts w:hint="eastAsia" w:cs="仿宋"/>
              </w:rPr>
              <w:t>注：相关证书应在本项目招标公告发布日之前取得，时间以证书颁发时间为准，提供证书原件的复印件并加盖公章</w:t>
            </w:r>
          </w:p>
        </w:tc>
        <w:tc>
          <w:tcPr>
            <w:tcW w:w="638" w:type="pct"/>
            <w:vAlign w:val="center"/>
          </w:tcPr>
          <w:p>
            <w:pPr>
              <w:adjustRightInd w:val="0"/>
              <w:snapToGrid w:val="0"/>
              <w:spacing w:after="0"/>
              <w:jc w:val="center"/>
              <w:rPr>
                <w:rFonts w:cs="仿宋"/>
              </w:rPr>
            </w:pPr>
            <w:r>
              <w:rPr>
                <w:rFonts w:hint="eastAsia" w:cs="仿宋"/>
              </w:rPr>
              <w:t>0-12</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6</w:t>
            </w:r>
          </w:p>
        </w:tc>
        <w:tc>
          <w:tcPr>
            <w:tcW w:w="766" w:type="pct"/>
            <w:vAlign w:val="center"/>
          </w:tcPr>
          <w:p>
            <w:pPr>
              <w:adjustRightInd w:val="0"/>
              <w:snapToGrid w:val="0"/>
              <w:spacing w:after="0"/>
              <w:jc w:val="center"/>
              <w:rPr>
                <w:rFonts w:cs="仿宋"/>
              </w:rPr>
            </w:pPr>
            <w:r>
              <w:rPr>
                <w:rFonts w:hint="eastAsia" w:cs="仿宋"/>
              </w:rPr>
              <w:t>技术参数响应（8）</w:t>
            </w:r>
          </w:p>
        </w:tc>
        <w:tc>
          <w:tcPr>
            <w:tcW w:w="2714" w:type="pct"/>
            <w:vAlign w:val="center"/>
          </w:tcPr>
          <w:p>
            <w:pPr>
              <w:adjustRightInd w:val="0"/>
              <w:snapToGrid w:val="0"/>
              <w:spacing w:after="0"/>
              <w:rPr>
                <w:rFonts w:cs="仿宋"/>
              </w:rPr>
            </w:pPr>
            <w:r>
              <w:rPr>
                <w:rFonts w:hint="eastAsia" w:cs="仿宋"/>
                <w:highlight w:val="none"/>
              </w:rPr>
              <w:t>投标产品技术参数和配置完全满足或高于招标文件要求的8分；要求提供检测报告或证明文件的，每不满足1条扣2分，分数扣完为止。</w:t>
            </w:r>
          </w:p>
        </w:tc>
        <w:tc>
          <w:tcPr>
            <w:tcW w:w="638" w:type="pct"/>
            <w:vAlign w:val="center"/>
          </w:tcPr>
          <w:p>
            <w:pPr>
              <w:adjustRightInd w:val="0"/>
              <w:snapToGrid w:val="0"/>
              <w:spacing w:after="0"/>
              <w:jc w:val="center"/>
              <w:rPr>
                <w:rFonts w:cs="仿宋"/>
              </w:rPr>
            </w:pPr>
            <w:r>
              <w:rPr>
                <w:rFonts w:hint="eastAsia" w:cs="仿宋"/>
              </w:rPr>
              <w:t>0-8</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7</w:t>
            </w:r>
          </w:p>
        </w:tc>
        <w:tc>
          <w:tcPr>
            <w:tcW w:w="766" w:type="pct"/>
            <w:vAlign w:val="center"/>
          </w:tcPr>
          <w:p>
            <w:pPr>
              <w:adjustRightInd w:val="0"/>
              <w:snapToGrid w:val="0"/>
              <w:spacing w:after="0"/>
              <w:jc w:val="center"/>
              <w:rPr>
                <w:rFonts w:cs="仿宋"/>
              </w:rPr>
            </w:pPr>
            <w:r>
              <w:rPr>
                <w:rFonts w:hint="eastAsia" w:cs="仿宋"/>
              </w:rPr>
              <w:t>项目实施团队(8分)</w:t>
            </w:r>
          </w:p>
        </w:tc>
        <w:tc>
          <w:tcPr>
            <w:tcW w:w="2714" w:type="pct"/>
            <w:vAlign w:val="center"/>
          </w:tcPr>
          <w:p>
            <w:pPr>
              <w:numPr>
                <w:ilvl w:val="0"/>
                <w:numId w:val="51"/>
              </w:numPr>
              <w:adjustRightInd w:val="0"/>
              <w:spacing w:after="0"/>
              <w:rPr>
                <w:rFonts w:cs="仿宋"/>
              </w:rPr>
            </w:pPr>
            <w:r>
              <w:rPr>
                <w:rFonts w:hint="eastAsia" w:cs="仿宋"/>
              </w:rPr>
              <w:t>拟投入本项目的技术专家具有教授级高级工程师职称、获得过省级及以上科学技术进步奖，全都具备得2分，有其中一项得1分，都不具备不得分。</w:t>
            </w:r>
          </w:p>
          <w:p>
            <w:pPr>
              <w:numPr>
                <w:ilvl w:val="0"/>
                <w:numId w:val="51"/>
              </w:numPr>
              <w:adjustRightInd w:val="0"/>
              <w:spacing w:after="0"/>
              <w:rPr>
                <w:rFonts w:cs="仿宋"/>
              </w:rPr>
            </w:pPr>
            <w:r>
              <w:rPr>
                <w:rFonts w:hint="eastAsia" w:cs="仿宋"/>
              </w:rPr>
              <w:t>拟投入本项目的项目经理同时具有信息系统项目管理师证书和PMP证书，全都具备得2分，有其中一项得1分，都不具备不得分。</w:t>
            </w:r>
          </w:p>
          <w:p>
            <w:pPr>
              <w:numPr>
                <w:ilvl w:val="0"/>
                <w:numId w:val="51"/>
              </w:numPr>
              <w:adjustRightInd w:val="0"/>
              <w:spacing w:after="0"/>
              <w:rPr>
                <w:rFonts w:cs="仿宋"/>
              </w:rPr>
            </w:pPr>
            <w:r>
              <w:rPr>
                <w:rFonts w:hint="eastAsia" w:cs="仿宋"/>
              </w:rPr>
              <w:t>拟投入本项目的网络工程师同时具有网络规划设计师和CCIE证书，全都具备得2分，有其中一项得1分，都不具备不得分。</w:t>
            </w:r>
          </w:p>
          <w:p>
            <w:pPr>
              <w:numPr>
                <w:ilvl w:val="0"/>
                <w:numId w:val="51"/>
              </w:numPr>
              <w:adjustRightInd w:val="0"/>
              <w:spacing w:after="0"/>
              <w:rPr>
                <w:rFonts w:cs="仿宋"/>
              </w:rPr>
            </w:pPr>
            <w:r>
              <w:rPr>
                <w:rFonts w:hint="eastAsia" w:cs="仿宋"/>
              </w:rPr>
              <w:t>拟投入本项目的运维工程师具有ITSS-IT服务工程师证书的，得2分。</w:t>
            </w:r>
          </w:p>
          <w:p>
            <w:pPr>
              <w:adjustRightInd w:val="0"/>
              <w:snapToGrid w:val="0"/>
              <w:spacing w:after="0"/>
              <w:rPr>
                <w:rFonts w:cs="仿宋"/>
              </w:rPr>
            </w:pPr>
            <w:r>
              <w:rPr>
                <w:rFonts w:hint="eastAsia" w:cs="仿宋"/>
              </w:rPr>
              <w:t>注：提供证书及投标截止日前半年内任意连续三个月社保证明材料，同一人员不重复计分。</w:t>
            </w:r>
          </w:p>
        </w:tc>
        <w:tc>
          <w:tcPr>
            <w:tcW w:w="638" w:type="pct"/>
            <w:vAlign w:val="center"/>
          </w:tcPr>
          <w:p>
            <w:pPr>
              <w:adjustRightInd w:val="0"/>
              <w:snapToGrid w:val="0"/>
              <w:spacing w:after="0"/>
              <w:jc w:val="center"/>
              <w:rPr>
                <w:rFonts w:cs="仿宋"/>
              </w:rPr>
            </w:pPr>
            <w:r>
              <w:rPr>
                <w:rFonts w:hint="eastAsia" w:cs="仿宋"/>
              </w:rPr>
              <w:t>0-8</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8</w:t>
            </w:r>
          </w:p>
        </w:tc>
        <w:tc>
          <w:tcPr>
            <w:tcW w:w="766" w:type="pct"/>
            <w:vAlign w:val="center"/>
          </w:tcPr>
          <w:p>
            <w:pPr>
              <w:adjustRightInd w:val="0"/>
              <w:snapToGrid w:val="0"/>
              <w:spacing w:after="0"/>
              <w:jc w:val="center"/>
              <w:rPr>
                <w:rFonts w:cs="仿宋"/>
              </w:rPr>
            </w:pPr>
            <w:r>
              <w:rPr>
                <w:rFonts w:hint="eastAsia" w:cs="仿宋"/>
              </w:rPr>
              <w:t>服务方案（5分）</w:t>
            </w:r>
          </w:p>
        </w:tc>
        <w:tc>
          <w:tcPr>
            <w:tcW w:w="2714" w:type="pct"/>
            <w:vAlign w:val="center"/>
          </w:tcPr>
          <w:p>
            <w:pPr>
              <w:adjustRightInd w:val="0"/>
              <w:snapToGrid w:val="0"/>
              <w:spacing w:after="0"/>
              <w:rPr>
                <w:rFonts w:cs="仿宋"/>
              </w:rPr>
            </w:pPr>
            <w:r>
              <w:rPr>
                <w:rFonts w:hint="eastAsia" w:cs="仿宋"/>
              </w:rPr>
              <w:t>根据投标人提供的服务方案及措施（至少包含服务流程、故障响应安排、应急保障措施、培训计划等内容）进行综合评价，服务方案内容完整、科学、合理情况综合评定。</w:t>
            </w:r>
          </w:p>
          <w:p>
            <w:pPr>
              <w:adjustRightInd w:val="0"/>
              <w:snapToGrid w:val="0"/>
              <w:spacing w:after="0"/>
              <w:rPr>
                <w:rFonts w:cs="仿宋"/>
              </w:rPr>
            </w:pPr>
            <w:r>
              <w:rPr>
                <w:rFonts w:hint="eastAsia" w:cs="仿宋"/>
              </w:rPr>
              <w:t>1、方案准确、合理、详尽，结合招标人实际情况符合招标人需求，完全可行得5分。</w:t>
            </w:r>
          </w:p>
          <w:p>
            <w:pPr>
              <w:adjustRightInd w:val="0"/>
              <w:snapToGrid w:val="0"/>
              <w:spacing w:after="0"/>
              <w:rPr>
                <w:rFonts w:cs="仿宋"/>
              </w:rPr>
            </w:pPr>
            <w:r>
              <w:rPr>
                <w:rFonts w:hint="eastAsia" w:cs="仿宋"/>
              </w:rPr>
              <w:t xml:space="preserve">2、方案完整且达到标书要求符合招标人需求，但内容和安排与项目要求联系不够紧密得2-4分。 </w:t>
            </w:r>
          </w:p>
          <w:p>
            <w:pPr>
              <w:adjustRightInd w:val="0"/>
              <w:spacing w:after="0"/>
              <w:rPr>
                <w:rFonts w:cs="仿宋"/>
              </w:rPr>
            </w:pPr>
            <w:r>
              <w:rPr>
                <w:rFonts w:hint="eastAsia" w:cs="仿宋"/>
              </w:rPr>
              <w:t>3、方案不能完全满足项目要求，实施方案不太详尽，且内容和安排无针对性得0-1分</w:t>
            </w:r>
          </w:p>
        </w:tc>
        <w:tc>
          <w:tcPr>
            <w:tcW w:w="638" w:type="pct"/>
            <w:vAlign w:val="center"/>
          </w:tcPr>
          <w:p>
            <w:pPr>
              <w:adjustRightInd w:val="0"/>
              <w:snapToGrid w:val="0"/>
              <w:spacing w:after="0"/>
              <w:jc w:val="center"/>
              <w:rPr>
                <w:rFonts w:cs="仿宋"/>
              </w:rPr>
            </w:pPr>
            <w:r>
              <w:rPr>
                <w:rFonts w:hint="eastAsia" w:cs="仿宋"/>
              </w:rPr>
              <w:t>0-5</w:t>
            </w:r>
          </w:p>
        </w:tc>
        <w:tc>
          <w:tcPr>
            <w:tcW w:w="638" w:type="pct"/>
            <w:vAlign w:val="center"/>
          </w:tcPr>
          <w:p>
            <w:pPr>
              <w:adjustRightInd w:val="0"/>
              <w:snapToGrid w:val="0"/>
              <w:spacing w:after="0"/>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2" w:type="pct"/>
            <w:vAlign w:val="center"/>
          </w:tcPr>
          <w:p>
            <w:pPr>
              <w:adjustRightInd w:val="0"/>
              <w:snapToGrid w:val="0"/>
              <w:spacing w:after="0"/>
              <w:jc w:val="center"/>
              <w:rPr>
                <w:rFonts w:cs="仿宋"/>
              </w:rPr>
            </w:pPr>
            <w:r>
              <w:rPr>
                <w:rFonts w:hint="eastAsia" w:cs="仿宋"/>
              </w:rPr>
              <w:t>9</w:t>
            </w:r>
          </w:p>
        </w:tc>
        <w:tc>
          <w:tcPr>
            <w:tcW w:w="766" w:type="pct"/>
            <w:vAlign w:val="center"/>
          </w:tcPr>
          <w:p>
            <w:pPr>
              <w:adjustRightInd w:val="0"/>
              <w:snapToGrid w:val="0"/>
              <w:spacing w:after="0"/>
              <w:jc w:val="center"/>
              <w:rPr>
                <w:rFonts w:cs="仿宋"/>
              </w:rPr>
            </w:pPr>
            <w:r>
              <w:rPr>
                <w:rFonts w:hint="eastAsia" w:cs="仿宋"/>
              </w:rPr>
              <w:t>DEMO演示（15分）</w:t>
            </w:r>
          </w:p>
        </w:tc>
        <w:tc>
          <w:tcPr>
            <w:tcW w:w="2714" w:type="pct"/>
            <w:vAlign w:val="center"/>
          </w:tcPr>
          <w:p>
            <w:pPr>
              <w:adjustRightInd w:val="0"/>
              <w:spacing w:after="0"/>
            </w:pPr>
            <w:r>
              <w:rPr>
                <w:rFonts w:hint="eastAsia"/>
              </w:rPr>
              <w:t>DEMO演示：对旅游小程序、驾驶舱演示。具体演示内容包括：</w:t>
            </w:r>
          </w:p>
          <w:p>
            <w:pPr>
              <w:numPr>
                <w:ilvl w:val="0"/>
                <w:numId w:val="52"/>
              </w:numPr>
              <w:adjustRightInd w:val="0"/>
              <w:spacing w:after="0"/>
            </w:pPr>
            <w:r>
              <w:rPr>
                <w:rFonts w:hint="eastAsia"/>
              </w:rPr>
              <w:t>小程序演示，通过小程序实现欢潭村智慧旅游服务。演示欢潭景点、美食、购物等资源查找、优惠券分享、直播、商城以及数据后台功能。（0-7.5分）</w:t>
            </w:r>
          </w:p>
          <w:p>
            <w:pPr>
              <w:numPr>
                <w:ilvl w:val="0"/>
                <w:numId w:val="52"/>
              </w:numPr>
              <w:adjustRightInd w:val="0"/>
              <w:spacing w:after="0"/>
            </w:pPr>
            <w:r>
              <w:rPr>
                <w:rFonts w:hint="eastAsia"/>
              </w:rPr>
              <w:t>驾驶舱演示，每个页面点击展示：分别展示进心乐游、进心公益、进心康养、进心向党和五义指数。（0-7.5分）</w:t>
            </w:r>
          </w:p>
        </w:tc>
        <w:tc>
          <w:tcPr>
            <w:tcW w:w="638" w:type="pct"/>
            <w:vAlign w:val="center"/>
          </w:tcPr>
          <w:p>
            <w:pPr>
              <w:adjustRightInd w:val="0"/>
              <w:snapToGrid w:val="0"/>
              <w:spacing w:after="0"/>
              <w:jc w:val="center"/>
              <w:rPr>
                <w:rFonts w:cs="仿宋"/>
              </w:rPr>
            </w:pPr>
            <w:r>
              <w:rPr>
                <w:rFonts w:hint="eastAsia" w:cs="仿宋"/>
              </w:rPr>
              <w:t>0-15</w:t>
            </w:r>
          </w:p>
        </w:tc>
        <w:tc>
          <w:tcPr>
            <w:tcW w:w="638" w:type="pct"/>
            <w:vAlign w:val="center"/>
          </w:tcPr>
          <w:p>
            <w:pPr>
              <w:adjustRightInd w:val="0"/>
              <w:snapToGrid w:val="0"/>
              <w:spacing w:after="0"/>
              <w:jc w:val="center"/>
              <w:rPr>
                <w:rFonts w:cs="仿宋"/>
                <w:highlight w:val="green"/>
              </w:rPr>
            </w:pPr>
            <w:r>
              <w:rPr>
                <w:rFonts w:hint="eastAsia" w:cs="仿宋"/>
              </w:rPr>
              <w:t>主观分</w:t>
            </w:r>
          </w:p>
        </w:tc>
      </w:tr>
    </w:tbl>
    <w:p>
      <w:pPr>
        <w:spacing w:line="360" w:lineRule="auto"/>
        <w:rPr>
          <w:rFonts w:cs="仿宋_GB2312"/>
          <w:b/>
        </w:rPr>
      </w:pPr>
    </w:p>
    <w:p>
      <w:pPr>
        <w:spacing w:line="360" w:lineRule="auto"/>
        <w:ind w:firstLine="482" w:firstLineChars="200"/>
        <w:rPr>
          <w:rFonts w:cs="仿宋"/>
          <w:b/>
          <w:bCs/>
          <w:szCs w:val="28"/>
        </w:rPr>
      </w:pPr>
      <w:r>
        <w:rPr>
          <w:rFonts w:hint="eastAsia" w:cs="仿宋"/>
          <w:b/>
          <w:bCs/>
          <w:szCs w:val="28"/>
        </w:rPr>
        <w:t>2）、价格分（20分）</w:t>
      </w:r>
    </w:p>
    <w:tbl>
      <w:tblPr>
        <w:tblStyle w:val="24"/>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价格权值</w:t>
            </w:r>
          </w:p>
        </w:tc>
        <w:tc>
          <w:tcPr>
            <w:tcW w:w="6342"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价格权值=20</w:t>
            </w:r>
          </w:p>
        </w:tc>
        <w:tc>
          <w:tcPr>
            <w:tcW w:w="6342" w:type="dxa"/>
            <w:tcBorders>
              <w:top w:val="single" w:color="auto" w:sz="4" w:space="0"/>
              <w:left w:val="single" w:color="auto" w:sz="4" w:space="0"/>
              <w:bottom w:val="single" w:color="auto" w:sz="4" w:space="0"/>
              <w:right w:val="single" w:color="auto" w:sz="4" w:space="0"/>
            </w:tcBorders>
            <w:noWrap/>
            <w:vAlign w:val="center"/>
          </w:tcPr>
          <w:p>
            <w:pPr>
              <w:rPr>
                <w:rFonts w:cs="仿宋"/>
              </w:rPr>
            </w:pPr>
            <w:r>
              <w:rPr>
                <w:rFonts w:hint="eastAsia" w:cs="仿宋"/>
              </w:rPr>
              <w:t>最低有效投标价格为评标基准价</w:t>
            </w:r>
          </w:p>
          <w:p>
            <w:pPr>
              <w:rPr>
                <w:rFonts w:cs="仿宋"/>
              </w:rPr>
            </w:pPr>
            <w:r>
              <w:rPr>
                <w:rFonts w:hint="eastAsia" w:cs="仿宋"/>
              </w:rPr>
              <w:t xml:space="preserve">投标报价得分=(评标基准价／投标报价)×价格权值×100 </w:t>
            </w:r>
          </w:p>
          <w:p>
            <w:pPr>
              <w:ind w:firstLine="480" w:firstLineChars="200"/>
              <w:rPr>
                <w:rFonts w:cs="仿宋"/>
              </w:rPr>
            </w:pPr>
            <w:r>
              <w:rPr>
                <w:rFonts w:hint="eastAsia" w:cs="仿宋"/>
              </w:rPr>
              <w:t>（计算得分保留小数点后2位）</w:t>
            </w:r>
          </w:p>
        </w:tc>
      </w:tr>
    </w:tbl>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
      <w:pPr>
        <w:pStyle w:val="4"/>
      </w:pPr>
      <w:r>
        <w:rPr>
          <w:rFonts w:hint="eastAsia"/>
        </w:rPr>
        <w:t>一、评标方法</w:t>
      </w:r>
    </w:p>
    <w:p>
      <w:pPr>
        <w:spacing w:line="360" w:lineRule="auto"/>
        <w:ind w:firstLine="472" w:firstLineChars="196"/>
        <w:rPr>
          <w:rFonts w:ascii="仿宋_GB2312" w:eastAsia="仿宋_GB2312" w:cs="Arial"/>
        </w:rPr>
      </w:pPr>
      <w:r>
        <w:rPr>
          <w:rStyle w:val="35"/>
        </w:rPr>
        <w:t>1.</w:t>
      </w:r>
      <w:r>
        <w:rPr>
          <w:rStyle w:val="35"/>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5"/>
        </w:rPr>
        <w:t xml:space="preserve">2. </w:t>
      </w:r>
      <w:r>
        <w:rPr>
          <w:rStyle w:val="35"/>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5"/>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5"/>
        </w:rPr>
        <w:t xml:space="preserve">3.2 </w:t>
      </w:r>
      <w:r>
        <w:rPr>
          <w:rStyle w:val="35"/>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5"/>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2"/>
      </w:pPr>
      <w:r>
        <w:tab/>
      </w:r>
      <w:r>
        <w:t>3.4报价评审。</w:t>
      </w:r>
    </w:p>
    <w:p>
      <w:pPr>
        <w:pStyle w:val="59"/>
      </w:pPr>
      <w:r>
        <w:t>3.4.1投标文件报价出现前后不一致的，按照下列规定修正：</w:t>
      </w:r>
    </w:p>
    <w:p>
      <w:pPr>
        <w:pStyle w:val="59"/>
      </w:pPr>
      <w:r>
        <w:t>3.4.1.1投标文件中开标一览表(报价表)内容与投标文件中相应内容不一致的，以开标一览表(报价表)为准;</w:t>
      </w:r>
    </w:p>
    <w:p>
      <w:pPr>
        <w:pStyle w:val="59"/>
      </w:pPr>
      <w:r>
        <w:t>3.4.1.2大写金额和小写金额不一致的，以大写金额为准;</w:t>
      </w:r>
    </w:p>
    <w:p>
      <w:pPr>
        <w:pStyle w:val="59"/>
      </w:pPr>
      <w:r>
        <w:t>3.4.1.3单价金额小数点或者百分比有明显错位的，以开标一览表的总价为准，并修改单价;</w:t>
      </w:r>
    </w:p>
    <w:p>
      <w:pPr>
        <w:pStyle w:val="59"/>
      </w:pPr>
      <w:r>
        <w:t>3.4.1.4总价金额与按单价汇总金额不一致的，以单价金额计算结果为准。</w:t>
      </w:r>
    </w:p>
    <w:p>
      <w:pPr>
        <w:pStyle w:val="59"/>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9"/>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9"/>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5"/>
        </w:rPr>
        <w:t>3.5</w:t>
      </w:r>
      <w:r>
        <w:rPr>
          <w:rStyle w:val="35"/>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5"/>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59"/>
      </w:pPr>
      <w:r>
        <w:rPr>
          <w:rStyle w:val="35"/>
        </w:rPr>
        <w:t>4.1</w:t>
      </w:r>
      <w:r>
        <w:rPr>
          <w:rStyle w:val="35"/>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szCs w:val="21"/>
        </w:rPr>
      </w:pPr>
      <w:r>
        <w:rPr>
          <w:rStyle w:val="35"/>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rPr>
      </w:pPr>
      <w:r>
        <w:rPr>
          <w:rStyle w:val="35"/>
        </w:rPr>
        <w:t>5.废标。</w:t>
      </w:r>
      <w:r>
        <w:rPr>
          <w:rFonts w:hint="eastAsia" w:ascii="仿宋_GB2312" w:hAnsi="仿宋" w:eastAsia="仿宋_GB2312" w:cs="仿宋_GB2312"/>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5"/>
        <w:snapToGrid w:val="0"/>
        <w:spacing w:line="360" w:lineRule="auto"/>
        <w:ind w:firstLine="590" w:firstLineChars="245"/>
        <w:rPr>
          <w:rFonts w:ascii="仿宋_GB2312" w:hAnsi="仿宋" w:eastAsia="仿宋_GB2312" w:cs="仿宋_GB2312"/>
        </w:rPr>
      </w:pPr>
      <w:r>
        <w:rPr>
          <w:rStyle w:val="35"/>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rPr>
      </w:pPr>
      <w:r>
        <w:rPr>
          <w:rStyle w:val="35"/>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5"/>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70"/>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70"/>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9"/>
        <w:spacing w:before="120" w:line="22" w:lineRule="atLeast"/>
        <w:rPr>
          <w:rFonts w:ascii="仿宋" w:hAnsi="仿宋" w:eastAsia="仿宋"/>
          <w:szCs w:val="24"/>
        </w:rPr>
      </w:pPr>
    </w:p>
    <w:p>
      <w:pPr>
        <w:pStyle w:val="69"/>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2"/>
      </w:pPr>
      <w:bookmarkStart w:id="371" w:name="_Toc3029"/>
      <w:bookmarkStart w:id="372" w:name="_Toc2232"/>
      <w:bookmarkStart w:id="373" w:name="_Toc24059"/>
      <w:r>
        <w:t xml:space="preserve">1.1 </w:t>
      </w:r>
      <w:r>
        <w:rPr>
          <w:rFonts w:hint="eastAsia"/>
        </w:rPr>
        <w:t>合同组成部分</w:t>
      </w:r>
      <w:bookmarkEnd w:id="371"/>
      <w:bookmarkEnd w:id="372"/>
      <w:bookmarkEnd w:id="373"/>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2"/>
      </w:pPr>
      <w:bookmarkStart w:id="374" w:name="_Toc27126"/>
      <w:bookmarkStart w:id="375" w:name="_Toc24300"/>
      <w:bookmarkStart w:id="376" w:name="_Toc21295"/>
      <w:r>
        <w:t xml:space="preserve">1.2 </w:t>
      </w:r>
      <w:r>
        <w:rPr>
          <w:rFonts w:hint="eastAsia"/>
        </w:rPr>
        <w:t>货物</w:t>
      </w:r>
      <w:bookmarkEnd w:id="374"/>
      <w:bookmarkEnd w:id="375"/>
      <w:bookmarkEnd w:id="376"/>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2"/>
      </w:pPr>
      <w:bookmarkStart w:id="377" w:name="_Toc23292"/>
      <w:bookmarkStart w:id="378" w:name="_Toc21551"/>
      <w:bookmarkStart w:id="379" w:name="_Toc21631"/>
      <w:r>
        <w:t xml:space="preserve">1.3 </w:t>
      </w:r>
      <w:r>
        <w:rPr>
          <w:rFonts w:hint="eastAsia"/>
        </w:rPr>
        <w:t>价款</w:t>
      </w:r>
      <w:bookmarkEnd w:id="377"/>
      <w:bookmarkEnd w:id="378"/>
      <w:bookmarkEnd w:id="379"/>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bl>
    <w:p>
      <w:pPr>
        <w:pStyle w:val="2"/>
      </w:pPr>
      <w:bookmarkStart w:id="380" w:name="_Toc1814"/>
      <w:bookmarkStart w:id="381" w:name="_Toc22618"/>
      <w:bookmarkStart w:id="382" w:name="_Toc10340"/>
      <w:r>
        <w:t xml:space="preserve">1.4 </w:t>
      </w:r>
      <w:r>
        <w:rPr>
          <w:rFonts w:hint="eastAsia"/>
        </w:rPr>
        <w:t>付款</w:t>
      </w:r>
      <w:bookmarkEnd w:id="380"/>
      <w:bookmarkEnd w:id="381"/>
      <w:bookmarkEnd w:id="382"/>
      <w:r>
        <w:rPr>
          <w:rFonts w:hint="eastAsia"/>
        </w:rPr>
        <w:t>方式、时间和条件</w:t>
      </w:r>
    </w:p>
    <w:p>
      <w:pPr>
        <w:pStyle w:val="71"/>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2"/>
      </w:pPr>
      <w:bookmarkStart w:id="383" w:name="_Toc32071"/>
      <w:bookmarkStart w:id="384" w:name="_Toc19304"/>
      <w:bookmarkStart w:id="385" w:name="_Toc2846"/>
      <w:r>
        <w:t xml:space="preserve">1.5 </w:t>
      </w:r>
      <w:r>
        <w:rPr>
          <w:rFonts w:hint="eastAsia"/>
        </w:rPr>
        <w:t>货物交付期限、地点和方式</w:t>
      </w:r>
      <w:bookmarkEnd w:id="383"/>
      <w:bookmarkEnd w:id="384"/>
      <w:bookmarkEnd w:id="385"/>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2"/>
      </w:pPr>
      <w:bookmarkStart w:id="386" w:name="_Toc19554"/>
      <w:bookmarkStart w:id="387" w:name="_Toc21423"/>
      <w:bookmarkStart w:id="388" w:name="_Toc27250"/>
      <w:r>
        <w:t xml:space="preserve">1.6 </w:t>
      </w:r>
      <w:r>
        <w:rPr>
          <w:rFonts w:hint="eastAsia"/>
        </w:rPr>
        <w:t>违约责任</w:t>
      </w:r>
      <w:bookmarkEnd w:id="386"/>
      <w:bookmarkEnd w:id="387"/>
      <w:bookmarkEnd w:id="388"/>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2"/>
      </w:pPr>
      <w:bookmarkStart w:id="389" w:name="_Toc15583"/>
      <w:bookmarkStart w:id="390" w:name="_Toc16021"/>
      <w:bookmarkStart w:id="391" w:name="_Toc28375"/>
      <w:r>
        <w:t xml:space="preserve">1.7 </w:t>
      </w:r>
      <w:r>
        <w:rPr>
          <w:rFonts w:hint="eastAsia"/>
        </w:rPr>
        <w:t>合同争议的解决</w:t>
      </w:r>
      <w:bookmarkEnd w:id="389"/>
      <w:bookmarkEnd w:id="390"/>
      <w:bookmarkEnd w:id="391"/>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2"/>
      </w:pPr>
      <w:bookmarkStart w:id="392" w:name="_Toc11173"/>
      <w:bookmarkStart w:id="393" w:name="_Toc7245"/>
      <w:bookmarkStart w:id="394" w:name="_Toc15322"/>
      <w:r>
        <w:t xml:space="preserve">1.8 </w:t>
      </w:r>
      <w:r>
        <w:rPr>
          <w:rFonts w:hint="eastAsia"/>
        </w:rPr>
        <w:t>合同生效</w:t>
      </w:r>
      <w:bookmarkEnd w:id="392"/>
      <w:bookmarkEnd w:id="393"/>
      <w:bookmarkEnd w:id="394"/>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5" w:name="_Toc331685783"/>
    </w:p>
    <w:p>
      <w:pPr>
        <w:pStyle w:val="4"/>
      </w:pPr>
      <w:r>
        <w:rPr>
          <w:rFonts w:hint="eastAsia"/>
        </w:rPr>
        <w:t>第二部分</w:t>
      </w:r>
      <w:r>
        <w:t xml:space="preserve"> </w:t>
      </w:r>
      <w:r>
        <w:rPr>
          <w:rFonts w:hint="eastAsia"/>
        </w:rPr>
        <w:t>合同一般条款</w:t>
      </w:r>
      <w:bookmarkEnd w:id="395"/>
    </w:p>
    <w:p>
      <w:pPr>
        <w:pStyle w:val="2"/>
      </w:pPr>
      <w:bookmarkStart w:id="396" w:name="_Ref467379109"/>
      <w:bookmarkStart w:id="397" w:name="_Ref467378463"/>
      <w:bookmarkStart w:id="398" w:name="_Ref467379101"/>
      <w:bookmarkStart w:id="399" w:name="_Ref467379205"/>
      <w:bookmarkStart w:id="400" w:name="_Toc279701240"/>
      <w:bookmarkStart w:id="401" w:name="_Toc16917"/>
      <w:bookmarkStart w:id="402" w:name="_Toc28763"/>
      <w:bookmarkStart w:id="403" w:name="_Ref467378404"/>
      <w:bookmarkStart w:id="404" w:name="_Ref467379094"/>
      <w:bookmarkStart w:id="405" w:name="_Toc259093669"/>
      <w:bookmarkStart w:id="406" w:name="_Toc487900349"/>
      <w:bookmarkStart w:id="407" w:name="_Ref467379225"/>
      <w:bookmarkStart w:id="408" w:name="_Ref467379214"/>
      <w:bookmarkStart w:id="409" w:name="_Ref467379195"/>
      <w:bookmarkStart w:id="410" w:name="_Ref467378499"/>
      <w:bookmarkStart w:id="411" w:name="_Toc19614"/>
      <w:r>
        <w:t xml:space="preserve">2.1 </w:t>
      </w:r>
      <w:r>
        <w:rPr>
          <w:rFonts w:hint="eastAsia"/>
        </w:rPr>
        <w:t>定义</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12" w:name="_Ref467378840"/>
      <w:r>
        <w:t xml:space="preserve">2.1.4 </w:t>
      </w:r>
      <w:r>
        <w:rPr>
          <w:rFonts w:hint="eastAsia"/>
        </w:rPr>
        <w:t>“甲方”系指与中标供应商签署合同的采购人</w:t>
      </w:r>
      <w:bookmarkEnd w:id="412"/>
      <w:r>
        <w:rPr>
          <w:rFonts w:hint="eastAsia"/>
        </w:rPr>
        <w:t>；采购人委托采购代理机构代表其与乙方签订合同的，采购人的授权委托书作为合同附件。</w:t>
      </w:r>
    </w:p>
    <w:p>
      <w:pPr>
        <w:spacing w:line="560" w:lineRule="exact"/>
        <w:ind w:firstLine="480" w:firstLineChars="200"/>
      </w:pPr>
      <w:bookmarkStart w:id="413" w:name="_Ref467379400"/>
      <w:r>
        <w:t xml:space="preserve">2.1.5 </w:t>
      </w:r>
      <w:r>
        <w:rPr>
          <w:rFonts w:hint="eastAsia"/>
        </w:rPr>
        <w:t>“乙方”系指根据合同约定交付货物的中标供应商</w:t>
      </w:r>
      <w:bookmarkEnd w:id="413"/>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4" w:name="_Ref467379436"/>
      <w:r>
        <w:t xml:space="preserve">2.1.6 </w:t>
      </w:r>
      <w:r>
        <w:rPr>
          <w:rFonts w:hint="eastAsia"/>
        </w:rPr>
        <w:t>“现场”系指合同约定货物将要运至或者安装的地点。</w:t>
      </w:r>
      <w:bookmarkEnd w:id="414"/>
    </w:p>
    <w:p>
      <w:pPr>
        <w:pStyle w:val="2"/>
      </w:pPr>
      <w:bookmarkStart w:id="415" w:name="_Toc32504"/>
      <w:bookmarkStart w:id="416" w:name="_Toc259093670"/>
      <w:bookmarkStart w:id="417" w:name="_Toc27635"/>
      <w:bookmarkStart w:id="418" w:name="_Toc279701241"/>
      <w:bookmarkStart w:id="419" w:name="_Toc13336"/>
      <w:bookmarkStart w:id="420" w:name="_Toc487900350"/>
      <w:r>
        <w:t xml:space="preserve">2.2 </w:t>
      </w:r>
      <w:r>
        <w:rPr>
          <w:rFonts w:hint="eastAsia"/>
        </w:rPr>
        <w:t>技术规范</w:t>
      </w:r>
      <w:bookmarkEnd w:id="415"/>
      <w:bookmarkEnd w:id="416"/>
      <w:bookmarkEnd w:id="417"/>
      <w:bookmarkEnd w:id="418"/>
      <w:bookmarkEnd w:id="419"/>
      <w:bookmarkEnd w:id="420"/>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2"/>
      </w:pPr>
      <w:bookmarkStart w:id="421" w:name="_Toc259093671"/>
      <w:bookmarkStart w:id="422" w:name="_Toc487900351"/>
      <w:bookmarkStart w:id="423" w:name="_Toc31634"/>
      <w:bookmarkStart w:id="424" w:name="_Toc9829"/>
      <w:bookmarkStart w:id="425" w:name="_Toc27853"/>
      <w:bookmarkStart w:id="426" w:name="_Toc279701242"/>
      <w:r>
        <w:t xml:space="preserve">2.3 </w:t>
      </w:r>
      <w:r>
        <w:rPr>
          <w:rFonts w:hint="eastAsia"/>
        </w:rPr>
        <w:t>知识产权</w:t>
      </w:r>
      <w:bookmarkEnd w:id="421"/>
      <w:bookmarkEnd w:id="422"/>
      <w:bookmarkEnd w:id="423"/>
      <w:bookmarkEnd w:id="424"/>
      <w:bookmarkEnd w:id="425"/>
      <w:bookmarkEnd w:id="426"/>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2"/>
      </w:pPr>
      <w:bookmarkStart w:id="427" w:name="_Toc29149"/>
      <w:bookmarkStart w:id="428" w:name="_Toc11932"/>
      <w:bookmarkStart w:id="429" w:name="_Toc4194"/>
      <w:r>
        <w:t xml:space="preserve">2.4 </w:t>
      </w:r>
      <w:r>
        <w:rPr>
          <w:rFonts w:hint="eastAsia"/>
        </w:rPr>
        <w:t>包装和装运</w:t>
      </w:r>
      <w:bookmarkEnd w:id="427"/>
      <w:bookmarkEnd w:id="428"/>
      <w:bookmarkEnd w:id="429"/>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2"/>
      </w:pPr>
      <w:bookmarkStart w:id="430" w:name="_Ref467379542"/>
      <w:bookmarkStart w:id="431" w:name="_Ref467378591"/>
      <w:bookmarkStart w:id="432" w:name="_Ref467379527"/>
      <w:bookmarkStart w:id="433" w:name="_Ref467378541"/>
      <w:bookmarkStart w:id="434" w:name="_Ref467379536"/>
      <w:bookmarkStart w:id="435" w:name="_Toc259093674"/>
      <w:bookmarkStart w:id="436" w:name="_Toc487900354"/>
      <w:bookmarkStart w:id="437" w:name="_Toc279701245"/>
      <w:bookmarkStart w:id="438" w:name="_Toc30272"/>
      <w:bookmarkStart w:id="439" w:name="_Toc19074"/>
      <w:bookmarkStart w:id="440" w:name="_Toc26182"/>
      <w:r>
        <w:t>2.</w:t>
      </w:r>
      <w:bookmarkEnd w:id="430"/>
      <w:bookmarkEnd w:id="431"/>
      <w:bookmarkEnd w:id="432"/>
      <w:bookmarkEnd w:id="433"/>
      <w:bookmarkEnd w:id="434"/>
      <w:bookmarkEnd w:id="435"/>
      <w:bookmarkEnd w:id="436"/>
      <w:bookmarkEnd w:id="437"/>
      <w:r>
        <w:t xml:space="preserve">5 </w:t>
      </w:r>
      <w:r>
        <w:rPr>
          <w:rFonts w:hint="eastAsia"/>
        </w:rPr>
        <w:t>履约检查和问题反馈</w:t>
      </w:r>
      <w:bookmarkEnd w:id="438"/>
      <w:bookmarkEnd w:id="439"/>
      <w:bookmarkEnd w:id="440"/>
    </w:p>
    <w:p>
      <w:pPr>
        <w:spacing w:line="560" w:lineRule="exact"/>
        <w:ind w:firstLine="480" w:firstLineChars="200"/>
      </w:pPr>
      <w:bookmarkStart w:id="441" w:name="_Ref467379657"/>
      <w:r>
        <w:t>2.5.1</w:t>
      </w:r>
      <w:bookmarkEnd w:id="441"/>
      <w:bookmarkStart w:id="442" w:name="_Toc186431854"/>
      <w:bookmarkStart w:id="443" w:name="_Toc279701247"/>
      <w:bookmarkStart w:id="444" w:name="_Ref467379807"/>
      <w:bookmarkStart w:id="445" w:name="_Toc487900357"/>
      <w:bookmarkStart w:id="446" w:name="_Ref467379793"/>
      <w:bookmarkStart w:id="447" w:name="_Toc259093676"/>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42"/>
      <w:bookmarkStart w:id="448" w:name="_Toc186431855"/>
      <w:r>
        <w:rPr>
          <w:rFonts w:hint="eastAsia"/>
        </w:rPr>
        <w:t>。</w:t>
      </w:r>
    </w:p>
    <w:bookmarkEnd w:id="443"/>
    <w:bookmarkEnd w:id="444"/>
    <w:bookmarkEnd w:id="445"/>
    <w:bookmarkEnd w:id="446"/>
    <w:bookmarkEnd w:id="447"/>
    <w:bookmarkEnd w:id="448"/>
    <w:p>
      <w:pPr>
        <w:pStyle w:val="2"/>
      </w:pPr>
      <w:bookmarkStart w:id="449" w:name="_Toc279701248"/>
      <w:bookmarkStart w:id="450" w:name="_Ref467379852"/>
      <w:bookmarkStart w:id="451" w:name="_Toc487900358"/>
      <w:bookmarkStart w:id="452" w:name="_Toc259093677"/>
      <w:bookmarkStart w:id="453" w:name="_Ref467379863"/>
      <w:bookmarkStart w:id="454" w:name="_Ref467379923"/>
      <w:bookmarkStart w:id="455" w:name="_Toc16110"/>
      <w:bookmarkStart w:id="456" w:name="_Toc774"/>
      <w:bookmarkStart w:id="457" w:name="_Toc3225"/>
      <w:r>
        <w:t xml:space="preserve">2.6 </w:t>
      </w:r>
      <w:r>
        <w:rPr>
          <w:rFonts w:hint="eastAsia"/>
        </w:rPr>
        <w:t>技术资料</w:t>
      </w:r>
      <w:bookmarkEnd w:id="449"/>
      <w:bookmarkEnd w:id="450"/>
      <w:bookmarkEnd w:id="451"/>
      <w:bookmarkEnd w:id="452"/>
      <w:bookmarkEnd w:id="453"/>
      <w:bookmarkEnd w:id="454"/>
      <w:r>
        <w:rPr>
          <w:rFonts w:hint="eastAsia"/>
        </w:rPr>
        <w:t>和保密义务</w:t>
      </w:r>
      <w:bookmarkEnd w:id="455"/>
      <w:bookmarkEnd w:id="456"/>
      <w:bookmarkEnd w:id="457"/>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2"/>
      </w:pPr>
      <w:bookmarkStart w:id="458" w:name="_Toc7860"/>
      <w:r>
        <w:t xml:space="preserve">2.7 </w:t>
      </w:r>
      <w:r>
        <w:rPr>
          <w:rFonts w:hint="eastAsia"/>
        </w:rPr>
        <w:t>质量保证</w:t>
      </w:r>
      <w:bookmarkEnd w:id="458"/>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2"/>
      </w:pPr>
      <w:bookmarkStart w:id="459" w:name="_Toc17244"/>
      <w:bookmarkStart w:id="460" w:name="_Toc259093681"/>
      <w:bookmarkStart w:id="461" w:name="_Toc487900362"/>
      <w:bookmarkStart w:id="462" w:name="_Toc279701252"/>
      <w:r>
        <w:t xml:space="preserve">2.8 </w:t>
      </w:r>
      <w:r>
        <w:rPr>
          <w:rFonts w:hint="eastAsia"/>
        </w:rPr>
        <w:t>货物的风险负担</w:t>
      </w:r>
      <w:bookmarkEnd w:id="459"/>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2"/>
      </w:pPr>
      <w:bookmarkStart w:id="463" w:name="_Toc14055"/>
      <w:r>
        <w:t xml:space="preserve">2.9 </w:t>
      </w:r>
      <w:r>
        <w:rPr>
          <w:rFonts w:hint="eastAsia"/>
        </w:rPr>
        <w:t>延迟交货</w:t>
      </w:r>
      <w:bookmarkEnd w:id="460"/>
      <w:bookmarkEnd w:id="461"/>
      <w:bookmarkEnd w:id="462"/>
      <w:bookmarkEnd w:id="463"/>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2"/>
      </w:pPr>
      <w:bookmarkStart w:id="464" w:name="_Toc7502"/>
      <w:bookmarkStart w:id="465" w:name="_Ref467378121"/>
      <w:bookmarkStart w:id="466" w:name="_Toc259093683"/>
      <w:bookmarkStart w:id="467" w:name="_Toc279701254"/>
      <w:bookmarkStart w:id="468" w:name="_Toc487900364"/>
      <w:r>
        <w:t xml:space="preserve">2.10 </w:t>
      </w:r>
      <w:r>
        <w:rPr>
          <w:rFonts w:hint="eastAsia"/>
        </w:rPr>
        <w:t>合同变更</w:t>
      </w:r>
      <w:bookmarkEnd w:id="464"/>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9" w:name="_Toc487900369"/>
      <w:bookmarkStart w:id="470" w:name="_Toc279701259"/>
      <w:bookmarkStart w:id="471" w:name="_Toc259093688"/>
    </w:p>
    <w:p>
      <w:pPr>
        <w:pStyle w:val="2"/>
      </w:pPr>
      <w:bookmarkStart w:id="472" w:name="_Toc10366"/>
      <w:bookmarkStart w:id="473" w:name="_Toc15237"/>
      <w:bookmarkStart w:id="474" w:name="_Toc22955"/>
      <w:r>
        <w:t xml:space="preserve">2.11 </w:t>
      </w:r>
      <w:r>
        <w:rPr>
          <w:rFonts w:hint="eastAsia"/>
        </w:rPr>
        <w:t>合同转让</w:t>
      </w:r>
      <w:bookmarkEnd w:id="469"/>
      <w:bookmarkEnd w:id="470"/>
      <w:bookmarkEnd w:id="471"/>
      <w:r>
        <w:rPr>
          <w:rFonts w:hint="eastAsia"/>
        </w:rPr>
        <w:t>和分包</w:t>
      </w:r>
      <w:bookmarkEnd w:id="472"/>
      <w:bookmarkEnd w:id="473"/>
      <w:bookmarkEnd w:id="474"/>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2"/>
      </w:pPr>
      <w:bookmarkStart w:id="475" w:name="_Toc16508"/>
      <w:bookmarkStart w:id="476" w:name="_Toc14066"/>
      <w:bookmarkStart w:id="477" w:name="_Toc13566"/>
      <w:r>
        <w:t xml:space="preserve">2.12 </w:t>
      </w:r>
      <w:r>
        <w:rPr>
          <w:rFonts w:hint="eastAsia"/>
        </w:rPr>
        <w:t>不可抗力</w:t>
      </w:r>
      <w:bookmarkEnd w:id="475"/>
      <w:bookmarkEnd w:id="476"/>
      <w:bookmarkEnd w:id="477"/>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2"/>
      </w:pPr>
      <w:bookmarkStart w:id="478" w:name="_Toc689"/>
      <w:bookmarkStart w:id="479" w:name="_Toc259093684"/>
      <w:bookmarkStart w:id="480" w:name="_Toc30676"/>
      <w:bookmarkStart w:id="481" w:name="_Toc279701255"/>
      <w:bookmarkStart w:id="482" w:name="_Toc6969"/>
      <w:bookmarkStart w:id="483" w:name="_Toc487900365"/>
      <w:r>
        <w:t xml:space="preserve">2.13 </w:t>
      </w:r>
      <w:r>
        <w:rPr>
          <w:rFonts w:hint="eastAsia"/>
        </w:rPr>
        <w:t>税费</w:t>
      </w:r>
      <w:bookmarkEnd w:id="478"/>
      <w:bookmarkEnd w:id="479"/>
      <w:bookmarkEnd w:id="480"/>
      <w:bookmarkEnd w:id="481"/>
      <w:bookmarkEnd w:id="482"/>
      <w:bookmarkEnd w:id="483"/>
    </w:p>
    <w:p>
      <w:pPr>
        <w:spacing w:line="560" w:lineRule="exact"/>
        <w:ind w:firstLine="480" w:firstLineChars="200"/>
      </w:pPr>
      <w:r>
        <w:rPr>
          <w:rFonts w:hint="eastAsia"/>
        </w:rPr>
        <w:t>与合同有关的一切税费，均按照中华人民共和国法律的相关规定。</w:t>
      </w:r>
    </w:p>
    <w:p>
      <w:pPr>
        <w:pStyle w:val="2"/>
      </w:pPr>
      <w:bookmarkStart w:id="484" w:name="_Toc16959"/>
      <w:bookmarkStart w:id="485" w:name="_Toc279701258"/>
      <w:bookmarkStart w:id="486" w:name="_Toc7102"/>
      <w:bookmarkStart w:id="487" w:name="_Toc487900368"/>
      <w:bookmarkStart w:id="488" w:name="_Toc259093687"/>
      <w:bookmarkStart w:id="489" w:name="_Toc8298"/>
      <w:r>
        <w:t>2.14乙方破产</w:t>
      </w:r>
      <w:bookmarkEnd w:id="484"/>
      <w:bookmarkEnd w:id="485"/>
      <w:bookmarkEnd w:id="486"/>
      <w:bookmarkEnd w:id="487"/>
      <w:bookmarkEnd w:id="488"/>
      <w:bookmarkEnd w:id="489"/>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2"/>
      </w:pPr>
      <w:bookmarkStart w:id="490" w:name="_Toc29333"/>
      <w:bookmarkStart w:id="491" w:name="_Toc6134"/>
      <w:bookmarkStart w:id="492" w:name="_Toc15387"/>
      <w:r>
        <w:t xml:space="preserve">2.15 </w:t>
      </w:r>
      <w:r>
        <w:rPr>
          <w:rFonts w:hint="eastAsia"/>
        </w:rPr>
        <w:t>合同中止、终止</w:t>
      </w:r>
      <w:bookmarkEnd w:id="490"/>
      <w:bookmarkEnd w:id="491"/>
      <w:bookmarkEnd w:id="492"/>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2"/>
      </w:pPr>
      <w:bookmarkStart w:id="493" w:name="_Toc14563"/>
      <w:bookmarkStart w:id="494" w:name="_Toc6596"/>
      <w:bookmarkStart w:id="495" w:name="_Toc1125"/>
      <w:r>
        <w:t>2.16检验和验收</w:t>
      </w:r>
      <w:bookmarkEnd w:id="493"/>
      <w:bookmarkEnd w:id="494"/>
      <w:bookmarkEnd w:id="495"/>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5"/>
    <w:bookmarkEnd w:id="466"/>
    <w:bookmarkEnd w:id="467"/>
    <w:bookmarkEnd w:id="468"/>
    <w:p>
      <w:pPr>
        <w:pStyle w:val="2"/>
      </w:pPr>
      <w:bookmarkStart w:id="496" w:name="_Toc487900371"/>
      <w:bookmarkStart w:id="497" w:name="_Toc259093690"/>
      <w:bookmarkStart w:id="498" w:name="_Toc279701261"/>
      <w:bookmarkStart w:id="499" w:name="_Toc25182"/>
      <w:bookmarkStart w:id="500" w:name="_Toc19604"/>
      <w:bookmarkStart w:id="501" w:name="_Toc11284"/>
      <w:r>
        <w:t xml:space="preserve">2.17 </w:t>
      </w:r>
      <w:r>
        <w:rPr>
          <w:rFonts w:hint="eastAsia"/>
        </w:rPr>
        <w:t>通知</w:t>
      </w:r>
      <w:bookmarkEnd w:id="496"/>
      <w:bookmarkEnd w:id="497"/>
      <w:bookmarkEnd w:id="498"/>
      <w:r>
        <w:rPr>
          <w:rFonts w:hint="eastAsia"/>
        </w:rPr>
        <w:t>和送达</w:t>
      </w:r>
      <w:bookmarkEnd w:id="499"/>
      <w:bookmarkEnd w:id="500"/>
      <w:bookmarkEnd w:id="501"/>
    </w:p>
    <w:p>
      <w:pPr>
        <w:spacing w:line="560" w:lineRule="exact"/>
        <w:ind w:firstLine="480" w:firstLineChars="200"/>
      </w:pPr>
      <w:bookmarkStart w:id="502" w:name="_Toc6698"/>
      <w:bookmarkStart w:id="503" w:name="_Toc3135"/>
      <w:bookmarkStart w:id="504" w:name="_Toc259093691"/>
      <w:bookmarkStart w:id="505" w:name="_Toc487900372"/>
      <w:bookmarkStart w:id="506"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2"/>
      <w:bookmarkEnd w:id="503"/>
    </w:p>
    <w:p>
      <w:pPr>
        <w:spacing w:line="560" w:lineRule="exact"/>
        <w:ind w:firstLine="480" w:firstLineChars="200"/>
      </w:pPr>
      <w:bookmarkStart w:id="507" w:name="_Toc23294"/>
      <w:bookmarkStart w:id="508"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7"/>
      <w:bookmarkEnd w:id="508"/>
    </w:p>
    <w:p>
      <w:pPr>
        <w:pStyle w:val="2"/>
      </w:pPr>
      <w:bookmarkStart w:id="509" w:name="_Toc30599"/>
      <w:bookmarkStart w:id="510" w:name="_Toc4355"/>
      <w:bookmarkStart w:id="511" w:name="_Toc18540"/>
      <w:r>
        <w:t xml:space="preserve">2.18 </w:t>
      </w:r>
      <w:r>
        <w:rPr>
          <w:rFonts w:hint="eastAsia"/>
        </w:rPr>
        <w:t>计量单位</w:t>
      </w:r>
      <w:bookmarkEnd w:id="504"/>
      <w:bookmarkEnd w:id="505"/>
      <w:bookmarkEnd w:id="506"/>
      <w:bookmarkEnd w:id="509"/>
      <w:bookmarkEnd w:id="510"/>
      <w:bookmarkEnd w:id="511"/>
    </w:p>
    <w:p>
      <w:pPr>
        <w:spacing w:line="560" w:lineRule="exact"/>
        <w:ind w:firstLine="480" w:firstLineChars="200"/>
      </w:pPr>
      <w:r>
        <w:rPr>
          <w:rFonts w:hint="eastAsia"/>
        </w:rPr>
        <w:t>除技术规范中另有规定外</w:t>
      </w:r>
      <w:r>
        <w:t>,合同的计量单位均使用国家法定计量单位。</w:t>
      </w:r>
    </w:p>
    <w:p>
      <w:pPr>
        <w:pStyle w:val="2"/>
      </w:pPr>
      <w:bookmarkStart w:id="512" w:name="_Toc259093692"/>
      <w:bookmarkStart w:id="513" w:name="_Toc18567"/>
      <w:bookmarkStart w:id="514" w:name="_Toc10330"/>
      <w:bookmarkStart w:id="515" w:name="_Toc279701263"/>
      <w:bookmarkStart w:id="516" w:name="_Toc12773"/>
      <w:bookmarkStart w:id="517" w:name="_Toc487900373"/>
      <w:r>
        <w:t xml:space="preserve">2.19 </w:t>
      </w:r>
      <w:r>
        <w:rPr>
          <w:rFonts w:hint="eastAsia"/>
        </w:rPr>
        <w:t>合同使用的文字和适用的法律</w:t>
      </w:r>
      <w:bookmarkEnd w:id="512"/>
      <w:bookmarkEnd w:id="513"/>
      <w:bookmarkEnd w:id="514"/>
      <w:bookmarkEnd w:id="515"/>
      <w:bookmarkEnd w:id="516"/>
      <w:bookmarkEnd w:id="517"/>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2"/>
      </w:pPr>
      <w:bookmarkStart w:id="518" w:name="_Toc12004"/>
      <w:bookmarkStart w:id="519" w:name="_Toc3148"/>
      <w:bookmarkStart w:id="520" w:name="_Toc279701264"/>
      <w:bookmarkStart w:id="521" w:name="_Toc259093693"/>
      <w:bookmarkStart w:id="522" w:name="_Toc16673"/>
      <w:bookmarkStart w:id="523" w:name="_Toc487900374"/>
      <w:r>
        <w:t xml:space="preserve">2.20 </w:t>
      </w:r>
      <w:r>
        <w:rPr>
          <w:rFonts w:hint="eastAsia"/>
        </w:rPr>
        <w:t>履约保证金</w:t>
      </w:r>
      <w:bookmarkEnd w:id="518"/>
      <w:bookmarkEnd w:id="519"/>
      <w:bookmarkEnd w:id="520"/>
      <w:bookmarkEnd w:id="521"/>
      <w:bookmarkEnd w:id="522"/>
    </w:p>
    <w:p>
      <w:pPr>
        <w:pStyle w:val="71"/>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2"/>
      </w:pPr>
      <w:r>
        <w:t>2.2</w:t>
      </w:r>
      <w:r>
        <w:rPr>
          <w:rFonts w:hint="eastAsia"/>
        </w:rPr>
        <w:t>1</w:t>
      </w:r>
      <w:r>
        <w:t>对于因甲方原因导致变更、中止或者终止政府采购合同的，甲方应当依照合同约定对供应商受到的损失予以赔偿或者补偿。</w:t>
      </w:r>
    </w:p>
    <w:bookmarkEnd w:id="523"/>
    <w:p>
      <w:pPr>
        <w:pStyle w:val="2"/>
      </w:pPr>
      <w:bookmarkStart w:id="524" w:name="_Toc6885"/>
      <w:bookmarkStart w:id="525" w:name="_Toc19890"/>
      <w:bookmarkStart w:id="526" w:name="_Toc14001"/>
      <w:r>
        <w:t>2.2</w:t>
      </w:r>
      <w:r>
        <w:rPr>
          <w:rFonts w:hint="eastAsia"/>
        </w:rPr>
        <w:t>2合同份数</w:t>
      </w:r>
      <w:bookmarkEnd w:id="524"/>
      <w:bookmarkEnd w:id="525"/>
      <w:bookmarkEnd w:id="526"/>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7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7" w:name="_Toc465665161"/>
      <w:r>
        <w:rPr>
          <w:rFonts w:hint="eastAsia"/>
        </w:rPr>
        <w:t>附件</w:t>
      </w:r>
      <w:bookmarkEnd w:id="527"/>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8" w:name="OLE_LINK14"/>
      <w:bookmarkStart w:id="529" w:name="OLE_LINK13"/>
      <w:r>
        <w:rPr>
          <w:rFonts w:hint="eastAsia" w:ascii="仿宋_GB2312" w:eastAsia="仿宋_GB2312"/>
          <w:b/>
          <w:spacing w:val="6"/>
          <w:sz w:val="32"/>
          <w:szCs w:val="32"/>
        </w:rPr>
        <w:t>残疾人福利性单位声明函</w:t>
      </w:r>
    </w:p>
    <w:bookmarkEnd w:id="528"/>
    <w:bookmarkEnd w:id="529"/>
    <w:p>
      <w:pPr>
        <w:spacing w:line="360" w:lineRule="auto"/>
        <w:rPr>
          <w:rFonts w:ascii="仿宋_GB2312" w:eastAsia="仿宋_GB2312"/>
          <w:b/>
          <w:spacing w:val="6"/>
          <w:sz w:val="30"/>
          <w:szCs w:val="30"/>
        </w:rPr>
      </w:pPr>
    </w:p>
    <w:p>
      <w:pPr>
        <w:pStyle w:val="59"/>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pPr>
      <w:r>
        <w:rPr>
          <w:rFonts w:hint="eastAsia"/>
        </w:rPr>
        <w:t>本单位对上述声明的真实性负责。如有虚假，将依法承担相应责任。</w:t>
      </w:r>
    </w:p>
    <w:p>
      <w:pPr>
        <w:pStyle w:val="59"/>
      </w:pPr>
    </w:p>
    <w:p>
      <w:pPr>
        <w:pStyle w:val="59"/>
      </w:pPr>
    </w:p>
    <w:p>
      <w:pPr>
        <w:pStyle w:val="59"/>
        <w:jc w:val="right"/>
      </w:pPr>
      <w:r>
        <w:rPr>
          <w:rFonts w:hint="eastAsia"/>
        </w:rPr>
        <w:t>投标人名称（电子签名）：</w:t>
      </w:r>
    </w:p>
    <w:p>
      <w:pPr>
        <w:pStyle w:val="59"/>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9"/>
      </w:pPr>
      <w:r>
        <w:rPr>
          <w:rFonts w:hint="eastAsia"/>
        </w:rPr>
        <w:t>一、质疑供应商基本信息</w:t>
      </w:r>
    </w:p>
    <w:p>
      <w:pPr>
        <w:pStyle w:val="59"/>
        <w:rPr>
          <w:u w:val="dotted"/>
        </w:rPr>
      </w:pPr>
      <w:r>
        <w:rPr>
          <w:rFonts w:hint="eastAsia"/>
        </w:rPr>
        <w:t>质疑供应商：</w:t>
      </w:r>
      <w:r>
        <w:rPr>
          <w:u w:val="dotted"/>
        </w:rPr>
        <w:t xml:space="preserve">                                        </w:t>
      </w:r>
    </w:p>
    <w:p>
      <w:pPr>
        <w:pStyle w:val="59"/>
      </w:pPr>
      <w:r>
        <w:rPr>
          <w:rFonts w:hint="eastAsia"/>
        </w:rPr>
        <w:t>地址：</w:t>
      </w:r>
      <w:r>
        <w:rPr>
          <w:u w:val="dotted"/>
        </w:rPr>
        <w:t xml:space="preserve">                          </w:t>
      </w:r>
      <w:r>
        <w:rPr>
          <w:rFonts w:hint="eastAsia"/>
        </w:rPr>
        <w:t>邮编：</w:t>
      </w:r>
      <w:r>
        <w:rPr>
          <w:u w:val="dotted"/>
        </w:rPr>
        <w:t xml:space="preserve">                                                   </w:t>
      </w:r>
    </w:p>
    <w:p>
      <w:pPr>
        <w:pStyle w:val="59"/>
      </w:pPr>
      <w:r>
        <w:rPr>
          <w:rFonts w:hint="eastAsia"/>
        </w:rPr>
        <w:t>联系人：</w:t>
      </w:r>
      <w:r>
        <w:rPr>
          <w:u w:val="dotted"/>
        </w:rPr>
        <w:t xml:space="preserve">                      </w:t>
      </w:r>
      <w:r>
        <w:rPr>
          <w:rFonts w:hint="eastAsia"/>
        </w:rPr>
        <w:t>联系电话：</w:t>
      </w:r>
      <w:r>
        <w:rPr>
          <w:u w:val="dotted"/>
        </w:rPr>
        <w:t xml:space="preserve">                              </w:t>
      </w:r>
    </w:p>
    <w:p>
      <w:pPr>
        <w:pStyle w:val="59"/>
        <w:rPr>
          <w:u w:val="dotted"/>
        </w:rPr>
      </w:pPr>
      <w:r>
        <w:rPr>
          <w:rFonts w:hint="eastAsia"/>
        </w:rPr>
        <w:t>授权代表：</w:t>
      </w:r>
      <w:r>
        <w:rPr>
          <w:u w:val="dotted"/>
        </w:rPr>
        <w:t xml:space="preserve">                                          </w:t>
      </w:r>
    </w:p>
    <w:p>
      <w:pPr>
        <w:pStyle w:val="59"/>
      </w:pPr>
      <w:r>
        <w:rPr>
          <w:rFonts w:hint="eastAsia"/>
        </w:rPr>
        <w:t>联系电话：</w:t>
      </w:r>
      <w:r>
        <w:rPr>
          <w:u w:val="dotted"/>
        </w:rPr>
        <w:t xml:space="preserve">                                           </w:t>
      </w:r>
      <w:r>
        <w:t xml:space="preserve"> </w:t>
      </w:r>
    </w:p>
    <w:p>
      <w:pPr>
        <w:pStyle w:val="59"/>
      </w:pPr>
      <w:r>
        <w:rPr>
          <w:rFonts w:hint="eastAsia"/>
        </w:rPr>
        <w:t>地址：</w:t>
      </w:r>
      <w:r>
        <w:t xml:space="preserve"> </w:t>
      </w:r>
      <w:r>
        <w:rPr>
          <w:u w:val="dotted"/>
        </w:rPr>
        <w:t xml:space="preserve">                        </w:t>
      </w:r>
      <w:r>
        <w:rPr>
          <w:rFonts w:hint="eastAsia"/>
        </w:rPr>
        <w:t>邮编：</w:t>
      </w:r>
      <w:r>
        <w:rPr>
          <w:u w:val="dotted"/>
        </w:rPr>
        <w:t xml:space="preserve">                                                </w:t>
      </w:r>
    </w:p>
    <w:p>
      <w:pPr>
        <w:pStyle w:val="59"/>
      </w:pPr>
      <w:r>
        <w:rPr>
          <w:rFonts w:hint="eastAsia"/>
        </w:rPr>
        <w:t>二、质疑项目基本情况</w:t>
      </w:r>
    </w:p>
    <w:p>
      <w:pPr>
        <w:pStyle w:val="59"/>
      </w:pPr>
      <w:r>
        <w:rPr>
          <w:rFonts w:hint="eastAsia"/>
        </w:rPr>
        <w:t>质疑项目的名称：</w:t>
      </w:r>
      <w:r>
        <w:rPr>
          <w:u w:val="dotted"/>
        </w:rPr>
        <w:t xml:space="preserve">                                      </w:t>
      </w:r>
    </w:p>
    <w:p>
      <w:pPr>
        <w:pStyle w:val="59"/>
      </w:pPr>
      <w:r>
        <w:rPr>
          <w:rFonts w:hint="eastAsia"/>
        </w:rPr>
        <w:t>质疑项目的编号：</w:t>
      </w:r>
      <w:r>
        <w:rPr>
          <w:u w:val="dotted"/>
        </w:rPr>
        <w:t xml:space="preserve">               </w:t>
      </w:r>
      <w:r>
        <w:rPr>
          <w:rFonts w:hint="eastAsia"/>
        </w:rPr>
        <w:t>包号：</w:t>
      </w:r>
      <w:r>
        <w:rPr>
          <w:u w:val="dotted"/>
        </w:rPr>
        <w:t xml:space="preserve">                 </w:t>
      </w:r>
    </w:p>
    <w:p>
      <w:pPr>
        <w:pStyle w:val="59"/>
        <w:rPr>
          <w:u w:val="dotted"/>
        </w:rPr>
      </w:pPr>
      <w:r>
        <w:rPr>
          <w:rFonts w:hint="eastAsia"/>
        </w:rPr>
        <w:t>采购人名称：</w:t>
      </w:r>
      <w:r>
        <w:rPr>
          <w:u w:val="dotted"/>
        </w:rPr>
        <w:t xml:space="preserve">                                         </w:t>
      </w:r>
    </w:p>
    <w:p>
      <w:pPr>
        <w:pStyle w:val="59"/>
      </w:pPr>
      <w:r>
        <w:rPr>
          <w:rFonts w:hint="eastAsia"/>
        </w:rPr>
        <w:t>采购文件获取日期：</w:t>
      </w:r>
      <w:r>
        <w:rPr>
          <w:u w:val="dotted"/>
        </w:rPr>
        <w:t xml:space="preserve">                                           </w:t>
      </w:r>
    </w:p>
    <w:p>
      <w:pPr>
        <w:pStyle w:val="59"/>
      </w:pPr>
      <w:r>
        <w:rPr>
          <w:rFonts w:hint="eastAsia"/>
        </w:rPr>
        <w:t>三、质疑事项具体内容</w:t>
      </w:r>
    </w:p>
    <w:p>
      <w:pPr>
        <w:pStyle w:val="59"/>
        <w:rPr>
          <w:u w:val="dotted"/>
        </w:rPr>
      </w:pPr>
      <w:r>
        <w:rPr>
          <w:rFonts w:hint="eastAsia"/>
        </w:rPr>
        <w:t>质疑事项</w:t>
      </w:r>
      <w:r>
        <w:t>1：</w:t>
      </w:r>
      <w:r>
        <w:rPr>
          <w:u w:val="dotted"/>
        </w:rPr>
        <w:t xml:space="preserve">                                         </w:t>
      </w:r>
    </w:p>
    <w:p>
      <w:pPr>
        <w:pStyle w:val="59"/>
        <w:rPr>
          <w:u w:val="dotted"/>
        </w:rPr>
      </w:pPr>
      <w:r>
        <w:rPr>
          <w:rFonts w:hint="eastAsia"/>
        </w:rPr>
        <w:t>事实依据：</w:t>
      </w:r>
      <w:r>
        <w:rPr>
          <w:u w:val="dotted"/>
        </w:rPr>
        <w:t xml:space="preserve">                                          </w:t>
      </w:r>
    </w:p>
    <w:p>
      <w:pPr>
        <w:pStyle w:val="59"/>
      </w:pPr>
      <w:r>
        <w:rPr>
          <w:u w:val="dotted"/>
        </w:rPr>
        <w:t xml:space="preserve">                                                       </w:t>
      </w:r>
    </w:p>
    <w:p>
      <w:pPr>
        <w:pStyle w:val="59"/>
        <w:rPr>
          <w:u w:val="dotted"/>
        </w:rPr>
      </w:pPr>
      <w:r>
        <w:rPr>
          <w:rFonts w:hint="eastAsia"/>
        </w:rPr>
        <w:t>法律依据：</w:t>
      </w:r>
      <w:r>
        <w:rPr>
          <w:u w:val="dotted"/>
        </w:rPr>
        <w:t xml:space="preserve">                                          </w:t>
      </w:r>
    </w:p>
    <w:p>
      <w:pPr>
        <w:pStyle w:val="59"/>
        <w:rPr>
          <w:u w:val="dotted"/>
        </w:rPr>
      </w:pPr>
      <w:r>
        <w:rPr>
          <w:u w:val="dotted"/>
        </w:rPr>
        <w:t xml:space="preserve">                                                     </w:t>
      </w:r>
    </w:p>
    <w:p>
      <w:pPr>
        <w:pStyle w:val="59"/>
        <w:rPr>
          <w:u w:val="dotted"/>
        </w:rPr>
      </w:pPr>
      <w:r>
        <w:rPr>
          <w:rFonts w:hint="eastAsia"/>
        </w:rPr>
        <w:t>质疑事项</w:t>
      </w:r>
      <w:r>
        <w:t>2</w:t>
      </w:r>
    </w:p>
    <w:p>
      <w:pPr>
        <w:pStyle w:val="59"/>
      </w:pPr>
      <w:r>
        <w:rPr>
          <w:rFonts w:hint="eastAsia"/>
        </w:rPr>
        <w:t>……</w:t>
      </w:r>
    </w:p>
    <w:p>
      <w:pPr>
        <w:pStyle w:val="59"/>
      </w:pPr>
      <w:r>
        <w:rPr>
          <w:rFonts w:hint="eastAsia"/>
        </w:rPr>
        <w:t>四、与质疑事项相关的质疑请求</w:t>
      </w:r>
    </w:p>
    <w:p>
      <w:pPr>
        <w:pStyle w:val="59"/>
        <w:rPr>
          <w:u w:val="dotted"/>
        </w:rPr>
      </w:pPr>
      <w:r>
        <w:rPr>
          <w:rFonts w:hint="eastAsia"/>
        </w:rPr>
        <w:t>请求：</w:t>
      </w:r>
      <w:r>
        <w:rPr>
          <w:u w:val="dotted"/>
        </w:rPr>
        <w:t xml:space="preserve">                                               </w:t>
      </w:r>
    </w:p>
    <w:p>
      <w:pPr>
        <w:pStyle w:val="59"/>
      </w:pPr>
      <w:r>
        <w:rPr>
          <w:rFonts w:hint="eastAsia"/>
        </w:rPr>
        <w:t>签字</w:t>
      </w:r>
      <w:r>
        <w:t xml:space="preserve">(签章)：                   公章：                      </w:t>
      </w:r>
    </w:p>
    <w:p>
      <w:pPr>
        <w:pStyle w:val="59"/>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9"/>
      </w:pPr>
      <w:r>
        <w:t>1.供应商提出质疑时，应提交质疑函和必要的证明材料。</w:t>
      </w:r>
    </w:p>
    <w:p>
      <w:pPr>
        <w:pStyle w:val="59"/>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9"/>
      </w:pPr>
      <w:r>
        <w:t>3.质疑供应商若对项目的某一分包进行质疑，质疑函中应列明具体分包号。</w:t>
      </w:r>
    </w:p>
    <w:p>
      <w:pPr>
        <w:pStyle w:val="59"/>
      </w:pPr>
      <w:r>
        <w:t>4.质疑函的质疑事项应具体、明确，并有必要的事实依据和法律依据。</w:t>
      </w:r>
    </w:p>
    <w:p>
      <w:pPr>
        <w:pStyle w:val="59"/>
      </w:pPr>
      <w:r>
        <w:t>5.质疑函的质疑请求应与质疑事项相关。</w:t>
      </w:r>
    </w:p>
    <w:p>
      <w:pPr>
        <w:pStyle w:val="59"/>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1"/>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F1E96"/>
    <w:multiLevelType w:val="singleLevel"/>
    <w:tmpl w:val="F15F1E96"/>
    <w:lvl w:ilvl="0" w:tentative="0">
      <w:start w:val="1"/>
      <w:numFmt w:val="decimal"/>
      <w:lvlText w:val="%1."/>
      <w:lvlJc w:val="left"/>
      <w:pPr>
        <w:tabs>
          <w:tab w:val="left" w:pos="312"/>
        </w:tabs>
      </w:pPr>
    </w:lvl>
  </w:abstractNum>
  <w:abstractNum w:abstractNumId="1">
    <w:nsid w:val="006A7E04"/>
    <w:multiLevelType w:val="multilevel"/>
    <w:tmpl w:val="006A7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766544"/>
    <w:multiLevelType w:val="multilevel"/>
    <w:tmpl w:val="007665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943954"/>
    <w:multiLevelType w:val="multilevel"/>
    <w:tmpl w:val="019439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7F396D"/>
    <w:multiLevelType w:val="multilevel"/>
    <w:tmpl w:val="047F39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1E4E91"/>
    <w:multiLevelType w:val="multilevel"/>
    <w:tmpl w:val="0A1E4E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E8F580"/>
    <w:multiLevelType w:val="singleLevel"/>
    <w:tmpl w:val="12E8F580"/>
    <w:lvl w:ilvl="0" w:tentative="0">
      <w:start w:val="1"/>
      <w:numFmt w:val="decimal"/>
      <w:suff w:val="nothing"/>
      <w:lvlText w:val="%1、"/>
      <w:lvlJc w:val="left"/>
    </w:lvl>
  </w:abstractNum>
  <w:abstractNum w:abstractNumId="7">
    <w:nsid w:val="177238D3"/>
    <w:multiLevelType w:val="multilevel"/>
    <w:tmpl w:val="177238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B47315"/>
    <w:multiLevelType w:val="multilevel"/>
    <w:tmpl w:val="18B473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CE46F8"/>
    <w:multiLevelType w:val="multilevel"/>
    <w:tmpl w:val="1CCE46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5226"/>
    <w:multiLevelType w:val="multilevel"/>
    <w:tmpl w:val="206E52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A06EF1"/>
    <w:multiLevelType w:val="multilevel"/>
    <w:tmpl w:val="23A06E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077F0B"/>
    <w:multiLevelType w:val="multilevel"/>
    <w:tmpl w:val="2A077F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EC0410"/>
    <w:multiLevelType w:val="multilevel"/>
    <w:tmpl w:val="2CEC04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2819BD"/>
    <w:multiLevelType w:val="multilevel"/>
    <w:tmpl w:val="302819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304B40"/>
    <w:multiLevelType w:val="multilevel"/>
    <w:tmpl w:val="30304B40"/>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32841CD5"/>
    <w:multiLevelType w:val="multilevel"/>
    <w:tmpl w:val="32841C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24B14C"/>
    <w:multiLevelType w:val="singleLevel"/>
    <w:tmpl w:val="3424B14C"/>
    <w:lvl w:ilvl="0" w:tentative="0">
      <w:start w:val="1"/>
      <w:numFmt w:val="decimal"/>
      <w:suff w:val="nothing"/>
      <w:lvlText w:val="%1、"/>
      <w:lvlJc w:val="left"/>
    </w:lvl>
  </w:abstractNum>
  <w:abstractNum w:abstractNumId="19">
    <w:nsid w:val="37C007FE"/>
    <w:multiLevelType w:val="multilevel"/>
    <w:tmpl w:val="37C00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368A7D"/>
    <w:multiLevelType w:val="singleLevel"/>
    <w:tmpl w:val="3F368A7D"/>
    <w:lvl w:ilvl="0" w:tentative="0">
      <w:start w:val="1"/>
      <w:numFmt w:val="decimal"/>
      <w:suff w:val="nothing"/>
      <w:lvlText w:val="%1、"/>
      <w:lvlJc w:val="left"/>
    </w:lvl>
  </w:abstractNum>
  <w:abstractNum w:abstractNumId="21">
    <w:nsid w:val="3FFC64D3"/>
    <w:multiLevelType w:val="multilevel"/>
    <w:tmpl w:val="3FFC64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1CA1AC2"/>
    <w:multiLevelType w:val="multilevel"/>
    <w:tmpl w:val="41CA1AC2"/>
    <w:lvl w:ilvl="0" w:tentative="0">
      <w:start w:val="1"/>
      <w:numFmt w:val="decimal"/>
      <w:lvlText w:val="第%1章"/>
      <w:lvlJc w:val="center"/>
      <w:pPr>
        <w:ind w:left="218" w:hanging="420"/>
      </w:pPr>
      <w:rPr>
        <w:rFonts w:hint="eastAsia"/>
      </w:rPr>
    </w:lvl>
    <w:lvl w:ilvl="1" w:tentative="0">
      <w:start w:val="1"/>
      <w:numFmt w:val="decimal"/>
      <w:lvlText w:val="%1.%2"/>
      <w:lvlJc w:val="left"/>
      <w:pPr>
        <w:ind w:left="567" w:hanging="567"/>
      </w:pPr>
      <w:rPr>
        <w:rFonts w:hint="default" w:ascii="Times New Roman" w:hAnsi="Times New Roman" w:cs="Times New Roman"/>
        <w:sz w:val="30"/>
        <w:szCs w:val="30"/>
      </w:rPr>
    </w:lvl>
    <w:lvl w:ilvl="2" w:tentative="0">
      <w:start w:val="1"/>
      <w:numFmt w:val="decimal"/>
      <w:lvlText w:val="%1.%2.%3"/>
      <w:lvlJc w:val="left"/>
      <w:pPr>
        <w:ind w:left="709" w:hanging="709"/>
      </w:pPr>
      <w:rPr>
        <w:rFonts w:hint="default" w:ascii="Times New Roman" w:hAnsi="Times New Roman" w:cs="Times New Roman"/>
        <w:sz w:val="28"/>
        <w:lang w:val="en-US"/>
      </w:rPr>
    </w:lvl>
    <w:lvl w:ilvl="3" w:tentative="0">
      <w:start w:val="1"/>
      <w:numFmt w:val="decimal"/>
      <w:suff w:val="nothing"/>
      <w:lvlText w:val="%1.%2.%3.%4"/>
      <w:lvlJc w:val="left"/>
      <w:pPr>
        <w:ind w:left="851" w:hanging="851"/>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suff w:val="nothing"/>
      <w:lvlText w:val="%1.%2.%3.%4.%5.%6"/>
      <w:lvlJc w:val="left"/>
      <w:pPr>
        <w:ind w:left="0" w:firstLine="0"/>
      </w:pPr>
      <w:rPr>
        <w:rFonts w:hint="eastAsia"/>
        <w:b/>
        <w:i w:val="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42D808C2"/>
    <w:multiLevelType w:val="singleLevel"/>
    <w:tmpl w:val="42D808C2"/>
    <w:lvl w:ilvl="0" w:tentative="0">
      <w:start w:val="1"/>
      <w:numFmt w:val="decimal"/>
      <w:lvlText w:val="%1."/>
      <w:lvlJc w:val="left"/>
      <w:pPr>
        <w:tabs>
          <w:tab w:val="left" w:pos="312"/>
        </w:tabs>
      </w:pPr>
    </w:lvl>
  </w:abstractNum>
  <w:abstractNum w:abstractNumId="24">
    <w:nsid w:val="43512D5E"/>
    <w:multiLevelType w:val="multilevel"/>
    <w:tmpl w:val="43512D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3CB76A3"/>
    <w:multiLevelType w:val="multilevel"/>
    <w:tmpl w:val="43CB76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5A87E18"/>
    <w:multiLevelType w:val="multilevel"/>
    <w:tmpl w:val="45A87E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87F72D5"/>
    <w:multiLevelType w:val="multilevel"/>
    <w:tmpl w:val="487F72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3B2135"/>
    <w:multiLevelType w:val="multilevel"/>
    <w:tmpl w:val="493B21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9615C3F"/>
    <w:multiLevelType w:val="multilevel"/>
    <w:tmpl w:val="49615C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A4F05C4"/>
    <w:multiLevelType w:val="multilevel"/>
    <w:tmpl w:val="4A4F05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CE10AC1"/>
    <w:multiLevelType w:val="multilevel"/>
    <w:tmpl w:val="4CE10A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D0452B9"/>
    <w:multiLevelType w:val="multilevel"/>
    <w:tmpl w:val="4D0452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E0D0617"/>
    <w:multiLevelType w:val="multilevel"/>
    <w:tmpl w:val="4E0D0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7702D5A"/>
    <w:multiLevelType w:val="multilevel"/>
    <w:tmpl w:val="57702D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1F6DD5"/>
    <w:multiLevelType w:val="multilevel"/>
    <w:tmpl w:val="5B1F6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EFD5DDC"/>
    <w:multiLevelType w:val="multilevel"/>
    <w:tmpl w:val="5EFD5D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2A51BAA"/>
    <w:multiLevelType w:val="multilevel"/>
    <w:tmpl w:val="62A51B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38D5774"/>
    <w:multiLevelType w:val="multilevel"/>
    <w:tmpl w:val="638D57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53278D5"/>
    <w:multiLevelType w:val="multilevel"/>
    <w:tmpl w:val="653278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6896C8C"/>
    <w:multiLevelType w:val="multilevel"/>
    <w:tmpl w:val="66896C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1E1C2A"/>
    <w:multiLevelType w:val="multilevel"/>
    <w:tmpl w:val="681E1C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9EB3C31"/>
    <w:multiLevelType w:val="multilevel"/>
    <w:tmpl w:val="69EB3C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B961AF0"/>
    <w:multiLevelType w:val="multilevel"/>
    <w:tmpl w:val="6B961A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FF2757F"/>
    <w:multiLevelType w:val="multilevel"/>
    <w:tmpl w:val="6FF275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0874B2B"/>
    <w:multiLevelType w:val="multilevel"/>
    <w:tmpl w:val="70874B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5016D24"/>
    <w:multiLevelType w:val="multilevel"/>
    <w:tmpl w:val="75016D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AF26B2E"/>
    <w:multiLevelType w:val="multilevel"/>
    <w:tmpl w:val="7AF26B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B5960A1"/>
    <w:multiLevelType w:val="multilevel"/>
    <w:tmpl w:val="7B5960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942355"/>
    <w:multiLevelType w:val="multilevel"/>
    <w:tmpl w:val="7B9423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EBD5FCE"/>
    <w:multiLevelType w:val="multilevel"/>
    <w:tmpl w:val="7EBD5F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FD42F72"/>
    <w:multiLevelType w:val="multilevel"/>
    <w:tmpl w:val="7FD42F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22"/>
  </w:num>
  <w:num w:numId="3">
    <w:abstractNumId w:val="16"/>
  </w:num>
  <w:num w:numId="4">
    <w:abstractNumId w:val="4"/>
  </w:num>
  <w:num w:numId="5">
    <w:abstractNumId w:val="45"/>
  </w:num>
  <w:num w:numId="6">
    <w:abstractNumId w:val="33"/>
  </w:num>
  <w:num w:numId="7">
    <w:abstractNumId w:val="36"/>
  </w:num>
  <w:num w:numId="8">
    <w:abstractNumId w:val="46"/>
  </w:num>
  <w:num w:numId="9">
    <w:abstractNumId w:val="51"/>
  </w:num>
  <w:num w:numId="10">
    <w:abstractNumId w:val="2"/>
  </w:num>
  <w:num w:numId="11">
    <w:abstractNumId w:val="39"/>
  </w:num>
  <w:num w:numId="12">
    <w:abstractNumId w:val="38"/>
  </w:num>
  <w:num w:numId="13">
    <w:abstractNumId w:val="5"/>
  </w:num>
  <w:num w:numId="14">
    <w:abstractNumId w:val="7"/>
  </w:num>
  <w:num w:numId="15">
    <w:abstractNumId w:val="8"/>
  </w:num>
  <w:num w:numId="16">
    <w:abstractNumId w:val="42"/>
  </w:num>
  <w:num w:numId="17">
    <w:abstractNumId w:val="25"/>
  </w:num>
  <w:num w:numId="18">
    <w:abstractNumId w:val="41"/>
  </w:num>
  <w:num w:numId="19">
    <w:abstractNumId w:val="32"/>
  </w:num>
  <w:num w:numId="20">
    <w:abstractNumId w:val="35"/>
  </w:num>
  <w:num w:numId="21">
    <w:abstractNumId w:val="47"/>
  </w:num>
  <w:num w:numId="22">
    <w:abstractNumId w:val="44"/>
  </w:num>
  <w:num w:numId="23">
    <w:abstractNumId w:val="19"/>
  </w:num>
  <w:num w:numId="24">
    <w:abstractNumId w:val="3"/>
  </w:num>
  <w:num w:numId="25">
    <w:abstractNumId w:val="48"/>
  </w:num>
  <w:num w:numId="26">
    <w:abstractNumId w:val="50"/>
  </w:num>
  <w:num w:numId="27">
    <w:abstractNumId w:val="17"/>
  </w:num>
  <w:num w:numId="28">
    <w:abstractNumId w:val="12"/>
  </w:num>
  <w:num w:numId="29">
    <w:abstractNumId w:val="24"/>
  </w:num>
  <w:num w:numId="30">
    <w:abstractNumId w:val="30"/>
  </w:num>
  <w:num w:numId="31">
    <w:abstractNumId w:val="31"/>
  </w:num>
  <w:num w:numId="32">
    <w:abstractNumId w:val="34"/>
  </w:num>
  <w:num w:numId="33">
    <w:abstractNumId w:val="27"/>
  </w:num>
  <w:num w:numId="34">
    <w:abstractNumId w:val="9"/>
  </w:num>
  <w:num w:numId="35">
    <w:abstractNumId w:val="10"/>
  </w:num>
  <w:num w:numId="36">
    <w:abstractNumId w:val="29"/>
  </w:num>
  <w:num w:numId="37">
    <w:abstractNumId w:val="40"/>
  </w:num>
  <w:num w:numId="38">
    <w:abstractNumId w:val="49"/>
  </w:num>
  <w:num w:numId="39">
    <w:abstractNumId w:val="15"/>
  </w:num>
  <w:num w:numId="40">
    <w:abstractNumId w:val="21"/>
  </w:num>
  <w:num w:numId="41">
    <w:abstractNumId w:val="14"/>
  </w:num>
  <w:num w:numId="42">
    <w:abstractNumId w:val="28"/>
  </w:num>
  <w:num w:numId="43">
    <w:abstractNumId w:val="1"/>
  </w:num>
  <w:num w:numId="44">
    <w:abstractNumId w:val="43"/>
  </w:num>
  <w:num w:numId="45">
    <w:abstractNumId w:val="11"/>
  </w:num>
  <w:num w:numId="46">
    <w:abstractNumId w:val="26"/>
  </w:num>
  <w:num w:numId="47">
    <w:abstractNumId w:val="37"/>
  </w:num>
  <w:num w:numId="48">
    <w:abstractNumId w:val="0"/>
  </w:num>
  <w:num w:numId="49">
    <w:abstractNumId w:val="6"/>
  </w:num>
  <w:num w:numId="50">
    <w:abstractNumId w:val="23"/>
  </w:num>
  <w:num w:numId="51">
    <w:abstractNumId w:val="18"/>
  </w:num>
  <w:num w:numId="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jNlMGViMTgwNGEwZDk5Y2U1NzcyYmUzMWIzNWEifQ=="/>
  </w:docVars>
  <w:rsids>
    <w:rsidRoot w:val="004A31C0"/>
    <w:rsid w:val="00040E44"/>
    <w:rsid w:val="000506FE"/>
    <w:rsid w:val="00052F13"/>
    <w:rsid w:val="00062A5D"/>
    <w:rsid w:val="00063F3D"/>
    <w:rsid w:val="00083EEE"/>
    <w:rsid w:val="00090DF9"/>
    <w:rsid w:val="000C67BA"/>
    <w:rsid w:val="000E75F8"/>
    <w:rsid w:val="001375DB"/>
    <w:rsid w:val="001448FA"/>
    <w:rsid w:val="001478DA"/>
    <w:rsid w:val="00173428"/>
    <w:rsid w:val="001A3CF6"/>
    <w:rsid w:val="00240685"/>
    <w:rsid w:val="0024401D"/>
    <w:rsid w:val="00245FFA"/>
    <w:rsid w:val="002534A7"/>
    <w:rsid w:val="002563A4"/>
    <w:rsid w:val="002E02E0"/>
    <w:rsid w:val="002F0B9D"/>
    <w:rsid w:val="003169BC"/>
    <w:rsid w:val="0035778E"/>
    <w:rsid w:val="00380ED1"/>
    <w:rsid w:val="00381B1D"/>
    <w:rsid w:val="003A3435"/>
    <w:rsid w:val="004105E2"/>
    <w:rsid w:val="00415230"/>
    <w:rsid w:val="00424619"/>
    <w:rsid w:val="00424A1D"/>
    <w:rsid w:val="00462F9D"/>
    <w:rsid w:val="00464C62"/>
    <w:rsid w:val="004A31C0"/>
    <w:rsid w:val="00501CA3"/>
    <w:rsid w:val="00546619"/>
    <w:rsid w:val="00581054"/>
    <w:rsid w:val="005A325A"/>
    <w:rsid w:val="005A3BF2"/>
    <w:rsid w:val="005C706A"/>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5362D"/>
    <w:rsid w:val="007B07B1"/>
    <w:rsid w:val="00820CDB"/>
    <w:rsid w:val="00825212"/>
    <w:rsid w:val="00843A59"/>
    <w:rsid w:val="00852E70"/>
    <w:rsid w:val="00872DA1"/>
    <w:rsid w:val="00873B8A"/>
    <w:rsid w:val="008B1281"/>
    <w:rsid w:val="008C3320"/>
    <w:rsid w:val="008F729B"/>
    <w:rsid w:val="009040D0"/>
    <w:rsid w:val="009064F4"/>
    <w:rsid w:val="009823B1"/>
    <w:rsid w:val="00983C22"/>
    <w:rsid w:val="009863A6"/>
    <w:rsid w:val="0098739B"/>
    <w:rsid w:val="009B7259"/>
    <w:rsid w:val="009E6B47"/>
    <w:rsid w:val="009F698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0FF51FA"/>
    <w:rsid w:val="17694B62"/>
    <w:rsid w:val="17DC2DA1"/>
    <w:rsid w:val="18CF55FB"/>
    <w:rsid w:val="25811B61"/>
    <w:rsid w:val="28BF3CAE"/>
    <w:rsid w:val="2D4A700A"/>
    <w:rsid w:val="2F520061"/>
    <w:rsid w:val="328F5F4B"/>
    <w:rsid w:val="32C218B2"/>
    <w:rsid w:val="33CF2A87"/>
    <w:rsid w:val="40BE0C1B"/>
    <w:rsid w:val="4A887BD5"/>
    <w:rsid w:val="4F553A59"/>
    <w:rsid w:val="5F85644C"/>
    <w:rsid w:val="650869CE"/>
    <w:rsid w:val="6AF22827"/>
    <w:rsid w:val="75D42C2F"/>
    <w:rsid w:val="7B303A39"/>
    <w:rsid w:val="7C1D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2">
    <w:name w:val="heading 3"/>
    <w:basedOn w:val="1"/>
    <w:next w:val="1"/>
    <w:link w:val="35"/>
    <w:unhideWhenUsed/>
    <w:qFormat/>
    <w:uiPriority w:val="9"/>
    <w:pPr>
      <w:outlineLvl w:val="2"/>
    </w:pPr>
    <w:rPr>
      <w:b/>
    </w:rPr>
  </w:style>
  <w:style w:type="paragraph" w:styleId="5">
    <w:name w:val="heading 4"/>
    <w:basedOn w:val="1"/>
    <w:next w:val="1"/>
    <w:link w:val="36"/>
    <w:unhideWhenUsed/>
    <w:qFormat/>
    <w:uiPriority w:val="9"/>
    <w:pPr>
      <w:spacing w:after="0" w:line="271" w:lineRule="auto"/>
      <w:outlineLvl w:val="3"/>
    </w:pPr>
    <w:rPr>
      <w:b/>
      <w:bCs/>
      <w:spacing w:val="5"/>
    </w:rPr>
  </w:style>
  <w:style w:type="paragraph" w:styleId="6">
    <w:name w:val="heading 5"/>
    <w:basedOn w:val="1"/>
    <w:next w:val="1"/>
    <w:link w:val="37"/>
    <w:unhideWhenUsed/>
    <w:qFormat/>
    <w:uiPriority w:val="9"/>
    <w:pPr>
      <w:spacing w:after="0" w:line="271" w:lineRule="auto"/>
      <w:outlineLvl w:val="4"/>
    </w:pPr>
    <w:rPr>
      <w:i/>
      <w:iCs/>
    </w:rPr>
  </w:style>
  <w:style w:type="paragraph" w:styleId="7">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link w:val="80"/>
    <w:semiHidden/>
    <w:unhideWhenUsed/>
    <w:qFormat/>
    <w:uiPriority w:val="99"/>
  </w:style>
  <w:style w:type="paragraph" w:styleId="14">
    <w:name w:val="Body Text"/>
    <w:basedOn w:val="1"/>
    <w:unhideWhenUsed/>
    <w:qFormat/>
    <w:uiPriority w:val="99"/>
    <w:pPr>
      <w:spacing w:after="120"/>
    </w:pPr>
  </w:style>
  <w:style w:type="paragraph" w:styleId="15">
    <w:name w:val="Body Text Indent"/>
    <w:basedOn w:val="1"/>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5"/>
    <w:semiHidden/>
    <w:unhideWhenUsed/>
    <w:qFormat/>
    <w:uiPriority w:val="99"/>
    <w:pPr>
      <w:spacing w:after="0"/>
    </w:pPr>
    <w:rPr>
      <w:sz w:val="18"/>
      <w:szCs w:val="18"/>
    </w:rPr>
  </w:style>
  <w:style w:type="paragraph" w:styleId="18">
    <w:name w:val="footer"/>
    <w:basedOn w:val="1"/>
    <w:link w:val="32"/>
    <w:unhideWhenUsed/>
    <w:qFormat/>
    <w:uiPriority w:val="99"/>
    <w:pPr>
      <w:tabs>
        <w:tab w:val="center" w:pos="4153"/>
        <w:tab w:val="right" w:pos="8306"/>
      </w:tabs>
      <w:snapToGrid w:val="0"/>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3"/>
    <w:qFormat/>
    <w:uiPriority w:val="11"/>
    <w:rPr>
      <w:i/>
      <w:iCs/>
      <w:smallCaps/>
      <w:spacing w:val="10"/>
      <w:sz w:val="28"/>
      <w:szCs w:val="28"/>
    </w:rPr>
  </w:style>
  <w:style w:type="paragraph" w:styleId="21">
    <w:name w:val="Title"/>
    <w:basedOn w:val="1"/>
    <w:next w:val="1"/>
    <w:link w:val="42"/>
    <w:qFormat/>
    <w:uiPriority w:val="10"/>
    <w:pPr>
      <w:spacing w:after="300"/>
      <w:contextualSpacing/>
    </w:pPr>
    <w:rPr>
      <w:smallCaps/>
      <w:sz w:val="52"/>
      <w:szCs w:val="52"/>
    </w:rPr>
  </w:style>
  <w:style w:type="paragraph" w:styleId="22">
    <w:name w:val="annotation subject"/>
    <w:basedOn w:val="13"/>
    <w:next w:val="13"/>
    <w:link w:val="81"/>
    <w:semiHidden/>
    <w:unhideWhenUsed/>
    <w:qFormat/>
    <w:uiPriority w:val="99"/>
    <w:rPr>
      <w:b/>
      <w:bCs/>
    </w:rPr>
  </w:style>
  <w:style w:type="paragraph" w:styleId="23">
    <w:name w:val="Body Text First Indent"/>
    <w:basedOn w:val="14"/>
    <w:unhideWhenUsed/>
    <w:qFormat/>
    <w:uiPriority w:val="99"/>
    <w:pPr>
      <w:ind w:firstLine="420" w:firstLineChars="1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semiHidden/>
    <w:unhideWhenUsed/>
    <w:qFormat/>
    <w:uiPriority w:val="99"/>
    <w:rPr>
      <w:sz w:val="21"/>
      <w:szCs w:val="21"/>
    </w:rPr>
  </w:style>
  <w:style w:type="character" w:customStyle="1" w:styleId="31">
    <w:name w:val="页眉 字符"/>
    <w:basedOn w:val="26"/>
    <w:link w:val="19"/>
    <w:qFormat/>
    <w:uiPriority w:val="99"/>
    <w:rPr>
      <w:sz w:val="18"/>
      <w:szCs w:val="18"/>
    </w:rPr>
  </w:style>
  <w:style w:type="character" w:customStyle="1" w:styleId="32">
    <w:name w:val="页脚 字符"/>
    <w:basedOn w:val="26"/>
    <w:link w:val="18"/>
    <w:qFormat/>
    <w:uiPriority w:val="99"/>
    <w:rPr>
      <w:sz w:val="18"/>
      <w:szCs w:val="18"/>
    </w:rPr>
  </w:style>
  <w:style w:type="character" w:customStyle="1" w:styleId="33">
    <w:name w:val="标题 1 字符"/>
    <w:basedOn w:val="26"/>
    <w:link w:val="3"/>
    <w:qFormat/>
    <w:uiPriority w:val="9"/>
    <w:rPr>
      <w:rFonts w:ascii="仿宋_GB2312" w:hAnsi="仿宋" w:eastAsia="仿宋_GB2312"/>
      <w:b/>
      <w:smallCaps/>
      <w:spacing w:val="5"/>
      <w:sz w:val="36"/>
      <w:szCs w:val="36"/>
    </w:rPr>
  </w:style>
  <w:style w:type="character" w:customStyle="1" w:styleId="34">
    <w:name w:val="标题 2 字符"/>
    <w:basedOn w:val="26"/>
    <w:link w:val="4"/>
    <w:qFormat/>
    <w:uiPriority w:val="9"/>
    <w:rPr>
      <w:rFonts w:ascii="仿宋" w:hAnsi="仿宋" w:eastAsia="仿宋"/>
      <w:b/>
      <w:smallCaps/>
      <w:sz w:val="28"/>
      <w:szCs w:val="28"/>
    </w:rPr>
  </w:style>
  <w:style w:type="character" w:customStyle="1" w:styleId="35">
    <w:name w:val="标题 3 字符"/>
    <w:basedOn w:val="26"/>
    <w:link w:val="2"/>
    <w:qFormat/>
    <w:uiPriority w:val="9"/>
    <w:rPr>
      <w:rFonts w:ascii="仿宋" w:hAnsi="仿宋" w:eastAsia="仿宋"/>
      <w:b/>
      <w:sz w:val="24"/>
      <w:szCs w:val="24"/>
    </w:rPr>
  </w:style>
  <w:style w:type="character" w:customStyle="1" w:styleId="36">
    <w:name w:val="标题 4 字符"/>
    <w:basedOn w:val="26"/>
    <w:link w:val="5"/>
    <w:qFormat/>
    <w:uiPriority w:val="9"/>
    <w:rPr>
      <w:b/>
      <w:bCs/>
      <w:spacing w:val="5"/>
      <w:sz w:val="24"/>
      <w:szCs w:val="24"/>
    </w:rPr>
  </w:style>
  <w:style w:type="character" w:customStyle="1" w:styleId="37">
    <w:name w:val="标题 5 字符"/>
    <w:basedOn w:val="26"/>
    <w:link w:val="6"/>
    <w:qFormat/>
    <w:uiPriority w:val="9"/>
    <w:rPr>
      <w:i/>
      <w:iCs/>
      <w:sz w:val="24"/>
      <w:szCs w:val="24"/>
    </w:rPr>
  </w:style>
  <w:style w:type="character" w:customStyle="1" w:styleId="38">
    <w:name w:val="标题 6 字符"/>
    <w:basedOn w:val="26"/>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字符"/>
    <w:basedOn w:val="26"/>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字符"/>
    <w:basedOn w:val="26"/>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字符"/>
    <w:basedOn w:val="26"/>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字符"/>
    <w:basedOn w:val="26"/>
    <w:link w:val="21"/>
    <w:qFormat/>
    <w:uiPriority w:val="10"/>
    <w:rPr>
      <w:smallCaps/>
      <w:sz w:val="52"/>
      <w:szCs w:val="52"/>
    </w:rPr>
  </w:style>
  <w:style w:type="character" w:customStyle="1" w:styleId="43">
    <w:name w:val="副标题 字符"/>
    <w:basedOn w:val="26"/>
    <w:link w:val="20"/>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字符"/>
    <w:basedOn w:val="26"/>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字符"/>
    <w:basedOn w:val="26"/>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6"/>
    <w:qFormat/>
    <w:uiPriority w:val="31"/>
    <w:rPr>
      <w:smallCaps/>
    </w:rPr>
  </w:style>
  <w:style w:type="character" w:customStyle="1" w:styleId="53">
    <w:name w:val="明显参考1"/>
    <w:qFormat/>
    <w:uiPriority w:val="32"/>
    <w:rPr>
      <w:b/>
      <w:bCs/>
      <w:smallCaps/>
    </w:rPr>
  </w:style>
  <w:style w:type="character" w:customStyle="1" w:styleId="54">
    <w:name w:val="书籍标题1"/>
    <w:basedOn w:val="26"/>
    <w:qFormat/>
    <w:uiPriority w:val="33"/>
    <w:rPr>
      <w:i/>
      <w:iCs/>
      <w:smallCaps/>
      <w:spacing w:val="5"/>
    </w:rPr>
  </w:style>
  <w:style w:type="paragraph" w:customStyle="1" w:styleId="55">
    <w:name w:val="TOC 标题1"/>
    <w:basedOn w:val="3"/>
    <w:next w:val="1"/>
    <w:semiHidden/>
    <w:unhideWhenUsed/>
    <w:qFormat/>
    <w:uiPriority w:val="39"/>
    <w:pPr>
      <w:outlineLvl w:val="9"/>
    </w:pPr>
    <w:rPr>
      <w:lang w:bidi="en-US"/>
    </w:rPr>
  </w:style>
  <w:style w:type="character" w:customStyle="1" w:styleId="56">
    <w:name w:val="无间隔 字符"/>
    <w:basedOn w:val="26"/>
    <w:link w:val="44"/>
    <w:qFormat/>
    <w:uiPriority w:val="1"/>
  </w:style>
  <w:style w:type="paragraph" w:customStyle="1" w:styleId="57">
    <w:name w:val="Personal Name"/>
    <w:basedOn w:val="21"/>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1">
    <w:name w:val="纯文本 字符"/>
    <w:basedOn w:val="26"/>
    <w:link w:val="16"/>
    <w:qFormat/>
    <w:uiPriority w:val="0"/>
    <w:rPr>
      <w:rFonts w:ascii="宋体" w:hAnsi="Courier New" w:eastAsia="宋体" w:cs="Arial"/>
      <w:snapToGrid w:val="0"/>
      <w:kern w:val="2"/>
      <w:sz w:val="21"/>
      <w:szCs w:val="21"/>
    </w:rPr>
  </w:style>
  <w:style w:type="character" w:customStyle="1" w:styleId="62">
    <w:name w:val="正文文本缩进 Char"/>
    <w:basedOn w:val="26"/>
    <w:semiHidden/>
    <w:qFormat/>
    <w:uiPriority w:val="99"/>
    <w:rPr>
      <w:rFonts w:ascii="仿宋" w:hAnsi="仿宋" w:eastAsia="仿宋"/>
      <w:sz w:val="24"/>
      <w:szCs w:val="24"/>
    </w:rPr>
  </w:style>
  <w:style w:type="character" w:customStyle="1" w:styleId="63">
    <w:name w:val="正文文本缩进 字符"/>
    <w:link w:val="15"/>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字符"/>
    <w:basedOn w:val="26"/>
    <w:link w:val="17"/>
    <w:semiHidden/>
    <w:qFormat/>
    <w:uiPriority w:val="99"/>
    <w:rPr>
      <w:rFonts w:ascii="仿宋" w:hAnsi="仿宋" w:eastAsia="仿宋"/>
      <w:sz w:val="18"/>
      <w:szCs w:val="18"/>
    </w:rPr>
  </w:style>
  <w:style w:type="paragraph" w:customStyle="1" w:styleId="76">
    <w:name w:val="BodyText1I2"/>
    <w:basedOn w:val="77"/>
    <w:qFormat/>
    <w:uiPriority w:val="0"/>
    <w:pPr>
      <w:ind w:firstLine="420"/>
    </w:pPr>
    <w:rPr>
      <w:sz w:val="21"/>
    </w:rPr>
  </w:style>
  <w:style w:type="paragraph" w:customStyle="1" w:styleId="77">
    <w:name w:val="BodyTextIndent"/>
    <w:basedOn w:val="1"/>
    <w:qFormat/>
    <w:uiPriority w:val="0"/>
    <w:pPr>
      <w:spacing w:line="360" w:lineRule="auto"/>
      <w:ind w:firstLine="490"/>
    </w:pPr>
    <w:rPr>
      <w:rFonts w:ascii="宋体" w:hAnsi="宋体"/>
    </w:rPr>
  </w:style>
  <w:style w:type="character" w:customStyle="1" w:styleId="78">
    <w:name w:val="不明显强调2"/>
    <w:qFormat/>
    <w:uiPriority w:val="19"/>
    <w:rPr>
      <w:i/>
      <w:iCs/>
    </w:rPr>
  </w:style>
  <w:style w:type="table" w:customStyle="1" w:styleId="79">
    <w:name w:val="网格型131"/>
    <w:basedOn w:val="24"/>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批注文字 字符"/>
    <w:basedOn w:val="26"/>
    <w:link w:val="13"/>
    <w:semiHidden/>
    <w:uiPriority w:val="99"/>
    <w:rPr>
      <w:rFonts w:ascii="仿宋" w:hAnsi="仿宋" w:eastAsia="仿宋"/>
      <w:sz w:val="24"/>
      <w:szCs w:val="24"/>
    </w:rPr>
  </w:style>
  <w:style w:type="character" w:customStyle="1" w:styleId="81">
    <w:name w:val="批注主题 字符"/>
    <w:basedOn w:val="80"/>
    <w:link w:val="22"/>
    <w:semiHidden/>
    <w:qFormat/>
    <w:uiPriority w:val="99"/>
    <w:rPr>
      <w:rFonts w:ascii="仿宋" w:hAnsi="仿宋" w:eastAsia="仿宋"/>
      <w:b/>
      <w:bCs/>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50271</Words>
  <Characters>56703</Characters>
  <Lines>469</Lines>
  <Paragraphs>132</Paragraphs>
  <TotalTime>0</TotalTime>
  <ScaleCrop>false</ScaleCrop>
  <LinksUpToDate>false</LinksUpToDate>
  <CharactersWithSpaces>62693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2022-07-18T06:28:00Z</dcterms:created>
  <dc:creator>admin</dc:creator>
  <cp:lastModifiedBy>w</cp:lastModifiedBy>
  <cp:lastPrinted>2022-07-19T08:50:00Z</cp:lastPrinted>
  <dcterms:modified xsi:type="dcterms:W3CDTF">2022-07-25T01:36:38Z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DFEC80EB42BA4611AED95016963FBA5A</vt:lpwstr>
  </property>
</Properties>
</file>