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b/>
          <w:color w:val="auto"/>
          <w:sz w:val="44"/>
          <w:szCs w:val="44"/>
          <w:highlight w:val="none"/>
        </w:rPr>
      </w:pPr>
    </w:p>
    <w:p>
      <w:pPr>
        <w:adjustRightInd/>
        <w:spacing w:line="360" w:lineRule="auto"/>
        <w:jc w:val="center"/>
        <w:rPr>
          <w:rFonts w:hint="eastAsia" w:ascii="宋体" w:hAnsi="宋体" w:eastAsia="宋体" w:cs="宋体"/>
          <w:b/>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衙前镇流动人口、交通治理、消防检查工作力量服务外包政府采购项目</w:t>
      </w: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 xml:space="preserve">招标文件 </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napToGrid w:val="0"/>
        <w:spacing w:line="360" w:lineRule="auto"/>
        <w:jc w:val="center"/>
        <w:rPr>
          <w:rFonts w:hint="default" w:ascii="宋体" w:hAnsi="宋体" w:eastAsia="宋体" w:cs="宋体"/>
          <w:color w:val="auto"/>
          <w:sz w:val="30"/>
          <w:szCs w:val="30"/>
          <w:highlight w:val="none"/>
          <w:lang w:val="en-US" w:eastAsia="zh-CN"/>
        </w:rPr>
      </w:pPr>
      <w:r>
        <w:rPr>
          <w:rFonts w:hint="eastAsia" w:ascii="宋体" w:hAnsi="宋体" w:eastAsia="宋体" w:cs="宋体"/>
          <w:color w:val="auto"/>
          <w:sz w:val="30"/>
          <w:szCs w:val="30"/>
          <w:highlight w:val="none"/>
        </w:rPr>
        <w:t>编号:GYGK-YQGK-2023879</w:t>
      </w: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杭州市萧山区衙前镇人民政府</w:t>
      </w:r>
    </w:p>
    <w:p>
      <w:pPr>
        <w:snapToGrid w:val="0"/>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浙江华域高宇项目管理有限公司</w:t>
      </w: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lang w:val="en-US" w:eastAsia="zh-CN"/>
        </w:rPr>
        <w:t xml:space="preserve"> 2023</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val="en-US" w:eastAsia="zh-CN"/>
        </w:rPr>
        <w:t>09</w:t>
      </w:r>
      <w:r>
        <w:rPr>
          <w:rFonts w:hint="eastAsia" w:ascii="宋体" w:hAnsi="宋体" w:eastAsia="宋体" w:cs="宋体"/>
          <w:bCs/>
          <w:color w:val="auto"/>
          <w:sz w:val="32"/>
          <w:szCs w:val="32"/>
          <w:highlight w:val="none"/>
        </w:rPr>
        <w:t>月</w:t>
      </w:r>
      <w:r>
        <w:rPr>
          <w:rFonts w:hint="eastAsia" w:ascii="宋体" w:hAnsi="宋体" w:cs="宋体"/>
          <w:bCs/>
          <w:color w:val="auto"/>
          <w:sz w:val="32"/>
          <w:szCs w:val="32"/>
          <w:highlight w:val="none"/>
          <w:lang w:val="en-US" w:eastAsia="zh-CN"/>
        </w:rPr>
        <w:t>25</w:t>
      </w:r>
      <w:r>
        <w:rPr>
          <w:rFonts w:hint="eastAsia" w:ascii="宋体" w:hAnsi="宋体" w:eastAsia="宋体" w:cs="宋体"/>
          <w:bCs/>
          <w:color w:val="auto"/>
          <w:sz w:val="32"/>
          <w:szCs w:val="32"/>
          <w:highlight w:val="none"/>
        </w:rPr>
        <w:t>日</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本招标文件为202</w:t>
      </w:r>
      <w:r>
        <w:rPr>
          <w:rFonts w:hint="eastAsia" w:ascii="宋体" w:hAnsi="宋体" w:eastAsia="宋体" w:cs="宋体"/>
          <w:color w:val="auto"/>
          <w:highlight w:val="none"/>
          <w:lang w:val="en-US" w:eastAsia="zh-CN"/>
        </w:rPr>
        <w:t>3年5月1日稿</w:t>
      </w:r>
      <w:r>
        <w:rPr>
          <w:rFonts w:hint="eastAsia" w:ascii="宋体" w:hAnsi="宋体" w:eastAsia="宋体" w:cs="宋体"/>
          <w:color w:val="auto"/>
          <w:highlight w:val="none"/>
        </w:rPr>
        <w:t>，请各位投标人详细阅读各项条款</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w:t>
      </w:r>
      <w:r>
        <w:rPr>
          <w:rFonts w:hint="eastAsia" w:ascii="宋体" w:hAnsi="宋体" w:cs="宋体"/>
          <w:color w:val="auto"/>
          <w:sz w:val="24"/>
          <w:highlight w:val="none"/>
          <w:u w:val="single"/>
          <w:lang w:eastAsia="zh-CN"/>
        </w:rPr>
        <w:t>衙前镇流动人口、交通治理、消防检查工作力量服务外包政府采购项目</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"https://www.zcygov.cn/）获取（下载）招标文件，并于202%20年%20月%20日%20点%20分00秒" </w:instrText>
      </w:r>
      <w:r>
        <w:rPr>
          <w:rFonts w:hint="eastAsia" w:ascii="宋体" w:hAnsi="宋体" w:eastAsia="宋体" w:cs="宋体"/>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https://www.zcygov.cn/）获取（下载）招标文件，并于202</w:t>
      </w:r>
      <w:r>
        <w:rPr>
          <w:rStyle w:val="76"/>
          <w:rFonts w:hint="eastAsia" w:ascii="宋体" w:hAnsi="宋体" w:cs="宋体"/>
          <w:snapToGrid/>
          <w:color w:val="auto"/>
          <w:kern w:val="2"/>
          <w:sz w:val="24"/>
          <w:szCs w:val="24"/>
          <w:highlight w:val="none"/>
          <w:lang w:val="en-US" w:eastAsia="zh-CN"/>
        </w:rPr>
        <w:t>3</w:t>
      </w:r>
      <w:r>
        <w:rPr>
          <w:rStyle w:val="76"/>
          <w:rFonts w:hint="eastAsia" w:ascii="宋体" w:hAnsi="宋体" w:eastAsia="宋体" w:cs="宋体"/>
          <w:snapToGrid/>
          <w:color w:val="auto"/>
          <w:kern w:val="2"/>
          <w:sz w:val="24"/>
          <w:szCs w:val="24"/>
          <w:highlight w:val="none"/>
        </w:rPr>
        <w:t>年</w:t>
      </w:r>
      <w:r>
        <w:rPr>
          <w:rStyle w:val="76"/>
          <w:rFonts w:hint="eastAsia" w:ascii="宋体" w:hAnsi="宋体" w:cs="宋体"/>
          <w:snapToGrid/>
          <w:color w:val="auto"/>
          <w:kern w:val="2"/>
          <w:sz w:val="24"/>
          <w:szCs w:val="24"/>
          <w:highlight w:val="none"/>
          <w:lang w:val="en-US" w:eastAsia="zh-CN"/>
        </w:rPr>
        <w:t>10</w:t>
      </w:r>
      <w:r>
        <w:rPr>
          <w:rStyle w:val="76"/>
          <w:rFonts w:hint="eastAsia" w:ascii="宋体" w:hAnsi="宋体" w:eastAsia="宋体" w:cs="宋体"/>
          <w:snapToGrid/>
          <w:color w:val="auto"/>
          <w:kern w:val="2"/>
          <w:sz w:val="24"/>
          <w:szCs w:val="24"/>
          <w:highlight w:val="none"/>
        </w:rPr>
        <w:t>月</w:t>
      </w:r>
      <w:r>
        <w:rPr>
          <w:rStyle w:val="76"/>
          <w:rFonts w:hint="eastAsia" w:ascii="宋体" w:hAnsi="宋体" w:cs="宋体"/>
          <w:snapToGrid/>
          <w:color w:val="auto"/>
          <w:kern w:val="2"/>
          <w:sz w:val="24"/>
          <w:szCs w:val="24"/>
          <w:highlight w:val="none"/>
          <w:lang w:val="en-US" w:eastAsia="zh-CN"/>
        </w:rPr>
        <w:t>16</w:t>
      </w:r>
      <w:r>
        <w:rPr>
          <w:rStyle w:val="76"/>
          <w:rFonts w:hint="eastAsia" w:ascii="宋体" w:hAnsi="宋体" w:eastAsia="宋体" w:cs="宋体"/>
          <w:snapToGrid/>
          <w:color w:val="auto"/>
          <w:kern w:val="2"/>
          <w:sz w:val="24"/>
          <w:szCs w:val="24"/>
          <w:highlight w:val="none"/>
        </w:rPr>
        <w:t>日</w:t>
      </w:r>
      <w:r>
        <w:rPr>
          <w:rStyle w:val="76"/>
          <w:rFonts w:hint="eastAsia" w:ascii="宋体" w:hAnsi="宋体" w:cs="宋体"/>
          <w:snapToGrid/>
          <w:color w:val="auto"/>
          <w:kern w:val="2"/>
          <w:sz w:val="24"/>
          <w:szCs w:val="24"/>
          <w:highlight w:val="none"/>
          <w:lang w:val="en-US" w:eastAsia="zh-CN"/>
        </w:rPr>
        <w:t>9</w:t>
      </w:r>
      <w:r>
        <w:rPr>
          <w:rStyle w:val="76"/>
          <w:rFonts w:hint="eastAsia" w:ascii="宋体" w:hAnsi="宋体" w:eastAsia="宋体" w:cs="宋体"/>
          <w:snapToGrid/>
          <w:color w:val="auto"/>
          <w:kern w:val="2"/>
          <w:sz w:val="24"/>
          <w:szCs w:val="24"/>
          <w:highlight w:val="none"/>
        </w:rPr>
        <w:t>点</w:t>
      </w:r>
      <w:r>
        <w:rPr>
          <w:rStyle w:val="76"/>
          <w:rFonts w:hint="eastAsia" w:ascii="宋体" w:hAnsi="宋体" w:cs="宋体"/>
          <w:snapToGrid/>
          <w:color w:val="auto"/>
          <w:kern w:val="2"/>
          <w:sz w:val="24"/>
          <w:szCs w:val="24"/>
          <w:highlight w:val="none"/>
          <w:lang w:val="en-US" w:eastAsia="zh-CN"/>
        </w:rPr>
        <w:t>30</w:t>
      </w:r>
      <w:r>
        <w:rPr>
          <w:rStyle w:val="76"/>
          <w:rFonts w:hint="eastAsia" w:ascii="宋体" w:hAnsi="宋体" w:eastAsia="宋体" w:cs="宋体"/>
          <w:snapToGrid/>
          <w:color w:val="auto"/>
          <w:kern w:val="2"/>
          <w:sz w:val="24"/>
          <w:szCs w:val="24"/>
          <w:highlight w:val="none"/>
        </w:rPr>
        <w:t>分</w:t>
      </w:r>
      <w:r>
        <w:rPr>
          <w:rStyle w:val="76"/>
          <w:rFonts w:hint="eastAsia" w:ascii="宋体" w:hAnsi="宋体" w:eastAsia="宋体" w:cs="宋体"/>
          <w:bCs/>
          <w:snapToGrid/>
          <w:color w:val="auto"/>
          <w:kern w:val="2"/>
          <w:sz w:val="24"/>
          <w:szCs w:val="24"/>
          <w:highlight w:val="none"/>
        </w:rPr>
        <w:t>00秒</w:t>
      </w:r>
      <w:r>
        <w:rPr>
          <w:rStyle w:val="76"/>
          <w:rFonts w:hint="eastAsia" w:ascii="宋体" w:hAnsi="宋体" w:eastAsia="宋体" w:cs="宋体"/>
          <w:bCs/>
          <w:snapToGrid/>
          <w:color w:val="auto"/>
          <w:kern w:val="2"/>
          <w:sz w:val="24"/>
          <w:szCs w:val="24"/>
          <w:highlight w:val="non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spacing w:line="360" w:lineRule="auto"/>
        <w:rPr>
          <w:rFonts w:hint="default" w:ascii="宋体" w:hAnsi="宋体" w:cs="宋体"/>
          <w:color w:val="auto"/>
          <w:sz w:val="24"/>
          <w:highlight w:val="none"/>
          <w:lang w:val="en-US"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项目编号：</w:t>
      </w:r>
      <w:r>
        <w:rPr>
          <w:rFonts w:hint="eastAsia" w:ascii="宋体" w:hAnsi="宋体" w:cs="宋体"/>
          <w:color w:val="auto"/>
          <w:sz w:val="24"/>
          <w:highlight w:val="none"/>
          <w:lang w:eastAsia="zh-CN"/>
        </w:rPr>
        <w:t>GYGK-YQGK-2023879</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项目名称：</w:t>
      </w:r>
      <w:r>
        <w:rPr>
          <w:rFonts w:hint="eastAsia" w:ascii="宋体" w:hAnsi="宋体" w:cs="宋体"/>
          <w:color w:val="auto"/>
          <w:sz w:val="24"/>
          <w:highlight w:val="none"/>
          <w:lang w:eastAsia="zh-CN"/>
        </w:rPr>
        <w:t>衙前镇流动人口、交通治理、消防检查工作力量服务外包政府采购项目</w:t>
      </w:r>
    </w:p>
    <w:p>
      <w:pPr>
        <w:spacing w:line="360" w:lineRule="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预算金额（元）：</w:t>
      </w:r>
      <w:r>
        <w:rPr>
          <w:rFonts w:hint="eastAsia" w:ascii="宋体" w:hAnsi="宋体" w:cs="宋体"/>
          <w:color w:val="auto"/>
          <w:sz w:val="24"/>
          <w:highlight w:val="none"/>
          <w:lang w:val="en-US" w:eastAsia="zh-CN"/>
        </w:rPr>
        <w:t xml:space="preserve">9500000.00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b/>
          <w:color w:val="auto"/>
          <w:sz w:val="24"/>
          <w:highlight w:val="none"/>
        </w:rPr>
        <w:t>最高限价（元）：</w:t>
      </w:r>
      <w:r>
        <w:rPr>
          <w:rFonts w:hint="eastAsia" w:ascii="宋体" w:hAnsi="宋体" w:cs="宋体"/>
          <w:color w:val="auto"/>
          <w:sz w:val="24"/>
          <w:highlight w:val="none"/>
          <w:lang w:val="en-US" w:eastAsia="zh-CN"/>
        </w:rPr>
        <w:t xml:space="preserve">9450000.00   </w:t>
      </w:r>
    </w:p>
    <w:p>
      <w:pPr>
        <w:pStyle w:val="15"/>
        <w:spacing w:line="360" w:lineRule="auto"/>
        <w:ind w:firstLine="480"/>
        <w:rPr>
          <w:rFonts w:hint="eastAsia" w:ascii="宋体" w:hAnsi="宋体" w:eastAsia="宋体" w:cs="宋体"/>
          <w:bCs/>
          <w:snapToGrid/>
          <w:color w:val="auto"/>
          <w:kern w:val="2"/>
          <w:sz w:val="24"/>
          <w:szCs w:val="24"/>
          <w:highlight w:val="none"/>
        </w:rPr>
      </w:pPr>
      <w:r>
        <w:rPr>
          <w:rFonts w:hint="eastAsia" w:ascii="宋体" w:hAnsi="宋体" w:eastAsia="宋体" w:cs="宋体"/>
          <w:b/>
          <w:color w:val="auto"/>
          <w:sz w:val="24"/>
          <w:highlight w:val="none"/>
        </w:rPr>
        <w:t>采购需求：</w:t>
      </w:r>
      <w:r>
        <w:rPr>
          <w:rFonts w:hint="eastAsia" w:hAnsi="宋体" w:cs="宋体"/>
          <w:bCs/>
          <w:snapToGrid/>
          <w:color w:val="auto"/>
          <w:kern w:val="2"/>
          <w:sz w:val="24"/>
          <w:szCs w:val="24"/>
          <w:highlight w:val="none"/>
          <w:lang w:eastAsia="zh-CN"/>
        </w:rPr>
        <w:t>衙前镇流动人口、交通治理、消防检查工作力量服务外包政府采购项目</w:t>
      </w:r>
      <w:r>
        <w:rPr>
          <w:rFonts w:hint="eastAsia" w:ascii="宋体" w:hAnsi="宋体" w:eastAsia="宋体" w:cs="宋体"/>
          <w:bCs/>
          <w:snapToGrid/>
          <w:color w:val="auto"/>
          <w:kern w:val="2"/>
          <w:sz w:val="24"/>
          <w:szCs w:val="24"/>
          <w:highlight w:val="none"/>
          <w:lang w:eastAsia="zh-CN"/>
        </w:rPr>
        <w:t>，</w:t>
      </w:r>
      <w:r>
        <w:rPr>
          <w:rFonts w:hint="eastAsia" w:ascii="宋体" w:hAnsi="宋体" w:eastAsia="宋体" w:cs="宋体"/>
          <w:bCs/>
          <w:snapToGrid/>
          <w:color w:val="auto"/>
          <w:kern w:val="2"/>
          <w:sz w:val="24"/>
          <w:szCs w:val="24"/>
          <w:highlight w:val="none"/>
        </w:rPr>
        <w:t>主要内容：</w:t>
      </w:r>
      <w:r>
        <w:rPr>
          <w:rFonts w:hint="eastAsia" w:ascii="宋体" w:hAnsi="宋体" w:eastAsia="宋体" w:cs="宋体"/>
          <w:color w:val="auto"/>
          <w:sz w:val="24"/>
          <w:highlight w:val="none"/>
        </w:rPr>
        <w:t>流动人口、交通治理、消防检查工作力量服务外包</w:t>
      </w:r>
      <w:r>
        <w:rPr>
          <w:rFonts w:hint="eastAsia" w:ascii="宋体" w:hAnsi="宋体" w:eastAsia="宋体" w:cs="宋体"/>
          <w:bCs/>
          <w:snapToGrid/>
          <w:color w:val="auto"/>
          <w:kern w:val="2"/>
          <w:sz w:val="24"/>
          <w:szCs w:val="24"/>
          <w:highlight w:val="none"/>
        </w:rPr>
        <w:t>。</w:t>
      </w:r>
      <w:r>
        <w:rPr>
          <w:rFonts w:hint="eastAsia" w:ascii="宋体" w:hAnsi="宋体" w:eastAsia="宋体" w:cs="宋体"/>
          <w:snapToGrid/>
          <w:color w:val="auto"/>
          <w:kern w:val="2"/>
          <w:sz w:val="24"/>
          <w:szCs w:val="24"/>
          <w:highlight w:val="none"/>
        </w:rPr>
        <w:t>具体以招标文件第三部分采购需求为准，供应商可点击本公告下方“浏览采购文件”查看采购需求。</w:t>
      </w:r>
    </w:p>
    <w:p>
      <w:pPr>
        <w:pStyle w:val="130"/>
        <w:ind w:firstLine="482"/>
        <w:outlineLvl w:val="2"/>
        <w:rPr>
          <w:rFonts w:hint="eastAsia" w:ascii="宋体" w:hAnsi="宋体" w:eastAsia="宋体" w:cs="宋体"/>
          <w:color w:val="auto"/>
          <w:highlight w:val="none"/>
        </w:rPr>
      </w:pPr>
      <w:r>
        <w:rPr>
          <w:rFonts w:hint="eastAsia" w:ascii="宋体" w:hAnsi="宋体" w:eastAsia="宋体" w:cs="宋体"/>
          <w:b/>
          <w:color w:val="auto"/>
          <w:highlight w:val="none"/>
        </w:rPr>
        <w:t xml:space="preserve">合同履约期限： </w:t>
      </w:r>
    </w:p>
    <w:p>
      <w:pPr>
        <w:pStyle w:val="15"/>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b/>
          <w:color w:val="auto"/>
          <w:sz w:val="24"/>
          <w:highlight w:val="none"/>
        </w:rPr>
        <w:t>本项目接受联合体投标：</w:t>
      </w:r>
      <w:sdt>
        <w:sdtPr>
          <w:rPr>
            <w:rFonts w:hint="eastAsia" w:ascii="宋体" w:hAnsi="宋体" w:eastAsia="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eastAsia="宋体" w:cs="宋体"/>
            <w:snapToGrid/>
            <w:color w:val="auto"/>
            <w:kern w:val="2"/>
            <w:sz w:val="24"/>
            <w:szCs w:val="24"/>
            <w:highlight w:val="none"/>
          </w:rPr>
        </w:sdtEndPr>
        <w:sdtContent>
          <w:r>
            <w:rPr>
              <w:rFonts w:hint="eastAsia" w:ascii="Wingdings" w:hAnsi="Wingdings" w:eastAsia="宋体" w:cs="宋体"/>
              <w:snapToGrid/>
              <w:color w:val="auto"/>
              <w:kern w:val="2"/>
              <w:sz w:val="24"/>
              <w:szCs w:val="24"/>
              <w:highlight w:val="none"/>
              <w:lang w:val="en-US" w:eastAsia="zh-CN" w:bidi="ar-SA"/>
            </w:rPr>
            <w:t>þ</w:t>
          </w:r>
        </w:sdtContent>
      </w:sdt>
      <w:r>
        <w:rPr>
          <w:rFonts w:hint="eastAsia" w:ascii="宋体" w:hAnsi="宋体" w:eastAsia="宋体" w:cs="宋体"/>
          <w:snapToGrid/>
          <w:color w:val="auto"/>
          <w:kern w:val="2"/>
          <w:sz w:val="24"/>
          <w:szCs w:val="24"/>
          <w:highlight w:val="none"/>
        </w:rPr>
        <w:t xml:space="preserve"> </w:t>
      </w:r>
      <w:r>
        <w:rPr>
          <w:rFonts w:hint="eastAsia" w:ascii="宋体" w:hAnsi="宋体" w:eastAsia="宋体" w:cs="宋体"/>
          <w:b w:val="0"/>
          <w:snapToGrid/>
          <w:color w:val="auto"/>
          <w:kern w:val="2"/>
          <w:sz w:val="24"/>
          <w:szCs w:val="24"/>
          <w:highlight w:val="none"/>
          <w:lang w:val="en-US" w:eastAsia="zh-CN"/>
        </w:rPr>
        <w:t>是；</w:t>
      </w:r>
      <w:sdt>
        <w:sdtPr>
          <w:rPr>
            <w:rFonts w:hint="eastAsia" w:ascii="宋体" w:hAnsi="宋体" w:eastAsia="宋体" w:cs="宋体"/>
            <w:snapToGrid/>
            <w:color w:val="auto"/>
            <w:kern w:val="2"/>
            <w:sz w:val="24"/>
            <w:szCs w:val="24"/>
            <w:highlight w:val="none"/>
          </w:rPr>
          <w:id w:val="-1276331357"/>
          <w14:checkbox>
            <w14:checked w14:val="0"/>
            <w14:checkedState w14:val="00FE" w14:font="Wingdings"/>
            <w14:uncheckedState w14:val="2610" w14:font="MS Gothic"/>
          </w14:checkbox>
        </w:sdtPr>
        <w:sdtEndPr>
          <w:rPr>
            <w:rFonts w:hint="eastAsia" w:ascii="宋体" w:hAnsi="宋体" w:eastAsia="宋体" w:cs="宋体"/>
            <w:snapToGrid/>
            <w:color w:val="auto"/>
            <w:kern w:val="2"/>
            <w:sz w:val="24"/>
            <w:szCs w:val="24"/>
            <w:highlight w:val="none"/>
          </w:rPr>
        </w:sdtEndPr>
        <w:sdtContent>
          <w:r>
            <w:rPr>
              <w:rFonts w:hint="eastAsia" w:ascii="宋体" w:hAnsi="宋体" w:eastAsia="宋体" w:cs="宋体"/>
              <w:snapToGrid/>
              <w:color w:val="auto"/>
              <w:kern w:val="2"/>
              <w:sz w:val="24"/>
              <w:szCs w:val="24"/>
              <w:highlight w:val="none"/>
            </w:rPr>
            <w:t>☐</w:t>
          </w:r>
        </w:sdtContent>
      </w:sdt>
      <w:r>
        <w:rPr>
          <w:rFonts w:hint="eastAsia" w:ascii="宋体" w:hAnsi="宋体" w:eastAsia="宋体" w:cs="宋体"/>
          <w:snapToGrid/>
          <w:color w:val="auto"/>
          <w:kern w:val="2"/>
          <w:sz w:val="24"/>
          <w:szCs w:val="24"/>
          <w:highlight w:val="none"/>
        </w:rPr>
        <w:t xml:space="preserve"> </w:t>
      </w:r>
      <w:r>
        <w:rPr>
          <w:rFonts w:hint="eastAsia" w:ascii="宋体" w:hAnsi="宋体" w:eastAsia="宋体" w:cs="宋体"/>
          <w:b w:val="0"/>
          <w:snapToGrid/>
          <w:color w:val="auto"/>
          <w:kern w:val="2"/>
          <w:sz w:val="24"/>
          <w:szCs w:val="24"/>
          <w:highlight w:val="none"/>
          <w:lang w:val="en-US" w:eastAsia="zh-CN"/>
        </w:rPr>
        <w:t>否</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w:t>
      </w:r>
      <w:bookmarkStart w:id="11" w:name="_Hlk101132948"/>
      <w:r>
        <w:rPr>
          <w:rFonts w:hint="eastAsia" w:ascii="宋体" w:hAnsi="宋体" w:eastAsia="宋体" w:cs="宋体"/>
          <w:b/>
          <w:color w:val="auto"/>
          <w:sz w:val="24"/>
          <w:highlight w:val="none"/>
        </w:rPr>
        <w:t>申请人的资格要求</w:t>
      </w:r>
      <w:bookmarkEnd w:id="11"/>
      <w:r>
        <w:rPr>
          <w:rFonts w:hint="eastAsia" w:ascii="宋体" w:hAnsi="宋体" w:eastAsia="宋体" w:cs="宋体"/>
          <w:b/>
          <w:color w:val="auto"/>
          <w:sz w:val="24"/>
          <w:highlight w:val="none"/>
        </w:rPr>
        <w:t>：</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2.</w:t>
      </w:r>
      <w:r>
        <w:rPr>
          <w:rFonts w:hint="eastAsia" w:ascii="宋体" w:hAnsi="宋体" w:eastAsia="宋体" w:cs="宋体"/>
          <w:color w:val="auto"/>
          <w:highlight w:val="none"/>
        </w:rPr>
        <w:t xml:space="preserve"> </w:t>
      </w:r>
      <w:r>
        <w:rPr>
          <w:rFonts w:hint="eastAsia" w:ascii="宋体" w:hAnsi="宋体" w:eastAsia="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3.落实政府采购政策需满足的资格要求：</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 xml:space="preserve"> </w:t>
      </w:r>
      <w:r>
        <w:rPr>
          <w:rFonts w:hint="eastAsia" w:ascii="宋体" w:hAnsi="宋体" w:eastAsia="宋体" w:cs="宋体"/>
          <w:color w:val="auto"/>
          <w:sz w:val="24"/>
          <w:highlight w:val="none"/>
        </w:rPr>
        <w:t>无</w:t>
      </w:r>
      <w:r>
        <w:rPr>
          <w:rFonts w:hint="eastAsia" w:ascii="宋体" w:hAnsi="宋体" w:eastAsia="宋体" w:cs="宋体"/>
          <w:snapToGrid w:val="0"/>
          <w:color w:val="auto"/>
          <w:kern w:val="28"/>
          <w:sz w:val="24"/>
          <w:szCs w:val="20"/>
          <w:highlight w:val="none"/>
        </w:rPr>
        <w:t>（注：不得限制大中型企业与小微企业组成联合体参与投标）</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619579745"/>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15076365"/>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lang w:val="en-US" w:eastAsia="zh-CN"/>
        </w:rPr>
        <w:t>服务</w:t>
      </w:r>
      <w:r>
        <w:rPr>
          <w:rFonts w:hint="eastAsia" w:ascii="宋体" w:hAnsi="宋体" w:eastAsia="宋体" w:cs="宋体"/>
          <w:color w:val="auto"/>
          <w:sz w:val="24"/>
          <w:highlight w:val="none"/>
        </w:rPr>
        <w:t>全部由符合政策要求的中小企业承接，提供中小企业声明函；</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559636501"/>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cs="宋体"/>
          <w:color w:val="auto"/>
          <w:sz w:val="24"/>
          <w:highlight w:val="none"/>
          <w:lang w:val="en-US" w:eastAsia="zh-CN"/>
        </w:rPr>
        <w:t>服务</w:t>
      </w:r>
      <w:r>
        <w:rPr>
          <w:rFonts w:hint="eastAsia" w:ascii="宋体" w:hAnsi="宋体" w:eastAsia="宋体" w:cs="宋体"/>
          <w:color w:val="auto"/>
          <w:sz w:val="24"/>
          <w:highlight w:val="none"/>
        </w:rPr>
        <w:t>全部由符合政策要求的小微企业承接，提供中小企业声明函；</w:t>
      </w:r>
    </w:p>
    <w:p>
      <w:pPr>
        <w:spacing w:line="360" w:lineRule="auto"/>
        <w:ind w:firstLine="480" w:firstLineChars="200"/>
        <w:rPr>
          <w:rFonts w:hint="eastAsia" w:ascii="宋体" w:hAnsi="宋体" w:eastAsia="宋体" w:cs="宋体"/>
          <w:color w:val="auto"/>
          <w:sz w:val="24"/>
          <w:highlight w:val="none"/>
        </w:rPr>
      </w:pPr>
      <w:bookmarkStart w:id="12" w:name="_Hlk101132524"/>
      <w:sdt>
        <w:sdtPr>
          <w:rPr>
            <w:rFonts w:hint="eastAsia" w:ascii="宋体" w:hAnsi="宋体" w:eastAsia="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 xml:space="preserve"> </w:t>
      </w:r>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highlight w:val="none"/>
        </w:rPr>
        <w:t>；</w:t>
      </w:r>
    </w:p>
    <w:bookmarkEnd w:id="12"/>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 xml:space="preserve"> </w:t>
      </w:r>
      <w:r>
        <w:rPr>
          <w:rFonts w:hint="eastAsia" w:ascii="宋体" w:hAnsi="宋体" w:eastAsia="宋体" w:cs="宋体"/>
          <w:color w:val="auto"/>
          <w:sz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highlight w:val="none"/>
        </w:rPr>
        <w:t>；</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w:t>
      </w:r>
      <w:r>
        <w:rPr>
          <w:rFonts w:hint="eastAsia" w:ascii="宋体" w:hAnsi="宋体" w:eastAsia="宋体" w:cs="宋体"/>
          <w:color w:val="auto"/>
          <w:sz w:val="24"/>
          <w:highlight w:val="none"/>
          <w:lang w:eastAsia="zh-CN"/>
        </w:rPr>
        <w:t>：</w:t>
      </w:r>
      <w:sdt>
        <w:sdtPr>
          <w:rPr>
            <w:rFonts w:hint="eastAsia" w:ascii="宋体" w:hAnsi="宋体" w:eastAsia="宋体" w:cs="宋体"/>
            <w:color w:val="auto"/>
            <w:kern w:val="0"/>
            <w:sz w:val="24"/>
            <w:highlight w:val="none"/>
          </w:rPr>
          <w:id w:val="-160711229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lang w:val="en-US" w:eastAsia="zh-CN"/>
        </w:rPr>
        <w:t>无</w:t>
      </w:r>
      <w:r>
        <w:rPr>
          <w:rFonts w:hint="eastAsia" w:ascii="宋体" w:hAnsi="宋体" w:eastAsia="宋体" w:cs="宋体"/>
          <w:color w:val="auto"/>
          <w:sz w:val="24"/>
          <w:highlight w:val="none"/>
        </w:rPr>
        <w:br w:type="textWrapping"/>
      </w:r>
      <w:sdt>
        <w:sdtPr>
          <w:rPr>
            <w:rFonts w:hint="eastAsia" w:ascii="宋体" w:hAnsi="宋体" w:eastAsia="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w:t>
          </w:r>
        </w:sdtContent>
      </w:sdt>
      <w:r>
        <w:rPr>
          <w:rFonts w:hint="eastAsia" w:ascii="宋体" w:hAnsi="宋体" w:eastAsia="宋体" w:cs="宋体"/>
          <w:color w:val="auto"/>
          <w:sz w:val="24"/>
          <w:highlight w:val="none"/>
        </w:rPr>
        <w:t>有特定资格要求：</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，该特定条件的法律法规据：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16</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16</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分00秒</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16</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分00秒</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 《浙江省财政厅关于进一步发挥政府采购政策功能全力推动经济稳进提质的通知》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宋体" w:hAnsi="宋体" w:eastAsia="宋体" w:cs="宋体"/>
          <w:color w:val="auto"/>
          <w:sz w:val="24"/>
          <w:highlight w:val="none"/>
          <w:lang w:val="en-US" w:eastAsia="zh-CN"/>
        </w:rPr>
        <w:t>项目是否接收备份文件，以前附表说明为准。</w:t>
      </w:r>
      <w:r>
        <w:rPr>
          <w:rFonts w:hint="eastAsia" w:ascii="宋体" w:hAnsi="宋体" w:eastAsia="宋体" w:cs="宋体"/>
          <w:color w:val="auto"/>
          <w:sz w:val="24"/>
          <w:highlight w:val="none"/>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1.采购人信息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 称：</w:t>
      </w:r>
      <w:r>
        <w:rPr>
          <w:rFonts w:hint="eastAsia" w:ascii="宋体" w:hAnsi="宋体" w:cs="宋体"/>
          <w:color w:val="auto"/>
          <w:sz w:val="24"/>
          <w:highlight w:val="none"/>
          <w:lang w:eastAsia="zh-CN"/>
        </w:rPr>
        <w:t>杭州市萧山区衙前镇人民政府</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地址：杭州市萧山区衙前镇衙前路350号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项目联系人（询问）：徐建庆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项目联系方式（询问）：15336565011</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质疑联系人：顾明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质疑联系方式：0571-82768016</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2.采购代理机构信息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称：浙江华域高宇项目管理有限公司</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地址：萧山区北干街道金城路560号心意广场2幢1101室</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传真：0571-22866657</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施少杰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项目联系方式（询问）：0571-22816663/</w:t>
      </w:r>
      <w:r>
        <w:rPr>
          <w:rFonts w:hint="eastAsia" w:ascii="宋体" w:hAnsi="宋体" w:cs="宋体"/>
          <w:color w:val="auto"/>
          <w:sz w:val="24"/>
          <w:highlight w:val="none"/>
          <w:lang w:val="en-US" w:eastAsia="zh-CN"/>
        </w:rPr>
        <w:t>18668052483</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质疑联系人：</w:t>
      </w:r>
      <w:r>
        <w:rPr>
          <w:rFonts w:hint="eastAsia" w:ascii="宋体" w:hAnsi="宋体" w:cs="宋体"/>
          <w:color w:val="auto"/>
          <w:sz w:val="24"/>
          <w:highlight w:val="none"/>
          <w:lang w:val="en-US" w:eastAsia="zh-CN"/>
        </w:rPr>
        <w:t>付钰航</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质疑联系方式：0571-22816663</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 xml:space="preserve">同级政府采购监督管理部门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名    称：萧山区财政局</w:t>
      </w:r>
    </w:p>
    <w:p>
      <w:pPr>
        <w:spacing w:line="360" w:lineRule="auto"/>
        <w:ind w:left="237" w:leftChars="113" w:firstLine="180" w:firstLineChars="75"/>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址：萧山区人民路318号</w:t>
      </w:r>
    </w:p>
    <w:p>
      <w:pPr>
        <w:spacing w:line="360" w:lineRule="auto"/>
        <w:ind w:left="237" w:leftChars="113" w:firstLine="180" w:firstLineChars="75"/>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真：0571-82756122</w:t>
      </w:r>
    </w:p>
    <w:p>
      <w:pPr>
        <w:spacing w:line="360" w:lineRule="auto"/>
        <w:ind w:left="237" w:leftChars="113" w:firstLine="180" w:firstLineChars="75"/>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 ：汤先生</w:t>
      </w:r>
    </w:p>
    <w:p>
      <w:pPr>
        <w:spacing w:line="360" w:lineRule="auto"/>
        <w:ind w:left="237" w:leftChars="113" w:firstLine="180" w:firstLineChars="75"/>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监督投诉电话：0571-82756122   </w:t>
      </w:r>
    </w:p>
    <w:p>
      <w:pPr>
        <w:spacing w:line="360" w:lineRule="auto"/>
        <w:ind w:firstLine="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pStyle w:val="33"/>
        <w:spacing w:line="360" w:lineRule="auto"/>
        <w:jc w:val="left"/>
        <w:rPr>
          <w:rFonts w:hint="eastAsia" w:ascii="宋体" w:hAnsi="宋体" w:eastAsia="宋体" w:cs="宋体"/>
          <w:b/>
          <w:color w:val="auto"/>
          <w:sz w:val="36"/>
          <w:szCs w:val="20"/>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36"/>
          <w:szCs w:val="20"/>
          <w:highlight w:val="none"/>
        </w:rPr>
        <w:t xml:space="preserve"> </w:t>
      </w:r>
    </w:p>
    <w:p>
      <w:pPr>
        <w:pStyle w:val="4"/>
        <w:rPr>
          <w:rFonts w:hint="eastAsia" w:ascii="宋体" w:hAnsi="宋体" w:eastAsia="宋体" w:cs="宋体"/>
          <w:snapToGrid w:val="0"/>
          <w:color w:val="auto"/>
          <w:highlight w:val="none"/>
        </w:rPr>
      </w:pPr>
      <w:r>
        <w:rPr>
          <w:rFonts w:hint="eastAsia" w:ascii="宋体" w:hAnsi="宋体" w:eastAsia="宋体" w:cs="宋体"/>
          <w:color w:val="auto"/>
          <w:highlight w:val="none"/>
        </w:rPr>
        <w:br w:type="page"/>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服务</w:t>
            </w:r>
            <w:r>
              <w:rPr>
                <w:rFonts w:hint="eastAsia" w:ascii="宋体" w:hAnsi="宋体" w:eastAsia="宋体" w:cs="宋体"/>
                <w:color w:val="auto"/>
                <w:sz w:val="24"/>
                <w:szCs w:val="24"/>
                <w:highlight w:val="none"/>
              </w:rPr>
              <w:t>类，单一产品或</w:t>
            </w:r>
            <w:r>
              <w:rPr>
                <w:rFonts w:hint="eastAsia" w:ascii="宋体" w:hAnsi="宋体" w:eastAsia="宋体" w:cs="宋体"/>
                <w:color w:val="auto"/>
                <w:kern w:val="0"/>
                <w:sz w:val="24"/>
                <w:szCs w:val="24"/>
                <w:highlight w:val="none"/>
              </w:rPr>
              <w:t>核心产品为：</w:t>
            </w:r>
            <w:r>
              <w:rPr>
                <w:rFonts w:hint="eastAsia" w:ascii="宋体" w:hAnsi="宋体" w:cs="宋体"/>
                <w:color w:val="auto"/>
                <w:sz w:val="24"/>
                <w:szCs w:val="24"/>
                <w:highlight w:val="none"/>
                <w:u w:val="single"/>
                <w:lang w:val="en-US" w:eastAsia="zh-CN"/>
              </w:rPr>
              <w:t>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（1）标的：</w:t>
            </w:r>
            <w:r>
              <w:rPr>
                <w:rFonts w:hint="eastAsia" w:ascii="宋体" w:hAnsi="宋体" w:eastAsia="宋体" w:cs="宋体"/>
                <w:color w:val="auto"/>
                <w:sz w:val="24"/>
                <w:szCs w:val="24"/>
                <w:highlight w:val="none"/>
                <w:u w:val="single"/>
              </w:rPr>
              <w:t>衙前镇流动人口、交通治理、消防检查工作力量服务外包政府采购项目</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lang w:eastAsia="zh-CN"/>
              </w:rPr>
              <w:t>租赁和商</w:t>
            </w:r>
            <w:r>
              <w:rPr>
                <w:rFonts w:hint="eastAsia" w:ascii="宋体" w:hAnsi="宋体" w:cs="宋体"/>
                <w:color w:val="auto"/>
                <w:sz w:val="24"/>
                <w:szCs w:val="24"/>
                <w:highlight w:val="none"/>
                <w:lang w:val="en-US" w:eastAsia="zh-CN"/>
              </w:rPr>
              <w:t>业</w:t>
            </w:r>
            <w:r>
              <w:rPr>
                <w:rFonts w:hint="eastAsia" w:ascii="宋体" w:hAnsi="宋体" w:eastAsia="宋体" w:cs="宋体"/>
                <w:color w:val="auto"/>
                <w:sz w:val="24"/>
                <w:szCs w:val="24"/>
                <w:highlight w:val="none"/>
                <w:lang w:eastAsia="zh-CN"/>
              </w:rPr>
              <w:t>服务业</w:t>
            </w:r>
            <w:r>
              <w:rPr>
                <w:rFonts w:hint="eastAsia" w:ascii="宋体" w:hAnsi="宋体" w:eastAsia="宋体" w:cs="宋体"/>
                <w:color w:val="auto"/>
                <w:sz w:val="24"/>
                <w:szCs w:val="24"/>
                <w:highlight w:val="none"/>
              </w:rPr>
              <w:t>行业；</w:t>
            </w:r>
          </w:p>
          <w:p>
            <w:pP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33"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bidi w:val="0"/>
              <w:rPr>
                <w:rFonts w:hint="eastAsia" w:ascii="宋体" w:hAnsi="宋体" w:eastAsia="宋体" w:cs="宋体"/>
                <w:color w:val="auto"/>
                <w:sz w:val="24"/>
                <w:szCs w:val="24"/>
                <w:highlight w:val="none"/>
              </w:rPr>
            </w:pPr>
            <w:sdt>
              <w:sdtPr>
                <w:rPr>
                  <w:rFonts w:hint="eastAsia" w:ascii="宋体" w:hAnsi="宋体" w:eastAsia="宋体" w:cs="宋体"/>
                  <w:color w:val="auto"/>
                  <w:sz w:val="24"/>
                  <w:szCs w:val="24"/>
                  <w:highlight w:val="none"/>
                </w:rPr>
                <w:id w:val="-1828425707"/>
                <w14:checkbox>
                  <w14:checked w14:val="1"/>
                  <w14:checkedState w14:val="00FE" w14:font="Wingdings"/>
                  <w14:uncheckedState w14:val="2610" w14:font="MS Gothic"/>
                </w14:checkbox>
              </w:sdtPr>
              <w:sdtEndPr>
                <w:rPr>
                  <w:rFonts w:hint="eastAsia" w:ascii="宋体" w:hAnsi="宋体" w:eastAsia="宋体" w:cs="宋体"/>
                  <w:color w:val="auto"/>
                  <w:sz w:val="24"/>
                  <w:szCs w:val="24"/>
                  <w:highlight w:val="none"/>
                </w:rPr>
              </w:sdtEndPr>
              <w:sdtContent>
                <w:r>
                  <w:rPr>
                    <w:rFonts w:hint="eastAsia" w:ascii="宋体" w:hAnsi="宋体" w:eastAsia="宋体" w:cs="宋体"/>
                    <w:color w:val="auto"/>
                    <w:sz w:val="24"/>
                    <w:szCs w:val="24"/>
                    <w:highlight w:val="none"/>
                  </w:rPr>
                  <w:sym w:font="Wingdings" w:char="F0FE"/>
                </w:r>
              </w:sdtContent>
            </w:sdt>
            <w:r>
              <w:rPr>
                <w:rFonts w:hint="eastAsia" w:ascii="宋体" w:hAnsi="宋体" w:eastAsia="宋体" w:cs="宋体"/>
                <w:color w:val="auto"/>
                <w:sz w:val="24"/>
                <w:szCs w:val="24"/>
                <w:highlight w:val="none"/>
              </w:rPr>
              <w:t>本项目不允许采购进口产品。</w:t>
            </w:r>
          </w:p>
          <w:p>
            <w:pPr>
              <w:bidi w:val="0"/>
              <w:rPr>
                <w:rFonts w:hint="eastAsia" w:ascii="宋体" w:hAnsi="宋体" w:eastAsia="宋体" w:cs="宋体"/>
                <w:color w:val="auto"/>
                <w:sz w:val="24"/>
                <w:szCs w:val="24"/>
                <w:highlight w:val="none"/>
              </w:rPr>
            </w:pPr>
            <w:sdt>
              <w:sdtPr>
                <w:rPr>
                  <w:rFonts w:hint="eastAsia" w:ascii="宋体" w:hAnsi="宋体" w:eastAsia="宋体" w:cs="宋体"/>
                  <w:color w:val="auto"/>
                  <w:sz w:val="24"/>
                  <w:szCs w:val="24"/>
                  <w:highlight w:val="none"/>
                </w:rPr>
                <w:id w:val="-52852824"/>
                <w14:checkbox>
                  <w14:checked w14:val="0"/>
                  <w14:checkedState w14:val="00FE" w14:font="Wingdings"/>
                  <w14:uncheckedState w14:val="2610" w14:font="MS Gothic"/>
                </w14:checkbox>
              </w:sdtPr>
              <w:sdtEndPr>
                <w:rPr>
                  <w:rFonts w:hint="eastAsia" w:ascii="宋体" w:hAnsi="宋体" w:eastAsia="宋体" w:cs="宋体"/>
                  <w:color w:val="auto"/>
                  <w:sz w:val="24"/>
                  <w:szCs w:val="24"/>
                  <w:highlight w:val="none"/>
                </w:rPr>
              </w:sdtEndPr>
              <w:sdtContent>
                <w:r>
                  <w:rPr>
                    <w:rFonts w:hint="eastAsia" w:ascii="宋体" w:hAnsi="宋体" w:eastAsia="宋体" w:cs="宋体"/>
                    <w:color w:val="auto"/>
                    <w:sz w:val="24"/>
                    <w:szCs w:val="24"/>
                    <w:highlight w:val="none"/>
                  </w:rPr>
                  <w:t>☐</w:t>
                </w:r>
              </w:sdtContent>
            </w:sdt>
            <w:r>
              <w:rPr>
                <w:rFonts w:hint="eastAsia" w:ascii="宋体" w:hAnsi="宋体" w:eastAsia="宋体" w:cs="宋体"/>
                <w:color w:val="auto"/>
                <w:sz w:val="24"/>
                <w:szCs w:val="24"/>
                <w:highlight w:val="none"/>
              </w:rPr>
              <w:t>可以就    采购进口产品。</w:t>
            </w:r>
            <w:r>
              <w:rPr>
                <w:rFonts w:hint="eastAsia" w:ascii="宋体" w:hAnsi="宋体" w:eastAsia="宋体" w:cs="宋体"/>
                <w:color w:val="auto"/>
                <w:kern w:val="0"/>
                <w:sz w:val="24"/>
                <w:szCs w:val="24"/>
                <w:highlight w:val="none"/>
              </w:rPr>
              <w:t>优先采购向我国企业转让技术、与我国企业签订消化吸收再创新方案的供应商的进口产品，详见</w:t>
            </w:r>
            <w:r>
              <w:rPr>
                <w:rFonts w:hint="eastAsia" w:ascii="宋体" w:hAnsi="宋体" w:eastAsia="宋体" w:cs="宋体"/>
                <w:color w:val="auto"/>
                <w:kern w:val="0"/>
                <w:sz w:val="24"/>
                <w:szCs w:val="24"/>
                <w:highlight w:val="none"/>
                <w:u w:val="single"/>
              </w:rPr>
              <w:t>评分标准</w:t>
            </w:r>
            <w:r>
              <w:rPr>
                <w:rFonts w:hint="eastAsia" w:ascii="宋体" w:hAnsi="宋体" w:eastAsia="宋体" w:cs="宋体"/>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6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1477286927"/>
                <w14:checkbox>
                  <w14:checked w14:val="1"/>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szCs w:val="24"/>
                <w:highlight w:val="none"/>
              </w:rPr>
              <w:t xml:space="preserve"> A</w:t>
            </w:r>
            <w:r>
              <w:rPr>
                <w:rFonts w:hint="eastAsia" w:ascii="宋体" w:hAnsi="宋体" w:eastAsia="宋体" w:cs="宋体"/>
                <w:color w:val="auto"/>
                <w:sz w:val="24"/>
                <w:szCs w:val="24"/>
                <w:highlight w:val="none"/>
              </w:rPr>
              <w:t>同意将非主体、非关键性的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工作分包</w:t>
            </w:r>
            <w:r>
              <w:rPr>
                <w:rFonts w:hint="eastAsia" w:ascii="宋体" w:hAnsi="宋体" w:eastAsia="宋体" w:cs="宋体"/>
                <w:color w:val="auto"/>
                <w:sz w:val="24"/>
                <w:szCs w:val="24"/>
                <w:highlight w:val="none"/>
              </w:rPr>
              <w:t>。</w:t>
            </w:r>
            <w:sdt>
              <w:sdtPr>
                <w:rPr>
                  <w:rFonts w:hint="eastAsia" w:ascii="宋体" w:hAnsi="宋体" w:eastAsia="宋体" w:cs="宋体"/>
                  <w:color w:val="auto"/>
                  <w:kern w:val="0"/>
                  <w:sz w:val="24"/>
                  <w:szCs w:val="24"/>
                  <w:highlight w:val="none"/>
                </w:rPr>
                <w:id w:val="-1276331357"/>
                <w14:checkbox>
                  <w14:checked w14:val="0"/>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szCs w:val="24"/>
                <w:highlight w:val="none"/>
              </w:rPr>
              <w:t xml:space="preserve"> B</w:t>
            </w:r>
            <w:r>
              <w:rPr>
                <w:rFonts w:hint="eastAsia" w:ascii="宋体" w:hAnsi="宋体" w:eastAsia="宋体" w:cs="宋体"/>
                <w:color w:val="auto"/>
                <w:sz w:val="24"/>
                <w:szCs w:val="24"/>
                <w:highlight w:val="none"/>
              </w:rPr>
              <w:t>不同意分包。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1"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212966419"/>
                <w14:checkbox>
                  <w14:checked w14:val="1"/>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szCs w:val="24"/>
                <w:highlight w:val="none"/>
              </w:rPr>
              <w:t>A</w:t>
            </w:r>
            <w:r>
              <w:rPr>
                <w:rFonts w:hint="eastAsia" w:ascii="宋体" w:hAnsi="宋体" w:eastAsia="宋体" w:cs="宋体"/>
                <w:color w:val="auto"/>
                <w:sz w:val="24"/>
                <w:szCs w:val="24"/>
                <w:highlight w:val="none"/>
              </w:rPr>
              <w:t>不组织。</w:t>
            </w:r>
          </w:p>
          <w:p>
            <w:pPr>
              <w:spacing w:line="360" w:lineRule="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999802974"/>
                <w14:checkbox>
                  <w14:checked w14:val="0"/>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宋体" w:hAnsi="宋体" w:eastAsia="宋体" w:cs="宋体"/>
                    <w:color w:val="auto"/>
                    <w:kern w:val="0"/>
                    <w:sz w:val="24"/>
                    <w:szCs w:val="24"/>
                    <w:highlight w:val="none"/>
                  </w:rPr>
                  <w:t>☐</w:t>
                </w:r>
              </w:sdtContent>
            </w:sdt>
            <w:r>
              <w:rPr>
                <w:rFonts w:hint="eastAsia" w:ascii="宋体" w:hAnsi="宋体" w:eastAsia="宋体" w:cs="宋体"/>
                <w:color w:val="auto"/>
                <w:kern w:val="0"/>
                <w:sz w:val="24"/>
                <w:szCs w:val="24"/>
                <w:highlight w:val="none"/>
              </w:rPr>
              <w:t>B组织，</w:t>
            </w: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，联系方式：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4"/>
                <w:highlight w:val="none"/>
              </w:rPr>
            </w:pPr>
            <w:sdt>
              <w:sdtPr>
                <w:rPr>
                  <w:rFonts w:hint="eastAsia" w:ascii="宋体" w:hAnsi="宋体" w:eastAsia="宋体" w:cs="宋体"/>
                  <w:color w:val="auto"/>
                  <w:sz w:val="24"/>
                  <w:szCs w:val="24"/>
                  <w:highlight w:val="none"/>
                </w:rPr>
                <w:id w:val="-1639946486"/>
                <w14:checkbox>
                  <w14:checked w14:val="1"/>
                  <w14:checkedState w14:val="00FE" w14:font="Wingdings"/>
                  <w14:uncheckedState w14:val="2610" w14:font="MS Gothic"/>
                </w14:checkbox>
              </w:sdtPr>
              <w:sdtEndPr>
                <w:rPr>
                  <w:rFonts w:hint="eastAsia" w:ascii="宋体" w:hAnsi="宋体" w:eastAsia="宋体" w:cs="宋体"/>
                  <w:color w:val="auto"/>
                  <w:sz w:val="24"/>
                  <w:szCs w:val="24"/>
                  <w:highlight w:val="none"/>
                </w:rPr>
              </w:sdtEndPr>
              <w:sdtContent>
                <w:r>
                  <w:rPr>
                    <w:rFonts w:hint="eastAsia" w:ascii="Wingdings" w:hAnsi="Wingdings" w:eastAsia="宋体" w:cs="宋体"/>
                    <w:color w:val="auto"/>
                    <w:kern w:val="2"/>
                    <w:sz w:val="24"/>
                    <w:szCs w:val="24"/>
                    <w:highlight w:val="none"/>
                    <w:lang w:val="en-US" w:eastAsia="zh-CN" w:bidi="ar-SA"/>
                  </w:rPr>
                  <w:t>þ</w:t>
                </w:r>
              </w:sdtContent>
            </w:sdt>
            <w:r>
              <w:rPr>
                <w:rFonts w:hint="eastAsia" w:ascii="宋体" w:hAnsi="宋体" w:eastAsia="宋体" w:cs="宋体"/>
                <w:color w:val="auto"/>
                <w:sz w:val="24"/>
                <w:szCs w:val="24"/>
                <w:highlight w:val="none"/>
              </w:rPr>
              <w:t>A不要求提供。</w:t>
            </w:r>
          </w:p>
          <w:p>
            <w:pPr>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3"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1859348549"/>
                <w14:checkbox>
                  <w14:checked w14:val="1"/>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szCs w:val="24"/>
                <w:highlight w:val="none"/>
              </w:rPr>
              <w:t>A</w:t>
            </w:r>
            <w:r>
              <w:rPr>
                <w:rFonts w:hint="eastAsia" w:ascii="宋体" w:hAnsi="宋体" w:eastAsia="宋体" w:cs="宋体"/>
                <w:color w:val="auto"/>
                <w:sz w:val="24"/>
                <w:szCs w:val="24"/>
                <w:highlight w:val="none"/>
              </w:rPr>
              <w:t>不组织。</w:t>
            </w:r>
          </w:p>
          <w:p>
            <w:pPr>
              <w:spacing w:line="360" w:lineRule="auto"/>
              <w:rPr>
                <w:rFonts w:hint="eastAsia" w:ascii="宋体" w:hAnsi="宋体" w:eastAsia="宋体" w:cs="宋体"/>
                <w:b/>
                <w:color w:val="auto"/>
                <w:kern w:val="0"/>
                <w:sz w:val="24"/>
                <w:szCs w:val="24"/>
                <w:highlight w:val="none"/>
                <w:lang w:val="zh-CN"/>
              </w:rPr>
            </w:pPr>
            <w:sdt>
              <w:sdtPr>
                <w:rPr>
                  <w:rFonts w:hint="eastAsia" w:ascii="宋体" w:hAnsi="宋体" w:eastAsia="宋体" w:cs="宋体"/>
                  <w:color w:val="auto"/>
                  <w:kern w:val="0"/>
                  <w:sz w:val="24"/>
                  <w:szCs w:val="24"/>
                  <w:highlight w:val="none"/>
                </w:rPr>
                <w:id w:val="1174071719"/>
                <w14:checkbox>
                  <w14:checked w14:val="0"/>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宋体" w:hAnsi="宋体" w:eastAsia="宋体" w:cs="宋体"/>
                    <w:color w:val="auto"/>
                    <w:kern w:val="0"/>
                    <w:sz w:val="24"/>
                    <w:szCs w:val="24"/>
                    <w:highlight w:val="none"/>
                  </w:rPr>
                  <w:t>☐</w:t>
                </w:r>
              </w:sdtContent>
            </w:sdt>
            <w:r>
              <w:rPr>
                <w:rFonts w:hint="eastAsia" w:ascii="宋体" w:hAnsi="宋体" w:eastAsia="宋体" w:cs="宋体"/>
                <w:color w:val="auto"/>
                <w:kern w:val="0"/>
                <w:sz w:val="24"/>
                <w:szCs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（1）资格证明文件：见招标文件第二部分11.1。</w:t>
            </w:r>
          </w:p>
          <w:p>
            <w:pPr>
              <w:spacing w:line="360" w:lineRule="auto"/>
              <w:rPr>
                <w:rFonts w:hint="eastAsia" w:ascii="宋体" w:hAnsi="宋体" w:eastAsia="宋体" w:cs="宋体"/>
                <w:snapToGrid w:val="0"/>
                <w:color w:val="auto"/>
                <w:kern w:val="0"/>
                <w:sz w:val="24"/>
                <w:szCs w:val="24"/>
                <w:highlight w:val="none"/>
              </w:rPr>
            </w:pPr>
            <w:r>
              <w:rPr>
                <w:rFonts w:hint="eastAsia" w:ascii="宋体" w:hAnsi="宋体" w:eastAsia="宋体" w:cs="宋体"/>
                <w:color w:val="auto"/>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szCs w:val="24"/>
                <w:highlight w:val="none"/>
                <w:lang w:val="zh-CN"/>
              </w:rPr>
            </w:pPr>
            <w:r>
              <w:rPr>
                <w:rFonts w:hint="eastAsia" w:ascii="宋体" w:hAnsi="宋体" w:eastAsia="宋体" w:cs="宋体"/>
                <w:color w:val="auto"/>
                <w:kern w:val="0"/>
                <w:sz w:val="24"/>
                <w:szCs w:val="24"/>
                <w:highlight w:val="none"/>
                <w:lang w:val="zh-CN"/>
              </w:rPr>
              <w:t>有关本项目实施所需的所有费用（含税费）均计入报价。</w:t>
            </w:r>
            <w:r>
              <w:rPr>
                <w:rFonts w:hint="eastAsia" w:ascii="宋体" w:hAnsi="宋体" w:eastAsia="宋体" w:cs="宋体"/>
                <w:b/>
                <w:bCs/>
                <w:color w:val="auto"/>
                <w:kern w:val="0"/>
                <w:sz w:val="24"/>
                <w:szCs w:val="24"/>
                <w:highlight w:val="none"/>
                <w:lang w:val="zh-CN"/>
              </w:rPr>
              <w:t>投标文件</w:t>
            </w:r>
            <w:r>
              <w:rPr>
                <w:rFonts w:hint="eastAsia" w:ascii="宋体" w:hAnsi="宋体" w:eastAsia="宋体" w:cs="宋体"/>
                <w:b/>
                <w:bCs/>
                <w:color w:val="auto"/>
                <w:sz w:val="24"/>
                <w:szCs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kern w:val="0"/>
                <w:sz w:val="24"/>
                <w:szCs w:val="24"/>
                <w:highlight w:val="none"/>
                <w:lang w:val="zh-CN"/>
              </w:rPr>
              <w:t>投标文件中价格全部采用人民币报价。招标文件未列明，而投标人认为必需的费用也需列入报价。</w:t>
            </w:r>
            <w:r>
              <w:rPr>
                <w:rFonts w:hint="eastAsia" w:ascii="宋体" w:hAnsi="宋体" w:eastAsia="宋体" w:cs="宋体"/>
                <w:b/>
                <w:color w:val="auto"/>
                <w:kern w:val="0"/>
                <w:sz w:val="24"/>
                <w:szCs w:val="24"/>
                <w:highlight w:val="none"/>
                <w:lang w:val="zh-CN"/>
              </w:rPr>
              <w:t>提醒：验收时检测费用由采购人承担，不包含在投标总价中。</w:t>
            </w:r>
          </w:p>
          <w:p>
            <w:pPr>
              <w:snapToGrid w:val="0"/>
              <w:spacing w:line="360" w:lineRule="auto"/>
              <w:jc w:val="left"/>
              <w:rPr>
                <w:rFonts w:hint="eastAsia"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color w:val="auto"/>
                <w:kern w:val="0"/>
                <w:sz w:val="24"/>
                <w:szCs w:val="24"/>
                <w:highlight w:val="none"/>
                <w:lang w:val="zh-CN"/>
              </w:rPr>
            </w:pPr>
            <w:r>
              <w:rPr>
                <w:rFonts w:hint="eastAsia" w:ascii="宋体" w:hAnsi="宋体" w:eastAsia="宋体" w:cs="宋体"/>
                <w:b/>
                <w:color w:val="auto"/>
                <w:kern w:val="0"/>
                <w:sz w:val="24"/>
                <w:szCs w:val="24"/>
                <w:highlight w:val="none"/>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4"/>
                <w:highlight w:val="none"/>
              </w:rPr>
              <w:t>;</w:t>
            </w:r>
          </w:p>
          <w:p>
            <w:pPr>
              <w:spacing w:line="360" w:lineRule="auto"/>
              <w:ind w:firstLine="241" w:firstLineChars="100"/>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投标人对根据修正原则修正后的报价不确认的</w:t>
            </w:r>
            <w:r>
              <w:rPr>
                <w:rFonts w:hint="eastAsia" w:ascii="宋体" w:hAnsi="宋体" w:eastAsia="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napToGrid w:val="0"/>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本项目支持《杭州市萧山区政府采购支持中小企业信用融资暂行办法》。</w:t>
            </w:r>
          </w:p>
          <w:p>
            <w:pPr>
              <w:spacing w:after="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有融资需求的中标供应商可参照相关规定及银行方案凭政府采购合同向相关合作银行提出信用融资（贷款）申请。详见</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"http://www.xiaoshan.gov.cn/art/2018/12/20/art_1229293109_1559514.html" </w:instrText>
            </w:r>
            <w:r>
              <w:rPr>
                <w:rFonts w:hint="eastAsia" w:ascii="宋体" w:hAnsi="宋体" w:eastAsia="宋体" w:cs="宋体"/>
                <w:color w:val="auto"/>
                <w:sz w:val="24"/>
                <w:szCs w:val="24"/>
                <w:highlight w:val="none"/>
              </w:rPr>
              <w:fldChar w:fldCharType="separate"/>
            </w:r>
            <w:r>
              <w:rPr>
                <w:rStyle w:val="76"/>
                <w:rFonts w:hint="eastAsia" w:ascii="宋体" w:hAnsi="宋体" w:eastAsia="宋体" w:cs="宋体"/>
                <w:snapToGrid/>
                <w:color w:val="auto"/>
                <w:sz w:val="24"/>
                <w:szCs w:val="24"/>
                <w:highlight w:val="none"/>
              </w:rPr>
              <w:t>http://www.xiaoshan.gov.cn/art/2018/12/20/art_1229293109_1559514.html</w:t>
            </w:r>
            <w:r>
              <w:rPr>
                <w:rStyle w:val="76"/>
                <w:rFonts w:hint="eastAsia" w:ascii="宋体" w:hAnsi="宋体" w:eastAsia="宋体" w:cs="宋体"/>
                <w:snapToGrid/>
                <w:color w:val="auto"/>
                <w:sz w:val="24"/>
                <w:szCs w:val="24"/>
                <w:highlight w:val="none"/>
              </w:rPr>
              <w:fldChar w:fldCharType="end"/>
            </w:r>
          </w:p>
          <w:p>
            <w:pPr>
              <w:pStyle w:val="4"/>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28"/>
                <w:sz w:val="24"/>
                <w:szCs w:val="24"/>
                <w:highlight w:val="none"/>
                <w:lang w:val="en-US" w:eastAsia="zh-CN"/>
              </w:rPr>
              <w:t>本项目</w:t>
            </w:r>
            <w:r>
              <w:rPr>
                <w:rFonts w:hint="eastAsia" w:ascii="宋体" w:hAnsi="宋体" w:eastAsia="宋体" w:cs="宋体"/>
                <w:color w:val="auto"/>
                <w:kern w:val="28"/>
                <w:sz w:val="24"/>
                <w:szCs w:val="24"/>
                <w:highlight w:val="none"/>
              </w:rPr>
              <w:t>备份文件是否收取：不收取</w:t>
            </w:r>
          </w:p>
          <w:p>
            <w:pPr>
              <w:pStyle w:val="33"/>
              <w:spacing w:line="360" w:lineRule="auto"/>
              <w:rPr>
                <w:rFonts w:hint="eastAsia" w:ascii="宋体" w:hAnsi="宋体" w:eastAsia="宋体" w:cs="宋体"/>
                <w:color w:val="auto"/>
                <w:kern w:val="28"/>
                <w:sz w:val="24"/>
                <w:szCs w:val="24"/>
                <w:highlight w:val="none"/>
              </w:rPr>
            </w:pPr>
            <w:r>
              <w:rPr>
                <w:rFonts w:hint="eastAsia" w:ascii="宋体" w:hAnsi="宋体" w:eastAsia="宋体" w:cs="宋体"/>
                <w:b/>
                <w:color w:val="auto"/>
                <w:sz w:val="24"/>
                <w:szCs w:val="24"/>
                <w:highlight w:val="none"/>
              </w:rPr>
              <w:t>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color w:val="auto"/>
                <w:sz w:val="24"/>
                <w:szCs w:val="24"/>
                <w:highlight w:val="none"/>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本项目代理费由中标单位支付，收费标准按计价格【2002】1980号文件计取。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color w:val="auto"/>
                <w:sz w:val="24"/>
                <w:szCs w:val="24"/>
                <w:highlight w:val="none"/>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after="0"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采购人、采购机构质疑接收人、联系方式：详见公告</w:t>
            </w:r>
          </w:p>
          <w:p>
            <w:pPr>
              <w:snapToGrid w:val="0"/>
              <w:spacing w:after="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线上提交质疑方式：政采云线上质疑路径：项目采购-询问质疑投诉-质疑列表。请使用ca签章在每一页质疑文件中加盖电子公章，上传完整附件。</w:t>
            </w:r>
          </w:p>
          <w:p>
            <w:pPr>
              <w:snapToGrid w:val="0"/>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本项目涉及资格条件、采购需求、评分办法及采购过程中有关现场考察或开标前答疑会等事项由采购人进行答复。</w:t>
            </w:r>
          </w:p>
          <w:p>
            <w:pPr>
              <w:spacing w:after="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3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履约验收</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hint="eastAsia" w:ascii="宋体" w:hAnsi="宋体" w:eastAsia="宋体" w:cs="宋体"/>
                <w:color w:val="auto"/>
                <w:sz w:val="24"/>
                <w:szCs w:val="24"/>
                <w:highlight w:val="none"/>
                <w:lang w:val="en-US" w:eastAsia="zh-CN"/>
              </w:rPr>
              <w:t>后</w:t>
            </w:r>
            <w:r>
              <w:rPr>
                <w:rFonts w:hint="eastAsia" w:ascii="宋体" w:hAnsi="宋体" w:eastAsia="宋体" w:cs="宋体"/>
                <w:color w:val="auto"/>
                <w:sz w:val="24"/>
                <w:szCs w:val="24"/>
                <w:highlight w:val="none"/>
              </w:rPr>
              <w:t>已有新文件</w:t>
            </w:r>
            <w:r>
              <w:rPr>
                <w:rFonts w:hint="eastAsia" w:ascii="宋体" w:hAnsi="宋体" w:eastAsia="宋体" w:cs="宋体"/>
                <w:color w:val="auto"/>
                <w:sz w:val="24"/>
                <w:szCs w:val="24"/>
                <w:highlight w:val="none"/>
                <w:lang w:val="en-US" w:eastAsia="zh-CN"/>
              </w:rPr>
              <w:t>规定</w:t>
            </w:r>
            <w:r>
              <w:rPr>
                <w:rFonts w:hint="eastAsia" w:ascii="宋体" w:hAnsi="宋体" w:eastAsia="宋体" w:cs="宋体"/>
                <w:color w:val="auto"/>
                <w:sz w:val="24"/>
                <w:szCs w:val="24"/>
                <w:highlight w:val="none"/>
              </w:rPr>
              <w:t>，按照最新文件执行）。存在隐蔽工程的项目，采购单位及供应商应在货物到货并将实施安装前，申请进行初验收。</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 0571-83587785/0571-82816012  联系地址: 萧山区通惠北路2-1号302室</w:t>
            </w:r>
          </w:p>
          <w:p>
            <w:pPr>
              <w:spacing w:after="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szCs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4"/>
                <w:highlight w:val="none"/>
              </w:rPr>
            </w:pPr>
            <w:sdt>
              <w:sdtPr>
                <w:rPr>
                  <w:rFonts w:hint="eastAsia" w:ascii="宋体" w:hAnsi="宋体" w:eastAsia="宋体" w:cs="宋体"/>
                  <w:color w:val="auto"/>
                  <w:sz w:val="24"/>
                  <w:szCs w:val="24"/>
                  <w:highlight w:val="none"/>
                </w:rPr>
                <w:id w:val="-369766551"/>
                <w14:checkbox>
                  <w14:checked w14:val="0"/>
                  <w14:checkedState w14:val="00FE" w14:font="Wingdings"/>
                  <w14:uncheckedState w14:val="2610" w14:font="MS Gothic"/>
                </w14:checkbox>
              </w:sdtPr>
              <w:sdtEndPr>
                <w:rPr>
                  <w:rFonts w:hint="eastAsia" w:ascii="宋体" w:hAnsi="宋体" w:eastAsia="宋体" w:cs="宋体"/>
                  <w:color w:val="auto"/>
                  <w:sz w:val="24"/>
                  <w:szCs w:val="24"/>
                  <w:highlight w:val="none"/>
                </w:rPr>
              </w:sdtEndPr>
              <w:sdtContent>
                <w:r>
                  <w:rPr>
                    <w:rFonts w:hint="eastAsia" w:ascii="宋体" w:hAnsi="宋体" w:eastAsia="宋体" w:cs="宋体"/>
                    <w:color w:val="auto"/>
                    <w:sz w:val="24"/>
                    <w:szCs w:val="24"/>
                    <w:highlight w:val="none"/>
                  </w:rPr>
                  <w:t>☐</w:t>
                </w:r>
              </w:sdtContent>
            </w:sdt>
            <w:r>
              <w:rPr>
                <w:rFonts w:hint="eastAsia" w:ascii="宋体" w:hAnsi="宋体" w:eastAsia="宋体" w:cs="宋体"/>
                <w:color w:val="auto"/>
                <w:sz w:val="24"/>
                <w:szCs w:val="24"/>
                <w:highlight w:val="none"/>
              </w:rPr>
              <w:t>联合体投标的，联合体各方均需按招标文件第四部分评标标准要求提供资信证明文件，否则视为不符合相关要求。</w:t>
            </w:r>
          </w:p>
          <w:p>
            <w:pPr>
              <w:spacing w:line="360" w:lineRule="auto"/>
              <w:rPr>
                <w:rFonts w:hint="eastAsia" w:ascii="宋体" w:hAnsi="宋体" w:eastAsia="宋体" w:cs="宋体"/>
                <w:color w:val="auto"/>
                <w:sz w:val="24"/>
                <w:szCs w:val="24"/>
                <w:highlight w:val="none"/>
              </w:rPr>
            </w:pPr>
            <w:sdt>
              <w:sdtPr>
                <w:rPr>
                  <w:rFonts w:hint="eastAsia" w:ascii="宋体" w:hAnsi="宋体" w:eastAsia="宋体" w:cs="宋体"/>
                  <w:color w:val="auto"/>
                  <w:sz w:val="24"/>
                  <w:szCs w:val="24"/>
                  <w:highlight w:val="none"/>
                </w:rPr>
                <w:id w:val="1052570136"/>
                <w14:checkbox>
                  <w14:checked w14:val="1"/>
                  <w14:checkedState w14:val="00FE" w14:font="Wingdings"/>
                  <w14:uncheckedState w14:val="2610" w14:font="MS Gothic"/>
                </w14:checkbox>
              </w:sdtPr>
              <w:sdtEndPr>
                <w:rPr>
                  <w:rFonts w:hint="eastAsia" w:ascii="宋体" w:hAnsi="宋体" w:eastAsia="宋体" w:cs="宋体"/>
                  <w:color w:val="auto"/>
                  <w:sz w:val="24"/>
                  <w:szCs w:val="24"/>
                  <w:highlight w:val="none"/>
                </w:rPr>
              </w:sdtEndPr>
              <w:sdtContent>
                <w:r>
                  <w:rPr>
                    <w:rFonts w:hint="eastAsia" w:ascii="宋体" w:hAnsi="宋体" w:eastAsia="宋体" w:cs="宋体"/>
                    <w:color w:val="auto"/>
                    <w:sz w:val="24"/>
                    <w:szCs w:val="24"/>
                    <w:highlight w:val="none"/>
                  </w:rPr>
                  <w:sym w:font="Wingdings" w:char="F0FE"/>
                </w:r>
              </w:sdtContent>
            </w:sdt>
            <w:r>
              <w:rPr>
                <w:rFonts w:hint="eastAsia" w:ascii="宋体" w:hAnsi="宋体" w:eastAsia="宋体" w:cs="宋体"/>
                <w:color w:val="auto"/>
                <w:sz w:val="24"/>
                <w:szCs w:val="24"/>
                <w:highlight w:val="none"/>
              </w:rPr>
              <w:t>联合体投标的，联合体中有一方或者联合体成员根据分工按招标文件第四部分评标标准要求提供资信证明文件的，视为符合了相关要求。</w:t>
            </w:r>
            <w:r>
              <w:rPr>
                <w:rFonts w:hint="eastAsia" w:ascii="宋体" w:hAnsi="宋体" w:eastAsia="宋体" w:cs="宋体"/>
                <w:color w:val="auto"/>
                <w:sz w:val="24"/>
                <w:szCs w:val="24"/>
                <w:highlight w:val="none"/>
              </w:rPr>
              <w:br w:type="textWrapping"/>
            </w:r>
            <w:r>
              <w:rPr>
                <w:rFonts w:hint="eastAsia" w:ascii="宋体" w:hAnsi="宋体" w:eastAsia="宋体" w:cs="宋体"/>
                <w:color w:val="auto"/>
                <w:kern w:val="0"/>
                <w:sz w:val="24"/>
                <w:szCs w:val="24"/>
                <w:highlight w:val="none"/>
              </w:rPr>
              <w:t>评审因素对应的要求视为采购需求的一部分。</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严格执行预算限价，项目如涉及办公用房装修、通用办公设备家具的不得超限额标准。（萧财国资【2019】389号）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本项目通用总则条款与前附表等专用特别规定有冲突之处，以专用条款（特别规定）为准</w:t>
            </w:r>
          </w:p>
        </w:tc>
      </w:tr>
    </w:tbl>
    <w:p>
      <w:pPr>
        <w:snapToGrid w:val="0"/>
        <w:spacing w:line="360" w:lineRule="auto"/>
        <w:jc w:val="center"/>
        <w:rPr>
          <w:rFonts w:hint="eastAsia" w:ascii="宋体" w:hAnsi="宋体" w:eastAsia="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eastAsia="宋体" w:cs="宋体"/>
          <w:b/>
          <w:color w:val="auto"/>
          <w:sz w:val="32"/>
          <w:szCs w:val="20"/>
          <w:highlight w:val="none"/>
        </w:rPr>
      </w:pPr>
      <w:bookmarkStart w:id="13" w:name="_Toc164416483"/>
      <w:bookmarkStart w:id="14" w:name="第三部分"/>
      <w:r>
        <w:rPr>
          <w:rFonts w:hint="eastAsia" w:ascii="宋体" w:hAnsi="宋体" w:eastAsia="宋体" w:cs="宋体"/>
          <w:b/>
          <w:color w:val="auto"/>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”系指招标公告中载明的本项目的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w:t>
      </w:r>
      <w:r>
        <w:rPr>
          <w:rFonts w:hint="eastAsia" w:ascii="宋体" w:hAnsi="宋体" w:eastAsia="宋体" w:cs="宋体"/>
          <w:color w:val="auto"/>
          <w:sz w:val="24"/>
          <w:highlight w:val="none"/>
          <w:lang w:val="en-US" w:eastAsia="zh-CN"/>
        </w:rPr>
        <w:t>系</w:t>
      </w:r>
      <w:r>
        <w:rPr>
          <w:rFonts w:hint="eastAsia" w:ascii="宋体" w:hAnsi="宋体" w:eastAsia="宋体" w:cs="宋体"/>
          <w:color w:val="auto"/>
          <w:sz w:val="24"/>
          <w:highlight w:val="none"/>
        </w:rPr>
        <w:t>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w:t>
      </w:r>
      <w:sdt>
        <w:sdtPr>
          <w:rPr>
            <w:rFonts w:hint="eastAsia" w:ascii="宋体" w:hAnsi="宋体" w:eastAsia="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系指适用本项目的要求，“</w:t>
      </w:r>
      <w:sdt>
        <w:sdtPr>
          <w:rPr>
            <w:rFonts w:hint="eastAsia" w:ascii="宋体" w:hAnsi="宋体" w:eastAsia="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系指不适用本项目的要求。</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采购项目需要落实的政府采购政策</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不会对其加以限制，仍将按照公平竞争原则实施采购）；</w:t>
      </w:r>
      <w:r>
        <w:rPr>
          <w:rFonts w:hint="eastAsia" w:ascii="宋体" w:hAnsi="宋体" w:eastAsia="宋体" w:cs="宋体"/>
          <w:color w:val="auto"/>
          <w:kern w:val="0"/>
          <w:sz w:val="24"/>
          <w:highlight w:val="none"/>
        </w:rPr>
        <w:t>优先采购向我国企业转让技术、与我国企业签订消化吸收再创新方案的供应商的进口产品</w:t>
      </w:r>
      <w:r>
        <w:rPr>
          <w:rFonts w:hint="eastAsia" w:ascii="宋体" w:hAnsi="宋体" w:eastAsia="宋体" w:cs="宋体"/>
          <w:color w:val="auto"/>
          <w:sz w:val="24"/>
          <w:highlight w:val="none"/>
        </w:rPr>
        <w:t>。</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eastAsia="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3.3.3对于未预留份额专门面向中小企业的政府采购货物项目，以及预留份额政府采购货物项目中的非预留部分标项，对小型和微型企业的投标报价给予10%-20%的扣除（</w:t>
      </w:r>
      <w:r>
        <w:rPr>
          <w:rFonts w:hint="eastAsia" w:ascii="宋体" w:hAnsi="宋体" w:eastAsia="宋体" w:cs="宋体"/>
          <w:snapToGrid w:val="0"/>
          <w:color w:val="auto"/>
          <w:kern w:val="28"/>
          <w:sz w:val="24"/>
          <w:highlight w:val="none"/>
        </w:rPr>
        <w:t>招标文件第四部分</w:t>
      </w:r>
      <w:r>
        <w:rPr>
          <w:rFonts w:hint="eastAsia" w:ascii="宋体" w:hAnsi="宋体" w:eastAsia="宋体" w:cs="宋体"/>
          <w:color w:val="auto"/>
          <w:sz w:val="24"/>
          <w:highlight w:val="none"/>
          <w:u w:val="single"/>
        </w:rPr>
        <w:t>评标办分法明确具体的扣除比例，未明确的，</w:t>
      </w:r>
      <w:r>
        <w:rPr>
          <w:rFonts w:hint="eastAsia" w:ascii="宋体" w:hAnsi="宋体" w:eastAsia="宋体" w:cs="宋体"/>
          <w:color w:val="auto"/>
          <w:sz w:val="24"/>
          <w:highlight w:val="none"/>
        </w:rPr>
        <w:t>给予</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0%的扣除），用扣除后的价格参与评审。接受大中型企业与小微企业组成联合体或者允许大中型企业向一家或者多家小微企业分包的政府采购货物项目，对于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eastAsia="宋体" w:cs="宋体"/>
          <w:color w:val="auto"/>
          <w:sz w:val="24"/>
          <w:highlight w:val="none"/>
        </w:rPr>
        <w:t>联合协议或者分包意向协议约定小微企业的合同份额占到合同总金额30%以上的</w:t>
      </w:r>
      <w:bookmarkEnd w:id="16"/>
      <w:r>
        <w:rPr>
          <w:rFonts w:hint="eastAsia" w:ascii="宋体" w:hAnsi="宋体" w:eastAsia="宋体" w:cs="宋体"/>
          <w:color w:val="auto"/>
          <w:sz w:val="24"/>
          <w:highlight w:val="none"/>
        </w:rPr>
        <w:t>，对联合体或者大中型企业的报价给予4%-6%（</w:t>
      </w:r>
      <w:r>
        <w:rPr>
          <w:rFonts w:hint="eastAsia" w:ascii="宋体" w:hAnsi="宋体" w:eastAsia="宋体" w:cs="宋体"/>
          <w:snapToGrid w:val="0"/>
          <w:color w:val="auto"/>
          <w:kern w:val="28"/>
          <w:sz w:val="24"/>
          <w:highlight w:val="none"/>
        </w:rPr>
        <w:t>招标文件第四部分</w:t>
      </w:r>
      <w:r>
        <w:rPr>
          <w:rFonts w:hint="eastAsia" w:ascii="宋体" w:hAnsi="宋体" w:eastAsia="宋体" w:cs="宋体"/>
          <w:color w:val="auto"/>
          <w:sz w:val="24"/>
          <w:highlight w:val="none"/>
          <w:u w:val="single"/>
        </w:rPr>
        <w:t>评标办分法明确具体的扣除比例，未明确的，</w:t>
      </w:r>
      <w:r>
        <w:rPr>
          <w:rFonts w:hint="eastAsia" w:ascii="宋体" w:hAnsi="宋体" w:eastAsia="宋体" w:cs="宋体"/>
          <w:color w:val="auto"/>
          <w:sz w:val="24"/>
          <w:highlight w:val="none"/>
        </w:rPr>
        <w:t>给予</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3.5平等对待内外资企业和符合条件的破产重整企业</w:t>
      </w:r>
    </w:p>
    <w:p>
      <w:pPr>
        <w:spacing w:line="360" w:lineRule="auto"/>
        <w:ind w:firstLine="480" w:firstLineChars="200"/>
        <w:rPr>
          <w:rFonts w:hint="eastAsia" w:ascii="宋体" w:hAnsi="宋体" w:eastAsia="宋体" w:cs="宋体"/>
          <w:b/>
          <w:color w:val="auto"/>
          <w:highlight w:val="none"/>
        </w:rPr>
      </w:pPr>
      <w:r>
        <w:rPr>
          <w:rFonts w:hint="eastAsia" w:ascii="宋体" w:hAnsi="宋体" w:eastAsia="宋体" w:cs="宋体"/>
          <w:color w:val="auto"/>
          <w:sz w:val="24"/>
          <w:highlight w:val="none"/>
        </w:rPr>
        <w:t>平等对待内外资企业和符合条件的破产重整企业，切实保障企业公平竞争，平等维护企业的合法利益。</w:t>
      </w:r>
      <w:r>
        <w:rPr>
          <w:rFonts w:hint="eastAsia" w:ascii="宋体" w:hAnsi="宋体" w:eastAsia="宋体" w:cs="宋体"/>
          <w:color w:val="auto"/>
          <w:sz w:val="24"/>
          <w:highlight w:val="none"/>
        </w:rPr>
        <w:cr/>
      </w:r>
      <w:r>
        <w:rPr>
          <w:rFonts w:hint="eastAsia" w:ascii="宋体" w:hAnsi="宋体" w:eastAsia="宋体" w:cs="宋体"/>
          <w:b/>
          <w:color w:val="auto"/>
          <w:highlight w:val="none"/>
        </w:rPr>
        <w:t>4. 询问、质疑、投诉</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4.1在线询问、质疑、投诉</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4.3供应商质疑</w:t>
      </w:r>
    </w:p>
    <w:p>
      <w:pPr>
        <w:pStyle w:val="33"/>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提出质疑，否则，采购人或者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不予受理：</w:t>
      </w:r>
    </w:p>
    <w:p>
      <w:pPr>
        <w:pStyle w:val="15"/>
        <w:spacing w:line="360" w:lineRule="auto"/>
        <w:ind w:firstLine="480" w:firstLineChars="200"/>
        <w:rPr>
          <w:rFonts w:hint="eastAsia" w:ascii="宋体" w:hAnsi="宋体" w:eastAsia="宋体" w:cs="宋体"/>
          <w:snapToGrid/>
          <w:color w:val="auto"/>
          <w:kern w:val="2"/>
          <w:sz w:val="24"/>
          <w:highlight w:val="none"/>
        </w:rPr>
      </w:pPr>
      <w:r>
        <w:rPr>
          <w:rFonts w:hint="eastAsia" w:ascii="宋体" w:hAnsi="宋体" w:eastAsia="宋体" w:cs="宋体"/>
          <w:snapToGrid/>
          <w:color w:val="auto"/>
          <w:kern w:val="2"/>
          <w:sz w:val="24"/>
          <w:highlight w:val="none"/>
        </w:rPr>
        <w:t>4.3.2.1对招标文件提出质疑的，质疑期限为供应商获得招标文件之日或者招标文件公告期限届满之日起计算。</w:t>
      </w:r>
    </w:p>
    <w:p>
      <w:pPr>
        <w:pStyle w:val="33"/>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w:t>
      </w:r>
      <w:r>
        <w:rPr>
          <w:rFonts w:hint="eastAsia" w:ascii="宋体" w:hAnsi="宋体" w:eastAsia="宋体" w:cs="宋体"/>
          <w:color w:val="auto"/>
          <w:sz w:val="24"/>
          <w:highlight w:val="none"/>
        </w:rPr>
        <w:t>供应商提出质疑应当提交质疑函和必要的证明材料。质疑函应当包括下列内容：</w:t>
      </w:r>
    </w:p>
    <w:p>
      <w:pPr>
        <w:pStyle w:val="33"/>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4.3.3.1供应商的姓名或者名称、地址、邮编、联系人及联系电话；</w:t>
      </w:r>
    </w:p>
    <w:p>
      <w:pPr>
        <w:pStyle w:val="33"/>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4.3.3.2质疑项目的名称、编号；</w:t>
      </w:r>
    </w:p>
    <w:p>
      <w:pPr>
        <w:pStyle w:val="33"/>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4.3.3.3具体、明确的质疑事项和与质疑事项相关的请求；</w:t>
      </w:r>
    </w:p>
    <w:p>
      <w:pPr>
        <w:pStyle w:val="33"/>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4.3.3.4事实依据；</w:t>
      </w:r>
    </w:p>
    <w:p>
      <w:pPr>
        <w:pStyle w:val="33"/>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4.3.3.5必要的法律依据；</w:t>
      </w:r>
    </w:p>
    <w:p>
      <w:pPr>
        <w:pStyle w:val="33"/>
        <w:spacing w:line="360" w:lineRule="auto"/>
        <w:ind w:firstLine="960" w:firstLineChars="4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4.3.3.6提出质疑的日期。</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.5采购人或者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4.4供应商投诉</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4.4.1质疑供应商对采购人、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的答复不满意或者采购人、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4.4.3供应商投诉应当有明确的请求和必要的证明材料。</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4.4.4 以联合体形式参加政府采购活动的，其投诉应当由组成联合体的所有供应商共同提出。</w:t>
      </w:r>
    </w:p>
    <w:p>
      <w:pPr>
        <w:pStyle w:val="888"/>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130"/>
        <w:snapToGrid w:val="0"/>
        <w:spacing w:before="0"/>
        <w:ind w:firstLine="360"/>
        <w:rPr>
          <w:rFonts w:hint="eastAsia" w:ascii="宋体" w:hAnsi="宋体" w:eastAsia="宋体" w:cs="宋体"/>
          <w:color w:val="auto"/>
          <w:sz w:val="18"/>
          <w:szCs w:val="18"/>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3"/>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3"/>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3"/>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3"/>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3"/>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3"/>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3"/>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3"/>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130"/>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提出。</w:t>
      </w:r>
    </w:p>
    <w:p>
      <w:pPr>
        <w:pStyle w:val="130"/>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6.2 </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3"/>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3"/>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15"/>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3"/>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3"/>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w:t>
      </w:r>
      <w:bookmarkStart w:id="17" w:name="_Hlk101259339"/>
      <w:r>
        <w:rPr>
          <w:rFonts w:hint="eastAsia" w:ascii="宋体" w:hAnsi="宋体" w:eastAsia="宋体" w:cs="宋体"/>
          <w:snapToGrid w:val="0"/>
          <w:color w:val="auto"/>
          <w:kern w:val="28"/>
          <w:sz w:val="24"/>
          <w:szCs w:val="20"/>
          <w:highlight w:val="none"/>
        </w:rPr>
        <w:t>联合协议</w:t>
      </w:r>
      <w:bookmarkEnd w:id="17"/>
      <w:r>
        <w:rPr>
          <w:rFonts w:hint="eastAsia" w:ascii="宋体" w:hAnsi="宋体" w:eastAsia="宋体" w:cs="宋体"/>
          <w:snapToGrid w:val="0"/>
          <w:color w:val="auto"/>
          <w:kern w:val="28"/>
          <w:sz w:val="24"/>
          <w:szCs w:val="20"/>
          <w:highlight w:val="none"/>
        </w:rPr>
        <w:t>（如果有)；</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11.1.3落实政府采购政策需满足的资格要求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11.1.4本项目的特定资格要求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r>
        <w:rPr>
          <w:rFonts w:hint="eastAsia" w:ascii="宋体" w:hAnsi="宋体" w:eastAsia="宋体" w:cs="宋体"/>
          <w:color w:val="auto"/>
          <w:sz w:val="24"/>
          <w:highlight w:val="none"/>
          <w:lang w:val="zh-CN"/>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11.2.3分包意向协议</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11.2.6投标标的清单；</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11.2.7商务技术偏离表；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投标人提供虚假材料投标的，投标无效。</w:t>
      </w:r>
    </w:p>
    <w:p>
      <w:pPr>
        <w:pStyle w:val="130"/>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130"/>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130"/>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13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13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可以视情况延长投标文件提交的截止时间。在上述情况下，</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与投标人以前在投标截止期方面的全部权利、责任和义务，将适用于延长至新的投标截止期。</w:t>
      </w:r>
    </w:p>
    <w:p>
      <w:pPr>
        <w:pStyle w:val="33"/>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3"/>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不强制或变相强制投标人提交备份投标文件。</w:t>
      </w:r>
    </w:p>
    <w:p>
      <w:pPr>
        <w:pStyle w:val="33"/>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ascii="宋体" w:hAnsi="宋体" w:eastAsia="宋体" w:cs="宋体"/>
          <w:color w:val="auto"/>
          <w:sz w:val="24"/>
          <w:highlight w:val="none"/>
        </w:rPr>
        <w:t>DVD光盘</w:t>
      </w:r>
      <w:r>
        <w:rPr>
          <w:rFonts w:hint="eastAsia" w:ascii="宋体" w:hAnsi="宋体" w:eastAsia="宋体" w:cs="宋体"/>
          <w:color w:val="auto"/>
          <w:sz w:val="24"/>
          <w:highlight w:val="none"/>
          <w:lang w:val="en-US" w:eastAsia="zh-CN"/>
        </w:rPr>
        <w:t>等存储介质</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将拒绝接受逾期送达的备份投标文件。</w:t>
      </w:r>
    </w:p>
    <w:p>
      <w:pPr>
        <w:pStyle w:val="3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color w:val="auto"/>
          <w:sz w:val="24"/>
          <w:szCs w:val="24"/>
          <w:highlight w:val="none"/>
        </w:rPr>
        <w:t>招标文件第二部分投标人须知前附表规定的备份投标文件送达地点；</w:t>
      </w:r>
      <w:r>
        <w:rPr>
          <w:rFonts w:hint="eastAsia" w:ascii="宋体" w:hAnsi="宋体" w:eastAsia="宋体" w:cs="宋体"/>
          <w:color w:val="auto"/>
          <w:sz w:val="24"/>
          <w:szCs w:val="24"/>
          <w:highlight w:val="none"/>
        </w:rPr>
        <w:t>送达时间以签收人签收时间为准。</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15.5投标人仅提交备份投标文件，未在电子交易平台传输递交投标文件的，投标无效。</w:t>
      </w:r>
    </w:p>
    <w:p>
      <w:pPr>
        <w:pStyle w:val="13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25"/>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w:t>
      </w:r>
      <w:r>
        <w:rPr>
          <w:rFonts w:hint="eastAsia" w:ascii="宋体" w:hAnsi="宋体" w:eastAsia="宋体" w:cs="宋体"/>
          <w:color w:val="auto"/>
          <w:highlight w:val="none"/>
        </w:rPr>
        <w:t>4.2规定</w:t>
      </w:r>
      <w:r>
        <w:rPr>
          <w:rFonts w:hint="eastAsia" w:ascii="宋体" w:hAnsi="宋体" w:eastAsia="宋体" w:cs="宋体"/>
          <w:color w:val="auto"/>
          <w:szCs w:val="21"/>
          <w:highlight w:val="none"/>
        </w:rPr>
        <w:t>的情形之一的，投标无效：</w:t>
      </w:r>
    </w:p>
    <w:p>
      <w:pPr>
        <w:pStyle w:val="13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13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13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可以以书面形式通知投标人延长投标有效期。投标人同意延长的，不得要求或被允许修改其投标文件，投标人拒绝延长的，其投标无效。</w:t>
      </w:r>
    </w:p>
    <w:p>
      <w:pPr>
        <w:pStyle w:val="13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17.4在投标截止时间起至投标有效期届满，供应商投标文件不可撤销。</w:t>
      </w:r>
    </w:p>
    <w:p>
      <w:pPr>
        <w:pStyle w:val="130"/>
        <w:spacing w:before="0"/>
        <w:ind w:firstLine="480"/>
        <w:rPr>
          <w:rFonts w:hint="eastAsia" w:ascii="宋体" w:hAnsi="宋体" w:eastAsia="宋体" w:cs="宋体"/>
          <w:color w:val="auto"/>
          <w:highlight w:val="none"/>
        </w:rPr>
      </w:pPr>
    </w:p>
    <w:p>
      <w:pPr>
        <w:pStyle w:val="130"/>
        <w:spacing w:before="0"/>
        <w:ind w:firstLine="643"/>
        <w:rPr>
          <w:rFonts w:hint="eastAsia" w:ascii="宋体" w:hAnsi="宋体" w:eastAsia="宋体" w:cs="宋体"/>
          <w:b/>
          <w:color w:val="auto"/>
          <w:sz w:val="32"/>
          <w:highlight w:val="none"/>
        </w:rPr>
      </w:pPr>
    </w:p>
    <w:p>
      <w:pPr>
        <w:pStyle w:val="130"/>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556"/>
        <w:spacing w:before="0" w:line="360" w:lineRule="auto"/>
        <w:ind w:left="0" w:firstLine="241" w:firstLineChars="10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556"/>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sz w:val="24"/>
          <w:highlight w:val="none"/>
        </w:rPr>
        <w:t>采购人或</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依据法律法规和招标文件的规定，对投标人的资格进行审查。</w:t>
      </w:r>
    </w:p>
    <w:p>
      <w:pPr>
        <w:pStyle w:val="130"/>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kern w:val="0"/>
          <w:szCs w:val="24"/>
          <w:highlight w:val="none"/>
          <w:lang w:val="en-US" w:eastAsia="zh-CN"/>
        </w:rPr>
        <w:t>2</w:t>
      </w:r>
      <w:r>
        <w:rPr>
          <w:rFonts w:hint="eastAsia" w:ascii="宋体" w:hAnsi="宋体" w:eastAsia="宋体" w:cs="宋体"/>
          <w:color w:val="auto"/>
          <w:kern w:val="0"/>
          <w:szCs w:val="24"/>
          <w:highlight w:val="none"/>
        </w:rPr>
        <w:t>投标人未按照招标文件要求提供与</w:t>
      </w:r>
      <w:r>
        <w:rPr>
          <w:rFonts w:hint="eastAsia" w:ascii="宋体" w:hAnsi="宋体" w:eastAsia="宋体" w:cs="宋体"/>
          <w:color w:val="auto"/>
          <w:highlight w:val="none"/>
        </w:rPr>
        <w:t>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130"/>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对未通过资格审查的投标人，采购人或</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告知其未通过的原因。</w:t>
      </w:r>
    </w:p>
    <w:p>
      <w:pPr>
        <w:pStyle w:val="130"/>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合格投标人不足3家的，不再评标。</w:t>
      </w:r>
    </w:p>
    <w:p>
      <w:pPr>
        <w:pStyle w:val="13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30"/>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w:t>
      </w:r>
      <w:r>
        <w:rPr>
          <w:rFonts w:hint="eastAsia" w:ascii="宋体" w:hAnsi="宋体" w:eastAsia="宋体" w:cs="宋体"/>
          <w:color w:val="auto"/>
          <w:kern w:val="0"/>
          <w:szCs w:val="24"/>
          <w:highlight w:val="none"/>
          <w:lang w:val="en-US" w:eastAsia="zh-CN"/>
        </w:rPr>
        <w:t>采购人或采购代理机构</w:t>
      </w:r>
      <w:r>
        <w:rPr>
          <w:rFonts w:hint="eastAsia" w:ascii="宋体" w:hAnsi="宋体" w:eastAsia="宋体" w:cs="宋体"/>
          <w:color w:val="auto"/>
          <w:kern w:val="0"/>
          <w:szCs w:val="24"/>
          <w:highlight w:val="none"/>
        </w:rPr>
        <w:t>将在资格审查时通过“信用中国”网站(www.creditchina.gov.cn)、中国政府采购网(www.ccgp.gov.cn)渠道查询投标人接受资格审查时的信用记录。</w:t>
      </w:r>
    </w:p>
    <w:p>
      <w:pPr>
        <w:pStyle w:val="130"/>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130"/>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pacing w:line="360" w:lineRule="auto"/>
        <w:rPr>
          <w:rFonts w:hint="eastAsia" w:ascii="宋体" w:hAnsi="宋体" w:eastAsia="宋体" w:cs="宋体"/>
          <w:b/>
          <w:color w:val="auto"/>
          <w:sz w:val="24"/>
          <w:highlight w:val="none"/>
        </w:rPr>
      </w:pPr>
      <w:bookmarkStart w:id="18" w:name="_Toc91899903"/>
      <w:r>
        <w:rPr>
          <w:rFonts w:hint="eastAsia" w:ascii="宋体" w:hAnsi="宋体" w:eastAsia="宋体" w:cs="宋体"/>
          <w:b/>
          <w:color w:val="auto"/>
          <w:sz w:val="24"/>
          <w:highlight w:val="none"/>
        </w:rPr>
        <w:t>21.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25"/>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130"/>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通过电子交易平台向中标人发出中标通知书，同时编制发布采购结果公告。</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也可以以纸质形式进行中标通知。</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5"/>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25"/>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widowControl/>
        <w:shd w:val="clear" w:color="auto" w:fill="FFFFFF"/>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130"/>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tabs>
          <w:tab w:val="left" w:pos="0"/>
        </w:tabs>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。履约保证金的数额不得超过政府采购合同金额的1%，</w:t>
      </w:r>
      <w:r>
        <w:rPr>
          <w:rFonts w:hint="eastAsia" w:ascii="宋体" w:hAnsi="宋体" w:eastAsia="宋体" w:cs="宋体"/>
          <w:color w:val="auto"/>
          <w:kern w:val="2"/>
          <w:sz w:val="24"/>
          <w:highlight w:val="none"/>
        </w:rPr>
        <w:t>鼓励根据项目特点、供应商诚信等因素免收履约保证金或降低缴纳比例。</w:t>
      </w:r>
      <w:r>
        <w:rPr>
          <w:rFonts w:hint="eastAsia" w:ascii="宋体" w:hAnsi="宋体" w:eastAsia="宋体" w:cs="宋体"/>
          <w:color w:val="auto"/>
          <w:sz w:val="24"/>
          <w:highlight w:val="none"/>
        </w:rPr>
        <w:t>鼓励和支持供应商以银行、保险公司出具的保函形式提供履约保证金。采购人不得拒收履约保函，项目验收结束后应及时退还，延迟退还的，应当按照合同约定和法律规定承担相应的赔偿责任。</w:t>
      </w:r>
    </w:p>
    <w:p>
      <w:pPr>
        <w:pStyle w:val="4"/>
        <w:ind w:left="0" w:firstLine="480" w:firstLineChars="200"/>
        <w:rPr>
          <w:rFonts w:hint="eastAsia"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rFonts w:hint="eastAsia" w:ascii="宋体" w:hAnsi="宋体" w:eastAsia="宋体" w:cs="宋体"/>
          <w:color w:val="auto"/>
          <w:highlight w:val="none"/>
        </w:rPr>
      </w:pPr>
      <w:r>
        <w:rPr>
          <w:rFonts w:hint="eastAsia" w:ascii="宋体" w:hAnsi="宋体" w:eastAsia="宋体" w:cs="宋体"/>
          <w:b/>
          <w:bCs/>
          <w:color w:val="auto"/>
          <w:kern w:val="2"/>
          <w:sz w:val="24"/>
          <w:szCs w:val="32"/>
          <w:highlight w:val="none"/>
          <w:lang w:val="en-US"/>
        </w:rPr>
        <w:t>27.预付款</w:t>
      </w:r>
    </w:p>
    <w:p>
      <w:pPr>
        <w:adjustRightInd/>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kern w:val="2"/>
          <w:sz w:val="24"/>
          <w:highlight w:val="none"/>
        </w:rPr>
        <w:t>采购单位应当在政府采购合同中约定预付款，对中小企业合同预付款比例原则上不低于合同金额的40％，不高于合同金额的70%；项目分年安排预算的，每年预付款比例</w:t>
      </w:r>
      <w:r>
        <w:rPr>
          <w:rFonts w:hint="eastAsia" w:ascii="宋体" w:hAnsi="宋体" w:eastAsia="宋体" w:cs="宋体"/>
          <w:color w:val="auto"/>
          <w:sz w:val="24"/>
          <w:highlight w:val="none"/>
        </w:rPr>
        <w:t>不低于</w:t>
      </w:r>
      <w:r>
        <w:rPr>
          <w:rFonts w:hint="eastAsia" w:ascii="宋体" w:hAnsi="宋体" w:eastAsia="宋体" w:cs="宋体"/>
          <w:color w:val="auto"/>
          <w:kern w:val="2"/>
          <w:sz w:val="24"/>
          <w:highlight w:val="none"/>
        </w:rPr>
        <w:t>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宋体" w:hAnsi="宋体" w:eastAsia="宋体" w:cs="宋体"/>
          <w:color w:val="auto"/>
          <w:highlight w:val="none"/>
        </w:rPr>
      </w:pP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30"/>
        <w:snapToGrid w:val="0"/>
        <w:spacing w:before="0"/>
        <w:ind w:firstLine="0" w:firstLineChars="0"/>
        <w:rPr>
          <w:rFonts w:hint="eastAsia" w:ascii="宋体" w:hAnsi="宋体" w:eastAsia="宋体" w:cs="宋体"/>
          <w:color w:val="auto"/>
          <w:highlight w:val="none"/>
        </w:rPr>
      </w:pPr>
      <w:r>
        <w:rPr>
          <w:rFonts w:hint="eastAsia" w:ascii="宋体" w:hAnsi="宋体" w:eastAsia="宋体" w:cs="宋体"/>
          <w:b/>
          <w:bCs/>
          <w:color w:val="auto"/>
          <w:kern w:val="2"/>
          <w:sz w:val="24"/>
          <w:szCs w:val="20"/>
          <w:highlight w:val="none"/>
        </w:rPr>
        <w:t>2</w:t>
      </w:r>
      <w:r>
        <w:rPr>
          <w:rFonts w:hint="eastAsia" w:ascii="宋体" w:hAnsi="宋体" w:eastAsia="宋体" w:cs="宋体"/>
          <w:b/>
          <w:bCs/>
          <w:color w:val="auto"/>
          <w:kern w:val="2"/>
          <w:sz w:val="24"/>
          <w:szCs w:val="24"/>
          <w:highlight w:val="none"/>
        </w:rPr>
        <w:t>8</w:t>
      </w:r>
      <w:r>
        <w:rPr>
          <w:rFonts w:hint="eastAsia" w:ascii="宋体" w:hAnsi="宋体" w:eastAsia="宋体" w:cs="宋体"/>
          <w:b/>
          <w:color w:val="auto"/>
          <w:szCs w:val="24"/>
          <w:highlight w:val="none"/>
        </w:rPr>
        <w:t>.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可中止电子交易活动：</w:t>
      </w:r>
    </w:p>
    <w:p>
      <w:pPr>
        <w:pStyle w:val="130"/>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28.1电子交易平台发生故障而无法登录访问的； </w:t>
      </w:r>
    </w:p>
    <w:p>
      <w:pPr>
        <w:pStyle w:val="130"/>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28.2电子交易平台应用或数据库出现错误，不能进行正常操作的；</w:t>
      </w:r>
    </w:p>
    <w:p>
      <w:pPr>
        <w:pStyle w:val="130"/>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28.3电子交易平台发现严重安全漏洞，有潜在泄密危险的；</w:t>
      </w:r>
    </w:p>
    <w:p>
      <w:pPr>
        <w:pStyle w:val="130"/>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28.4病毒发作导致不能进行正常操作的； </w:t>
      </w:r>
    </w:p>
    <w:p>
      <w:pPr>
        <w:pStyle w:val="130"/>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28.5其他无法保证电子交易的公平、公正和安全的情况。</w:t>
      </w:r>
    </w:p>
    <w:p>
      <w:pPr>
        <w:pStyle w:val="130"/>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5"/>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30.验收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hint="eastAsia" w:ascii="宋体" w:hAnsi="宋体" w:eastAsia="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5236011"/>
      <w:bookmarkEnd w:id="19"/>
      <w:bookmarkStart w:id="20" w:name="_Hlt68403820"/>
      <w:bookmarkEnd w:id="20"/>
      <w:bookmarkStart w:id="21" w:name="_Hlt75236290"/>
      <w:bookmarkEnd w:id="21"/>
      <w:bookmarkStart w:id="22" w:name="_Hlt68072990"/>
      <w:bookmarkEnd w:id="22"/>
      <w:bookmarkStart w:id="23" w:name="_Hlt68072998"/>
      <w:bookmarkEnd w:id="23"/>
      <w:bookmarkStart w:id="24" w:name="_Hlt74729768"/>
      <w:bookmarkEnd w:id="24"/>
      <w:bookmarkStart w:id="25" w:name="_Hlt74714665"/>
      <w:bookmarkEnd w:id="25"/>
      <w:bookmarkStart w:id="26" w:name="_Hlt68073093"/>
      <w:bookmarkEnd w:id="26"/>
      <w:bookmarkStart w:id="27" w:name="_Hlt74707468"/>
      <w:bookmarkEnd w:id="27"/>
      <w:bookmarkStart w:id="28" w:name="_Hlt68057669"/>
      <w:bookmarkEnd w:id="28"/>
      <w:bookmarkStart w:id="29" w:name="_Hlt74730295"/>
      <w:bookmarkEnd w:id="29"/>
      <w:bookmarkStart w:id="30" w:name="_Hlt75236101"/>
      <w:bookmarkEnd w:id="30"/>
    </w:p>
    <w:bookmarkEnd w:id="13"/>
    <w:bookmarkEnd w:id="14"/>
    <w:p>
      <w:pPr>
        <w:spacing w:line="360" w:lineRule="auto"/>
        <w:jc w:val="center"/>
        <w:outlineLvl w:val="0"/>
        <w:rPr>
          <w:rFonts w:hint="eastAsia" w:ascii="宋体" w:hAnsi="宋体" w:eastAsia="宋体" w:cs="宋体"/>
          <w:b/>
          <w:color w:val="auto"/>
          <w:sz w:val="36"/>
          <w:szCs w:val="36"/>
          <w:highlight w:val="none"/>
        </w:rPr>
      </w:pPr>
      <w:bookmarkStart w:id="31" w:name="第四部分"/>
      <w:r>
        <w:rPr>
          <w:rFonts w:hint="eastAsia" w:ascii="宋体" w:hAnsi="宋体" w:eastAsia="宋体" w:cs="宋体"/>
          <w:b/>
          <w:color w:val="auto"/>
          <w:sz w:val="36"/>
          <w:szCs w:val="36"/>
          <w:highlight w:val="none"/>
        </w:rPr>
        <w:t>第三部分   采购需求</w:t>
      </w:r>
    </w:p>
    <w:p>
      <w:pPr>
        <w:snapToGrid w:val="0"/>
        <w:rPr>
          <w:rStyle w:val="964"/>
          <w:rFonts w:hint="eastAsia" w:ascii="宋体" w:hAnsi="宋体" w:eastAsia="宋体" w:cs="宋体"/>
          <w:color w:val="auto"/>
          <w:highlight w:val="none"/>
        </w:rPr>
      </w:pPr>
      <w:r>
        <w:rPr>
          <w:rStyle w:val="964"/>
          <w:rFonts w:hint="eastAsia" w:ascii="宋体" w:hAnsi="宋体" w:eastAsia="宋体" w:cs="宋体"/>
          <w:color w:val="auto"/>
          <w:highlight w:val="none"/>
        </w:rPr>
        <w:t>属于实质性要求条款的，请用符号“▲”标明，否则属于非实质性要求。</w:t>
      </w:r>
    </w:p>
    <w:p>
      <w:pPr>
        <w:snapToGrid w:val="0"/>
        <w:rPr>
          <w:rStyle w:val="964"/>
          <w:rFonts w:hint="eastAsia" w:ascii="宋体" w:hAnsi="宋体" w:eastAsia="宋体" w:cs="宋体"/>
          <w:color w:val="auto"/>
          <w:highlight w:val="none"/>
        </w:rPr>
      </w:pPr>
      <w:r>
        <w:rPr>
          <w:rStyle w:val="964"/>
          <w:rFonts w:hint="eastAsia" w:ascii="宋体" w:hAnsi="宋体" w:eastAsia="宋体" w:cs="宋体"/>
          <w:color w:val="auto"/>
          <w:highlight w:val="none"/>
        </w:rPr>
        <w:t>“★”系产品采购项目中单一产品或核心产品。</w:t>
      </w:r>
    </w:p>
    <w:p>
      <w:pPr>
        <w:pStyle w:val="4"/>
        <w:rPr>
          <w:rFonts w:hint="eastAsia" w:ascii="宋体" w:hAnsi="宋体" w:eastAsia="宋体" w:cs="宋体"/>
          <w:color w:val="auto"/>
          <w:highlight w:val="none"/>
        </w:rPr>
      </w:pPr>
    </w:p>
    <w:p>
      <w:pPr>
        <w:pStyle w:val="4"/>
        <w:numPr>
          <w:ilvl w:val="0"/>
          <w:numId w:val="1"/>
        </w:numPr>
        <w:jc w:val="center"/>
        <w:rPr>
          <w:rFonts w:hint="eastAsia" w:ascii="宋体" w:hAnsi="宋体" w:eastAsia="宋体" w:cs="宋体"/>
          <w:color w:val="auto"/>
          <w:highlight w:val="none"/>
        </w:rPr>
      </w:pPr>
      <w:r>
        <w:rPr>
          <w:rFonts w:hint="eastAsia" w:ascii="宋体" w:hAnsi="宋体" w:eastAsia="宋体" w:cs="宋体"/>
          <w:color w:val="auto"/>
          <w:highlight w:val="none"/>
        </w:rPr>
        <w:t>招标一览表</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 xml:space="preserve"> </w:t>
      </w:r>
    </w:p>
    <w:tbl>
      <w:tblPr>
        <w:tblStyle w:val="62"/>
        <w:tblpPr w:leftFromText="180" w:rightFromText="180" w:vertAnchor="text" w:horzAnchor="margin" w:tblpX="-642" w:tblpY="63"/>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0"/>
        <w:gridCol w:w="1566"/>
        <w:gridCol w:w="1104"/>
        <w:gridCol w:w="805"/>
        <w:gridCol w:w="1377"/>
        <w:gridCol w:w="1554"/>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8" w:hRule="atLeast"/>
        </w:trPr>
        <w:tc>
          <w:tcPr>
            <w:tcW w:w="920"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color w:val="auto"/>
                <w:highlight w:val="none"/>
              </w:rPr>
            </w:pPr>
            <w:r>
              <w:rPr>
                <w:rFonts w:hint="eastAsia" w:ascii="宋体" w:hAnsi="宋体" w:eastAsia="宋体" w:cs="宋体"/>
                <w:color w:val="auto"/>
                <w:highlight w:val="none"/>
                <w:lang w:eastAsia="zh-CN"/>
              </w:rPr>
              <w:t>标项号</w:t>
            </w:r>
          </w:p>
        </w:tc>
        <w:tc>
          <w:tcPr>
            <w:tcW w:w="1566"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1104"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805"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color w:val="auto"/>
                <w:highlight w:val="none"/>
              </w:rPr>
            </w:pPr>
            <w:r>
              <w:rPr>
                <w:rFonts w:hint="eastAsia" w:ascii="宋体" w:hAnsi="宋体" w:eastAsia="宋体" w:cs="宋体"/>
                <w:color w:val="auto"/>
                <w:highlight w:val="none"/>
              </w:rPr>
              <w:t>单位</w:t>
            </w:r>
          </w:p>
        </w:tc>
        <w:tc>
          <w:tcPr>
            <w:tcW w:w="1377" w:type="dxa"/>
            <w:vAlign w:val="center"/>
          </w:tcPr>
          <w:p>
            <w:pPr>
              <w:tabs>
                <w:tab w:val="left" w:pos="0"/>
              </w:tabs>
              <w:adjustRightInd w:val="0"/>
              <w:snapToGrid w:val="0"/>
              <w:spacing w:after="0"/>
              <w:jc w:val="center"/>
              <w:rPr>
                <w:rFonts w:hint="eastAsia" w:ascii="宋体" w:hAnsi="宋体" w:eastAsia="宋体" w:cs="宋体"/>
                <w:color w:val="auto"/>
                <w:highlight w:val="none"/>
              </w:rPr>
            </w:pPr>
            <w:r>
              <w:rPr>
                <w:rFonts w:hint="eastAsia" w:ascii="宋体" w:hAnsi="宋体" w:eastAsia="宋体" w:cs="宋体"/>
                <w:color w:val="auto"/>
                <w:highlight w:val="none"/>
              </w:rPr>
              <w:t>预算（元）</w:t>
            </w:r>
          </w:p>
        </w:tc>
        <w:tc>
          <w:tcPr>
            <w:tcW w:w="1554" w:type="dxa"/>
            <w:vAlign w:val="center"/>
          </w:tcPr>
          <w:p>
            <w:pPr>
              <w:tabs>
                <w:tab w:val="left" w:pos="0"/>
              </w:tabs>
              <w:adjustRightInd w:val="0"/>
              <w:snapToGrid w:val="0"/>
              <w:spacing w:after="0"/>
              <w:jc w:val="center"/>
              <w:rPr>
                <w:rFonts w:hint="eastAsia" w:ascii="宋体" w:hAnsi="宋体" w:eastAsia="宋体" w:cs="宋体"/>
                <w:color w:val="auto"/>
                <w:highlight w:val="none"/>
              </w:rPr>
            </w:pPr>
            <w:r>
              <w:rPr>
                <w:rFonts w:hint="eastAsia" w:ascii="宋体" w:hAnsi="宋体" w:eastAsia="宋体" w:cs="宋体"/>
                <w:color w:val="auto"/>
                <w:highlight w:val="none"/>
              </w:rPr>
              <w:t>简要规格描述或基本情况介绍</w:t>
            </w:r>
          </w:p>
        </w:tc>
        <w:tc>
          <w:tcPr>
            <w:tcW w:w="1996" w:type="dxa"/>
            <w:vAlign w:val="center"/>
          </w:tcPr>
          <w:p>
            <w:pPr>
              <w:tabs>
                <w:tab w:val="left" w:pos="0"/>
              </w:tabs>
              <w:adjustRightInd w:val="0"/>
              <w:snapToGrid w:val="0"/>
              <w:spacing w:after="0"/>
              <w:jc w:val="center"/>
              <w:rPr>
                <w:rFonts w:hint="eastAsia" w:ascii="宋体" w:hAnsi="宋体" w:eastAsia="宋体" w:cs="宋体"/>
                <w:color w:val="auto"/>
                <w:highlight w:val="none"/>
              </w:rPr>
            </w:pPr>
            <w:r>
              <w:rPr>
                <w:rFonts w:hint="eastAsia" w:ascii="宋体" w:hAnsi="宋体" w:eastAsia="宋体" w:cs="宋体"/>
                <w:color w:val="auto"/>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8" w:hRule="atLeast"/>
        </w:trPr>
        <w:tc>
          <w:tcPr>
            <w:tcW w:w="920"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highlight w:val="none"/>
              </w:rPr>
            </w:pPr>
            <w:r>
              <w:rPr>
                <w:rFonts w:hint="eastAsia" w:ascii="宋体" w:hAnsi="宋体" w:eastAsia="宋体" w:cs="宋体"/>
                <w:b w:val="0"/>
                <w:bCs/>
                <w:snapToGrid w:val="0"/>
                <w:color w:val="auto"/>
                <w:kern w:val="28"/>
                <w:sz w:val="24"/>
                <w:szCs w:val="24"/>
                <w:highlight w:val="none"/>
                <w:shd w:val="clear" w:color="auto" w:fill="auto"/>
                <w:lang w:val="en-US" w:eastAsia="zh-CN" w:bidi="ar-SA"/>
              </w:rPr>
              <w:t>标项1</w:t>
            </w:r>
          </w:p>
        </w:tc>
        <w:tc>
          <w:tcPr>
            <w:tcW w:w="1566" w:type="dxa"/>
            <w:tcMar>
              <w:top w:w="15" w:type="dxa"/>
              <w:left w:w="15" w:type="dxa"/>
              <w:bottom w:w="0" w:type="dxa"/>
              <w:right w:w="15" w:type="dxa"/>
            </w:tcMar>
            <w:vAlign w:val="center"/>
          </w:tcPr>
          <w:p>
            <w:pPr>
              <w:pStyle w:val="15"/>
              <w:spacing w:line="360" w:lineRule="auto"/>
              <w:ind w:firstLine="0" w:firstLineChars="0"/>
              <w:jc w:val="left"/>
              <w:rPr>
                <w:rFonts w:hint="eastAsia" w:ascii="宋体" w:hAnsi="宋体" w:eastAsia="宋体" w:cs="宋体"/>
                <w:color w:val="auto"/>
                <w:highlight w:val="none"/>
                <w:lang w:eastAsia="zh-CN"/>
              </w:rPr>
            </w:pPr>
            <w:r>
              <w:rPr>
                <w:rFonts w:hint="eastAsia" w:hAnsi="宋体" w:cs="宋体"/>
                <w:b w:val="0"/>
                <w:bCs/>
                <w:color w:val="auto"/>
                <w:sz w:val="24"/>
                <w:szCs w:val="24"/>
                <w:highlight w:val="none"/>
                <w:shd w:val="clear" w:color="auto" w:fill="auto"/>
                <w:lang w:eastAsia="zh-CN"/>
              </w:rPr>
              <w:t>衙前镇流动人口、交通治理、消防检查工作力量服务外包政府采购项目</w:t>
            </w:r>
          </w:p>
        </w:tc>
        <w:tc>
          <w:tcPr>
            <w:tcW w:w="1104" w:type="dxa"/>
            <w:tcMar>
              <w:top w:w="15" w:type="dxa"/>
              <w:left w:w="15" w:type="dxa"/>
              <w:bottom w:w="0" w:type="dxa"/>
              <w:right w:w="15" w:type="dxa"/>
            </w:tcMar>
            <w:vAlign w:val="center"/>
          </w:tcPr>
          <w:p>
            <w:pPr>
              <w:pStyle w:val="15"/>
              <w:spacing w:line="360" w:lineRule="auto"/>
              <w:ind w:firstLine="0" w:firstLineChars="0"/>
              <w:jc w:val="center"/>
              <w:rPr>
                <w:rFonts w:hint="eastAsia" w:ascii="宋体" w:hAnsi="宋体" w:eastAsia="宋体" w:cs="宋体"/>
                <w:color w:val="auto"/>
                <w:highlight w:val="none"/>
              </w:rPr>
            </w:pPr>
            <w:r>
              <w:rPr>
                <w:rFonts w:hint="eastAsia" w:hAnsi="宋体" w:cs="宋体"/>
                <w:b w:val="0"/>
                <w:bCs/>
                <w:color w:val="auto"/>
                <w:sz w:val="24"/>
                <w:szCs w:val="24"/>
                <w:highlight w:val="none"/>
                <w:shd w:val="clear" w:color="auto" w:fill="auto"/>
                <w:lang w:val="en-US" w:eastAsia="zh-CN"/>
              </w:rPr>
              <w:t>1</w:t>
            </w:r>
          </w:p>
        </w:tc>
        <w:tc>
          <w:tcPr>
            <w:tcW w:w="805" w:type="dxa"/>
            <w:tcMar>
              <w:top w:w="15" w:type="dxa"/>
              <w:left w:w="15" w:type="dxa"/>
              <w:bottom w:w="0" w:type="dxa"/>
              <w:right w:w="15" w:type="dxa"/>
            </w:tcMar>
            <w:vAlign w:val="center"/>
          </w:tcPr>
          <w:p>
            <w:pPr>
              <w:pStyle w:val="15"/>
              <w:spacing w:line="360" w:lineRule="auto"/>
              <w:ind w:firstLine="0" w:firstLineChars="0"/>
              <w:jc w:val="center"/>
              <w:rPr>
                <w:rFonts w:hint="eastAsia" w:ascii="宋体" w:hAnsi="宋体" w:eastAsia="宋体" w:cs="宋体"/>
                <w:color w:val="auto"/>
                <w:highlight w:val="none"/>
                <w:lang w:eastAsia="zh-CN"/>
              </w:rPr>
            </w:pPr>
            <w:r>
              <w:rPr>
                <w:rFonts w:hint="eastAsia" w:hAnsi="宋体" w:cs="宋体"/>
                <w:b w:val="0"/>
                <w:bCs/>
                <w:color w:val="auto"/>
                <w:sz w:val="24"/>
                <w:szCs w:val="24"/>
                <w:highlight w:val="none"/>
                <w:shd w:val="clear" w:color="auto" w:fill="auto"/>
                <w:lang w:val="en-US" w:eastAsia="zh-CN"/>
              </w:rPr>
              <w:t>项</w:t>
            </w:r>
          </w:p>
        </w:tc>
        <w:tc>
          <w:tcPr>
            <w:tcW w:w="1377" w:type="dxa"/>
            <w:vAlign w:val="center"/>
          </w:tcPr>
          <w:p>
            <w:pPr>
              <w:pStyle w:val="15"/>
              <w:spacing w:line="360" w:lineRule="auto"/>
              <w:ind w:firstLine="0" w:firstLineChars="0"/>
              <w:jc w:val="center"/>
              <w:rPr>
                <w:rFonts w:hint="default" w:ascii="宋体" w:hAnsi="宋体" w:eastAsia="宋体" w:cs="宋体"/>
                <w:b w:val="0"/>
                <w:bCs/>
                <w:snapToGrid w:val="0"/>
                <w:color w:val="auto"/>
                <w:kern w:val="28"/>
                <w:sz w:val="24"/>
                <w:szCs w:val="24"/>
                <w:highlight w:val="none"/>
                <w:shd w:val="clear" w:color="auto" w:fill="auto"/>
                <w:lang w:val="en-US" w:eastAsia="zh-CN" w:bidi="ar-SA"/>
              </w:rPr>
            </w:pPr>
            <w:r>
              <w:rPr>
                <w:rFonts w:hint="eastAsia" w:hAnsi="宋体" w:cs="宋体"/>
                <w:b w:val="0"/>
                <w:bCs/>
                <w:color w:val="auto"/>
                <w:sz w:val="24"/>
                <w:szCs w:val="24"/>
                <w:highlight w:val="none"/>
                <w:shd w:val="clear" w:color="auto" w:fill="auto"/>
                <w:lang w:val="en-US" w:eastAsia="zh-CN"/>
              </w:rPr>
              <w:t>9500000</w:t>
            </w:r>
          </w:p>
        </w:tc>
        <w:tc>
          <w:tcPr>
            <w:tcW w:w="1554" w:type="dxa"/>
            <w:vAlign w:val="center"/>
          </w:tcPr>
          <w:p>
            <w:pPr>
              <w:tabs>
                <w:tab w:val="left" w:pos="0"/>
              </w:tabs>
              <w:jc w:val="center"/>
              <w:rPr>
                <w:rFonts w:hint="eastAsia" w:ascii="宋体" w:hAnsi="宋体" w:eastAsia="宋体" w:cs="宋体"/>
                <w:color w:val="auto"/>
                <w:highlight w:val="none"/>
                <w:lang w:eastAsia="zh-CN"/>
              </w:rPr>
            </w:pPr>
            <w:r>
              <w:rPr>
                <w:rFonts w:hint="eastAsia" w:ascii="宋体" w:hAnsi="宋体" w:eastAsia="宋体" w:cs="宋体"/>
                <w:snapToGrid/>
                <w:color w:val="auto"/>
                <w:kern w:val="2"/>
                <w:sz w:val="21"/>
                <w:szCs w:val="24"/>
                <w:highlight w:val="none"/>
                <w:lang w:val="en-US" w:eastAsia="zh-CN" w:bidi="ar-SA"/>
              </w:rPr>
              <w:t>详见招标需求</w:t>
            </w:r>
          </w:p>
        </w:tc>
        <w:tc>
          <w:tcPr>
            <w:tcW w:w="1996" w:type="dxa"/>
            <w:vAlign w:val="center"/>
          </w:tcPr>
          <w:p>
            <w:pPr>
              <w:pStyle w:val="15"/>
              <w:spacing w:line="360" w:lineRule="auto"/>
              <w:ind w:firstLine="0" w:firstLineChars="0"/>
              <w:jc w:val="center"/>
              <w:rPr>
                <w:rFonts w:hint="default" w:ascii="宋体" w:hAnsi="宋体" w:eastAsia="宋体" w:cs="宋体"/>
                <w:color w:val="auto"/>
                <w:highlight w:val="none"/>
                <w:lang w:val="en-US" w:eastAsia="zh-CN"/>
              </w:rPr>
            </w:pPr>
            <w:r>
              <w:rPr>
                <w:rFonts w:hint="eastAsia" w:hAnsi="宋体" w:cs="宋体"/>
                <w:b w:val="0"/>
                <w:bCs/>
                <w:color w:val="auto"/>
                <w:sz w:val="24"/>
                <w:szCs w:val="24"/>
                <w:highlight w:val="none"/>
                <w:shd w:val="clear" w:color="auto" w:fill="auto"/>
                <w:lang w:val="en-US" w:eastAsia="zh-CN"/>
              </w:rPr>
              <w:t>9450000</w:t>
            </w:r>
          </w:p>
        </w:tc>
      </w:tr>
    </w:tbl>
    <w:p>
      <w:pPr>
        <w:pStyle w:val="4"/>
        <w:numPr>
          <w:ilvl w:val="0"/>
          <w:numId w:val="0"/>
        </w:numPr>
        <w:ind w:leftChars="0"/>
        <w:rPr>
          <w:rFonts w:hint="eastAsia" w:ascii="宋体" w:hAnsi="宋体" w:eastAsia="宋体" w:cs="宋体"/>
          <w:b/>
          <w:color w:val="auto"/>
          <w:sz w:val="22"/>
          <w:szCs w:val="22"/>
          <w:highlight w:val="none"/>
        </w:rPr>
      </w:pPr>
    </w:p>
    <w:p>
      <w:pPr>
        <w:rPr>
          <w:rFonts w:hint="eastAsia" w:ascii="宋体" w:hAnsi="宋体" w:eastAsia="宋体" w:cs="宋体"/>
          <w:b/>
          <w:color w:val="auto"/>
          <w:sz w:val="22"/>
          <w:szCs w:val="22"/>
          <w:highlight w:val="none"/>
        </w:rPr>
      </w:pPr>
    </w:p>
    <w:p>
      <w:pPr>
        <w:pStyle w:val="4"/>
        <w:numPr>
          <w:ilvl w:val="0"/>
          <w:numId w:val="1"/>
        </w:numPr>
        <w:jc w:val="center"/>
        <w:rPr>
          <w:rFonts w:hint="eastAsia" w:ascii="宋体" w:hAnsi="宋体" w:eastAsia="宋体" w:cs="宋体"/>
          <w:color w:val="auto"/>
          <w:highlight w:val="none"/>
        </w:rPr>
      </w:pPr>
      <w:r>
        <w:rPr>
          <w:rFonts w:hint="eastAsia" w:ascii="宋体" w:hAnsi="宋体" w:eastAsia="宋体" w:cs="宋体"/>
          <w:color w:val="auto"/>
          <w:highlight w:val="none"/>
        </w:rPr>
        <w:t>采购需求</w:t>
      </w:r>
    </w:p>
    <w:p>
      <w:pPr>
        <w:rPr>
          <w:rFonts w:hint="eastAsia" w:ascii="宋体" w:hAnsi="宋体" w:eastAsia="宋体" w:cs="宋体"/>
          <w:color w:val="auto"/>
          <w:highlight w:val="none"/>
          <w:lang w:val="en-US" w:eastAsia="zh-CN"/>
        </w:rPr>
      </w:pP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一、项目概况：</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衙前镇流动人口、交通治理、消防检查工作力量服务外包政府采购项目。投标报价包括所有队员的工资、社保、公积金、超时补贴、绩效考核经费、伙食费、工会福利、培训费、管理费、通讯设备、低值易耗品、工具及相关安保设备费、临时性杂项服务费、政策性文件规定及合同包含的所有风险、责任、税费、合理利润等各项全部费用，据实支付；管理费中需包括意外伤害保险费。</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 人口服务要求</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1）服务内容：</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①流动人口居住登记率达90%、登记信息准确率达90%、居住出租房屋登记率达95%、户籍人口实际居住地址采集率达90%、同住人员关系采集率达100%；居住在出租房屋内的人户分离人员底数清、情况明并符合上级业务部门的管理要求。推广应用流动人口基础信息社会化申报机制，深化居住出租房“旅馆式”管理，加强安全隐患排查整治。</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②网格职责实行“6+X”模式，主要包括基础信息采集、社情民意收集、安全隐患巡查、矛盾纠纷排查化解和法律政策宣传、平安宣传巡防等六项基本职能，同时根据推进全城治理得到需要，进行风险隐患采集上报、重点对象走访、各类乱象信息采集上报与配合处置等，以及完成上级交办的其他有关工作。</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③根据甲乙双方的要求无条件完成其他工作任务。</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2）服务要求：</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①流动人口“四率”达到相关法律法规的要求。</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②做好***报案、入所人员的信息登记及信息核查工作。</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③做好对出租房、农民房及小区的登记工作。</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④对出租房做好消防的检查工作。</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⑤做好“一标三实”的采集工作。</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⑥按上级要求做好宣传工作，如防诈骗、防火、交通等。</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3）队员人员要求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▲①项目需求每日提供人口管理员不少于52名。</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②作风正派，热爱集体，服从组织纪律，服从工作安排，遵守队伍的纪律和制度。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③五官端正，身体健康。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④具有高中以上文化程度，年龄 18-45 岁，萧山区本地居民和复退军人优先。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4）工作相关配套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①办公场地：为便于人员的调度和管理，投标单位自行解决办公场地；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②中标单位需要建立完善的考勤体系，定期向甲方提交员工日常考核情况；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▲③中标单位需自备 2 辆及以上巡逻车；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④其它相关工作配套：日常工作中涉及到的其它相关工作配套如** 4 件套、警用电瓶车、工作服、人员办公经费、税收补贴等，由中标单位自行解决。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2.交通治理</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1）服务内容：</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①负责衙前镇辖区内道路交通安全管理工作，道路交通安全隐患排查、专项整治治理工作以及完成甲方交办的临时性工作。</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2）服务要求：</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①服从命令、听从指挥，热爱本职工作，认真履行职责，忠于职守，发现情况第一时间上报，紧急关头能够挺身而出，保护人民群众生命安全和公共财产安全。</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②投标人派专门管理人员对项目交通协管员进行全面管理，并积极主动与采购人协调做好安全防范等相关工作。</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③协助政府机关做好道路交通安全管理工作，道路交通安全隐患排查和专项整治治理工作。</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3）队员人员要求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▲①项目需求每日提供交通协管员不少于28名。</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②作风正派，热爱集体，服从组织纪律，服从工作安排，遵守队伍的纪律和制度。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③五官端正，身体健康。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④具有高中以上文化程度，年龄 18-45 岁，萧山区本地居民和复退军人优先。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4）工作相关配套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①办公场地：为便于人员的调度和管理，投标单位自行解决办公场地；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②中标单位需要建立完善的考勤体系，定期向甲方提交员工日常考核情况；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▲③中标单位需自备8 辆及以上巡逻车；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④其它相关工作配套：日常工作中涉及到的其它相关工作配套如** 4 件套、警用电瓶车、工作服、人员办公经费、税收补贴等，由中标单位自行解决。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3.消防安全管理</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1)服务内容：</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①为加强出租房屋、“三合一”及其他经营场所安全隐患整治的管理工作，切实提高人员工作效率，拟建一支第三方特别力量为主。主要负责衙前镇辖区内出租房屋、“三合一”及其他经营场所安全隐患整治的管理工作以及完成甲方交办的临时性工作。</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2）服务要求：</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①服从命令、听从指挥，热爱本职工作，认真履行职责，忠于职守，发现情况第一时间上报，紧急关头能够挺身而出，保护人民群众生命安全和公共财产安全。</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②投标人派专门管理人员对消防安全管理员进行全面管理，并积极主动与采购人协调做好安全防范等相关工作。</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③协助政府机关做好消防安全管理工作，消防安全隐患排查和专项整治治理工作。</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3）队员人员要求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▲①项目需求每日提供消防安全管理员不少于12名。</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②作风正派，热爱集体，服从组织纪律，服从工作安排，遵守队伍的纪律和制度。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③五官端正，身体健康。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④具有高中以上文化程度，年龄 18-45 岁，萧山区本地居民和复退军人优先。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4）工作相关配套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①办公场地：为便于人员的调度和管理，投标单位自行解决办公场地；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②中标单位需要建立完善的考勤体系，定期向甲方提交员工日常考核情况； </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③其它相关工作配套：中标人提供人员所需的制式消防安全管理员服饰、统一标识、工作证件、所需装备安排，以及队伍实行准军事化管理，并严格执行各项管理制度。</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二、商务需求</w:t>
      </w:r>
    </w:p>
    <w:p>
      <w:pPr>
        <w:snapToGrid w:val="0"/>
        <w:spacing w:line="360" w:lineRule="auto"/>
        <w:ind w:firstLine="240" w:firstLineChars="1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1）合同签订：中标人按规定的日期、时间、地点，由法定代表人或授权委托人与采购人代表签订合同。</w:t>
      </w:r>
    </w:p>
    <w:p>
      <w:pPr>
        <w:snapToGrid w:val="0"/>
        <w:spacing w:line="360" w:lineRule="auto"/>
        <w:ind w:firstLine="240" w:firstLineChars="1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2）服务时间：</w:t>
      </w:r>
      <w:r>
        <w:rPr>
          <w:rFonts w:hint="eastAsia" w:ascii="宋体" w:hAnsi="宋体" w:cs="宋体"/>
          <w:bCs/>
          <w:color w:val="auto"/>
          <w:kern w:val="0"/>
          <w:sz w:val="24"/>
          <w:szCs w:val="24"/>
          <w:highlight w:val="none"/>
          <w:lang w:eastAsia="zh-CN"/>
        </w:rPr>
        <w:t>一</w:t>
      </w:r>
      <w:r>
        <w:rPr>
          <w:rFonts w:hint="eastAsia" w:ascii="宋体" w:hAnsi="宋体" w:eastAsia="宋体" w:cs="宋体"/>
          <w:bCs/>
          <w:color w:val="auto"/>
          <w:kern w:val="0"/>
          <w:sz w:val="24"/>
          <w:szCs w:val="24"/>
          <w:highlight w:val="none"/>
        </w:rPr>
        <w:t>年（具体起止时间以合同签订为准）。</w:t>
      </w:r>
    </w:p>
    <w:p>
      <w:pPr>
        <w:snapToGrid w:val="0"/>
        <w:spacing w:line="360" w:lineRule="auto"/>
        <w:ind w:firstLine="240" w:firstLineChars="100"/>
        <w:jc w:val="left"/>
        <w:rPr>
          <w:rFonts w:hint="eastAsia" w:ascii="宋体" w:hAnsi="宋体" w:eastAsia="宋体" w:cs="宋体"/>
          <w:bCs/>
          <w:color w:val="auto"/>
          <w:kern w:val="0"/>
          <w:sz w:val="24"/>
          <w:szCs w:val="24"/>
          <w:highlight w:val="none"/>
        </w:rPr>
      </w:pPr>
      <w:r>
        <w:rPr>
          <w:rFonts w:hint="eastAsia" w:ascii="宋体" w:hAnsi="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）服务地点：采购人指定地点。</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▲4）付款方式：中标人在合同签订后向采购人支付中标金额的1%作为履约保证金（接受保函）；同时采购人向中标人支付合同价20%的预付款，</w:t>
      </w:r>
      <w:r>
        <w:rPr>
          <w:rFonts w:hint="eastAsia" w:ascii="宋体" w:hAnsi="宋体" w:cs="宋体"/>
          <w:bCs/>
          <w:color w:val="auto"/>
          <w:kern w:val="0"/>
          <w:sz w:val="24"/>
          <w:szCs w:val="24"/>
          <w:highlight w:val="none"/>
          <w:lang w:val="en-US" w:eastAsia="zh-CN"/>
        </w:rPr>
        <w:t>管理费用按实际派遣人员</w:t>
      </w:r>
      <w:r>
        <w:rPr>
          <w:rFonts w:hint="eastAsia" w:ascii="宋体" w:hAnsi="宋体" w:eastAsia="宋体" w:cs="宋体"/>
          <w:bCs/>
          <w:color w:val="auto"/>
          <w:kern w:val="0"/>
          <w:sz w:val="24"/>
          <w:szCs w:val="24"/>
          <w:highlight w:val="none"/>
        </w:rPr>
        <w:t>每</w:t>
      </w:r>
      <w:r>
        <w:rPr>
          <w:rFonts w:hint="eastAsia" w:ascii="宋体" w:hAnsi="宋体" w:cs="宋体"/>
          <w:bCs/>
          <w:color w:val="auto"/>
          <w:kern w:val="0"/>
          <w:sz w:val="24"/>
          <w:szCs w:val="24"/>
          <w:highlight w:val="none"/>
          <w:lang w:val="en-US" w:eastAsia="zh-CN"/>
        </w:rPr>
        <w:t>月</w:t>
      </w:r>
      <w:r>
        <w:rPr>
          <w:rFonts w:hint="eastAsia" w:ascii="宋体" w:hAnsi="宋体" w:eastAsia="宋体" w:cs="宋体"/>
          <w:bCs/>
          <w:color w:val="auto"/>
          <w:kern w:val="0"/>
          <w:sz w:val="24"/>
          <w:szCs w:val="24"/>
          <w:highlight w:val="none"/>
        </w:rPr>
        <w:t>支付一次。</w:t>
      </w:r>
    </w:p>
    <w:p>
      <w:pPr>
        <w:snapToGrid w:val="0"/>
        <w:spacing w:line="360" w:lineRule="auto"/>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rPr>
        <w:t>▲</w:t>
      </w:r>
      <w:r>
        <w:rPr>
          <w:rFonts w:hint="eastAsia" w:ascii="宋体" w:hAnsi="宋体" w:eastAsia="宋体" w:cs="宋体"/>
          <w:bCs/>
          <w:color w:val="auto"/>
          <w:kern w:val="0"/>
          <w:sz w:val="24"/>
          <w:szCs w:val="24"/>
          <w:highlight w:val="none"/>
          <w:lang w:val="en-US" w:eastAsia="zh-CN"/>
        </w:rPr>
        <w:t xml:space="preserve">5）中标人在投标文件中的拟派遣人员须与实际上岗人员相一致，并提供上一年度本单位社保证明。如拟派遣人员与实际上岗人员相符率未达到85%，甲方有权取消中标人资格。 </w:t>
      </w:r>
    </w:p>
    <w:p>
      <w:pPr>
        <w:snapToGrid w:val="0"/>
        <w:spacing w:line="360" w:lineRule="auto"/>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rPr>
        <w:t>▲</w:t>
      </w:r>
      <w:r>
        <w:rPr>
          <w:rFonts w:hint="eastAsia" w:ascii="宋体" w:hAnsi="宋体" w:eastAsia="宋体" w:cs="宋体"/>
          <w:bCs/>
          <w:color w:val="auto"/>
          <w:kern w:val="0"/>
          <w:sz w:val="24"/>
          <w:szCs w:val="24"/>
          <w:highlight w:val="none"/>
          <w:lang w:val="en-US" w:eastAsia="zh-CN"/>
        </w:rPr>
        <w:t>6）中标人中标后人员到岗时间不大于5个工作日。</w:t>
      </w:r>
    </w:p>
    <w:p>
      <w:pPr>
        <w:spacing w:line="500" w:lineRule="exact"/>
        <w:jc w:val="both"/>
        <w:rPr>
          <w:rFonts w:hint="eastAsia" w:cs="仿宋"/>
          <w:b/>
          <w:bCs/>
        </w:rPr>
      </w:pPr>
    </w:p>
    <w:p>
      <w:pPr>
        <w:spacing w:line="500" w:lineRule="exact"/>
        <w:jc w:val="center"/>
        <w:rPr>
          <w:rFonts w:hint="eastAsia" w:cs="仿宋"/>
          <w:b/>
          <w:bCs/>
        </w:rPr>
      </w:pPr>
    </w:p>
    <w:p>
      <w:pPr>
        <w:spacing w:line="500" w:lineRule="exact"/>
        <w:jc w:val="center"/>
        <w:rPr>
          <w:rFonts w:hint="eastAsia"/>
        </w:rPr>
      </w:pPr>
      <w:r>
        <w:rPr>
          <w:rFonts w:hint="eastAsia" w:cs="仿宋"/>
          <w:b/>
          <w:bCs/>
        </w:rPr>
        <w:t>附件一考评表：</w:t>
      </w:r>
    </w:p>
    <w:tbl>
      <w:tblPr>
        <w:tblStyle w:val="62"/>
        <w:tblW w:w="4996" w:type="pct"/>
        <w:tblInd w:w="0" w:type="dxa"/>
        <w:tblLayout w:type="autofit"/>
        <w:tblCellMar>
          <w:top w:w="0" w:type="dxa"/>
          <w:left w:w="108" w:type="dxa"/>
          <w:bottom w:w="0" w:type="dxa"/>
          <w:right w:w="108" w:type="dxa"/>
        </w:tblCellMar>
      </w:tblPr>
      <w:tblGrid>
        <w:gridCol w:w="946"/>
        <w:gridCol w:w="5507"/>
        <w:gridCol w:w="664"/>
        <w:gridCol w:w="699"/>
        <w:gridCol w:w="672"/>
      </w:tblGrid>
      <w:tr>
        <w:tblPrEx>
          <w:tblCellMar>
            <w:top w:w="0" w:type="dxa"/>
            <w:left w:w="108" w:type="dxa"/>
            <w:bottom w:w="0" w:type="dxa"/>
            <w:right w:w="108" w:type="dxa"/>
          </w:tblCellMar>
        </w:tblPrEx>
        <w:trPr>
          <w:trHeight w:val="600" w:hRule="atLeast"/>
        </w:trPr>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color w:val="000000"/>
                <w:sz w:val="24"/>
              </w:rPr>
            </w:pPr>
            <w:r>
              <w:rPr>
                <w:rFonts w:hint="eastAsia" w:ascii="宋体" w:hAnsi="宋体" w:cs="宋体"/>
                <w:color w:val="000000"/>
                <w:kern w:val="0"/>
                <w:sz w:val="24"/>
                <w:lang w:bidi="ar"/>
              </w:rPr>
              <w:t>区域</w:t>
            </w: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color w:val="000000"/>
                <w:sz w:val="24"/>
              </w:rPr>
            </w:pPr>
            <w:r>
              <w:rPr>
                <w:rFonts w:hint="eastAsia" w:ascii="宋体" w:hAnsi="宋体" w:cs="宋体"/>
                <w:color w:val="000000"/>
                <w:kern w:val="0"/>
                <w:sz w:val="24"/>
                <w:lang w:bidi="ar"/>
              </w:rPr>
              <w:t>服务要求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color w:val="000000"/>
                <w:sz w:val="24"/>
              </w:rPr>
            </w:pPr>
            <w:r>
              <w:rPr>
                <w:rFonts w:hint="eastAsia" w:ascii="宋体" w:hAnsi="宋体" w:cs="宋体"/>
                <w:color w:val="000000"/>
                <w:kern w:val="0"/>
                <w:sz w:val="24"/>
                <w:lang w:bidi="ar"/>
              </w:rPr>
              <w:t>分值</w:t>
            </w:r>
          </w:p>
        </w:tc>
        <w:tc>
          <w:tcPr>
            <w:tcW w:w="412" w:type="pct"/>
            <w:tcBorders>
              <w:top w:val="single" w:color="000000" w:sz="4" w:space="0"/>
              <w:left w:val="single" w:color="000000" w:sz="4" w:space="0"/>
              <w:bottom w:val="nil"/>
              <w:right w:val="single" w:color="000000" w:sz="4" w:space="0"/>
            </w:tcBorders>
            <w:shd w:val="clear" w:color="auto" w:fill="auto"/>
            <w:vAlign w:val="center"/>
          </w:tcPr>
          <w:p>
            <w:pPr>
              <w:widowControl/>
              <w:adjustRightInd/>
              <w:jc w:val="center"/>
              <w:textAlignment w:val="center"/>
              <w:rPr>
                <w:rFonts w:ascii="宋体" w:hAnsi="宋体" w:cs="宋体"/>
                <w:color w:val="000000"/>
                <w:sz w:val="24"/>
              </w:rPr>
            </w:pPr>
            <w:r>
              <w:rPr>
                <w:rFonts w:hint="eastAsia" w:ascii="宋体" w:hAnsi="宋体" w:cs="宋体"/>
                <w:color w:val="000000"/>
                <w:kern w:val="0"/>
                <w:sz w:val="24"/>
                <w:lang w:bidi="ar"/>
              </w:rPr>
              <w:t>扣分情况</w:t>
            </w:r>
          </w:p>
        </w:tc>
        <w:tc>
          <w:tcPr>
            <w:tcW w:w="396" w:type="pct"/>
            <w:tcBorders>
              <w:top w:val="single" w:color="000000" w:sz="4" w:space="0"/>
              <w:left w:val="single" w:color="000000" w:sz="4" w:space="0"/>
              <w:bottom w:val="nil"/>
              <w:right w:val="single" w:color="000000" w:sz="4" w:space="0"/>
            </w:tcBorders>
            <w:shd w:val="clear" w:color="auto" w:fill="auto"/>
            <w:vAlign w:val="center"/>
          </w:tcPr>
          <w:p>
            <w:pPr>
              <w:widowControl/>
              <w:adjustRightInd/>
              <w:jc w:val="center"/>
              <w:textAlignment w:val="center"/>
              <w:rPr>
                <w:rFonts w:ascii="宋体" w:hAnsi="宋体" w:cs="宋体"/>
                <w:color w:val="000000"/>
                <w:sz w:val="24"/>
              </w:rPr>
            </w:pPr>
            <w:r>
              <w:rPr>
                <w:rFonts w:hint="eastAsia" w:ascii="宋体" w:hAnsi="宋体" w:cs="宋体"/>
                <w:color w:val="000000"/>
                <w:kern w:val="0"/>
                <w:sz w:val="24"/>
                <w:lang w:bidi="ar"/>
              </w:rPr>
              <w:t>扣分原因</w:t>
            </w:r>
          </w:p>
        </w:tc>
      </w:tr>
      <w:tr>
        <w:tblPrEx>
          <w:tblCellMar>
            <w:top w:w="0" w:type="dxa"/>
            <w:left w:w="108" w:type="dxa"/>
            <w:bottom w:w="0" w:type="dxa"/>
            <w:right w:w="108" w:type="dxa"/>
          </w:tblCellMar>
        </w:tblPrEx>
        <w:trPr>
          <w:trHeight w:val="300" w:hRule="atLeast"/>
        </w:trPr>
        <w:tc>
          <w:tcPr>
            <w:tcW w:w="557" w:type="pct"/>
            <w:vMerge w:val="restart"/>
            <w:tcBorders>
              <w:top w:val="single" w:color="000000" w:sz="4" w:space="0"/>
              <w:left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color w:val="000000"/>
                <w:sz w:val="24"/>
              </w:rPr>
            </w:pPr>
            <w:r>
              <w:rPr>
                <w:rFonts w:hint="eastAsia" w:ascii="宋体" w:hAnsi="宋体" w:cs="宋体"/>
                <w:color w:val="000000"/>
                <w:kern w:val="0"/>
                <w:sz w:val="24"/>
                <w:lang w:bidi="ar"/>
              </w:rPr>
              <w:t>服务人员职业操守</w:t>
            </w: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sz w:val="24"/>
              </w:rPr>
            </w:pPr>
            <w:r>
              <w:rPr>
                <w:rFonts w:hint="eastAsia" w:ascii="宋体" w:hAnsi="宋体" w:cs="宋体"/>
                <w:color w:val="000000"/>
                <w:kern w:val="0"/>
                <w:sz w:val="24"/>
                <w:lang w:bidi="ar"/>
              </w:rPr>
              <w:t>1、着装不规范、佩戴不完整（1分/次）；</w:t>
            </w:r>
          </w:p>
        </w:tc>
        <w:tc>
          <w:tcPr>
            <w:tcW w:w="391" w:type="pct"/>
            <w:vMerge w:val="restart"/>
            <w:tcBorders>
              <w:top w:val="single" w:color="000000" w:sz="4" w:space="0"/>
              <w:left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color w:val="000000"/>
                <w:sz w:val="24"/>
              </w:rPr>
            </w:pPr>
            <w:r>
              <w:rPr>
                <w:rFonts w:ascii="宋体" w:hAnsi="宋体" w:cs="宋体"/>
                <w:color w:val="000000"/>
                <w:kern w:val="0"/>
                <w:sz w:val="24"/>
                <w:lang w:bidi="ar"/>
              </w:rPr>
              <w:t>3</w:t>
            </w:r>
            <w:r>
              <w:rPr>
                <w:rFonts w:hint="eastAsia" w:ascii="宋体" w:hAnsi="宋体" w:cs="宋体"/>
                <w:color w:val="000000"/>
                <w:kern w:val="0"/>
                <w:sz w:val="24"/>
                <w:lang w:bidi="ar"/>
              </w:rPr>
              <w:t>0分</w:t>
            </w:r>
          </w:p>
        </w:tc>
        <w:tc>
          <w:tcPr>
            <w:tcW w:w="412" w:type="pct"/>
            <w:vMerge w:val="restart"/>
            <w:tcBorders>
              <w:top w:val="single" w:color="000000" w:sz="4" w:space="0"/>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restart"/>
            <w:tcBorders>
              <w:top w:val="single" w:color="000000" w:sz="4" w:space="0"/>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00"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sz w:val="24"/>
              </w:rPr>
            </w:pPr>
            <w:r>
              <w:rPr>
                <w:rFonts w:hint="eastAsia" w:ascii="宋体" w:hAnsi="宋体" w:cs="宋体"/>
                <w:color w:val="000000"/>
                <w:kern w:val="0"/>
                <w:sz w:val="24"/>
                <w:lang w:bidi="ar"/>
              </w:rPr>
              <w:t>2、姿态不端正、行为不规范（1分/次）；</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15"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sz w:val="24"/>
              </w:rPr>
            </w:pPr>
            <w:r>
              <w:rPr>
                <w:rFonts w:hint="eastAsia" w:ascii="宋体" w:hAnsi="宋体" w:cs="宋体"/>
                <w:color w:val="000000"/>
                <w:kern w:val="0"/>
                <w:sz w:val="24"/>
                <w:lang w:bidi="ar"/>
              </w:rPr>
              <w:t>3、未按要求做好环境卫生工作（2分/次/处）；</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15"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4、语言粗俗，服务被投诉（5分/次）；</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00"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sz w:val="24"/>
              </w:rPr>
            </w:pPr>
            <w:r>
              <w:rPr>
                <w:rFonts w:ascii="宋体" w:hAnsi="宋体" w:cs="宋体"/>
                <w:color w:val="000000"/>
                <w:kern w:val="0"/>
                <w:sz w:val="24"/>
                <w:lang w:bidi="ar"/>
              </w:rPr>
              <w:t>5</w:t>
            </w:r>
            <w:r>
              <w:rPr>
                <w:rFonts w:hint="eastAsia" w:ascii="宋体" w:hAnsi="宋体" w:cs="宋体"/>
                <w:color w:val="000000"/>
                <w:kern w:val="0"/>
                <w:sz w:val="24"/>
                <w:lang w:bidi="ar"/>
              </w:rPr>
              <w:t>、不服从指挥，未按时完成上级交办任务（3分/次）；</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00"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sz w:val="24"/>
              </w:rPr>
            </w:pPr>
            <w:r>
              <w:rPr>
                <w:rFonts w:ascii="宋体" w:hAnsi="宋体" w:cs="宋体"/>
                <w:color w:val="000000"/>
                <w:kern w:val="0"/>
                <w:sz w:val="24"/>
                <w:lang w:bidi="ar"/>
              </w:rPr>
              <w:t>6</w:t>
            </w:r>
            <w:r>
              <w:rPr>
                <w:rFonts w:hint="eastAsia" w:ascii="宋体" w:hAnsi="宋体" w:cs="宋体"/>
                <w:color w:val="000000"/>
                <w:kern w:val="0"/>
                <w:sz w:val="24"/>
                <w:lang w:bidi="ar"/>
              </w:rPr>
              <w:t>、破坏团结、拨是弄非，工作推委、拖拉（3分/次）；</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00"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sz w:val="24"/>
              </w:rPr>
            </w:pPr>
            <w:r>
              <w:rPr>
                <w:rFonts w:ascii="宋体" w:hAnsi="宋体" w:cs="宋体"/>
                <w:color w:val="000000"/>
                <w:kern w:val="0"/>
                <w:sz w:val="24"/>
                <w:lang w:bidi="ar"/>
              </w:rPr>
              <w:t>7</w:t>
            </w:r>
            <w:r>
              <w:rPr>
                <w:rFonts w:hint="eastAsia" w:ascii="宋体" w:hAnsi="宋体" w:cs="宋体"/>
                <w:color w:val="000000"/>
                <w:kern w:val="0"/>
                <w:sz w:val="24"/>
                <w:lang w:bidi="ar"/>
              </w:rPr>
              <w:t>、工作期间，干与本职工作无关之事（3分/次）；</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600"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sz w:val="24"/>
              </w:rPr>
            </w:pPr>
            <w:r>
              <w:rPr>
                <w:rFonts w:ascii="宋体" w:hAnsi="宋体" w:cs="宋体"/>
                <w:color w:val="000000"/>
                <w:kern w:val="0"/>
                <w:sz w:val="24"/>
                <w:lang w:bidi="ar"/>
              </w:rPr>
              <w:t>8</w:t>
            </w:r>
            <w:r>
              <w:rPr>
                <w:rFonts w:hint="eastAsia" w:ascii="宋体" w:hAnsi="宋体" w:cs="宋体"/>
                <w:color w:val="000000"/>
                <w:kern w:val="0"/>
                <w:sz w:val="24"/>
                <w:lang w:bidi="ar"/>
              </w:rPr>
              <w:t>、当班饮酒或酒后上班者、吃零食，禁区内吸烟者(2分/次)；</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158"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sz w:val="24"/>
              </w:rPr>
            </w:pPr>
            <w:r>
              <w:rPr>
                <w:rFonts w:ascii="宋体" w:hAnsi="宋体" w:cs="宋体"/>
                <w:color w:val="000000"/>
                <w:kern w:val="0"/>
                <w:sz w:val="24"/>
                <w:lang w:bidi="ar"/>
              </w:rPr>
              <w:t>9</w:t>
            </w:r>
            <w:r>
              <w:rPr>
                <w:rFonts w:hint="eastAsia" w:ascii="宋体" w:hAnsi="宋体" w:cs="宋体"/>
                <w:color w:val="000000"/>
                <w:kern w:val="0"/>
                <w:sz w:val="24"/>
                <w:lang w:bidi="ar"/>
              </w:rPr>
              <w:t>、未经允许，无故迟到、早退(</w:t>
            </w:r>
            <w:r>
              <w:rPr>
                <w:rFonts w:ascii="宋体" w:hAnsi="宋体" w:cs="宋体"/>
                <w:color w:val="000000"/>
                <w:kern w:val="0"/>
                <w:sz w:val="24"/>
                <w:lang w:bidi="ar"/>
              </w:rPr>
              <w:t>2</w:t>
            </w:r>
            <w:r>
              <w:rPr>
                <w:rFonts w:hint="eastAsia" w:ascii="宋体" w:hAnsi="宋体" w:cs="宋体"/>
                <w:color w:val="000000"/>
                <w:kern w:val="0"/>
                <w:sz w:val="24"/>
                <w:lang w:bidi="ar"/>
              </w:rPr>
              <w:t>分/次)；</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157"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1</w:t>
            </w:r>
            <w:r>
              <w:rPr>
                <w:rFonts w:ascii="宋体" w:hAnsi="宋体" w:cs="宋体"/>
                <w:color w:val="000000"/>
                <w:kern w:val="0"/>
                <w:sz w:val="24"/>
                <w:lang w:bidi="ar"/>
              </w:rPr>
              <w:t>0</w:t>
            </w:r>
            <w:r>
              <w:rPr>
                <w:rFonts w:hint="eastAsia" w:ascii="宋体" w:hAnsi="宋体" w:cs="宋体"/>
                <w:color w:val="000000"/>
                <w:kern w:val="0"/>
                <w:sz w:val="24"/>
                <w:lang w:bidi="ar"/>
              </w:rPr>
              <w:t>、串岗、脱岗、睡岗(5分/次)；</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600"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sz w:val="24"/>
              </w:rPr>
            </w:pPr>
            <w:r>
              <w:rPr>
                <w:rFonts w:ascii="宋体" w:hAnsi="宋体" w:cs="宋体"/>
                <w:color w:val="000000"/>
                <w:kern w:val="0"/>
                <w:sz w:val="24"/>
                <w:lang w:bidi="ar"/>
              </w:rPr>
              <w:t>11</w:t>
            </w:r>
            <w:r>
              <w:rPr>
                <w:rFonts w:hint="eastAsia" w:ascii="宋体" w:hAnsi="宋体" w:cs="宋体"/>
                <w:color w:val="000000"/>
                <w:kern w:val="0"/>
                <w:sz w:val="24"/>
                <w:lang w:bidi="ar"/>
              </w:rPr>
              <w:t>、当班吵架、打架、打瞌睡、赌博(10分/次)；</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15"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sz w:val="24"/>
              </w:rPr>
            </w:pPr>
            <w:r>
              <w:rPr>
                <w:rFonts w:hint="eastAsia" w:ascii="宋体" w:hAnsi="宋体" w:cs="宋体"/>
                <w:color w:val="000000"/>
                <w:kern w:val="0"/>
                <w:sz w:val="24"/>
                <w:lang w:bidi="ar"/>
              </w:rPr>
              <w:t>1</w:t>
            </w:r>
            <w:r>
              <w:rPr>
                <w:rFonts w:ascii="宋体" w:hAnsi="宋体" w:cs="宋体"/>
                <w:color w:val="000000"/>
                <w:kern w:val="0"/>
                <w:sz w:val="24"/>
                <w:lang w:bidi="ar"/>
              </w:rPr>
              <w:t>2</w:t>
            </w:r>
            <w:r>
              <w:rPr>
                <w:rFonts w:hint="eastAsia" w:ascii="宋体" w:hAnsi="宋体" w:cs="宋体"/>
                <w:color w:val="000000"/>
                <w:kern w:val="0"/>
                <w:sz w:val="24"/>
                <w:lang w:bidi="ar"/>
              </w:rPr>
              <w:t>、发现“吃、拿、卡、要”行为 (10分/次)；</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15" w:hRule="atLeast"/>
        </w:trPr>
        <w:tc>
          <w:tcPr>
            <w:tcW w:w="557" w:type="pct"/>
            <w:vMerge w:val="continue"/>
            <w:tcBorders>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1</w:t>
            </w:r>
            <w:r>
              <w:rPr>
                <w:rFonts w:ascii="宋体" w:hAnsi="宋体" w:cs="宋体"/>
                <w:color w:val="000000"/>
                <w:kern w:val="0"/>
                <w:sz w:val="24"/>
                <w:lang w:bidi="ar"/>
              </w:rPr>
              <w:t>3</w:t>
            </w:r>
            <w:r>
              <w:rPr>
                <w:rFonts w:hint="eastAsia" w:ascii="宋体" w:hAnsi="宋体" w:cs="宋体"/>
                <w:color w:val="000000"/>
                <w:kern w:val="0"/>
                <w:sz w:val="24"/>
                <w:lang w:bidi="ar"/>
              </w:rPr>
              <w:t>、发生情节严重事件(</w:t>
            </w:r>
            <w:r>
              <w:rPr>
                <w:rFonts w:ascii="宋体" w:hAnsi="宋体" w:cs="宋体"/>
                <w:color w:val="000000"/>
                <w:kern w:val="0"/>
                <w:sz w:val="24"/>
                <w:lang w:bidi="ar"/>
              </w:rPr>
              <w:t>1</w:t>
            </w:r>
            <w:r>
              <w:rPr>
                <w:rFonts w:hint="eastAsia" w:ascii="宋体" w:hAnsi="宋体" w:cs="宋体"/>
                <w:color w:val="000000"/>
                <w:kern w:val="0"/>
                <w:sz w:val="24"/>
                <w:lang w:bidi="ar"/>
              </w:rPr>
              <w:t>0分/次)；不良事件影响恶劣加倍扣分；</w:t>
            </w:r>
          </w:p>
        </w:tc>
        <w:tc>
          <w:tcPr>
            <w:tcW w:w="391" w:type="pct"/>
            <w:vMerge w:val="continue"/>
            <w:tcBorders>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00" w:hRule="atLeast"/>
        </w:trPr>
        <w:tc>
          <w:tcPr>
            <w:tcW w:w="557" w:type="pct"/>
            <w:vMerge w:val="restart"/>
            <w:tcBorders>
              <w:top w:val="single" w:color="000000" w:sz="4" w:space="0"/>
              <w:left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color w:val="000000"/>
                <w:sz w:val="24"/>
              </w:rPr>
            </w:pPr>
            <w:r>
              <w:rPr>
                <w:rFonts w:hint="eastAsia" w:ascii="宋体" w:hAnsi="宋体" w:cs="宋体"/>
                <w:color w:val="000000"/>
                <w:kern w:val="0"/>
                <w:sz w:val="24"/>
                <w:lang w:bidi="ar"/>
              </w:rPr>
              <w:t>流动人口</w:t>
            </w: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1、流动人口登记率90%、登记信息准确率90%、同住人员关系采集率100%、出租房屋登记率90%等达到省平安考核要求，未达到的，每下降1个百分点扣</w:t>
            </w:r>
            <w:r>
              <w:rPr>
                <w:rFonts w:ascii="宋体" w:hAnsi="宋体" w:cs="宋体"/>
                <w:color w:val="000000"/>
                <w:kern w:val="0"/>
                <w:sz w:val="24"/>
                <w:lang w:bidi="ar"/>
              </w:rPr>
              <w:t>5</w:t>
            </w:r>
            <w:r>
              <w:rPr>
                <w:rFonts w:hint="eastAsia" w:ascii="宋体" w:hAnsi="宋体" w:cs="宋体"/>
                <w:color w:val="000000"/>
                <w:kern w:val="0"/>
                <w:sz w:val="24"/>
                <w:lang w:bidi="ar"/>
              </w:rPr>
              <w:t>分；电子居住证申领数未达到上年度居住证新申领数的10%的，电子居住登记凭证申领数未达到上年度新登记流动人口数的20%的，每下降1个百分点扣</w:t>
            </w:r>
            <w:r>
              <w:rPr>
                <w:rFonts w:ascii="宋体" w:hAnsi="宋体" w:cs="宋体"/>
                <w:color w:val="000000"/>
                <w:kern w:val="0"/>
                <w:sz w:val="24"/>
                <w:lang w:bidi="ar"/>
              </w:rPr>
              <w:t>2</w:t>
            </w:r>
            <w:r>
              <w:rPr>
                <w:rFonts w:hint="eastAsia" w:ascii="宋体" w:hAnsi="宋体" w:cs="宋体"/>
                <w:color w:val="000000"/>
                <w:kern w:val="0"/>
                <w:sz w:val="24"/>
                <w:lang w:bidi="ar"/>
              </w:rPr>
              <w:t>分，每项扣</w:t>
            </w:r>
            <w:r>
              <w:rPr>
                <w:rFonts w:ascii="宋体" w:hAnsi="宋体" w:cs="宋体"/>
                <w:color w:val="000000"/>
                <w:kern w:val="0"/>
                <w:sz w:val="24"/>
                <w:lang w:bidi="ar"/>
              </w:rPr>
              <w:t>2</w:t>
            </w:r>
            <w:r>
              <w:rPr>
                <w:rFonts w:hint="eastAsia" w:ascii="宋体" w:hAnsi="宋体" w:cs="宋体"/>
                <w:color w:val="000000"/>
                <w:kern w:val="0"/>
                <w:sz w:val="24"/>
                <w:lang w:bidi="ar"/>
              </w:rPr>
              <w:t>分；该项累计最高扣</w:t>
            </w:r>
            <w:r>
              <w:rPr>
                <w:rFonts w:ascii="宋体" w:hAnsi="宋体" w:cs="宋体"/>
                <w:color w:val="000000"/>
                <w:kern w:val="0"/>
                <w:sz w:val="24"/>
                <w:lang w:bidi="ar"/>
              </w:rPr>
              <w:t>10</w:t>
            </w:r>
            <w:r>
              <w:rPr>
                <w:rFonts w:hint="eastAsia" w:ascii="宋体" w:hAnsi="宋体" w:cs="宋体"/>
                <w:color w:val="000000"/>
                <w:kern w:val="0"/>
                <w:sz w:val="24"/>
                <w:lang w:bidi="ar"/>
              </w:rPr>
              <w:t>分；</w:t>
            </w:r>
          </w:p>
        </w:tc>
        <w:tc>
          <w:tcPr>
            <w:tcW w:w="391" w:type="pct"/>
            <w:vMerge w:val="restart"/>
            <w:tcBorders>
              <w:top w:val="single" w:color="000000" w:sz="4" w:space="0"/>
              <w:left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color w:val="000000"/>
                <w:sz w:val="24"/>
              </w:rPr>
            </w:pPr>
            <w:r>
              <w:rPr>
                <w:rFonts w:ascii="宋体" w:hAnsi="宋体" w:cs="宋体"/>
                <w:color w:val="000000"/>
                <w:kern w:val="0"/>
                <w:sz w:val="24"/>
                <w:lang w:bidi="ar"/>
              </w:rPr>
              <w:t>2</w:t>
            </w:r>
            <w:r>
              <w:rPr>
                <w:rFonts w:hint="eastAsia" w:ascii="宋体" w:hAnsi="宋体" w:cs="宋体"/>
                <w:color w:val="000000"/>
                <w:kern w:val="0"/>
                <w:sz w:val="24"/>
                <w:lang w:bidi="ar"/>
              </w:rPr>
              <w:t>0分</w:t>
            </w:r>
          </w:p>
        </w:tc>
        <w:tc>
          <w:tcPr>
            <w:tcW w:w="412" w:type="pct"/>
            <w:vMerge w:val="restart"/>
            <w:tcBorders>
              <w:top w:val="single" w:color="000000" w:sz="4" w:space="0"/>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restart"/>
            <w:tcBorders>
              <w:top w:val="single" w:color="000000" w:sz="4" w:space="0"/>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00"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2、定期对辖区流动人口、出租房屋等开展监督检查，做好统计工作，未落实扣5分；对排查发现不属于公安管辖的居住出租房屋安全隐患每月上报抄告不少于一次，未完成的，每少一次扣</w:t>
            </w:r>
            <w:r>
              <w:rPr>
                <w:rFonts w:ascii="宋体" w:hAnsi="宋体" w:cs="宋体"/>
                <w:color w:val="000000"/>
                <w:kern w:val="0"/>
                <w:sz w:val="24"/>
                <w:lang w:bidi="ar"/>
              </w:rPr>
              <w:t>5</w:t>
            </w:r>
            <w:r>
              <w:rPr>
                <w:rFonts w:hint="eastAsia" w:ascii="宋体" w:hAnsi="宋体" w:cs="宋体"/>
                <w:color w:val="000000"/>
                <w:kern w:val="0"/>
                <w:sz w:val="24"/>
                <w:lang w:bidi="ar"/>
              </w:rPr>
              <w:t>分；对违规居住出租房屋未落实整改，或者整改不到位的，每人/户/间扣</w:t>
            </w:r>
            <w:r>
              <w:rPr>
                <w:rFonts w:ascii="宋体" w:hAnsi="宋体" w:cs="宋体"/>
                <w:color w:val="000000"/>
                <w:kern w:val="0"/>
                <w:sz w:val="24"/>
                <w:lang w:bidi="ar"/>
              </w:rPr>
              <w:t>2</w:t>
            </w:r>
            <w:r>
              <w:rPr>
                <w:rFonts w:hint="eastAsia" w:ascii="宋体" w:hAnsi="宋体" w:cs="宋体"/>
                <w:color w:val="000000"/>
                <w:kern w:val="0"/>
                <w:sz w:val="24"/>
                <w:lang w:bidi="ar"/>
              </w:rPr>
              <w:t>分；在上级政府组织的暗访工作检查到违规事件的扣1</w:t>
            </w:r>
            <w:r>
              <w:rPr>
                <w:rFonts w:ascii="宋体" w:hAnsi="宋体" w:cs="宋体"/>
                <w:color w:val="000000"/>
                <w:kern w:val="0"/>
                <w:sz w:val="24"/>
                <w:lang w:bidi="ar"/>
              </w:rPr>
              <w:t>0</w:t>
            </w:r>
            <w:r>
              <w:rPr>
                <w:rFonts w:hint="eastAsia" w:ascii="宋体" w:hAnsi="宋体" w:cs="宋体"/>
                <w:color w:val="000000"/>
                <w:kern w:val="0"/>
                <w:sz w:val="24"/>
                <w:lang w:bidi="ar"/>
              </w:rPr>
              <w:t>分/次；</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730"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3、未在流动人口用工单位、中介机构及物业服务企业、长租（单身、蓝领）公寓等领域推广应用流动人口远程申报系统，其中流动人口用工单位（50人以上规模）、房屋中介机构、长租（单身、蓝领）公寓安装使用率分别达到100%，信息报送率分别达到100%，未达到的，每发现一次，扣</w:t>
            </w:r>
            <w:r>
              <w:rPr>
                <w:rFonts w:ascii="宋体" w:hAnsi="宋体" w:cs="宋体"/>
                <w:color w:val="000000"/>
                <w:kern w:val="0"/>
                <w:sz w:val="24"/>
                <w:lang w:bidi="ar"/>
              </w:rPr>
              <w:t>2</w:t>
            </w:r>
            <w:r>
              <w:rPr>
                <w:rFonts w:hint="eastAsia" w:ascii="宋体" w:hAnsi="宋体" w:cs="宋体"/>
                <w:color w:val="000000"/>
                <w:kern w:val="0"/>
                <w:sz w:val="24"/>
                <w:lang w:bidi="ar"/>
              </w:rPr>
              <w:t>分；</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730"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4、未按规定及时签收、处理、反馈流动人口社会化申报、居住房屋出租登记自主申报、房屋租赁中介、物业、企业以及居住证“最多跑一次”网上申请办理的，每发现一次扣</w:t>
            </w:r>
            <w:r>
              <w:rPr>
                <w:rFonts w:ascii="宋体" w:hAnsi="宋体" w:cs="宋体"/>
                <w:color w:val="000000"/>
                <w:kern w:val="0"/>
                <w:sz w:val="24"/>
                <w:lang w:bidi="ar"/>
              </w:rPr>
              <w:t>2</w:t>
            </w:r>
            <w:r>
              <w:rPr>
                <w:rFonts w:hint="eastAsia" w:ascii="宋体" w:hAnsi="宋体" w:cs="宋体"/>
                <w:color w:val="000000"/>
                <w:kern w:val="0"/>
                <w:sz w:val="24"/>
                <w:lang w:bidi="ar"/>
              </w:rPr>
              <w:t>分；</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730"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5、未按照《杭州市居住出租房屋“旅馆式”管理实施方案》、《杭州市居住出租房屋“旅馆式”管理基本安全标准》等文件要求规范建设标准、健全管理制度及落实人、财、物保障的，扣</w:t>
            </w:r>
            <w:r>
              <w:rPr>
                <w:rFonts w:ascii="宋体" w:hAnsi="宋体" w:cs="宋体"/>
                <w:color w:val="000000"/>
                <w:kern w:val="0"/>
                <w:sz w:val="24"/>
                <w:lang w:bidi="ar"/>
              </w:rPr>
              <w:t>5</w:t>
            </w:r>
            <w:r>
              <w:rPr>
                <w:rFonts w:hint="eastAsia" w:ascii="宋体" w:hAnsi="宋体" w:cs="宋体"/>
                <w:color w:val="000000"/>
                <w:kern w:val="0"/>
                <w:sz w:val="24"/>
                <w:lang w:bidi="ar"/>
              </w:rPr>
              <w:t>分；无法正常运作，扣1</w:t>
            </w:r>
            <w:r>
              <w:rPr>
                <w:rFonts w:ascii="宋体" w:hAnsi="宋体" w:cs="宋体"/>
                <w:color w:val="000000"/>
                <w:kern w:val="0"/>
                <w:sz w:val="24"/>
                <w:lang w:bidi="ar"/>
              </w:rPr>
              <w:t>0</w:t>
            </w:r>
            <w:r>
              <w:rPr>
                <w:rFonts w:hint="eastAsia" w:ascii="宋体" w:hAnsi="宋体" w:cs="宋体"/>
                <w:color w:val="000000"/>
                <w:kern w:val="0"/>
                <w:sz w:val="24"/>
                <w:lang w:bidi="ar"/>
              </w:rPr>
              <w:t>分；纳管的村（社区）流动人口和居住出租房屋“四率”未达市级考核要求的，每下降一个百分点扣</w:t>
            </w:r>
            <w:r>
              <w:rPr>
                <w:rFonts w:ascii="宋体" w:hAnsi="宋体" w:cs="宋体"/>
                <w:color w:val="000000"/>
                <w:kern w:val="0"/>
                <w:sz w:val="24"/>
                <w:lang w:bidi="ar"/>
              </w:rPr>
              <w:t>1</w:t>
            </w:r>
            <w:r>
              <w:rPr>
                <w:rFonts w:hint="eastAsia" w:ascii="宋体" w:hAnsi="宋体" w:cs="宋体"/>
                <w:color w:val="000000"/>
                <w:kern w:val="0"/>
                <w:sz w:val="24"/>
                <w:lang w:bidi="ar"/>
              </w:rPr>
              <w:t>分；</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600"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ascii="宋体" w:hAnsi="宋体" w:cs="宋体"/>
                <w:color w:val="000000"/>
                <w:kern w:val="0"/>
                <w:sz w:val="24"/>
                <w:lang w:bidi="ar"/>
              </w:rPr>
              <w:t>6</w:t>
            </w:r>
            <w:r>
              <w:rPr>
                <w:rFonts w:hint="eastAsia" w:ascii="宋体" w:hAnsi="宋体" w:cs="宋体"/>
                <w:color w:val="000000"/>
                <w:kern w:val="0"/>
                <w:sz w:val="24"/>
                <w:lang w:bidi="ar"/>
              </w:rPr>
              <w:t>、违规办理居住登记、房屋出租登记及居住证的，每发现一次，扣</w:t>
            </w:r>
            <w:r>
              <w:rPr>
                <w:rFonts w:ascii="宋体" w:hAnsi="宋体" w:cs="宋体"/>
                <w:color w:val="000000"/>
                <w:kern w:val="0"/>
                <w:sz w:val="24"/>
                <w:lang w:bidi="ar"/>
              </w:rPr>
              <w:t>2</w:t>
            </w:r>
            <w:r>
              <w:rPr>
                <w:rFonts w:hint="eastAsia" w:ascii="宋体" w:hAnsi="宋体" w:cs="宋体"/>
                <w:color w:val="000000"/>
                <w:kern w:val="0"/>
                <w:sz w:val="24"/>
                <w:lang w:bidi="ar"/>
              </w:rPr>
              <w:t>分；积极落实居住证积分管理，因审核人员不到位或联审机制不顺畅，造成逾期审核的，每次扣</w:t>
            </w:r>
            <w:r>
              <w:rPr>
                <w:rFonts w:ascii="宋体" w:hAnsi="宋体" w:cs="宋体"/>
                <w:color w:val="000000"/>
                <w:kern w:val="0"/>
                <w:sz w:val="24"/>
                <w:lang w:bidi="ar"/>
              </w:rPr>
              <w:t>2</w:t>
            </w:r>
            <w:r>
              <w:rPr>
                <w:rFonts w:hint="eastAsia" w:ascii="宋体" w:hAnsi="宋体" w:cs="宋体"/>
                <w:color w:val="000000"/>
                <w:kern w:val="0"/>
                <w:sz w:val="24"/>
                <w:lang w:bidi="ar"/>
              </w:rPr>
              <w:t>分；积分受理窗口未配备1名专职工作人员的，扣</w:t>
            </w:r>
            <w:r>
              <w:rPr>
                <w:rFonts w:ascii="宋体" w:hAnsi="宋体" w:cs="宋体"/>
                <w:color w:val="000000"/>
                <w:kern w:val="0"/>
                <w:sz w:val="24"/>
                <w:lang w:bidi="ar"/>
              </w:rPr>
              <w:t>2</w:t>
            </w:r>
            <w:r>
              <w:rPr>
                <w:rFonts w:hint="eastAsia" w:ascii="宋体" w:hAnsi="宋体" w:cs="宋体"/>
                <w:color w:val="000000"/>
                <w:kern w:val="0"/>
                <w:sz w:val="24"/>
                <w:lang w:bidi="ar"/>
              </w:rPr>
              <w:t>分；</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600" w:hRule="atLeast"/>
        </w:trPr>
        <w:tc>
          <w:tcPr>
            <w:tcW w:w="557"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ascii="宋体" w:hAnsi="宋体" w:cs="宋体"/>
                <w:color w:val="000000"/>
                <w:kern w:val="0"/>
                <w:sz w:val="24"/>
                <w:lang w:bidi="ar"/>
              </w:rPr>
              <w:t>7</w:t>
            </w:r>
            <w:r>
              <w:rPr>
                <w:rFonts w:hint="eastAsia" w:ascii="宋体" w:hAnsi="宋体" w:cs="宋体"/>
                <w:color w:val="000000"/>
                <w:kern w:val="0"/>
                <w:sz w:val="24"/>
                <w:lang w:bidi="ar"/>
              </w:rPr>
              <w:t>、未按平安村（社区）创建落实工作，发现一次扣</w:t>
            </w:r>
            <w:r>
              <w:rPr>
                <w:rFonts w:ascii="宋体" w:hAnsi="宋体" w:cs="宋体"/>
                <w:color w:val="000000"/>
                <w:kern w:val="0"/>
                <w:sz w:val="24"/>
                <w:lang w:bidi="ar"/>
              </w:rPr>
              <w:t>2</w:t>
            </w:r>
            <w:r>
              <w:rPr>
                <w:rFonts w:hint="eastAsia" w:ascii="宋体" w:hAnsi="宋体" w:cs="宋体"/>
                <w:color w:val="000000"/>
                <w:kern w:val="0"/>
                <w:sz w:val="24"/>
                <w:lang w:bidi="ar"/>
              </w:rPr>
              <w:t>分；</w:t>
            </w:r>
          </w:p>
        </w:tc>
        <w:tc>
          <w:tcPr>
            <w:tcW w:w="391"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600" w:hRule="atLeast"/>
        </w:trPr>
        <w:tc>
          <w:tcPr>
            <w:tcW w:w="557" w:type="pct"/>
            <w:vMerge w:val="continue"/>
            <w:tcBorders>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ascii="宋体" w:hAnsi="宋体" w:cs="宋体"/>
                <w:color w:val="000000"/>
                <w:kern w:val="0"/>
                <w:sz w:val="24"/>
                <w:lang w:bidi="ar"/>
              </w:rPr>
              <w:t>8</w:t>
            </w:r>
            <w:r>
              <w:rPr>
                <w:rFonts w:hint="eastAsia" w:ascii="宋体" w:hAnsi="宋体" w:cs="宋体"/>
                <w:color w:val="000000"/>
                <w:kern w:val="0"/>
                <w:sz w:val="24"/>
                <w:lang w:bidi="ar"/>
              </w:rPr>
              <w:t>、群众安全感和满意率测评未达到平安考核标准的，每下降1个百分点扣</w:t>
            </w:r>
            <w:r>
              <w:rPr>
                <w:rFonts w:ascii="宋体" w:hAnsi="宋体" w:cs="宋体"/>
                <w:color w:val="000000"/>
                <w:kern w:val="0"/>
                <w:sz w:val="24"/>
                <w:lang w:bidi="ar"/>
              </w:rPr>
              <w:t>2</w:t>
            </w:r>
            <w:r>
              <w:rPr>
                <w:rFonts w:hint="eastAsia" w:ascii="宋体" w:hAnsi="宋体" w:cs="宋体"/>
                <w:color w:val="000000"/>
                <w:kern w:val="0"/>
                <w:sz w:val="24"/>
                <w:lang w:bidi="ar"/>
              </w:rPr>
              <w:t>分。（年考）；</w:t>
            </w:r>
          </w:p>
        </w:tc>
        <w:tc>
          <w:tcPr>
            <w:tcW w:w="391" w:type="pct"/>
            <w:vMerge w:val="continue"/>
            <w:tcBorders>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00" w:hRule="atLeast"/>
        </w:trPr>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color w:val="000000"/>
                <w:sz w:val="24"/>
              </w:rPr>
            </w:pPr>
            <w:r>
              <w:rPr>
                <w:rFonts w:hint="eastAsia" w:ascii="宋体" w:hAnsi="宋体" w:cs="宋体"/>
                <w:color w:val="000000"/>
                <w:kern w:val="0"/>
                <w:sz w:val="24"/>
                <w:lang w:bidi="ar"/>
              </w:rPr>
              <w:t>交通治理</w:t>
            </w: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、治理辖区内车辆乱停乱放，拥堵道路等现象，每接到1次投诉举报扣</w:t>
            </w:r>
            <w:r>
              <w:rPr>
                <w:rFonts w:ascii="宋体" w:hAnsi="宋体" w:cs="宋体"/>
                <w:color w:val="000000"/>
                <w:kern w:val="0"/>
                <w:sz w:val="24"/>
                <w:lang w:bidi="ar"/>
              </w:rPr>
              <w:t>2</w:t>
            </w:r>
            <w:r>
              <w:rPr>
                <w:rFonts w:hint="eastAsia" w:ascii="宋体" w:hAnsi="宋体" w:cs="宋体"/>
                <w:color w:val="000000"/>
                <w:kern w:val="0"/>
                <w:sz w:val="24"/>
                <w:lang w:bidi="ar"/>
              </w:rPr>
              <w:t>分；一个月内同一地段出现3次及以上投诉举报扣</w:t>
            </w:r>
            <w:r>
              <w:rPr>
                <w:rFonts w:ascii="宋体" w:hAnsi="宋体" w:cs="宋体"/>
                <w:color w:val="000000"/>
                <w:kern w:val="0"/>
                <w:sz w:val="24"/>
                <w:lang w:bidi="ar"/>
              </w:rPr>
              <w:t>10</w:t>
            </w:r>
            <w:r>
              <w:rPr>
                <w:rFonts w:hint="eastAsia" w:ascii="宋体" w:hAnsi="宋体" w:cs="宋体"/>
                <w:color w:val="000000"/>
                <w:kern w:val="0"/>
                <w:sz w:val="24"/>
                <w:lang w:bidi="ar"/>
              </w:rPr>
              <w:t>分；</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color w:val="000000"/>
                <w:sz w:val="24"/>
              </w:rPr>
            </w:pPr>
            <w:r>
              <w:rPr>
                <w:rFonts w:ascii="宋体" w:hAnsi="宋体" w:cs="宋体"/>
                <w:color w:val="000000"/>
                <w:kern w:val="0"/>
                <w:sz w:val="24"/>
                <w:lang w:bidi="ar"/>
              </w:rPr>
              <w:t>2</w:t>
            </w:r>
            <w:r>
              <w:rPr>
                <w:rFonts w:hint="eastAsia" w:ascii="宋体" w:hAnsi="宋体" w:cs="宋体"/>
                <w:color w:val="000000"/>
                <w:kern w:val="0"/>
                <w:sz w:val="24"/>
                <w:lang w:bidi="ar"/>
              </w:rPr>
              <w:t>0分</w:t>
            </w:r>
          </w:p>
        </w:tc>
        <w:tc>
          <w:tcPr>
            <w:tcW w:w="4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00" w:hRule="atLeast"/>
        </w:trPr>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、在巡逻中发现违法行为不及时制止，或对需要采取紧急措施的案件及重大紧急情况不作先期处理、不及时报告的，每起扣</w:t>
            </w:r>
            <w:r>
              <w:rPr>
                <w:rFonts w:ascii="宋体" w:hAnsi="宋体" w:cs="宋体"/>
                <w:color w:val="000000"/>
                <w:kern w:val="0"/>
                <w:sz w:val="24"/>
                <w:lang w:bidi="ar"/>
              </w:rPr>
              <w:t>5</w:t>
            </w:r>
            <w:r>
              <w:rPr>
                <w:rFonts w:hint="eastAsia" w:ascii="宋体" w:hAnsi="宋体" w:cs="宋体"/>
                <w:color w:val="000000"/>
                <w:kern w:val="0"/>
                <w:sz w:val="24"/>
                <w:lang w:bidi="ar"/>
              </w:rPr>
              <w:t>分，贻误时机造成后果的，每起扣</w:t>
            </w:r>
            <w:r>
              <w:rPr>
                <w:rFonts w:ascii="宋体" w:hAnsi="宋体" w:cs="宋体"/>
                <w:color w:val="000000"/>
                <w:kern w:val="0"/>
                <w:sz w:val="24"/>
                <w:lang w:bidi="ar"/>
              </w:rPr>
              <w:t>10</w:t>
            </w:r>
            <w:r>
              <w:rPr>
                <w:rFonts w:hint="eastAsia" w:ascii="宋体" w:hAnsi="宋体" w:cs="宋体"/>
                <w:color w:val="000000"/>
                <w:kern w:val="0"/>
                <w:sz w:val="24"/>
                <w:lang w:bidi="ar"/>
              </w:rPr>
              <w:t>分；</w:t>
            </w: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600" w:hRule="atLeast"/>
        </w:trPr>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ascii="宋体" w:hAnsi="宋体" w:cs="宋体"/>
                <w:color w:val="000000"/>
                <w:kern w:val="0"/>
                <w:sz w:val="24"/>
                <w:lang w:bidi="ar"/>
              </w:rPr>
              <w:t>3</w:t>
            </w:r>
            <w:r>
              <w:rPr>
                <w:rFonts w:hint="eastAsia" w:ascii="宋体" w:hAnsi="宋体" w:cs="宋体"/>
                <w:color w:val="000000"/>
                <w:kern w:val="0"/>
                <w:sz w:val="24"/>
                <w:lang w:bidi="ar"/>
              </w:rPr>
              <w:t>、被区级以上效能部门督查到违纪行为查实的，每发生一起扣</w:t>
            </w:r>
            <w:r>
              <w:rPr>
                <w:rFonts w:ascii="宋体" w:hAnsi="宋体" w:cs="宋体"/>
                <w:color w:val="000000"/>
                <w:kern w:val="0"/>
                <w:sz w:val="24"/>
                <w:lang w:bidi="ar"/>
              </w:rPr>
              <w:t>10</w:t>
            </w:r>
            <w:r>
              <w:rPr>
                <w:rFonts w:hint="eastAsia" w:ascii="宋体" w:hAnsi="宋体" w:cs="宋体"/>
                <w:color w:val="000000"/>
                <w:kern w:val="0"/>
                <w:sz w:val="24"/>
                <w:lang w:bidi="ar"/>
              </w:rPr>
              <w:t>分；</w:t>
            </w: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00" w:hRule="atLeast"/>
        </w:trPr>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color w:val="000000"/>
                <w:sz w:val="24"/>
              </w:rPr>
            </w:pPr>
            <w:r>
              <w:rPr>
                <w:rFonts w:hint="eastAsia" w:ascii="宋体" w:hAnsi="宋体" w:cs="宋体"/>
                <w:color w:val="000000"/>
                <w:kern w:val="0"/>
                <w:sz w:val="24"/>
                <w:lang w:bidi="ar"/>
              </w:rPr>
              <w:t>消防检查</w:t>
            </w: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、保质保量完成消防工作任务，外勤检查工作采用日小计，周小结，月统计的方式进行，外勤检查每日不少于15家，每少一次扣</w:t>
            </w:r>
            <w:r>
              <w:rPr>
                <w:rFonts w:ascii="宋体" w:hAnsi="宋体" w:cs="宋体"/>
                <w:color w:val="000000"/>
                <w:kern w:val="0"/>
                <w:sz w:val="24"/>
                <w:lang w:bidi="ar"/>
              </w:rPr>
              <w:t>2</w:t>
            </w:r>
            <w:r>
              <w:rPr>
                <w:rFonts w:hint="eastAsia" w:ascii="宋体" w:hAnsi="宋体" w:cs="宋体"/>
                <w:color w:val="000000"/>
                <w:kern w:val="0"/>
                <w:sz w:val="24"/>
                <w:lang w:bidi="ar"/>
              </w:rPr>
              <w:t>分，</w:t>
            </w:r>
            <w:r>
              <w:rPr>
                <w:rFonts w:ascii="宋体" w:hAnsi="宋体" w:cs="宋体"/>
                <w:color w:val="000000"/>
                <w:kern w:val="0"/>
                <w:sz w:val="24"/>
                <w:lang w:bidi="ar"/>
              </w:rPr>
              <w:t>5</w:t>
            </w:r>
            <w:r>
              <w:rPr>
                <w:rFonts w:hint="eastAsia" w:ascii="宋体" w:hAnsi="宋体" w:cs="宋体"/>
                <w:color w:val="000000"/>
                <w:kern w:val="0"/>
                <w:sz w:val="24"/>
                <w:lang w:bidi="ar"/>
              </w:rPr>
              <w:t>次以上的每次加倍加扣分；内勤工作以完成各种统计数字汇总，统计报表上报及领导交付的其它工作为准，不及时汇总上报的，每次扣</w:t>
            </w:r>
            <w:r>
              <w:rPr>
                <w:rFonts w:ascii="宋体" w:hAnsi="宋体" w:cs="宋体"/>
                <w:color w:val="000000"/>
                <w:kern w:val="0"/>
                <w:sz w:val="24"/>
                <w:lang w:bidi="ar"/>
              </w:rPr>
              <w:t>5</w:t>
            </w:r>
            <w:r>
              <w:rPr>
                <w:rFonts w:hint="eastAsia" w:ascii="宋体" w:hAnsi="宋体" w:cs="宋体"/>
                <w:color w:val="000000"/>
                <w:kern w:val="0"/>
                <w:sz w:val="24"/>
                <w:lang w:bidi="ar"/>
              </w:rPr>
              <w:t>分；有其它特殊任务的除外；</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color w:val="000000"/>
                <w:sz w:val="24"/>
              </w:rPr>
            </w:pPr>
            <w:r>
              <w:rPr>
                <w:rFonts w:ascii="宋体" w:hAnsi="宋体" w:cs="宋体"/>
                <w:color w:val="000000"/>
                <w:kern w:val="0"/>
                <w:sz w:val="24"/>
                <w:lang w:bidi="ar"/>
              </w:rPr>
              <w:t>2</w:t>
            </w:r>
            <w:r>
              <w:rPr>
                <w:rFonts w:hint="eastAsia" w:ascii="宋体" w:hAnsi="宋体" w:cs="宋体"/>
                <w:color w:val="000000"/>
                <w:kern w:val="0"/>
                <w:sz w:val="24"/>
                <w:lang w:bidi="ar"/>
              </w:rPr>
              <w:t>0分</w:t>
            </w:r>
          </w:p>
        </w:tc>
        <w:tc>
          <w:tcPr>
            <w:tcW w:w="4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00" w:hRule="atLeast"/>
        </w:trPr>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2、积极完成上级部门，领导交办的其它工作任务（如配合突击治安清查等），不服从管理，不完成上级部门、领导交办的其它工作任务的，每一次扣</w:t>
            </w:r>
            <w:r>
              <w:rPr>
                <w:rFonts w:ascii="宋体" w:hAnsi="宋体" w:cs="宋体"/>
                <w:color w:val="000000"/>
                <w:kern w:val="0"/>
                <w:sz w:val="24"/>
                <w:lang w:bidi="ar"/>
              </w:rPr>
              <w:t>10</w:t>
            </w:r>
            <w:r>
              <w:rPr>
                <w:rFonts w:hint="eastAsia" w:ascii="宋体" w:hAnsi="宋体" w:cs="宋体"/>
                <w:color w:val="000000"/>
                <w:kern w:val="0"/>
                <w:sz w:val="24"/>
                <w:lang w:bidi="ar"/>
              </w:rPr>
              <w:t>分；</w:t>
            </w: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00" w:hRule="atLeast"/>
        </w:trPr>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3、消防检查工作严禁弄虚作假，每发生查实一起扣</w:t>
            </w:r>
            <w:r>
              <w:rPr>
                <w:rFonts w:ascii="宋体" w:hAnsi="宋体" w:cs="宋体"/>
                <w:color w:val="000000"/>
                <w:kern w:val="0"/>
                <w:sz w:val="24"/>
                <w:lang w:bidi="ar"/>
              </w:rPr>
              <w:t>10</w:t>
            </w:r>
            <w:r>
              <w:rPr>
                <w:rFonts w:hint="eastAsia" w:ascii="宋体" w:hAnsi="宋体" w:cs="宋体"/>
                <w:color w:val="000000"/>
                <w:kern w:val="0"/>
                <w:sz w:val="24"/>
                <w:lang w:bidi="ar"/>
              </w:rPr>
              <w:t>分；</w:t>
            </w: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00" w:hRule="atLeast"/>
        </w:trPr>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color w:val="000000"/>
                <w:sz w:val="24"/>
              </w:rPr>
            </w:pPr>
            <w:r>
              <w:rPr>
                <w:rFonts w:hint="eastAsia" w:ascii="宋体" w:hAnsi="宋体" w:cs="宋体"/>
                <w:color w:val="000000"/>
                <w:kern w:val="0"/>
                <w:sz w:val="24"/>
                <w:lang w:bidi="ar"/>
              </w:rPr>
              <w:t>其他方面</w:t>
            </w: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textAlignment w:val="center"/>
              <w:rPr>
                <w:rFonts w:ascii="宋体" w:hAnsi="宋体" w:cs="宋体"/>
                <w:color w:val="000000"/>
                <w:sz w:val="24"/>
              </w:rPr>
            </w:pPr>
            <w:r>
              <w:rPr>
                <w:rFonts w:hint="eastAsia" w:ascii="宋体" w:hAnsi="宋体" w:cs="宋体"/>
                <w:color w:val="000000"/>
                <w:kern w:val="0"/>
                <w:sz w:val="24"/>
                <w:lang w:bidi="ar"/>
              </w:rPr>
              <w:t>未按要求配合采购人布置的工作（5分/次）。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color w:val="000000"/>
                <w:sz w:val="24"/>
              </w:rPr>
            </w:pPr>
            <w:r>
              <w:rPr>
                <w:rFonts w:hint="eastAsia" w:ascii="宋体" w:hAnsi="宋体" w:cs="宋体"/>
                <w:color w:val="000000"/>
                <w:kern w:val="0"/>
                <w:sz w:val="24"/>
                <w:lang w:bidi="ar"/>
              </w:rPr>
              <w:t>10分</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00" w:hRule="atLeast"/>
        </w:trPr>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color w:val="000000"/>
                <w:sz w:val="24"/>
              </w:rPr>
            </w:pPr>
            <w:r>
              <w:rPr>
                <w:rFonts w:hint="eastAsia" w:ascii="宋体" w:hAnsi="宋体" w:cs="宋体"/>
                <w:color w:val="000000"/>
                <w:kern w:val="0"/>
                <w:sz w:val="24"/>
                <w:lang w:bidi="ar"/>
              </w:rPr>
              <w:t>合计</w:t>
            </w:r>
          </w:p>
        </w:tc>
        <w:tc>
          <w:tcPr>
            <w:tcW w:w="3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left"/>
              <w:rPr>
                <w:rFonts w:ascii="宋体" w:hAnsi="宋体" w:cs="宋体"/>
                <w:color w:val="000000"/>
                <w:sz w:val="24"/>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rPr>
                <w:rFonts w:ascii="宋体" w:hAnsi="宋体" w:cs="宋体"/>
                <w:color w:val="000000"/>
                <w:sz w:val="24"/>
              </w:rPr>
            </w:pPr>
          </w:p>
        </w:tc>
      </w:tr>
      <w:tr>
        <w:tblPrEx>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tcPr>
          <w:p>
            <w:pPr>
              <w:widowControl/>
              <w:adjustRightInd/>
              <w:jc w:val="left"/>
              <w:textAlignment w:val="top"/>
              <w:rPr>
                <w:rFonts w:ascii="宋体" w:hAnsi="宋体" w:cs="宋体"/>
                <w:color w:val="000000"/>
                <w:sz w:val="24"/>
              </w:rPr>
            </w:pPr>
            <w:r>
              <w:rPr>
                <w:rFonts w:hint="eastAsia" w:ascii="宋体" w:hAnsi="宋体" w:cs="宋体"/>
                <w:color w:val="000000"/>
                <w:kern w:val="0"/>
                <w:sz w:val="24"/>
                <w:lang w:bidi="ar"/>
              </w:rPr>
              <w:t>经考核得分：</w:t>
            </w:r>
          </w:p>
        </w:tc>
      </w:tr>
      <w:tr>
        <w:tblPrEx>
          <w:tblCellMar>
            <w:top w:w="0" w:type="dxa"/>
            <w:left w:w="108" w:type="dxa"/>
            <w:bottom w:w="0" w:type="dxa"/>
            <w:right w:w="108" w:type="dxa"/>
          </w:tblCellMar>
        </w:tblPrEx>
        <w:trPr>
          <w:trHeight w:val="28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tcPr>
          <w:p>
            <w:pPr>
              <w:widowControl/>
              <w:adjustRightInd/>
              <w:jc w:val="left"/>
              <w:textAlignment w:val="top"/>
              <w:rPr>
                <w:rFonts w:ascii="宋体" w:hAnsi="宋体" w:cs="宋体"/>
                <w:color w:val="000000"/>
                <w:sz w:val="24"/>
              </w:rPr>
            </w:pPr>
            <w:r>
              <w:rPr>
                <w:rFonts w:hint="eastAsia" w:ascii="宋体" w:hAnsi="宋体" w:cs="宋体"/>
                <w:color w:val="000000"/>
                <w:kern w:val="0"/>
                <w:sz w:val="24"/>
                <w:lang w:bidi="ar"/>
              </w:rPr>
              <w:t>检查人：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检查时间：</w:t>
            </w:r>
          </w:p>
        </w:tc>
      </w:tr>
    </w:tbl>
    <w:p>
      <w:pPr>
        <w:spacing w:line="500" w:lineRule="exact"/>
        <w:jc w:val="center"/>
        <w:rPr>
          <w:rFonts w:hint="eastAsia"/>
        </w:rPr>
      </w:pP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备注：考核采用实地检查等方式进行每月考核，对发现的问题以交办单形式抄送给被考核单位，由被考核单位在规定时间内进行整改和落实，每月考核实行百分制考核。每个项目被考核单位每季度连续2个月考核扣分20分以上，经整改仍不到位的，该项目扣除本季度服务费中的2%以内费用。</w:t>
      </w:r>
    </w:p>
    <w:p>
      <w:pPr>
        <w:snapToGrid w:val="0"/>
        <w:spacing w:line="360" w:lineRule="auto"/>
        <w:jc w:val="left"/>
        <w:rPr>
          <w:rFonts w:hint="eastAsia" w:ascii="宋体" w:hAnsi="宋体" w:eastAsia="宋体" w:cs="宋体"/>
          <w:bCs/>
          <w:color w:val="auto"/>
          <w:kern w:val="0"/>
          <w:sz w:val="24"/>
          <w:szCs w:val="24"/>
          <w:highlight w:val="none"/>
        </w:rPr>
      </w:pP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注：</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rPr>
        <w:t>1</w:t>
      </w:r>
      <w:r>
        <w:rPr>
          <w:rFonts w:hint="eastAsia" w:ascii="宋体" w:hAnsi="宋体" w:eastAsia="宋体" w:cs="宋体"/>
          <w:bCs/>
          <w:color w:val="auto"/>
          <w:kern w:val="0"/>
          <w:sz w:val="24"/>
          <w:szCs w:val="24"/>
          <w:highlight w:val="none"/>
        </w:rPr>
        <w:t>、如有附图，仅作参考。</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、打▲内容为实质性要求，不允许有负偏离，否则将以涉及无效投标条款作无效投标。</w:t>
      </w:r>
    </w:p>
    <w:p>
      <w:pPr>
        <w:snapToGrid w:val="0"/>
        <w:spacing w:line="360" w:lineRule="auto"/>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、中标人所提供的货物、服务须与投标承诺一致，不得以次充好、偷工减料，若在项目验收中发现有上述情况，将向有关部门举报，根据相关规定进行处理。</w:t>
      </w:r>
    </w:p>
    <w:p>
      <w:pPr>
        <w:spacing w:line="360" w:lineRule="auto"/>
        <w:ind w:firstLine="120" w:firstLineChars="50"/>
        <w:rPr>
          <w:rFonts w:hint="eastAsia" w:ascii="宋体" w:hAnsi="宋体" w:eastAsia="宋体" w:cs="宋体"/>
          <w:b/>
          <w:color w:val="auto"/>
          <w:sz w:val="24"/>
          <w:szCs w:val="24"/>
          <w:highlight w:val="none"/>
        </w:rPr>
      </w:pPr>
    </w:p>
    <w:p>
      <w:pPr>
        <w:spacing w:line="360" w:lineRule="auto"/>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widowControl/>
        <w:jc w:val="left"/>
        <w:rPr>
          <w:rFonts w:hint="eastAsia" w:ascii="宋体" w:hAnsi="宋体" w:eastAsia="宋体" w:cs="宋体"/>
          <w:bCs/>
          <w:color w:val="auto"/>
          <w:sz w:val="24"/>
          <w:highlight w:val="none"/>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32" w:name="_Toc184313248"/>
      <w:bookmarkEnd w:id="32"/>
      <w:bookmarkStart w:id="33" w:name="_Toc184308105"/>
      <w:bookmarkEnd w:id="33"/>
      <w:bookmarkStart w:id="34" w:name="_Toc184313278"/>
      <w:bookmarkEnd w:id="34"/>
      <w:bookmarkStart w:id="35" w:name="_Toc184314439"/>
      <w:bookmarkEnd w:id="35"/>
      <w:bookmarkStart w:id="36" w:name="_Toc184313296"/>
      <w:bookmarkEnd w:id="36"/>
      <w:bookmarkStart w:id="37" w:name="_Toc184308038"/>
      <w:bookmarkEnd w:id="37"/>
      <w:bookmarkStart w:id="38" w:name="_Toc184310342"/>
      <w:bookmarkEnd w:id="38"/>
      <w:bookmarkStart w:id="39" w:name="_Toc184314425"/>
      <w:bookmarkEnd w:id="39"/>
      <w:bookmarkStart w:id="40" w:name="_Toc184314429"/>
      <w:bookmarkEnd w:id="40"/>
      <w:bookmarkStart w:id="41" w:name="_Toc184310327"/>
      <w:bookmarkEnd w:id="41"/>
      <w:bookmarkStart w:id="42" w:name="_Toc184312076"/>
      <w:bookmarkEnd w:id="42"/>
      <w:bookmarkStart w:id="43" w:name="_Toc184310280"/>
      <w:bookmarkEnd w:id="43"/>
      <w:bookmarkStart w:id="44" w:name="_Toc184312087"/>
      <w:bookmarkEnd w:id="44"/>
      <w:bookmarkStart w:id="45" w:name="_Toc184313275"/>
      <w:bookmarkEnd w:id="45"/>
      <w:bookmarkStart w:id="46" w:name="_Toc184308059"/>
      <w:bookmarkEnd w:id="46"/>
      <w:bookmarkStart w:id="47" w:name="_Toc184312084"/>
      <w:bookmarkEnd w:id="47"/>
      <w:bookmarkStart w:id="48" w:name="_Toc184310336"/>
      <w:bookmarkEnd w:id="48"/>
      <w:bookmarkStart w:id="49" w:name="_Toc184314477"/>
      <w:bookmarkEnd w:id="49"/>
      <w:bookmarkStart w:id="50" w:name="_Toc184314424"/>
      <w:bookmarkEnd w:id="50"/>
      <w:bookmarkStart w:id="51" w:name="_Toc184310322"/>
      <w:bookmarkEnd w:id="51"/>
      <w:bookmarkStart w:id="52" w:name="_Toc184310276"/>
      <w:bookmarkEnd w:id="52"/>
      <w:bookmarkStart w:id="53" w:name="_Toc184310282"/>
      <w:bookmarkEnd w:id="53"/>
      <w:bookmarkStart w:id="54" w:name="_Toc184313240"/>
      <w:bookmarkEnd w:id="54"/>
      <w:bookmarkStart w:id="55" w:name="_Toc184310317"/>
      <w:bookmarkEnd w:id="55"/>
      <w:bookmarkStart w:id="56" w:name="_Toc184314456"/>
      <w:bookmarkEnd w:id="56"/>
      <w:bookmarkStart w:id="57" w:name="_Toc184313284"/>
      <w:bookmarkEnd w:id="57"/>
      <w:bookmarkStart w:id="58" w:name="_Toc184313288"/>
      <w:bookmarkEnd w:id="58"/>
      <w:bookmarkStart w:id="59" w:name="_Toc184314481"/>
      <w:bookmarkEnd w:id="59"/>
      <w:bookmarkStart w:id="60" w:name="_Toc184314464"/>
      <w:bookmarkEnd w:id="60"/>
      <w:bookmarkStart w:id="61" w:name="_Toc184310304"/>
      <w:bookmarkEnd w:id="61"/>
      <w:bookmarkStart w:id="62" w:name="_Toc184314427"/>
      <w:bookmarkEnd w:id="62"/>
      <w:bookmarkStart w:id="63" w:name="_Toc184313300"/>
      <w:bookmarkEnd w:id="63"/>
      <w:bookmarkStart w:id="64" w:name="_Toc184310324"/>
      <w:bookmarkEnd w:id="64"/>
      <w:bookmarkStart w:id="65" w:name="_Toc184312137"/>
      <w:bookmarkEnd w:id="65"/>
      <w:bookmarkStart w:id="66" w:name="_Toc184313264"/>
      <w:bookmarkEnd w:id="66"/>
      <w:bookmarkStart w:id="67" w:name="_Toc184314458"/>
      <w:bookmarkEnd w:id="67"/>
      <w:bookmarkStart w:id="68" w:name="_Toc184314476"/>
      <w:bookmarkEnd w:id="68"/>
      <w:bookmarkStart w:id="69" w:name="_Toc184310331"/>
      <w:bookmarkEnd w:id="69"/>
      <w:bookmarkStart w:id="70" w:name="_Toc184312117"/>
      <w:bookmarkEnd w:id="70"/>
      <w:bookmarkStart w:id="71" w:name="_Toc184313271"/>
      <w:bookmarkEnd w:id="71"/>
      <w:bookmarkStart w:id="72" w:name="_Toc184313258"/>
      <w:bookmarkEnd w:id="72"/>
      <w:bookmarkStart w:id="73" w:name="_Toc184314443"/>
      <w:bookmarkEnd w:id="73"/>
      <w:bookmarkStart w:id="74" w:name="_Toc184314412"/>
      <w:bookmarkEnd w:id="74"/>
      <w:bookmarkStart w:id="75" w:name="_Toc184314452"/>
      <w:bookmarkEnd w:id="75"/>
      <w:bookmarkStart w:id="76" w:name="_Toc184308048"/>
      <w:bookmarkEnd w:id="76"/>
      <w:bookmarkStart w:id="77" w:name="_Toc184314428"/>
      <w:bookmarkEnd w:id="77"/>
      <w:bookmarkStart w:id="78" w:name="_Toc184310332"/>
      <w:bookmarkEnd w:id="78"/>
      <w:bookmarkStart w:id="79" w:name="_Toc184308036"/>
      <w:bookmarkEnd w:id="79"/>
      <w:bookmarkStart w:id="80" w:name="_Toc184314479"/>
      <w:bookmarkEnd w:id="80"/>
      <w:bookmarkStart w:id="81" w:name="_Toc184312113"/>
      <w:bookmarkEnd w:id="81"/>
      <w:bookmarkStart w:id="82" w:name="_Toc184308046"/>
      <w:bookmarkEnd w:id="82"/>
      <w:bookmarkStart w:id="83" w:name="_Toc184308066"/>
      <w:bookmarkEnd w:id="83"/>
      <w:bookmarkStart w:id="84" w:name="_Toc184313286"/>
      <w:bookmarkEnd w:id="84"/>
      <w:bookmarkStart w:id="85" w:name="_Toc184313298"/>
      <w:bookmarkEnd w:id="85"/>
      <w:bookmarkStart w:id="86" w:name="_Toc184310291"/>
      <w:bookmarkEnd w:id="86"/>
      <w:bookmarkStart w:id="87" w:name="_Toc184312123"/>
      <w:bookmarkEnd w:id="87"/>
      <w:bookmarkStart w:id="88" w:name="_Toc184314441"/>
      <w:bookmarkEnd w:id="88"/>
      <w:bookmarkStart w:id="89" w:name="_Toc184312083"/>
      <w:bookmarkEnd w:id="89"/>
      <w:bookmarkStart w:id="90" w:name="_Toc184310307"/>
      <w:bookmarkEnd w:id="90"/>
      <w:bookmarkStart w:id="91" w:name="_Toc184308102"/>
      <w:bookmarkEnd w:id="91"/>
      <w:bookmarkStart w:id="92" w:name="_Toc184308055"/>
      <w:bookmarkEnd w:id="92"/>
      <w:bookmarkStart w:id="93" w:name="_Toc184308088"/>
      <w:bookmarkEnd w:id="93"/>
      <w:bookmarkStart w:id="94" w:name="_Toc184312108"/>
      <w:bookmarkEnd w:id="94"/>
      <w:bookmarkStart w:id="95" w:name="_Toc184314463"/>
      <w:bookmarkEnd w:id="95"/>
      <w:bookmarkStart w:id="96" w:name="_Toc184310302"/>
      <w:bookmarkEnd w:id="96"/>
      <w:bookmarkStart w:id="97" w:name="_Toc184310288"/>
      <w:bookmarkEnd w:id="97"/>
      <w:bookmarkStart w:id="98" w:name="_Toc184310286"/>
      <w:bookmarkEnd w:id="98"/>
      <w:bookmarkStart w:id="99" w:name="_Toc184314435"/>
      <w:bookmarkEnd w:id="99"/>
      <w:bookmarkStart w:id="100" w:name="_Toc184310294"/>
      <w:bookmarkEnd w:id="100"/>
      <w:bookmarkStart w:id="101" w:name="_Toc184314459"/>
      <w:bookmarkEnd w:id="101"/>
      <w:bookmarkStart w:id="102" w:name="_Toc184308060"/>
      <w:bookmarkEnd w:id="102"/>
      <w:bookmarkStart w:id="103" w:name="_Toc184312134"/>
      <w:bookmarkEnd w:id="103"/>
      <w:bookmarkStart w:id="104" w:name="_Toc184312106"/>
      <w:bookmarkEnd w:id="104"/>
      <w:bookmarkStart w:id="105" w:name="_Toc184313283"/>
      <w:bookmarkEnd w:id="105"/>
      <w:bookmarkStart w:id="106" w:name="_Toc184313270"/>
      <w:bookmarkEnd w:id="106"/>
      <w:bookmarkStart w:id="107" w:name="_Toc184310273"/>
      <w:bookmarkEnd w:id="107"/>
      <w:bookmarkStart w:id="108" w:name="_Toc184314468"/>
      <w:bookmarkEnd w:id="108"/>
      <w:bookmarkStart w:id="109" w:name="_Toc184312096"/>
      <w:bookmarkEnd w:id="109"/>
      <w:bookmarkStart w:id="110" w:name="_Toc184308078"/>
      <w:bookmarkEnd w:id="110"/>
      <w:bookmarkStart w:id="111" w:name="_Toc184314436"/>
      <w:bookmarkEnd w:id="111"/>
      <w:bookmarkStart w:id="112" w:name="_Toc184313303"/>
      <w:bookmarkEnd w:id="112"/>
      <w:bookmarkStart w:id="113" w:name="_Toc184313245"/>
      <w:bookmarkEnd w:id="113"/>
      <w:bookmarkStart w:id="114" w:name="_Toc184314434"/>
      <w:bookmarkEnd w:id="114"/>
      <w:bookmarkStart w:id="115" w:name="_Toc184313246"/>
      <w:bookmarkEnd w:id="115"/>
      <w:bookmarkStart w:id="116" w:name="_Toc184314414"/>
      <w:bookmarkEnd w:id="116"/>
      <w:bookmarkStart w:id="117" w:name="_Toc184308064"/>
      <w:bookmarkEnd w:id="117"/>
      <w:bookmarkStart w:id="118" w:name="_Toc184314480"/>
      <w:bookmarkEnd w:id="118"/>
      <w:bookmarkStart w:id="119" w:name="_Toc184308051"/>
      <w:bookmarkEnd w:id="119"/>
      <w:bookmarkStart w:id="120" w:name="_Toc184312126"/>
      <w:bookmarkEnd w:id="120"/>
      <w:bookmarkStart w:id="121" w:name="_Toc184313242"/>
      <w:bookmarkEnd w:id="121"/>
      <w:bookmarkStart w:id="122" w:name="_Toc184310325"/>
      <w:bookmarkEnd w:id="122"/>
      <w:bookmarkStart w:id="123" w:name="_Toc184310329"/>
      <w:bookmarkEnd w:id="123"/>
      <w:bookmarkStart w:id="124" w:name="_Toc184313263"/>
      <w:bookmarkEnd w:id="124"/>
      <w:bookmarkStart w:id="125" w:name="_Toc184310290"/>
      <w:bookmarkEnd w:id="125"/>
      <w:bookmarkStart w:id="126" w:name="_Toc184310275"/>
      <w:bookmarkEnd w:id="126"/>
      <w:bookmarkStart w:id="127" w:name="_Toc184310305"/>
      <w:bookmarkEnd w:id="127"/>
      <w:bookmarkStart w:id="128" w:name="_Toc184308085"/>
      <w:bookmarkEnd w:id="128"/>
      <w:bookmarkStart w:id="129" w:name="_Toc184308073"/>
      <w:bookmarkEnd w:id="129"/>
      <w:bookmarkStart w:id="130" w:name="_Toc184314467"/>
      <w:bookmarkEnd w:id="130"/>
      <w:bookmarkStart w:id="131" w:name="_Toc184312072"/>
      <w:bookmarkEnd w:id="131"/>
      <w:bookmarkStart w:id="132" w:name="_Toc184308040"/>
      <w:bookmarkEnd w:id="132"/>
      <w:bookmarkStart w:id="133" w:name="_Toc184308104"/>
      <w:bookmarkEnd w:id="133"/>
      <w:bookmarkStart w:id="134" w:name="_Toc184312136"/>
      <w:bookmarkEnd w:id="134"/>
      <w:bookmarkStart w:id="135" w:name="_Toc184313281"/>
      <w:bookmarkEnd w:id="135"/>
      <w:bookmarkStart w:id="136" w:name="_Toc184308058"/>
      <w:bookmarkEnd w:id="136"/>
      <w:bookmarkStart w:id="137" w:name="_Toc184313304"/>
      <w:bookmarkEnd w:id="137"/>
      <w:bookmarkStart w:id="138" w:name="_Toc184312082"/>
      <w:bookmarkEnd w:id="138"/>
      <w:bookmarkStart w:id="139" w:name="_Toc184313293"/>
      <w:bookmarkEnd w:id="139"/>
      <w:bookmarkStart w:id="140" w:name="_Toc184310313"/>
      <w:bookmarkEnd w:id="140"/>
      <w:bookmarkStart w:id="141" w:name="_Toc184310298"/>
      <w:bookmarkEnd w:id="141"/>
      <w:bookmarkStart w:id="142" w:name="_Toc184310309"/>
      <w:bookmarkEnd w:id="142"/>
      <w:bookmarkStart w:id="143" w:name="_Toc184312094"/>
      <w:bookmarkEnd w:id="143"/>
      <w:bookmarkStart w:id="144" w:name="_Toc184312098"/>
      <w:bookmarkEnd w:id="144"/>
      <w:bookmarkStart w:id="145" w:name="_Toc184312119"/>
      <w:bookmarkEnd w:id="145"/>
      <w:bookmarkStart w:id="146" w:name="_Toc184314423"/>
      <w:bookmarkEnd w:id="146"/>
      <w:bookmarkStart w:id="147" w:name="_Toc184313287"/>
      <w:bookmarkEnd w:id="147"/>
      <w:bookmarkStart w:id="148" w:name="_Toc184308054"/>
      <w:bookmarkEnd w:id="148"/>
      <w:bookmarkStart w:id="149" w:name="_Toc184308069"/>
      <w:bookmarkEnd w:id="149"/>
      <w:bookmarkStart w:id="150" w:name="_Toc184313241"/>
      <w:bookmarkEnd w:id="150"/>
      <w:bookmarkStart w:id="151" w:name="_Toc184314470"/>
      <w:bookmarkEnd w:id="151"/>
      <w:bookmarkStart w:id="152" w:name="_Toc184312116"/>
      <w:bookmarkEnd w:id="152"/>
      <w:bookmarkStart w:id="153" w:name="_Toc184314475"/>
      <w:bookmarkEnd w:id="153"/>
      <w:bookmarkStart w:id="154" w:name="_Toc184312122"/>
      <w:bookmarkEnd w:id="154"/>
      <w:bookmarkStart w:id="155" w:name="_Toc184312124"/>
      <w:bookmarkEnd w:id="155"/>
      <w:bookmarkStart w:id="156" w:name="_Toc184312131"/>
      <w:bookmarkEnd w:id="156"/>
      <w:bookmarkStart w:id="157" w:name="_Toc184312109"/>
      <w:bookmarkEnd w:id="157"/>
      <w:bookmarkStart w:id="158" w:name="_Toc184312133"/>
      <w:bookmarkEnd w:id="158"/>
      <w:bookmarkStart w:id="159" w:name="_Toc184312090"/>
      <w:bookmarkEnd w:id="159"/>
      <w:bookmarkStart w:id="160" w:name="_Toc184308076"/>
      <w:bookmarkEnd w:id="160"/>
      <w:bookmarkStart w:id="161" w:name="_Toc184312068"/>
      <w:bookmarkEnd w:id="161"/>
      <w:bookmarkStart w:id="162" w:name="_Toc184310274"/>
      <w:bookmarkEnd w:id="162"/>
      <w:bookmarkStart w:id="163" w:name="_Toc184308053"/>
      <w:bookmarkEnd w:id="163"/>
      <w:bookmarkStart w:id="164" w:name="_Toc184308096"/>
      <w:bookmarkEnd w:id="164"/>
      <w:bookmarkStart w:id="165" w:name="_Toc184308090"/>
      <w:bookmarkEnd w:id="165"/>
      <w:bookmarkStart w:id="166" w:name="_Toc184308107"/>
      <w:bookmarkEnd w:id="166"/>
      <w:bookmarkStart w:id="167" w:name="_Toc184310277"/>
      <w:bookmarkEnd w:id="167"/>
      <w:bookmarkStart w:id="168" w:name="_Toc184312128"/>
      <w:bookmarkEnd w:id="168"/>
      <w:bookmarkStart w:id="169" w:name="_Toc184313297"/>
      <w:bookmarkEnd w:id="169"/>
      <w:bookmarkStart w:id="170" w:name="_Toc184313290"/>
      <w:bookmarkEnd w:id="170"/>
      <w:bookmarkStart w:id="171" w:name="_Toc184310340"/>
      <w:bookmarkEnd w:id="171"/>
      <w:bookmarkStart w:id="172" w:name="_Toc184310287"/>
      <w:bookmarkEnd w:id="172"/>
      <w:bookmarkStart w:id="173" w:name="_Toc184310285"/>
      <w:bookmarkEnd w:id="173"/>
      <w:bookmarkStart w:id="174" w:name="_Toc184314437"/>
      <w:bookmarkEnd w:id="174"/>
      <w:bookmarkStart w:id="175" w:name="_Toc184308103"/>
      <w:bookmarkEnd w:id="175"/>
      <w:bookmarkStart w:id="176" w:name="_Toc184310296"/>
      <w:bookmarkEnd w:id="176"/>
      <w:bookmarkStart w:id="177" w:name="_Toc184310308"/>
      <w:bookmarkEnd w:id="177"/>
      <w:bookmarkStart w:id="178" w:name="_Toc184313249"/>
      <w:bookmarkEnd w:id="178"/>
      <w:bookmarkStart w:id="179" w:name="_Toc184312112"/>
      <w:bookmarkEnd w:id="179"/>
      <w:bookmarkStart w:id="180" w:name="_Toc184313299"/>
      <w:bookmarkEnd w:id="180"/>
      <w:bookmarkStart w:id="181" w:name="_Toc184314461"/>
      <w:bookmarkEnd w:id="181"/>
      <w:bookmarkStart w:id="182" w:name="_Toc184308044"/>
      <w:bookmarkEnd w:id="182"/>
      <w:bookmarkStart w:id="183" w:name="_Toc184310338"/>
      <w:bookmarkEnd w:id="183"/>
      <w:bookmarkStart w:id="184" w:name="_Toc184314449"/>
      <w:bookmarkEnd w:id="184"/>
      <w:bookmarkStart w:id="185" w:name="_Toc184314446"/>
      <w:bookmarkEnd w:id="185"/>
      <w:bookmarkStart w:id="186" w:name="_Toc184310334"/>
      <w:bookmarkEnd w:id="186"/>
      <w:bookmarkStart w:id="187" w:name="_Toc184308049"/>
      <w:bookmarkEnd w:id="187"/>
      <w:bookmarkStart w:id="188" w:name="_Toc184308070"/>
      <w:bookmarkEnd w:id="188"/>
      <w:bookmarkStart w:id="189" w:name="_Toc184313255"/>
      <w:bookmarkEnd w:id="189"/>
      <w:bookmarkStart w:id="190" w:name="_Toc184308068"/>
      <w:bookmarkEnd w:id="190"/>
      <w:bookmarkStart w:id="191" w:name="_Toc184312130"/>
      <w:bookmarkEnd w:id="191"/>
      <w:bookmarkStart w:id="192" w:name="_Toc184314482"/>
      <w:bookmarkEnd w:id="192"/>
      <w:bookmarkStart w:id="193" w:name="_Toc184313292"/>
      <w:bookmarkEnd w:id="193"/>
      <w:bookmarkStart w:id="194" w:name="_Toc184314411"/>
      <w:bookmarkEnd w:id="194"/>
      <w:bookmarkStart w:id="195" w:name="_Toc184313274"/>
      <w:bookmarkEnd w:id="195"/>
      <w:bookmarkStart w:id="196" w:name="_Toc184314472"/>
      <w:bookmarkEnd w:id="196"/>
      <w:bookmarkStart w:id="197" w:name="_Toc184310281"/>
      <w:bookmarkEnd w:id="197"/>
      <w:bookmarkStart w:id="198" w:name="_Toc184310321"/>
      <w:bookmarkEnd w:id="198"/>
      <w:bookmarkStart w:id="199" w:name="_Toc184308037"/>
      <w:bookmarkEnd w:id="199"/>
      <w:bookmarkStart w:id="200" w:name="_Toc184313238"/>
      <w:bookmarkEnd w:id="200"/>
      <w:bookmarkStart w:id="201" w:name="_Toc184312101"/>
      <w:bookmarkEnd w:id="201"/>
      <w:bookmarkStart w:id="202" w:name="_Toc184310299"/>
      <w:bookmarkEnd w:id="202"/>
      <w:bookmarkStart w:id="203" w:name="_Toc184314416"/>
      <w:bookmarkEnd w:id="203"/>
      <w:bookmarkStart w:id="204" w:name="_Toc184314465"/>
      <w:bookmarkEnd w:id="204"/>
      <w:bookmarkStart w:id="205" w:name="_Toc184312080"/>
      <w:bookmarkEnd w:id="205"/>
      <w:bookmarkStart w:id="206" w:name="_Toc184308052"/>
      <w:bookmarkEnd w:id="206"/>
      <w:bookmarkStart w:id="207" w:name="_Toc184312111"/>
      <w:bookmarkEnd w:id="207"/>
      <w:bookmarkStart w:id="208" w:name="_Toc184313261"/>
      <w:bookmarkEnd w:id="208"/>
      <w:bookmarkStart w:id="209" w:name="_Toc184314457"/>
      <w:bookmarkEnd w:id="209"/>
      <w:bookmarkStart w:id="210" w:name="_Toc184313247"/>
      <w:bookmarkEnd w:id="210"/>
      <w:bookmarkStart w:id="211" w:name="_Toc184308039"/>
      <w:bookmarkEnd w:id="211"/>
      <w:bookmarkStart w:id="212" w:name="_Toc184313251"/>
      <w:bookmarkEnd w:id="212"/>
      <w:bookmarkStart w:id="213" w:name="_Toc184308056"/>
      <w:bookmarkEnd w:id="213"/>
      <w:bookmarkStart w:id="214" w:name="_Toc184314421"/>
      <w:bookmarkEnd w:id="214"/>
      <w:bookmarkStart w:id="215" w:name="_Toc184314417"/>
      <w:bookmarkEnd w:id="215"/>
      <w:bookmarkStart w:id="216" w:name="_Toc184308108"/>
      <w:bookmarkEnd w:id="216"/>
      <w:bookmarkStart w:id="217" w:name="_Toc184313256"/>
      <w:bookmarkEnd w:id="217"/>
      <w:bookmarkStart w:id="218" w:name="_Toc184312081"/>
      <w:bookmarkEnd w:id="218"/>
      <w:bookmarkStart w:id="219" w:name="_Toc184308098"/>
      <w:bookmarkEnd w:id="219"/>
      <w:bookmarkStart w:id="220" w:name="_Toc184312118"/>
      <w:bookmarkEnd w:id="220"/>
      <w:bookmarkStart w:id="221" w:name="_Toc184308080"/>
      <w:bookmarkEnd w:id="221"/>
      <w:bookmarkStart w:id="222" w:name="_Toc184308042"/>
      <w:bookmarkEnd w:id="222"/>
      <w:bookmarkStart w:id="223" w:name="_Toc184314433"/>
      <w:bookmarkEnd w:id="223"/>
      <w:bookmarkStart w:id="224" w:name="_Toc184312115"/>
      <w:bookmarkEnd w:id="224"/>
      <w:bookmarkStart w:id="225" w:name="_Toc184312138"/>
      <w:bookmarkEnd w:id="225"/>
      <w:bookmarkStart w:id="226" w:name="_Toc184312100"/>
      <w:bookmarkEnd w:id="226"/>
      <w:bookmarkStart w:id="227" w:name="_Toc184312070"/>
      <w:bookmarkEnd w:id="227"/>
      <w:bookmarkStart w:id="228" w:name="_Toc184308065"/>
      <w:bookmarkEnd w:id="228"/>
      <w:bookmarkStart w:id="229" w:name="_Toc184313243"/>
      <w:bookmarkEnd w:id="229"/>
      <w:bookmarkStart w:id="230" w:name="_Toc184312092"/>
      <w:bookmarkEnd w:id="230"/>
      <w:bookmarkStart w:id="231" w:name="_Toc184313254"/>
      <w:bookmarkEnd w:id="231"/>
      <w:bookmarkStart w:id="232" w:name="_Toc184314447"/>
      <w:bookmarkEnd w:id="232"/>
      <w:bookmarkStart w:id="233" w:name="_Toc184312091"/>
      <w:bookmarkEnd w:id="233"/>
      <w:bookmarkStart w:id="234" w:name="_Toc184310314"/>
      <w:bookmarkEnd w:id="234"/>
      <w:bookmarkStart w:id="235" w:name="_Toc184308084"/>
      <w:bookmarkEnd w:id="235"/>
      <w:bookmarkStart w:id="236" w:name="_Toc184312086"/>
      <w:bookmarkEnd w:id="236"/>
      <w:bookmarkStart w:id="237" w:name="_Toc184310315"/>
      <w:bookmarkEnd w:id="237"/>
      <w:bookmarkStart w:id="238" w:name="_Toc184308087"/>
      <w:bookmarkEnd w:id="238"/>
      <w:bookmarkStart w:id="239" w:name="_Toc184312099"/>
      <w:bookmarkEnd w:id="239"/>
      <w:bookmarkStart w:id="240" w:name="_Toc184313294"/>
      <w:bookmarkEnd w:id="240"/>
      <w:bookmarkStart w:id="241" w:name="_Toc184308099"/>
      <w:bookmarkEnd w:id="241"/>
      <w:bookmarkStart w:id="242" w:name="_Toc184312074"/>
      <w:bookmarkEnd w:id="242"/>
      <w:bookmarkStart w:id="243" w:name="_Toc184312139"/>
      <w:bookmarkEnd w:id="243"/>
      <w:bookmarkStart w:id="244" w:name="_Toc184310328"/>
      <w:bookmarkEnd w:id="244"/>
      <w:bookmarkStart w:id="245" w:name="_Toc184313307"/>
      <w:bookmarkEnd w:id="245"/>
      <w:bookmarkStart w:id="246" w:name="_Toc184308106"/>
      <w:bookmarkEnd w:id="246"/>
      <w:bookmarkStart w:id="247" w:name="_Toc184308101"/>
      <w:bookmarkEnd w:id="247"/>
      <w:bookmarkStart w:id="248" w:name="_Toc184310344"/>
      <w:bookmarkEnd w:id="248"/>
      <w:bookmarkStart w:id="249" w:name="_Toc184314474"/>
      <w:bookmarkEnd w:id="249"/>
      <w:bookmarkStart w:id="250" w:name="_Toc184314451"/>
      <w:bookmarkEnd w:id="250"/>
      <w:bookmarkStart w:id="251" w:name="_Toc184308093"/>
      <w:bookmarkEnd w:id="251"/>
      <w:bookmarkStart w:id="252" w:name="_Toc184312085"/>
      <w:bookmarkEnd w:id="252"/>
      <w:bookmarkStart w:id="253" w:name="_Toc184312105"/>
      <w:bookmarkEnd w:id="253"/>
      <w:bookmarkStart w:id="254" w:name="_Toc184308079"/>
      <w:bookmarkEnd w:id="254"/>
      <w:bookmarkStart w:id="255" w:name="_Toc184312093"/>
      <w:bookmarkEnd w:id="255"/>
      <w:bookmarkStart w:id="256" w:name="_Toc184310297"/>
      <w:bookmarkEnd w:id="256"/>
      <w:bookmarkStart w:id="257" w:name="_Toc184312104"/>
      <w:bookmarkEnd w:id="257"/>
      <w:bookmarkStart w:id="258" w:name="_Toc184313277"/>
      <w:bookmarkEnd w:id="258"/>
      <w:bookmarkStart w:id="259" w:name="_Toc184314440"/>
      <w:bookmarkEnd w:id="259"/>
      <w:bookmarkStart w:id="260" w:name="_Toc184313259"/>
      <w:bookmarkEnd w:id="260"/>
      <w:bookmarkStart w:id="261" w:name="_Toc184312121"/>
      <w:bookmarkEnd w:id="261"/>
      <w:bookmarkStart w:id="262" w:name="_Toc184308062"/>
      <w:bookmarkEnd w:id="262"/>
      <w:bookmarkStart w:id="263" w:name="_Toc184314432"/>
      <w:bookmarkEnd w:id="263"/>
      <w:bookmarkStart w:id="264" w:name="_Toc184313305"/>
      <w:bookmarkEnd w:id="264"/>
      <w:bookmarkStart w:id="265" w:name="_Toc184312073"/>
      <w:bookmarkEnd w:id="265"/>
      <w:bookmarkStart w:id="266" w:name="_Toc184308086"/>
      <w:bookmarkEnd w:id="266"/>
      <w:bookmarkStart w:id="267" w:name="_Toc184313289"/>
      <w:bookmarkEnd w:id="267"/>
      <w:bookmarkStart w:id="268" w:name="_Toc184312127"/>
      <w:bookmarkEnd w:id="268"/>
      <w:bookmarkStart w:id="269" w:name="_Toc184308067"/>
      <w:bookmarkEnd w:id="269"/>
      <w:bookmarkStart w:id="270" w:name="_Toc184312089"/>
      <w:bookmarkEnd w:id="270"/>
      <w:bookmarkStart w:id="271" w:name="_Toc184308100"/>
      <w:bookmarkEnd w:id="271"/>
      <w:bookmarkStart w:id="272" w:name="_Toc184310301"/>
      <w:bookmarkEnd w:id="272"/>
      <w:bookmarkStart w:id="273" w:name="_Toc184313244"/>
      <w:bookmarkEnd w:id="273"/>
      <w:bookmarkStart w:id="274" w:name="_Toc184308083"/>
      <w:bookmarkEnd w:id="274"/>
      <w:bookmarkStart w:id="275" w:name="_Toc184308041"/>
      <w:bookmarkEnd w:id="275"/>
      <w:bookmarkStart w:id="276" w:name="_Toc184314430"/>
      <w:bookmarkEnd w:id="276"/>
      <w:bookmarkStart w:id="277" w:name="_Toc184308077"/>
      <w:bookmarkEnd w:id="277"/>
      <w:bookmarkStart w:id="278" w:name="_Toc184308082"/>
      <w:bookmarkEnd w:id="278"/>
      <w:bookmarkStart w:id="279" w:name="_Toc184310339"/>
      <w:bookmarkEnd w:id="279"/>
      <w:bookmarkStart w:id="280" w:name="_Toc184312095"/>
      <w:bookmarkEnd w:id="280"/>
      <w:bookmarkStart w:id="281" w:name="_Toc184310341"/>
      <w:bookmarkEnd w:id="281"/>
      <w:bookmarkStart w:id="282" w:name="_Toc184310326"/>
      <w:bookmarkEnd w:id="282"/>
      <w:bookmarkStart w:id="283" w:name="_Toc184313310"/>
      <w:bookmarkEnd w:id="283"/>
      <w:bookmarkStart w:id="284" w:name="_Toc184313260"/>
      <w:bookmarkEnd w:id="284"/>
      <w:bookmarkStart w:id="285" w:name="_Toc184313266"/>
      <w:bookmarkEnd w:id="285"/>
      <w:bookmarkStart w:id="286" w:name="_Toc184312120"/>
      <w:bookmarkEnd w:id="286"/>
      <w:bookmarkStart w:id="287" w:name="_Toc184313272"/>
      <w:bookmarkEnd w:id="287"/>
      <w:bookmarkStart w:id="288" w:name="_Toc184313308"/>
      <w:bookmarkEnd w:id="288"/>
      <w:bookmarkStart w:id="289" w:name="_Toc184308081"/>
      <w:bookmarkEnd w:id="289"/>
      <w:bookmarkStart w:id="290" w:name="_Toc184310284"/>
      <w:bookmarkEnd w:id="290"/>
      <w:bookmarkStart w:id="291" w:name="_Toc184310293"/>
      <w:bookmarkEnd w:id="291"/>
      <w:bookmarkStart w:id="292" w:name="_Toc184314453"/>
      <w:bookmarkEnd w:id="292"/>
      <w:bookmarkStart w:id="293" w:name="_Toc184314450"/>
      <w:bookmarkEnd w:id="293"/>
      <w:bookmarkStart w:id="294" w:name="_Toc184310318"/>
      <w:bookmarkEnd w:id="294"/>
      <w:bookmarkStart w:id="295" w:name="_Toc184310289"/>
      <w:bookmarkEnd w:id="295"/>
      <w:bookmarkStart w:id="296" w:name="_Toc184314410"/>
      <w:bookmarkEnd w:id="296"/>
      <w:bookmarkStart w:id="297" w:name="_Toc184313279"/>
      <w:bookmarkEnd w:id="297"/>
      <w:bookmarkStart w:id="298" w:name="_Toc184313295"/>
      <w:bookmarkEnd w:id="298"/>
      <w:bookmarkStart w:id="299" w:name="_Toc184314422"/>
      <w:bookmarkEnd w:id="299"/>
      <w:bookmarkStart w:id="300" w:name="_Toc184308072"/>
      <w:bookmarkEnd w:id="300"/>
      <w:bookmarkStart w:id="301" w:name="_Toc184314471"/>
      <w:bookmarkEnd w:id="301"/>
      <w:bookmarkStart w:id="302" w:name="_Toc184314442"/>
      <w:bookmarkEnd w:id="302"/>
      <w:bookmarkStart w:id="303" w:name="_Toc184310320"/>
      <w:bookmarkEnd w:id="303"/>
      <w:bookmarkStart w:id="304" w:name="_Toc184310283"/>
      <w:bookmarkEnd w:id="304"/>
      <w:bookmarkStart w:id="305" w:name="_Toc184312078"/>
      <w:bookmarkEnd w:id="305"/>
      <w:bookmarkStart w:id="306" w:name="_Toc184308061"/>
      <w:bookmarkEnd w:id="306"/>
      <w:bookmarkStart w:id="307" w:name="_Toc184310316"/>
      <w:bookmarkEnd w:id="307"/>
      <w:bookmarkStart w:id="308" w:name="_Toc184310310"/>
      <w:bookmarkEnd w:id="308"/>
      <w:bookmarkStart w:id="309" w:name="_Toc184312077"/>
      <w:bookmarkEnd w:id="309"/>
      <w:bookmarkStart w:id="310" w:name="_Toc184313250"/>
      <w:bookmarkEnd w:id="310"/>
      <w:bookmarkStart w:id="311" w:name="_Toc184313268"/>
      <w:bookmarkEnd w:id="311"/>
      <w:bookmarkStart w:id="312" w:name="_Toc184312103"/>
      <w:bookmarkEnd w:id="312"/>
      <w:bookmarkStart w:id="313" w:name="_Toc184314460"/>
      <w:bookmarkEnd w:id="313"/>
      <w:bookmarkStart w:id="314" w:name="_Toc184310303"/>
      <w:bookmarkEnd w:id="314"/>
      <w:bookmarkStart w:id="315" w:name="_Toc184308074"/>
      <w:bookmarkEnd w:id="315"/>
      <w:bookmarkStart w:id="316" w:name="_Toc184313269"/>
      <w:bookmarkEnd w:id="316"/>
      <w:bookmarkStart w:id="317" w:name="_Toc184310333"/>
      <w:bookmarkEnd w:id="317"/>
      <w:bookmarkStart w:id="318" w:name="_Toc184310337"/>
      <w:bookmarkEnd w:id="318"/>
      <w:bookmarkStart w:id="319" w:name="_Toc184310312"/>
      <w:bookmarkEnd w:id="319"/>
      <w:bookmarkStart w:id="320" w:name="_Toc184313276"/>
      <w:bookmarkEnd w:id="320"/>
      <w:bookmarkStart w:id="321" w:name="_Toc184313257"/>
      <w:bookmarkEnd w:id="321"/>
      <w:bookmarkStart w:id="322" w:name="_Toc184308089"/>
      <w:bookmarkEnd w:id="322"/>
      <w:bookmarkStart w:id="323" w:name="_Toc184313265"/>
      <w:bookmarkEnd w:id="323"/>
      <w:bookmarkStart w:id="324" w:name="_Toc184310279"/>
      <w:bookmarkEnd w:id="324"/>
      <w:bookmarkStart w:id="325" w:name="_Toc184310343"/>
      <w:bookmarkEnd w:id="325"/>
      <w:bookmarkStart w:id="326" w:name="_Toc184308057"/>
      <w:bookmarkEnd w:id="326"/>
      <w:bookmarkStart w:id="327" w:name="_Toc184313253"/>
      <w:bookmarkEnd w:id="327"/>
      <w:bookmarkStart w:id="328" w:name="_Toc184314415"/>
      <w:bookmarkEnd w:id="328"/>
      <w:bookmarkStart w:id="329" w:name="_Toc184312110"/>
      <w:bookmarkEnd w:id="329"/>
      <w:bookmarkStart w:id="330" w:name="_Toc184308095"/>
      <w:bookmarkEnd w:id="330"/>
      <w:bookmarkStart w:id="331" w:name="_Toc184308063"/>
      <w:bookmarkEnd w:id="331"/>
      <w:bookmarkStart w:id="332" w:name="_Toc184310292"/>
      <w:bookmarkEnd w:id="332"/>
      <w:bookmarkStart w:id="333" w:name="_Toc184313273"/>
      <w:bookmarkEnd w:id="333"/>
      <w:bookmarkStart w:id="334" w:name="_Toc184314438"/>
      <w:bookmarkEnd w:id="334"/>
      <w:bookmarkStart w:id="335" w:name="_Toc184308071"/>
      <w:bookmarkEnd w:id="335"/>
      <w:bookmarkStart w:id="336" w:name="_Toc184313306"/>
      <w:bookmarkEnd w:id="336"/>
      <w:bookmarkStart w:id="337" w:name="_Toc184313282"/>
      <w:bookmarkEnd w:id="337"/>
      <w:bookmarkStart w:id="338" w:name="_Toc184314448"/>
      <w:bookmarkEnd w:id="338"/>
      <w:bookmarkStart w:id="339" w:name="_Toc184314418"/>
      <w:bookmarkEnd w:id="339"/>
      <w:bookmarkStart w:id="340" w:name="_Toc184312088"/>
      <w:bookmarkEnd w:id="340"/>
      <w:bookmarkStart w:id="341" w:name="_Toc184310323"/>
      <w:bookmarkEnd w:id="341"/>
      <w:bookmarkStart w:id="342" w:name="_Toc184314466"/>
      <w:bookmarkEnd w:id="342"/>
      <w:bookmarkStart w:id="343" w:name="_Toc184313301"/>
      <w:bookmarkEnd w:id="343"/>
      <w:bookmarkStart w:id="344" w:name="_Toc184312135"/>
      <w:bookmarkEnd w:id="344"/>
      <w:bookmarkStart w:id="345" w:name="_Toc184312114"/>
      <w:bookmarkEnd w:id="345"/>
      <w:bookmarkStart w:id="346" w:name="_Toc184314445"/>
      <w:bookmarkEnd w:id="346"/>
      <w:bookmarkStart w:id="347" w:name="_Toc184310311"/>
      <w:bookmarkEnd w:id="347"/>
      <w:bookmarkStart w:id="348" w:name="_Toc184312069"/>
      <w:bookmarkEnd w:id="348"/>
      <w:bookmarkStart w:id="349" w:name="_Toc184308075"/>
      <w:bookmarkEnd w:id="349"/>
      <w:bookmarkStart w:id="350" w:name="_Toc184314426"/>
      <w:bookmarkEnd w:id="350"/>
      <w:bookmarkStart w:id="351" w:name="_Toc184313239"/>
      <w:bookmarkEnd w:id="351"/>
      <w:bookmarkStart w:id="352" w:name="_Toc184312079"/>
      <w:bookmarkEnd w:id="352"/>
      <w:bookmarkStart w:id="353" w:name="_Toc184312125"/>
      <w:bookmarkEnd w:id="353"/>
      <w:bookmarkStart w:id="354" w:name="_Toc184310272"/>
      <w:bookmarkEnd w:id="354"/>
      <w:bookmarkStart w:id="355" w:name="_Toc184313291"/>
      <w:bookmarkEnd w:id="355"/>
      <w:bookmarkStart w:id="356" w:name="_Toc184310278"/>
      <w:bookmarkEnd w:id="356"/>
      <w:bookmarkStart w:id="357" w:name="_Toc184313285"/>
      <w:bookmarkEnd w:id="357"/>
      <w:bookmarkStart w:id="358" w:name="_Toc184314473"/>
      <w:bookmarkEnd w:id="358"/>
      <w:bookmarkStart w:id="359" w:name="_Toc184314420"/>
      <w:bookmarkEnd w:id="359"/>
      <w:bookmarkStart w:id="360" w:name="_Toc184308050"/>
      <w:bookmarkEnd w:id="360"/>
      <w:bookmarkStart w:id="361" w:name="_Toc184312097"/>
      <w:bookmarkEnd w:id="361"/>
      <w:bookmarkStart w:id="362" w:name="_Toc184308094"/>
      <w:bookmarkEnd w:id="362"/>
      <w:bookmarkStart w:id="363" w:name="_Toc184312102"/>
      <w:bookmarkEnd w:id="363"/>
      <w:bookmarkStart w:id="364" w:name="_Toc184308092"/>
      <w:bookmarkEnd w:id="364"/>
      <w:bookmarkStart w:id="365" w:name="_Toc184310319"/>
      <w:bookmarkEnd w:id="365"/>
      <w:bookmarkStart w:id="366" w:name="_Toc184314455"/>
      <w:bookmarkEnd w:id="366"/>
      <w:bookmarkStart w:id="367" w:name="_Toc184314478"/>
      <w:bookmarkEnd w:id="367"/>
      <w:bookmarkStart w:id="368" w:name="_Toc184314462"/>
      <w:bookmarkEnd w:id="368"/>
      <w:bookmarkStart w:id="369" w:name="_Toc184308047"/>
      <w:bookmarkEnd w:id="369"/>
      <w:bookmarkStart w:id="370" w:name="_Toc184312067"/>
      <w:bookmarkEnd w:id="370"/>
      <w:bookmarkStart w:id="371" w:name="_Toc184314413"/>
      <w:bookmarkEnd w:id="371"/>
      <w:bookmarkStart w:id="372" w:name="_Toc184312107"/>
      <w:bookmarkEnd w:id="372"/>
      <w:bookmarkStart w:id="373" w:name="_Toc184314419"/>
      <w:bookmarkEnd w:id="373"/>
      <w:bookmarkStart w:id="374" w:name="_Toc184312129"/>
      <w:bookmarkEnd w:id="374"/>
      <w:bookmarkStart w:id="375" w:name="_Toc184310300"/>
      <w:bookmarkEnd w:id="375"/>
      <w:bookmarkStart w:id="376" w:name="_Toc184310330"/>
      <w:bookmarkEnd w:id="376"/>
      <w:bookmarkStart w:id="377" w:name="_Toc184314444"/>
      <w:bookmarkEnd w:id="377"/>
      <w:bookmarkStart w:id="378" w:name="_Toc184308097"/>
      <w:bookmarkEnd w:id="378"/>
      <w:bookmarkStart w:id="379" w:name="_Toc184310295"/>
      <w:bookmarkEnd w:id="379"/>
      <w:bookmarkStart w:id="380" w:name="_Toc184308091"/>
      <w:bookmarkEnd w:id="380"/>
      <w:bookmarkStart w:id="381" w:name="_Toc184308043"/>
      <w:bookmarkEnd w:id="381"/>
      <w:bookmarkStart w:id="382" w:name="_Toc184313309"/>
      <w:bookmarkEnd w:id="382"/>
      <w:bookmarkStart w:id="383" w:name="_Toc184314454"/>
      <w:bookmarkEnd w:id="383"/>
      <w:bookmarkStart w:id="384" w:name="_Toc184312071"/>
      <w:bookmarkEnd w:id="384"/>
      <w:bookmarkStart w:id="385" w:name="_Toc184313252"/>
      <w:bookmarkEnd w:id="385"/>
      <w:bookmarkStart w:id="386" w:name="_Toc184310306"/>
      <w:bookmarkEnd w:id="386"/>
      <w:bookmarkStart w:id="387" w:name="_Toc184313280"/>
      <w:bookmarkEnd w:id="387"/>
      <w:bookmarkStart w:id="388" w:name="_Toc184312075"/>
      <w:bookmarkEnd w:id="388"/>
      <w:bookmarkStart w:id="389" w:name="_Toc184310335"/>
      <w:bookmarkEnd w:id="389"/>
      <w:bookmarkStart w:id="390" w:name="_Toc184313262"/>
      <w:bookmarkEnd w:id="390"/>
      <w:bookmarkStart w:id="391" w:name="_Toc184313302"/>
      <w:bookmarkEnd w:id="391"/>
      <w:bookmarkStart w:id="392" w:name="_Toc184312132"/>
      <w:bookmarkEnd w:id="392"/>
      <w:bookmarkStart w:id="393" w:name="_Toc184314469"/>
      <w:bookmarkEnd w:id="393"/>
      <w:bookmarkStart w:id="394" w:name="_Toc184314431"/>
      <w:bookmarkEnd w:id="394"/>
      <w:bookmarkStart w:id="395" w:name="_Toc184313267"/>
      <w:bookmarkEnd w:id="395"/>
      <w:bookmarkStart w:id="396" w:name="_Toc184308045"/>
      <w:bookmarkEnd w:id="396"/>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p>
      <w:pPr>
        <w:rPr>
          <w:rFonts w:hint="eastAsia" w:ascii="仿宋" w:hAnsi="仿宋" w:eastAsia="仿宋" w:cs="仿宋"/>
          <w:b/>
          <w:bCs/>
          <w:sz w:val="28"/>
          <w:szCs w:val="36"/>
          <w:lang w:eastAsia="zh-CN"/>
        </w:rPr>
      </w:pPr>
      <w:r>
        <w:rPr>
          <w:rFonts w:hint="eastAsia" w:ascii="仿宋" w:hAnsi="仿宋" w:eastAsia="仿宋" w:cs="仿宋"/>
          <w:b/>
          <w:bCs/>
          <w:sz w:val="28"/>
          <w:szCs w:val="36"/>
          <w:lang w:eastAsia="zh-CN"/>
        </w:rPr>
        <w:t>评分细则（</w:t>
      </w:r>
      <w:r>
        <w:rPr>
          <w:rFonts w:hint="eastAsia" w:ascii="仿宋" w:hAnsi="仿宋" w:eastAsia="仿宋" w:cs="仿宋"/>
          <w:b/>
          <w:bCs/>
          <w:sz w:val="28"/>
          <w:szCs w:val="36"/>
          <w:lang w:val="en-US" w:eastAsia="zh-CN"/>
        </w:rPr>
        <w:t>90分</w:t>
      </w:r>
      <w:r>
        <w:rPr>
          <w:rFonts w:hint="eastAsia" w:ascii="仿宋" w:hAnsi="仿宋" w:eastAsia="仿宋" w:cs="仿宋"/>
          <w:b/>
          <w:bCs/>
          <w:sz w:val="28"/>
          <w:szCs w:val="36"/>
          <w:lang w:eastAsia="zh-CN"/>
        </w:rPr>
        <w:t>）</w:t>
      </w:r>
    </w:p>
    <w:p>
      <w:pPr>
        <w:rPr>
          <w:rFonts w:ascii="仿宋" w:hAnsi="仿宋" w:eastAsia="仿宋" w:cs="仿宋"/>
          <w:color w:val="auto"/>
          <w:sz w:val="24"/>
        </w:rPr>
      </w:pPr>
      <w:r>
        <w:rPr>
          <w:rFonts w:hint="eastAsia" w:ascii="仿宋" w:hAnsi="仿宋" w:eastAsia="仿宋" w:cs="仿宋"/>
          <w:color w:val="auto"/>
          <w:sz w:val="24"/>
        </w:rPr>
        <w:t>商务资信（</w:t>
      </w:r>
      <w:r>
        <w:rPr>
          <w:rFonts w:hint="eastAsia" w:eastAsia="仿宋" w:cs="仿宋"/>
          <w:color w:val="auto"/>
          <w:sz w:val="24"/>
          <w:lang w:val="en-US" w:eastAsia="zh-CN"/>
        </w:rPr>
        <w:t>11</w:t>
      </w:r>
      <w:r>
        <w:rPr>
          <w:rFonts w:hint="eastAsia" w:ascii="仿宋" w:hAnsi="仿宋" w:eastAsia="仿宋" w:cs="仿宋"/>
          <w:color w:val="auto"/>
          <w:sz w:val="24"/>
        </w:rPr>
        <w:t>分）</w:t>
      </w:r>
    </w:p>
    <w:tbl>
      <w:tblPr>
        <w:tblStyle w:val="62"/>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
        <w:gridCol w:w="594"/>
        <w:gridCol w:w="5787"/>
        <w:gridCol w:w="1021"/>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72" w:type="dxa"/>
            <w:vAlign w:val="center"/>
          </w:tcPr>
          <w:p>
            <w:pPr>
              <w:widowControl/>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序号</w:t>
            </w:r>
          </w:p>
        </w:tc>
        <w:tc>
          <w:tcPr>
            <w:tcW w:w="6381" w:type="dxa"/>
            <w:gridSpan w:val="2"/>
            <w:vAlign w:val="center"/>
          </w:tcPr>
          <w:p>
            <w:pPr>
              <w:widowControl/>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评分内容和标准</w:t>
            </w:r>
          </w:p>
        </w:tc>
        <w:tc>
          <w:tcPr>
            <w:tcW w:w="1021" w:type="dxa"/>
            <w:vAlign w:val="center"/>
          </w:tcPr>
          <w:p>
            <w:pPr>
              <w:widowControl/>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权重</w:t>
            </w:r>
          </w:p>
        </w:tc>
        <w:tc>
          <w:tcPr>
            <w:tcW w:w="963" w:type="dxa"/>
            <w:vAlign w:val="center"/>
          </w:tcPr>
          <w:p>
            <w:pPr>
              <w:widowControl/>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872" w:type="dxa"/>
            <w:vMerge w:val="restart"/>
            <w:vAlign w:val="center"/>
          </w:tcPr>
          <w:p>
            <w:pPr>
              <w:pStyle w:val="25"/>
              <w:snapToGrid w:val="0"/>
              <w:spacing w:line="360" w:lineRule="auto"/>
              <w:ind w:firstLine="0" w:firstLineChars="0"/>
              <w:jc w:val="center"/>
              <w:rPr>
                <w:rFonts w:ascii="仿宋" w:hAnsi="仿宋" w:eastAsia="仿宋" w:cs="仿宋"/>
                <w:color w:val="auto"/>
                <w:spacing w:val="-10"/>
                <w:kern w:val="0"/>
              </w:rPr>
            </w:pPr>
            <w:r>
              <w:rPr>
                <w:rFonts w:hint="eastAsia" w:ascii="仿宋" w:hAnsi="仿宋" w:eastAsia="仿宋" w:cs="仿宋"/>
                <w:color w:val="auto"/>
                <w:spacing w:val="-10"/>
              </w:rPr>
              <w:t>商务资信分（</w:t>
            </w:r>
            <w:r>
              <w:rPr>
                <w:rFonts w:hint="eastAsia" w:ascii="仿宋" w:hAnsi="仿宋" w:eastAsia="仿宋" w:cs="仿宋"/>
                <w:color w:val="auto"/>
                <w:spacing w:val="-10"/>
                <w:lang w:val="en-US" w:eastAsia="zh-CN"/>
              </w:rPr>
              <w:t>11</w:t>
            </w:r>
            <w:r>
              <w:rPr>
                <w:rFonts w:hint="eastAsia" w:ascii="仿宋" w:hAnsi="仿宋" w:eastAsia="仿宋" w:cs="仿宋"/>
                <w:color w:val="auto"/>
                <w:spacing w:val="-10"/>
              </w:rPr>
              <w:t>分）</w:t>
            </w:r>
          </w:p>
        </w:tc>
        <w:tc>
          <w:tcPr>
            <w:tcW w:w="594" w:type="dxa"/>
            <w:vAlign w:val="center"/>
          </w:tcPr>
          <w:p>
            <w:pPr>
              <w:widowControl/>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5787" w:type="dxa"/>
            <w:vAlign w:val="center"/>
          </w:tcPr>
          <w:p>
            <w:pPr>
              <w:pStyle w:val="25"/>
              <w:snapToGrid w:val="0"/>
              <w:spacing w:line="360" w:lineRule="auto"/>
              <w:ind w:firstLine="0" w:firstLineChars="0"/>
              <w:rPr>
                <w:rFonts w:hint="eastAsia" w:ascii="仿宋" w:hAnsi="仿宋" w:eastAsia="仿宋" w:cs="仿宋"/>
                <w:color w:val="auto"/>
              </w:rPr>
            </w:pPr>
            <w:r>
              <w:rPr>
                <w:rFonts w:hint="eastAsia" w:ascii="仿宋" w:hAnsi="仿宋" w:eastAsia="仿宋" w:cs="仿宋"/>
                <w:color w:val="auto"/>
              </w:rPr>
              <w:t>投标人自</w:t>
            </w:r>
            <w:r>
              <w:rPr>
                <w:rFonts w:ascii="仿宋" w:hAnsi="仿宋" w:eastAsia="仿宋" w:cs="仿宋"/>
                <w:color w:val="auto"/>
              </w:rPr>
              <w:t>2020</w:t>
            </w:r>
            <w:r>
              <w:rPr>
                <w:rFonts w:hint="eastAsia" w:ascii="仿宋" w:hAnsi="仿宋" w:eastAsia="仿宋" w:cs="仿宋"/>
                <w:color w:val="auto"/>
              </w:rPr>
              <w:t>年</w:t>
            </w:r>
            <w:r>
              <w:rPr>
                <w:rFonts w:ascii="仿宋" w:hAnsi="仿宋" w:eastAsia="仿宋" w:cs="仿宋"/>
                <w:color w:val="auto"/>
              </w:rPr>
              <w:t>1</w:t>
            </w:r>
            <w:r>
              <w:rPr>
                <w:rFonts w:hint="eastAsia" w:ascii="仿宋" w:hAnsi="仿宋" w:eastAsia="仿宋" w:cs="仿宋"/>
                <w:color w:val="auto"/>
              </w:rPr>
              <w:t>月</w:t>
            </w:r>
            <w:r>
              <w:rPr>
                <w:rFonts w:ascii="仿宋" w:hAnsi="仿宋" w:eastAsia="仿宋" w:cs="仿宋"/>
                <w:color w:val="auto"/>
              </w:rPr>
              <w:t>1</w:t>
            </w:r>
            <w:r>
              <w:rPr>
                <w:rFonts w:hint="eastAsia" w:ascii="仿宋" w:hAnsi="仿宋" w:eastAsia="仿宋" w:cs="仿宋"/>
                <w:color w:val="auto"/>
              </w:rPr>
              <w:t>日起完成同类项目业绩经验每个案例</w:t>
            </w:r>
            <w:r>
              <w:rPr>
                <w:rFonts w:hint="eastAsia" w:ascii="仿宋" w:hAnsi="仿宋" w:eastAsia="仿宋" w:cs="仿宋"/>
                <w:color w:val="auto"/>
                <w:lang w:val="en-US" w:eastAsia="zh-CN"/>
              </w:rPr>
              <w:t>得</w:t>
            </w:r>
            <w:r>
              <w:rPr>
                <w:rFonts w:ascii="仿宋" w:hAnsi="仿宋" w:eastAsia="仿宋" w:cs="仿宋"/>
                <w:color w:val="auto"/>
              </w:rPr>
              <w:t>0.5</w:t>
            </w:r>
            <w:r>
              <w:rPr>
                <w:rFonts w:hint="eastAsia" w:ascii="仿宋" w:hAnsi="仿宋" w:eastAsia="仿宋" w:cs="仿宋"/>
                <w:color w:val="auto"/>
              </w:rPr>
              <w:t>分，最高</w:t>
            </w:r>
            <w:r>
              <w:rPr>
                <w:rFonts w:hint="eastAsia" w:ascii="仿宋" w:hAnsi="仿宋" w:eastAsia="仿宋" w:cs="仿宋"/>
                <w:color w:val="auto"/>
                <w:lang w:val="en-US" w:eastAsia="zh-CN"/>
              </w:rPr>
              <w:t>1</w:t>
            </w:r>
            <w:r>
              <w:rPr>
                <w:rFonts w:hint="eastAsia" w:ascii="仿宋" w:hAnsi="仿宋" w:eastAsia="仿宋" w:cs="仿宋"/>
                <w:color w:val="auto"/>
              </w:rPr>
              <w:t>分。</w:t>
            </w:r>
          </w:p>
          <w:p>
            <w:pPr>
              <w:pStyle w:val="25"/>
              <w:snapToGrid w:val="0"/>
              <w:spacing w:line="360" w:lineRule="auto"/>
              <w:ind w:firstLine="0" w:firstLineChars="0"/>
              <w:rPr>
                <w:rFonts w:ascii="仿宋" w:hAnsi="仿宋" w:eastAsia="仿宋" w:cs="仿宋"/>
                <w:color w:val="auto"/>
              </w:rPr>
            </w:pPr>
            <w:r>
              <w:rPr>
                <w:rFonts w:hint="eastAsia" w:ascii="仿宋" w:hAnsi="仿宋" w:eastAsia="仿宋" w:cs="仿宋"/>
                <w:color w:val="auto"/>
              </w:rPr>
              <w:t>响应文件中提供合同复印件及相关证明资料（必须注明证明单位的联系人及联系方式）并加盖公章</w:t>
            </w:r>
          </w:p>
        </w:tc>
        <w:tc>
          <w:tcPr>
            <w:tcW w:w="1021" w:type="dxa"/>
            <w:vAlign w:val="center"/>
          </w:tcPr>
          <w:p>
            <w:pPr>
              <w:widowControl/>
              <w:spacing w:line="360" w:lineRule="auto"/>
              <w:jc w:val="center"/>
              <w:rPr>
                <w:rFonts w:ascii="仿宋" w:hAnsi="仿宋" w:eastAsia="仿宋" w:cs="仿宋"/>
                <w:color w:val="auto"/>
                <w:kern w:val="0"/>
                <w:sz w:val="24"/>
              </w:rPr>
            </w:pPr>
            <w:r>
              <w:rPr>
                <w:rFonts w:cs="仿宋"/>
                <w:color w:val="auto"/>
                <w:kern w:val="0"/>
                <w:sz w:val="24"/>
              </w:rPr>
              <w:t>0-</w:t>
            </w:r>
            <w:r>
              <w:rPr>
                <w:rFonts w:hint="eastAsia" w:cs="仿宋"/>
                <w:color w:val="auto"/>
                <w:kern w:val="0"/>
                <w:sz w:val="24"/>
                <w:lang w:val="en-US" w:eastAsia="zh-CN"/>
              </w:rPr>
              <w:t>1</w:t>
            </w:r>
            <w:r>
              <w:rPr>
                <w:rFonts w:hint="eastAsia" w:cs="仿宋"/>
                <w:color w:val="auto"/>
                <w:kern w:val="0"/>
                <w:sz w:val="24"/>
              </w:rPr>
              <w:t>分</w:t>
            </w:r>
          </w:p>
        </w:tc>
        <w:tc>
          <w:tcPr>
            <w:tcW w:w="963" w:type="dxa"/>
            <w:vAlign w:val="center"/>
          </w:tcPr>
          <w:p>
            <w:pPr>
              <w:widowControl/>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872" w:type="dxa"/>
            <w:vMerge w:val="continue"/>
            <w:vAlign w:val="center"/>
          </w:tcPr>
          <w:p>
            <w:pPr>
              <w:widowControl/>
              <w:spacing w:line="360" w:lineRule="auto"/>
              <w:jc w:val="left"/>
              <w:rPr>
                <w:rFonts w:ascii="仿宋" w:hAnsi="仿宋" w:eastAsia="仿宋" w:cs="仿宋"/>
                <w:color w:val="auto"/>
                <w:kern w:val="0"/>
                <w:sz w:val="24"/>
              </w:rPr>
            </w:pPr>
          </w:p>
        </w:tc>
        <w:tc>
          <w:tcPr>
            <w:tcW w:w="594" w:type="dxa"/>
            <w:vAlign w:val="center"/>
          </w:tcPr>
          <w:p>
            <w:pPr>
              <w:widowControl/>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5787" w:type="dxa"/>
            <w:vAlign w:val="center"/>
          </w:tcPr>
          <w:p>
            <w:pPr>
              <w:pStyle w:val="25"/>
              <w:snapToGrid w:val="0"/>
              <w:spacing w:line="360" w:lineRule="auto"/>
              <w:ind w:firstLine="0" w:firstLineChars="0"/>
              <w:rPr>
                <w:rFonts w:ascii="仿宋" w:hAnsi="仿宋" w:eastAsia="仿宋" w:cs="仿宋"/>
                <w:color w:val="auto"/>
              </w:rPr>
            </w:pPr>
            <w:r>
              <w:rPr>
                <w:rFonts w:hint="eastAsia" w:ascii="仿宋" w:hAnsi="仿宋" w:eastAsia="仿宋" w:cs="仿宋"/>
                <w:color w:val="auto"/>
              </w:rPr>
              <w:t>投标单位具有劳务派遣经营许可证、具有保安服务许可证，满足一项得</w:t>
            </w:r>
            <w:r>
              <w:rPr>
                <w:rFonts w:ascii="仿宋" w:hAnsi="仿宋" w:eastAsia="仿宋" w:cs="仿宋"/>
                <w:color w:val="auto"/>
              </w:rPr>
              <w:t>2分，最高得4分</w:t>
            </w:r>
            <w:r>
              <w:rPr>
                <w:rFonts w:hint="eastAsia" w:ascii="仿宋" w:hAnsi="仿宋" w:eastAsia="仿宋" w:cs="仿宋"/>
                <w:color w:val="auto"/>
              </w:rPr>
              <w:t>；具有保安服务企业信用评价（公安部门核准）</w:t>
            </w:r>
            <w:r>
              <w:rPr>
                <w:rFonts w:ascii="仿宋" w:hAnsi="仿宋" w:eastAsia="仿宋" w:cs="仿宋"/>
                <w:color w:val="auto"/>
              </w:rPr>
              <w:t>B级及以上的得3分，C级的得1</w:t>
            </w:r>
            <w:r>
              <w:rPr>
                <w:rFonts w:hint="eastAsia" w:ascii="仿宋" w:hAnsi="仿宋" w:eastAsia="仿宋" w:cs="仿宋"/>
                <w:color w:val="auto"/>
              </w:rPr>
              <w:t>分，其他不得分。提供</w:t>
            </w:r>
            <w:bookmarkStart w:id="559" w:name="_GoBack"/>
            <w:bookmarkEnd w:id="559"/>
            <w:r>
              <w:rPr>
                <w:rFonts w:hint="eastAsia" w:ascii="仿宋" w:hAnsi="仿宋" w:eastAsia="仿宋" w:cs="仿宋"/>
                <w:color w:val="auto"/>
              </w:rPr>
              <w:t>有效许可证、证明材料，不提供不得分。</w:t>
            </w:r>
          </w:p>
        </w:tc>
        <w:tc>
          <w:tcPr>
            <w:tcW w:w="1021" w:type="dxa"/>
            <w:vAlign w:val="center"/>
          </w:tcPr>
          <w:p>
            <w:pPr>
              <w:widowControl/>
              <w:spacing w:line="360" w:lineRule="auto"/>
              <w:jc w:val="center"/>
              <w:rPr>
                <w:rFonts w:ascii="仿宋" w:hAnsi="仿宋" w:eastAsia="仿宋" w:cs="仿宋"/>
                <w:color w:val="auto"/>
                <w:kern w:val="0"/>
                <w:sz w:val="24"/>
              </w:rPr>
            </w:pPr>
            <w:r>
              <w:rPr>
                <w:rFonts w:ascii="仿宋" w:hAnsi="仿宋" w:eastAsia="仿宋" w:cs="仿宋_GB2312"/>
                <w:color w:val="auto"/>
                <w:sz w:val="24"/>
              </w:rPr>
              <w:t>0-</w:t>
            </w:r>
            <w:r>
              <w:rPr>
                <w:rFonts w:hint="eastAsia" w:ascii="仿宋" w:hAnsi="仿宋" w:eastAsia="仿宋" w:cs="仿宋_GB2312"/>
                <w:color w:val="auto"/>
                <w:sz w:val="24"/>
              </w:rPr>
              <w:t>7分</w:t>
            </w:r>
          </w:p>
        </w:tc>
        <w:tc>
          <w:tcPr>
            <w:tcW w:w="963" w:type="dxa"/>
            <w:vAlign w:val="center"/>
          </w:tcPr>
          <w:p>
            <w:pPr>
              <w:widowControl/>
              <w:spacing w:line="360" w:lineRule="auto"/>
              <w:jc w:val="center"/>
              <w:rPr>
                <w:rFonts w:ascii="仿宋" w:hAnsi="仿宋" w:eastAsia="仿宋" w:cs="仿宋"/>
                <w:color w:val="auto"/>
                <w:kern w:val="0"/>
                <w:sz w:val="24"/>
              </w:rPr>
            </w:pPr>
            <w:r>
              <w:rPr>
                <w:rFonts w:hint="eastAsia" w:ascii="仿宋" w:hAnsi="仿宋" w:eastAsia="仿宋" w:cs="仿宋_GB2312"/>
                <w:color w:val="auto"/>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jc w:val="center"/>
        </w:trPr>
        <w:tc>
          <w:tcPr>
            <w:tcW w:w="872" w:type="dxa"/>
            <w:vMerge w:val="continue"/>
            <w:vAlign w:val="center"/>
          </w:tcPr>
          <w:p>
            <w:pPr>
              <w:widowControl/>
              <w:spacing w:line="360" w:lineRule="auto"/>
              <w:jc w:val="left"/>
              <w:rPr>
                <w:rFonts w:ascii="仿宋" w:hAnsi="仿宋" w:eastAsia="仿宋" w:cs="仿宋"/>
                <w:color w:val="auto"/>
                <w:kern w:val="0"/>
                <w:sz w:val="24"/>
              </w:rPr>
            </w:pPr>
          </w:p>
        </w:tc>
        <w:tc>
          <w:tcPr>
            <w:tcW w:w="594" w:type="dxa"/>
            <w:vAlign w:val="center"/>
          </w:tcPr>
          <w:p>
            <w:pPr>
              <w:widowControl/>
              <w:spacing w:line="360" w:lineRule="auto"/>
              <w:jc w:val="center"/>
              <w:rPr>
                <w:rFonts w:ascii="仿宋" w:hAnsi="仿宋" w:eastAsia="仿宋" w:cs="仿宋"/>
                <w:color w:val="auto"/>
                <w:kern w:val="0"/>
                <w:sz w:val="24"/>
              </w:rPr>
            </w:pPr>
            <w:r>
              <w:rPr>
                <w:rFonts w:hint="eastAsia" w:cs="仿宋"/>
                <w:color w:val="auto"/>
                <w:kern w:val="0"/>
                <w:sz w:val="24"/>
              </w:rPr>
              <w:t>3</w:t>
            </w:r>
          </w:p>
        </w:tc>
        <w:tc>
          <w:tcPr>
            <w:tcW w:w="5787" w:type="dxa"/>
            <w:vAlign w:val="center"/>
          </w:tcPr>
          <w:p>
            <w:pPr>
              <w:pStyle w:val="25"/>
              <w:snapToGrid w:val="0"/>
              <w:spacing w:line="360" w:lineRule="auto"/>
              <w:ind w:firstLine="0" w:firstLineChars="0"/>
              <w:rPr>
                <w:rFonts w:hint="eastAsia" w:ascii="仿宋" w:hAnsi="仿宋" w:eastAsia="仿宋" w:cs="仿宋"/>
                <w:color w:val="auto"/>
                <w:sz w:val="24"/>
              </w:rPr>
            </w:pPr>
            <w:r>
              <w:rPr>
                <w:rFonts w:hint="eastAsia" w:ascii="仿宋" w:hAnsi="仿宋" w:eastAsia="仿宋" w:cs="仿宋"/>
                <w:color w:val="auto"/>
                <w:sz w:val="24"/>
              </w:rPr>
              <w:t>投标人具有质量管理体系认证证书、职业健康安全管理体系认证证书、环境管理体系认证证书，任意一项得</w:t>
            </w:r>
            <w:r>
              <w:rPr>
                <w:rFonts w:ascii="仿宋" w:hAnsi="仿宋" w:eastAsia="仿宋" w:cs="仿宋"/>
                <w:color w:val="auto"/>
                <w:sz w:val="24"/>
              </w:rPr>
              <w:t>1</w:t>
            </w:r>
            <w:r>
              <w:rPr>
                <w:rFonts w:hint="eastAsia" w:ascii="仿宋" w:hAnsi="仿宋" w:eastAsia="仿宋" w:cs="仿宋"/>
                <w:color w:val="auto"/>
                <w:sz w:val="24"/>
              </w:rPr>
              <w:t>分，最高得</w:t>
            </w:r>
            <w:r>
              <w:rPr>
                <w:rFonts w:ascii="仿宋" w:hAnsi="仿宋" w:eastAsia="仿宋" w:cs="仿宋"/>
                <w:color w:val="auto"/>
                <w:sz w:val="24"/>
              </w:rPr>
              <w:t>3</w:t>
            </w:r>
            <w:r>
              <w:rPr>
                <w:rFonts w:hint="eastAsia" w:ascii="仿宋" w:hAnsi="仿宋" w:eastAsia="仿宋" w:cs="仿宋"/>
                <w:color w:val="auto"/>
                <w:sz w:val="24"/>
              </w:rPr>
              <w:t>分，没有的不得分。</w:t>
            </w:r>
          </w:p>
          <w:p>
            <w:pPr>
              <w:pStyle w:val="25"/>
              <w:snapToGrid w:val="0"/>
              <w:spacing w:line="360" w:lineRule="auto"/>
              <w:ind w:firstLine="0" w:firstLineChars="0"/>
              <w:rPr>
                <w:rFonts w:ascii="仿宋" w:hAnsi="仿宋" w:eastAsia="仿宋" w:cs="仿宋"/>
                <w:color w:val="auto"/>
              </w:rPr>
            </w:pPr>
            <w:r>
              <w:rPr>
                <w:rFonts w:hint="eastAsia" w:ascii="仿宋" w:hAnsi="仿宋" w:eastAsia="仿宋" w:cs="仿宋"/>
                <w:color w:val="auto"/>
                <w:sz w:val="24"/>
              </w:rPr>
              <w:t>（提供证书复印件及全国认证认可信息公共服务平台截图证明，证书须在有效期内）</w:t>
            </w:r>
          </w:p>
        </w:tc>
        <w:tc>
          <w:tcPr>
            <w:tcW w:w="1021" w:type="dxa"/>
            <w:vAlign w:val="center"/>
          </w:tcPr>
          <w:p>
            <w:pPr>
              <w:widowControl/>
              <w:spacing w:line="360" w:lineRule="auto"/>
              <w:jc w:val="center"/>
              <w:rPr>
                <w:rFonts w:ascii="仿宋" w:hAnsi="仿宋" w:eastAsia="仿宋" w:cs="仿宋_GB2312"/>
                <w:color w:val="auto"/>
                <w:sz w:val="24"/>
              </w:rPr>
            </w:pPr>
            <w:r>
              <w:rPr>
                <w:rFonts w:cs="仿宋_GB2312"/>
                <w:color w:val="auto"/>
                <w:sz w:val="24"/>
              </w:rPr>
              <w:t>0-</w:t>
            </w:r>
            <w:r>
              <w:rPr>
                <w:rFonts w:hint="eastAsia" w:cs="仿宋_GB2312"/>
                <w:color w:val="auto"/>
                <w:sz w:val="24"/>
              </w:rPr>
              <w:t>3分</w:t>
            </w:r>
          </w:p>
        </w:tc>
        <w:tc>
          <w:tcPr>
            <w:tcW w:w="963" w:type="dxa"/>
            <w:vAlign w:val="center"/>
          </w:tcPr>
          <w:p>
            <w:pPr>
              <w:widowControl/>
              <w:spacing w:line="360" w:lineRule="auto"/>
              <w:jc w:val="center"/>
              <w:rPr>
                <w:rFonts w:ascii="仿宋" w:hAnsi="仿宋" w:eastAsia="仿宋" w:cs="仿宋_GB2312"/>
                <w:color w:val="auto"/>
                <w:sz w:val="24"/>
              </w:rPr>
            </w:pPr>
            <w:r>
              <w:rPr>
                <w:rFonts w:hint="eastAsia" w:ascii="仿宋" w:hAnsi="仿宋" w:eastAsia="仿宋" w:cs="仿宋_GB2312"/>
                <w:color w:val="auto"/>
                <w:sz w:val="24"/>
              </w:rPr>
              <w:t>客观分</w:t>
            </w:r>
          </w:p>
        </w:tc>
      </w:tr>
    </w:tbl>
    <w:p>
      <w:pPr>
        <w:widowControl/>
        <w:jc w:val="left"/>
        <w:rPr>
          <w:rFonts w:ascii="仿宋" w:hAnsi="仿宋" w:eastAsia="仿宋" w:cs="仿宋"/>
          <w:color w:val="auto"/>
          <w:sz w:val="24"/>
        </w:rPr>
      </w:pPr>
    </w:p>
    <w:p>
      <w:pPr>
        <w:widowControl/>
        <w:jc w:val="left"/>
        <w:rPr>
          <w:rFonts w:hint="eastAsia" w:ascii="仿宋" w:hAnsi="仿宋" w:eastAsia="仿宋" w:cs="仿宋"/>
          <w:color w:val="auto"/>
          <w:sz w:val="24"/>
        </w:rPr>
      </w:pPr>
    </w:p>
    <w:p>
      <w:pPr>
        <w:widowControl/>
        <w:jc w:val="left"/>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rPr>
      </w:pPr>
    </w:p>
    <w:p>
      <w:pPr>
        <w:widowControl/>
        <w:jc w:val="left"/>
        <w:rPr>
          <w:rFonts w:ascii="仿宋" w:hAnsi="仿宋" w:eastAsia="仿宋" w:cs="仿宋"/>
          <w:color w:val="auto"/>
          <w:sz w:val="24"/>
        </w:rPr>
      </w:pPr>
      <w:r>
        <w:rPr>
          <w:rFonts w:hint="eastAsia" w:ascii="仿宋" w:hAnsi="仿宋" w:eastAsia="仿宋" w:cs="仿宋"/>
          <w:color w:val="auto"/>
          <w:sz w:val="24"/>
        </w:rPr>
        <w:t>2、技术部分</w:t>
      </w:r>
      <w:r>
        <w:rPr>
          <w:rFonts w:hint="eastAsia" w:cs="仿宋"/>
          <w:color w:val="auto"/>
          <w:sz w:val="24"/>
        </w:rPr>
        <w:t>（</w:t>
      </w:r>
      <w:r>
        <w:rPr>
          <w:rFonts w:hint="eastAsia" w:cs="仿宋"/>
          <w:color w:val="auto"/>
          <w:sz w:val="24"/>
          <w:lang w:val="en-US" w:eastAsia="zh-CN"/>
        </w:rPr>
        <w:t>79</w:t>
      </w:r>
      <w:r>
        <w:rPr>
          <w:rFonts w:hint="eastAsia" w:ascii="仿宋" w:hAnsi="仿宋" w:eastAsia="仿宋" w:cs="仿宋"/>
          <w:color w:val="auto"/>
          <w:sz w:val="24"/>
        </w:rPr>
        <w:t>分</w:t>
      </w:r>
      <w:r>
        <w:rPr>
          <w:rFonts w:hint="eastAsia" w:cs="仿宋"/>
          <w:color w:val="auto"/>
          <w:sz w:val="24"/>
        </w:rPr>
        <w:t>)</w:t>
      </w:r>
    </w:p>
    <w:tbl>
      <w:tblPr>
        <w:tblStyle w:val="62"/>
        <w:tblpPr w:leftFromText="180" w:rightFromText="180" w:vertAnchor="text" w:horzAnchor="page" w:tblpX="1328" w:tblpY="325"/>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82"/>
        <w:gridCol w:w="2153"/>
        <w:gridCol w:w="3097"/>
        <w:gridCol w:w="105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900"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序号</w:t>
            </w:r>
          </w:p>
        </w:tc>
        <w:tc>
          <w:tcPr>
            <w:tcW w:w="6032" w:type="dxa"/>
            <w:gridSpan w:val="3"/>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评分内容和标准具体描述</w:t>
            </w:r>
          </w:p>
        </w:tc>
        <w:tc>
          <w:tcPr>
            <w:tcW w:w="1050"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权重</w:t>
            </w:r>
          </w:p>
        </w:tc>
        <w:tc>
          <w:tcPr>
            <w:tcW w:w="1305"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900" w:type="dxa"/>
            <w:vMerge w:val="restart"/>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技</w:t>
            </w:r>
          </w:p>
          <w:p>
            <w:pPr>
              <w:widowControl/>
              <w:jc w:val="left"/>
              <w:rPr>
                <w:rFonts w:ascii="仿宋" w:hAnsi="仿宋" w:eastAsia="仿宋" w:cs="仿宋"/>
                <w:color w:val="auto"/>
                <w:sz w:val="24"/>
              </w:rPr>
            </w:pPr>
            <w:r>
              <w:rPr>
                <w:rFonts w:hint="eastAsia" w:ascii="仿宋" w:hAnsi="仿宋" w:eastAsia="仿宋" w:cs="仿宋"/>
                <w:color w:val="auto"/>
                <w:sz w:val="24"/>
              </w:rPr>
              <w:t>术</w:t>
            </w:r>
          </w:p>
          <w:p>
            <w:pPr>
              <w:widowControl/>
              <w:jc w:val="left"/>
              <w:rPr>
                <w:rFonts w:ascii="仿宋" w:hAnsi="仿宋" w:eastAsia="仿宋" w:cs="仿宋"/>
                <w:color w:val="auto"/>
                <w:sz w:val="24"/>
              </w:rPr>
            </w:pPr>
            <w:r>
              <w:rPr>
                <w:rFonts w:hint="eastAsia" w:ascii="仿宋" w:hAnsi="仿宋" w:eastAsia="仿宋" w:cs="仿宋"/>
                <w:color w:val="auto"/>
                <w:sz w:val="24"/>
              </w:rPr>
              <w:t>和</w:t>
            </w:r>
          </w:p>
          <w:p>
            <w:pPr>
              <w:widowControl/>
              <w:jc w:val="left"/>
              <w:rPr>
                <w:rFonts w:ascii="仿宋" w:hAnsi="仿宋" w:eastAsia="仿宋" w:cs="仿宋"/>
                <w:color w:val="auto"/>
                <w:sz w:val="24"/>
              </w:rPr>
            </w:pPr>
            <w:r>
              <w:rPr>
                <w:rFonts w:hint="eastAsia" w:ascii="仿宋" w:hAnsi="仿宋" w:eastAsia="仿宋" w:cs="仿宋"/>
                <w:color w:val="auto"/>
                <w:sz w:val="24"/>
              </w:rPr>
              <w:t>服</w:t>
            </w:r>
          </w:p>
          <w:p>
            <w:pPr>
              <w:widowControl/>
              <w:jc w:val="left"/>
              <w:rPr>
                <w:rFonts w:ascii="仿宋" w:hAnsi="仿宋" w:eastAsia="仿宋" w:cs="仿宋"/>
                <w:color w:val="auto"/>
                <w:sz w:val="24"/>
              </w:rPr>
            </w:pPr>
            <w:r>
              <w:rPr>
                <w:rFonts w:hint="eastAsia" w:ascii="仿宋" w:hAnsi="仿宋" w:eastAsia="仿宋" w:cs="仿宋"/>
                <w:color w:val="auto"/>
                <w:sz w:val="24"/>
              </w:rPr>
              <w:t>务</w:t>
            </w:r>
          </w:p>
          <w:p>
            <w:pPr>
              <w:widowControl/>
              <w:jc w:val="left"/>
              <w:rPr>
                <w:rFonts w:ascii="仿宋" w:hAnsi="仿宋" w:eastAsia="仿宋" w:cs="仿宋"/>
                <w:color w:val="auto"/>
                <w:sz w:val="24"/>
              </w:rPr>
            </w:pPr>
            <w:r>
              <w:rPr>
                <w:rFonts w:hint="eastAsia" w:ascii="仿宋" w:hAnsi="仿宋" w:eastAsia="仿宋" w:cs="仿宋"/>
                <w:color w:val="auto"/>
                <w:sz w:val="24"/>
              </w:rPr>
              <w:t>方</w:t>
            </w:r>
          </w:p>
          <w:p>
            <w:pPr>
              <w:widowControl/>
              <w:jc w:val="left"/>
              <w:rPr>
                <w:rFonts w:ascii="仿宋" w:hAnsi="仿宋" w:eastAsia="仿宋" w:cs="仿宋"/>
                <w:color w:val="auto"/>
                <w:sz w:val="24"/>
              </w:rPr>
            </w:pPr>
            <w:r>
              <w:rPr>
                <w:rFonts w:hint="eastAsia" w:ascii="仿宋" w:hAnsi="仿宋" w:eastAsia="仿宋" w:cs="仿宋"/>
                <w:color w:val="auto"/>
                <w:sz w:val="24"/>
              </w:rPr>
              <w:t>案</w:t>
            </w:r>
          </w:p>
        </w:tc>
        <w:tc>
          <w:tcPr>
            <w:tcW w:w="782"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1</w:t>
            </w:r>
          </w:p>
        </w:tc>
        <w:tc>
          <w:tcPr>
            <w:tcW w:w="2153"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投标方案的合理性、科学性、全面性（根据对投标项目的理解程度、总体设计、组织实施、独到优势等情况打分）</w:t>
            </w:r>
          </w:p>
        </w:tc>
        <w:tc>
          <w:tcPr>
            <w:tcW w:w="3097" w:type="dxa"/>
            <w:tcBorders>
              <w:tl2br w:val="nil"/>
              <w:tr2bl w:val="nil"/>
            </w:tcBorders>
            <w:shd w:val="clear" w:color="auto" w:fill="auto"/>
            <w:vAlign w:val="center"/>
          </w:tcPr>
          <w:p>
            <w:pPr>
              <w:widowControl/>
              <w:jc w:val="left"/>
              <w:rPr>
                <w:rFonts w:hint="eastAsia" w:ascii="仿宋" w:hAnsi="仿宋" w:eastAsia="仿宋" w:cs="仿宋"/>
                <w:color w:val="auto"/>
                <w:sz w:val="24"/>
              </w:rPr>
            </w:pPr>
            <w:r>
              <w:rPr>
                <w:rFonts w:hint="eastAsia" w:ascii="仿宋" w:hAnsi="仿宋" w:eastAsia="仿宋" w:cs="仿宋"/>
                <w:color w:val="auto"/>
                <w:sz w:val="24"/>
              </w:rPr>
              <w:t>根据本项目特点提出合理的管理服务理念，提出服务定位、目标，应答人的管理模式能够切合实际，应答方案充分考虑用户的日常用途和需求，对本次服务内容的目标有较深入的理解和渗透，是否服从业主对业务管理的要求打分。</w:t>
            </w:r>
          </w:p>
          <w:p>
            <w:pPr>
              <w:widowControl/>
              <w:jc w:val="left"/>
              <w:rPr>
                <w:rFonts w:ascii="仿宋" w:hAnsi="仿宋" w:eastAsia="仿宋" w:cs="仿宋"/>
                <w:color w:val="auto"/>
                <w:sz w:val="24"/>
              </w:rPr>
            </w:pPr>
            <w:r>
              <w:rPr>
                <w:rFonts w:hint="eastAsia" w:ascii="仿宋" w:hAnsi="仿宋" w:eastAsia="仿宋" w:cs="仿宋"/>
                <w:color w:val="auto"/>
                <w:sz w:val="24"/>
              </w:rPr>
              <w:t>内容完整齐全、表述准确、条理清晰，内容无前后矛盾，符合招标文件要求的得</w:t>
            </w:r>
            <w:r>
              <w:rPr>
                <w:rFonts w:hint="eastAsia" w:ascii="仿宋" w:hAnsi="仿宋" w:eastAsia="仿宋" w:cs="仿宋"/>
                <w:color w:val="auto"/>
                <w:sz w:val="24"/>
                <w:lang w:val="en-US" w:eastAsia="zh-CN"/>
              </w:rPr>
              <w:t>8</w:t>
            </w:r>
            <w:r>
              <w:rPr>
                <w:rFonts w:hint="eastAsia" w:ascii="仿宋" w:hAnsi="仿宋" w:eastAsia="仿宋" w:cs="仿宋"/>
                <w:color w:val="auto"/>
                <w:sz w:val="24"/>
              </w:rPr>
              <w:t>分；内容基本齐全、表述基本准确、条理基本清晰，内容基本无前后矛盾，基本符合招标文件要求的得</w:t>
            </w:r>
            <w:r>
              <w:rPr>
                <w:rFonts w:hint="eastAsia" w:ascii="仿宋" w:hAnsi="仿宋" w:eastAsia="仿宋" w:cs="仿宋"/>
                <w:color w:val="auto"/>
                <w:sz w:val="24"/>
                <w:lang w:val="en-US" w:eastAsia="zh-CN"/>
              </w:rPr>
              <w:t>5</w:t>
            </w:r>
            <w:r>
              <w:rPr>
                <w:rFonts w:hint="eastAsia" w:ascii="仿宋" w:hAnsi="仿宋" w:eastAsia="仿宋" w:cs="仿宋"/>
                <w:color w:val="auto"/>
                <w:sz w:val="24"/>
              </w:rPr>
              <w:t>分；内容欠缺、表述部分准确、条理部分清晰，内容前后矛盾，部分符合招标文件要求或欠缺的得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w:t>
            </w:r>
            <w:r>
              <w:rPr>
                <w:rFonts w:hint="eastAsia" w:ascii="仿宋" w:hAnsi="仿宋" w:eastAsia="仿宋" w:cs="仿宋"/>
                <w:color w:val="auto"/>
                <w:sz w:val="24"/>
                <w:lang w:eastAsia="zh-CN"/>
              </w:rPr>
              <w:t>。</w:t>
            </w:r>
          </w:p>
        </w:tc>
        <w:tc>
          <w:tcPr>
            <w:tcW w:w="1050"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w:t>
            </w:r>
            <w:r>
              <w:rPr>
                <w:rFonts w:hint="eastAsia" w:ascii="仿宋" w:hAnsi="仿宋" w:eastAsia="仿宋" w:cs="仿宋"/>
                <w:color w:val="auto"/>
                <w:sz w:val="24"/>
                <w:lang w:val="en-US" w:eastAsia="zh-CN"/>
              </w:rPr>
              <w:t>8</w:t>
            </w:r>
            <w:r>
              <w:rPr>
                <w:rFonts w:hint="eastAsia" w:ascii="仿宋" w:hAnsi="仿宋" w:eastAsia="仿宋" w:cs="仿宋"/>
                <w:color w:val="auto"/>
                <w:sz w:val="24"/>
              </w:rPr>
              <w:t>分</w:t>
            </w:r>
          </w:p>
        </w:tc>
        <w:tc>
          <w:tcPr>
            <w:tcW w:w="1305"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00" w:type="dxa"/>
            <w:vMerge w:val="continue"/>
            <w:tcBorders>
              <w:tl2br w:val="nil"/>
              <w:tr2bl w:val="nil"/>
            </w:tcBorders>
            <w:vAlign w:val="center"/>
          </w:tcPr>
          <w:p>
            <w:pPr>
              <w:widowControl/>
              <w:jc w:val="left"/>
              <w:rPr>
                <w:rFonts w:ascii="仿宋" w:hAnsi="仿宋" w:eastAsia="仿宋" w:cs="仿宋"/>
                <w:color w:val="auto"/>
                <w:sz w:val="24"/>
              </w:rPr>
            </w:pPr>
          </w:p>
        </w:tc>
        <w:tc>
          <w:tcPr>
            <w:tcW w:w="782" w:type="dxa"/>
            <w:tcBorders>
              <w:tl2br w:val="nil"/>
              <w:tr2bl w:val="nil"/>
            </w:tcBorders>
            <w:shd w:val="clear" w:color="auto" w:fill="auto"/>
            <w:vAlign w:val="center"/>
          </w:tcPr>
          <w:p>
            <w:pPr>
              <w:widowControl/>
              <w:jc w:val="left"/>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w:t>
            </w:r>
          </w:p>
        </w:tc>
        <w:tc>
          <w:tcPr>
            <w:tcW w:w="5250" w:type="dxa"/>
            <w:gridSpan w:val="2"/>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拟任管理总负责人及其项目管理班子的权利和责任是否明确，岗位描述是否详细清晰等情况。内容完整齐全、表述准确、条理清晰，内容无前后矛盾，符合招标文件要求的得</w:t>
            </w:r>
            <w:r>
              <w:rPr>
                <w:rFonts w:hint="eastAsia" w:ascii="仿宋" w:hAnsi="仿宋" w:eastAsia="仿宋" w:cs="仿宋"/>
                <w:color w:val="auto"/>
                <w:sz w:val="24"/>
                <w:lang w:val="en-US" w:eastAsia="zh-CN"/>
              </w:rPr>
              <w:t>8</w:t>
            </w:r>
            <w:r>
              <w:rPr>
                <w:rFonts w:hint="eastAsia" w:ascii="仿宋" w:hAnsi="仿宋" w:eastAsia="仿宋" w:cs="仿宋"/>
                <w:color w:val="auto"/>
                <w:sz w:val="24"/>
              </w:rPr>
              <w:t>分；内容基本齐全、表述基本准确、条理基本清晰，内容基本无前后矛盾，基本符合招标文件要求的得</w:t>
            </w:r>
            <w:r>
              <w:rPr>
                <w:rFonts w:hint="eastAsia" w:ascii="仿宋" w:hAnsi="仿宋" w:eastAsia="仿宋" w:cs="仿宋"/>
                <w:color w:val="auto"/>
                <w:sz w:val="24"/>
                <w:lang w:val="en-US" w:eastAsia="zh-CN"/>
              </w:rPr>
              <w:t>5</w:t>
            </w:r>
            <w:r>
              <w:rPr>
                <w:rFonts w:hint="eastAsia" w:ascii="仿宋" w:hAnsi="仿宋" w:eastAsia="仿宋" w:cs="仿宋"/>
                <w:color w:val="auto"/>
                <w:sz w:val="24"/>
              </w:rPr>
              <w:t>分；内容欠缺、表述部分准确、条理部分清晰，内容前后矛盾，部分符合招标文件要求或欠缺的得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w:t>
            </w:r>
            <w:r>
              <w:rPr>
                <w:rFonts w:hint="eastAsia" w:ascii="仿宋" w:hAnsi="仿宋" w:eastAsia="仿宋" w:cs="仿宋"/>
                <w:color w:val="auto"/>
                <w:sz w:val="24"/>
                <w:lang w:eastAsia="zh-CN"/>
              </w:rPr>
              <w:t>。</w:t>
            </w:r>
          </w:p>
        </w:tc>
        <w:tc>
          <w:tcPr>
            <w:tcW w:w="1050"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w:t>
            </w:r>
            <w:r>
              <w:rPr>
                <w:rFonts w:hint="eastAsia" w:ascii="仿宋" w:hAnsi="仿宋" w:eastAsia="仿宋" w:cs="仿宋"/>
                <w:color w:val="auto"/>
                <w:sz w:val="24"/>
                <w:lang w:val="en-US" w:eastAsia="zh-CN"/>
              </w:rPr>
              <w:t>8</w:t>
            </w:r>
            <w:r>
              <w:rPr>
                <w:rFonts w:hint="eastAsia" w:ascii="仿宋" w:hAnsi="仿宋" w:eastAsia="仿宋" w:cs="仿宋"/>
                <w:color w:val="auto"/>
                <w:sz w:val="24"/>
              </w:rPr>
              <w:t>分</w:t>
            </w:r>
          </w:p>
        </w:tc>
        <w:tc>
          <w:tcPr>
            <w:tcW w:w="1305"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0" w:type="dxa"/>
            <w:vMerge w:val="continue"/>
            <w:tcBorders>
              <w:tl2br w:val="nil"/>
              <w:tr2bl w:val="nil"/>
            </w:tcBorders>
            <w:vAlign w:val="center"/>
          </w:tcPr>
          <w:p>
            <w:pPr>
              <w:widowControl/>
              <w:jc w:val="left"/>
              <w:rPr>
                <w:rFonts w:ascii="仿宋" w:hAnsi="仿宋" w:eastAsia="仿宋" w:cs="仿宋"/>
                <w:color w:val="auto"/>
                <w:sz w:val="24"/>
              </w:rPr>
            </w:pPr>
          </w:p>
        </w:tc>
        <w:tc>
          <w:tcPr>
            <w:tcW w:w="782" w:type="dxa"/>
            <w:tcBorders>
              <w:tl2br w:val="nil"/>
              <w:tr2bl w:val="nil"/>
            </w:tcBorders>
            <w:shd w:val="clear" w:color="auto" w:fill="auto"/>
            <w:vAlign w:val="center"/>
          </w:tcPr>
          <w:p>
            <w:pPr>
              <w:widowControl/>
              <w:jc w:val="left"/>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3</w:t>
            </w:r>
          </w:p>
        </w:tc>
        <w:tc>
          <w:tcPr>
            <w:tcW w:w="5250" w:type="dxa"/>
            <w:gridSpan w:val="2"/>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人员持证情况</w:t>
            </w:r>
          </w:p>
          <w:p>
            <w:pPr>
              <w:widowControl/>
              <w:jc w:val="left"/>
              <w:rPr>
                <w:rFonts w:ascii="仿宋" w:hAnsi="仿宋" w:eastAsia="仿宋" w:cs="仿宋"/>
                <w:color w:val="auto"/>
                <w:sz w:val="24"/>
              </w:rPr>
            </w:pPr>
            <w:r>
              <w:rPr>
                <w:rFonts w:hint="eastAsia" w:ascii="仿宋" w:hAnsi="仿宋" w:eastAsia="仿宋" w:cs="仿宋"/>
                <w:color w:val="auto"/>
                <w:sz w:val="24"/>
              </w:rPr>
              <w:t>项目</w:t>
            </w:r>
            <w:r>
              <w:rPr>
                <w:rFonts w:ascii="仿宋" w:hAnsi="仿宋" w:eastAsia="仿宋" w:cs="仿宋"/>
                <w:color w:val="auto"/>
                <w:sz w:val="24"/>
              </w:rPr>
              <w:t>总负责人配备具备二级</w:t>
            </w:r>
            <w:r>
              <w:rPr>
                <w:rFonts w:hint="eastAsia" w:ascii="仿宋" w:hAnsi="仿宋" w:eastAsia="仿宋" w:cs="仿宋"/>
                <w:color w:val="auto"/>
                <w:sz w:val="24"/>
                <w:lang w:val="en-US" w:eastAsia="zh-CN"/>
              </w:rPr>
              <w:t>保安员</w:t>
            </w:r>
            <w:r>
              <w:rPr>
                <w:rFonts w:ascii="仿宋" w:hAnsi="仿宋" w:eastAsia="仿宋" w:cs="仿宋"/>
                <w:color w:val="auto"/>
                <w:sz w:val="24"/>
              </w:rPr>
              <w:t>证得2分、安全风险评估师证得2分、具备公共安全管理师证得2分；为退伍军人得2分、为党员的得2分。（提供人员证书复印件及近期三个月社保证明，复印件须加盖公章</w:t>
            </w:r>
            <w:r>
              <w:rPr>
                <w:rFonts w:hint="eastAsia" w:ascii="仿宋" w:hAnsi="仿宋" w:eastAsia="仿宋" w:cs="仿宋"/>
                <w:color w:val="auto"/>
                <w:sz w:val="24"/>
              </w:rPr>
              <w:t>，不提供不得分</w:t>
            </w:r>
            <w:r>
              <w:rPr>
                <w:rFonts w:ascii="仿宋" w:hAnsi="仿宋" w:eastAsia="仿宋" w:cs="仿宋"/>
                <w:color w:val="auto"/>
                <w:sz w:val="24"/>
              </w:rPr>
              <w:t>）</w:t>
            </w:r>
          </w:p>
        </w:tc>
        <w:tc>
          <w:tcPr>
            <w:tcW w:w="1050"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0-1</w:t>
            </w:r>
            <w:r>
              <w:rPr>
                <w:rFonts w:hint="eastAsia" w:cs="仿宋"/>
                <w:color w:val="auto"/>
                <w:sz w:val="24"/>
              </w:rPr>
              <w:t>0</w:t>
            </w:r>
            <w:r>
              <w:rPr>
                <w:rFonts w:hint="eastAsia" w:ascii="仿宋" w:hAnsi="仿宋" w:eastAsia="仿宋" w:cs="仿宋"/>
                <w:color w:val="auto"/>
                <w:sz w:val="24"/>
              </w:rPr>
              <w:t>分</w:t>
            </w:r>
          </w:p>
        </w:tc>
        <w:tc>
          <w:tcPr>
            <w:tcW w:w="1305"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0" w:type="dxa"/>
            <w:vMerge w:val="continue"/>
            <w:tcBorders>
              <w:tl2br w:val="nil"/>
              <w:tr2bl w:val="nil"/>
            </w:tcBorders>
            <w:vAlign w:val="center"/>
          </w:tcPr>
          <w:p>
            <w:pPr>
              <w:widowControl/>
              <w:jc w:val="left"/>
              <w:rPr>
                <w:rFonts w:ascii="仿宋" w:hAnsi="仿宋" w:eastAsia="仿宋" w:cs="仿宋"/>
                <w:color w:val="auto"/>
                <w:sz w:val="24"/>
              </w:rPr>
            </w:pPr>
          </w:p>
        </w:tc>
        <w:tc>
          <w:tcPr>
            <w:tcW w:w="782" w:type="dxa"/>
            <w:tcBorders>
              <w:tl2br w:val="nil"/>
              <w:tr2bl w:val="nil"/>
            </w:tcBorders>
            <w:shd w:val="clear" w:color="auto" w:fill="auto"/>
            <w:vAlign w:val="center"/>
          </w:tcPr>
          <w:p>
            <w:pPr>
              <w:widowControl/>
              <w:jc w:val="left"/>
              <w:rPr>
                <w:rFonts w:hint="eastAsia" w:ascii="仿宋" w:hAnsi="仿宋" w:eastAsia="仿宋" w:cs="仿宋"/>
                <w:color w:val="auto"/>
                <w:sz w:val="24"/>
                <w:lang w:eastAsia="zh-CN"/>
              </w:rPr>
            </w:pPr>
            <w:r>
              <w:rPr>
                <w:rFonts w:hint="eastAsia" w:eastAsia="仿宋" w:cs="仿宋"/>
                <w:color w:val="auto"/>
                <w:sz w:val="24"/>
                <w:lang w:val="en-US" w:eastAsia="zh-CN"/>
              </w:rPr>
              <w:t>4</w:t>
            </w:r>
          </w:p>
        </w:tc>
        <w:tc>
          <w:tcPr>
            <w:tcW w:w="5250" w:type="dxa"/>
            <w:gridSpan w:val="2"/>
            <w:tcBorders>
              <w:tl2br w:val="nil"/>
              <w:tr2bl w:val="nil"/>
            </w:tcBorders>
            <w:shd w:val="clear" w:color="auto" w:fill="auto"/>
            <w:vAlign w:val="center"/>
          </w:tcPr>
          <w:p>
            <w:pPr>
              <w:widowControl/>
              <w:jc w:val="left"/>
              <w:rPr>
                <w:rFonts w:ascii="仿宋" w:hAnsi="仿宋" w:eastAsia="仿宋" w:cs="仿宋"/>
                <w:color w:val="auto"/>
                <w:sz w:val="24"/>
              </w:rPr>
            </w:pPr>
            <w:r>
              <w:rPr>
                <w:rFonts w:ascii="仿宋" w:hAnsi="仿宋" w:eastAsia="仿宋" w:cs="仿宋"/>
                <w:color w:val="auto"/>
                <w:sz w:val="24"/>
              </w:rPr>
              <w:t>针对本项目拟派人员的综合素质情况打分：</w:t>
            </w:r>
            <w:r>
              <w:rPr>
                <w:rFonts w:hint="eastAsia" w:ascii="仿宋" w:hAnsi="仿宋" w:eastAsia="仿宋" w:cs="仿宋"/>
                <w:color w:val="auto"/>
                <w:sz w:val="24"/>
                <w:lang w:val="en-US" w:eastAsia="zh-CN"/>
              </w:rPr>
              <w:t>所有人员</w:t>
            </w:r>
            <w:r>
              <w:rPr>
                <w:rFonts w:ascii="仿宋" w:hAnsi="仿宋" w:eastAsia="仿宋" w:cs="仿宋"/>
                <w:color w:val="auto"/>
                <w:sz w:val="24"/>
              </w:rPr>
              <w:t>年龄分布情况</w:t>
            </w:r>
            <w:r>
              <w:rPr>
                <w:rFonts w:hint="eastAsia" w:ascii="仿宋" w:hAnsi="仿宋" w:eastAsia="仿宋" w:cs="仿宋"/>
                <w:color w:val="auto"/>
                <w:sz w:val="24"/>
              </w:rPr>
              <w:t>、</w:t>
            </w:r>
            <w:r>
              <w:rPr>
                <w:rFonts w:ascii="仿宋" w:hAnsi="仿宋" w:eastAsia="仿宋" w:cs="仿宋"/>
                <w:color w:val="auto"/>
                <w:sz w:val="24"/>
              </w:rPr>
              <w:t>退伍军人数量</w:t>
            </w:r>
            <w:r>
              <w:rPr>
                <w:rFonts w:hint="eastAsia" w:ascii="仿宋" w:hAnsi="仿宋" w:eastAsia="仿宋" w:cs="仿宋"/>
                <w:color w:val="auto"/>
                <w:sz w:val="24"/>
              </w:rPr>
              <w:t>、学历情况、党员人数</w:t>
            </w:r>
            <w:r>
              <w:rPr>
                <w:rFonts w:hint="eastAsia" w:ascii="仿宋" w:hAnsi="仿宋" w:eastAsia="仿宋" w:cs="仿宋"/>
                <w:color w:val="auto"/>
                <w:sz w:val="24"/>
                <w:lang w:val="en-US" w:eastAsia="zh-CN"/>
              </w:rPr>
              <w:t>等</w:t>
            </w:r>
            <w:r>
              <w:rPr>
                <w:rFonts w:ascii="仿宋" w:hAnsi="仿宋" w:eastAsia="仿宋" w:cs="仿宋"/>
                <w:color w:val="auto"/>
                <w:sz w:val="24"/>
              </w:rPr>
              <w:t>。</w:t>
            </w:r>
          </w:p>
          <w:p>
            <w:pPr>
              <w:widowControl/>
              <w:jc w:val="left"/>
              <w:rPr>
                <w:rFonts w:ascii="仿宋" w:hAnsi="仿宋" w:eastAsia="仿宋" w:cs="仿宋"/>
                <w:color w:val="auto"/>
                <w:sz w:val="24"/>
              </w:rPr>
            </w:pPr>
            <w:r>
              <w:rPr>
                <w:rFonts w:hint="eastAsia" w:ascii="仿宋" w:hAnsi="仿宋" w:eastAsia="仿宋" w:cs="仿宋"/>
                <w:color w:val="auto"/>
                <w:sz w:val="24"/>
              </w:rPr>
              <w:t>内容完整齐全、表述准确、条理清晰，内容无前后矛盾，符合招标文件要求的得</w:t>
            </w:r>
            <w:r>
              <w:rPr>
                <w:rFonts w:hint="eastAsia" w:ascii="仿宋" w:hAnsi="仿宋" w:eastAsia="仿宋" w:cs="仿宋"/>
                <w:color w:val="auto"/>
                <w:sz w:val="24"/>
                <w:lang w:val="en-US" w:eastAsia="zh-CN"/>
              </w:rPr>
              <w:t>9</w:t>
            </w:r>
            <w:r>
              <w:rPr>
                <w:rFonts w:hint="eastAsia" w:ascii="仿宋" w:hAnsi="仿宋" w:eastAsia="仿宋" w:cs="仿宋"/>
                <w:color w:val="auto"/>
                <w:sz w:val="24"/>
              </w:rPr>
              <w:t>分；内容基本齐全、表述基本准确、条理基本清晰，内容基本无前后矛盾，基本符合招标文件要求的得</w:t>
            </w:r>
            <w:r>
              <w:rPr>
                <w:rFonts w:hint="eastAsia" w:ascii="仿宋" w:hAnsi="仿宋" w:eastAsia="仿宋" w:cs="仿宋"/>
                <w:color w:val="auto"/>
                <w:sz w:val="24"/>
                <w:lang w:val="en-US" w:eastAsia="zh-CN"/>
              </w:rPr>
              <w:t>5</w:t>
            </w:r>
            <w:r>
              <w:rPr>
                <w:rFonts w:hint="eastAsia" w:ascii="仿宋" w:hAnsi="仿宋" w:eastAsia="仿宋" w:cs="仿宋"/>
                <w:color w:val="auto"/>
                <w:sz w:val="24"/>
              </w:rPr>
              <w:t>分；内容欠缺、表述部分准确、条理部分清晰，内容前后矛盾，部分符合招标文件要求或欠缺的得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w:t>
            </w:r>
            <w:r>
              <w:rPr>
                <w:rFonts w:hint="eastAsia" w:ascii="仿宋" w:hAnsi="仿宋" w:eastAsia="仿宋" w:cs="仿宋"/>
                <w:color w:val="auto"/>
                <w:sz w:val="24"/>
                <w:lang w:eastAsia="zh-CN"/>
              </w:rPr>
              <w:t>。</w:t>
            </w:r>
          </w:p>
        </w:tc>
        <w:tc>
          <w:tcPr>
            <w:tcW w:w="1050"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w:t>
            </w:r>
            <w:r>
              <w:rPr>
                <w:rFonts w:hint="eastAsia" w:ascii="仿宋" w:hAnsi="仿宋" w:eastAsia="仿宋" w:cs="仿宋"/>
                <w:color w:val="auto"/>
                <w:sz w:val="24"/>
                <w:lang w:val="en-US" w:eastAsia="zh-CN"/>
              </w:rPr>
              <w:t>9</w:t>
            </w:r>
            <w:r>
              <w:rPr>
                <w:rFonts w:hint="eastAsia" w:ascii="仿宋" w:hAnsi="仿宋" w:eastAsia="仿宋" w:cs="仿宋"/>
                <w:color w:val="auto"/>
                <w:sz w:val="24"/>
              </w:rPr>
              <w:t>分</w:t>
            </w:r>
          </w:p>
        </w:tc>
        <w:tc>
          <w:tcPr>
            <w:tcW w:w="1305"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宋体" w:hAnsi="宋体" w:cs="宋体"/>
                <w:color w:val="auto"/>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900" w:type="dxa"/>
            <w:vMerge w:val="continue"/>
            <w:tcBorders>
              <w:tl2br w:val="nil"/>
              <w:tr2bl w:val="nil"/>
            </w:tcBorders>
            <w:vAlign w:val="center"/>
          </w:tcPr>
          <w:p>
            <w:pPr>
              <w:widowControl/>
              <w:jc w:val="left"/>
              <w:rPr>
                <w:rFonts w:ascii="仿宋" w:hAnsi="仿宋" w:eastAsia="仿宋" w:cs="仿宋"/>
                <w:color w:val="auto"/>
                <w:sz w:val="24"/>
              </w:rPr>
            </w:pPr>
          </w:p>
        </w:tc>
        <w:tc>
          <w:tcPr>
            <w:tcW w:w="782" w:type="dxa"/>
            <w:tcBorders>
              <w:tl2br w:val="nil"/>
              <w:tr2bl w:val="nil"/>
            </w:tcBorders>
            <w:shd w:val="clear" w:color="auto" w:fill="auto"/>
            <w:vAlign w:val="center"/>
          </w:tcPr>
          <w:p>
            <w:pPr>
              <w:widowControl/>
              <w:jc w:val="left"/>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5</w:t>
            </w:r>
          </w:p>
        </w:tc>
        <w:tc>
          <w:tcPr>
            <w:tcW w:w="5250" w:type="dxa"/>
            <w:gridSpan w:val="2"/>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装备配置情况</w:t>
            </w:r>
          </w:p>
          <w:p>
            <w:pPr>
              <w:widowControl/>
              <w:jc w:val="left"/>
              <w:rPr>
                <w:rFonts w:hint="eastAsia" w:ascii="仿宋" w:hAnsi="仿宋" w:eastAsia="仿宋" w:cs="仿宋"/>
                <w:color w:val="auto"/>
                <w:sz w:val="24"/>
              </w:rPr>
            </w:pPr>
            <w:r>
              <w:rPr>
                <w:rFonts w:hint="eastAsia" w:ascii="仿宋" w:hAnsi="仿宋" w:eastAsia="仿宋" w:cs="仿宋"/>
                <w:color w:val="auto"/>
                <w:sz w:val="24"/>
              </w:rPr>
              <w:t>根据投标方案提供装备配置情况是否满足要求，装备性能，租赁或自有情况等打分。</w:t>
            </w:r>
          </w:p>
          <w:p>
            <w:pPr>
              <w:widowControl/>
              <w:jc w:val="left"/>
              <w:rPr>
                <w:color w:val="auto"/>
              </w:rPr>
            </w:pPr>
            <w:r>
              <w:rPr>
                <w:rFonts w:hint="eastAsia" w:ascii="仿宋" w:hAnsi="仿宋" w:eastAsia="仿宋" w:cs="仿宋"/>
                <w:color w:val="auto"/>
                <w:sz w:val="24"/>
              </w:rPr>
              <w:t>内容完整齐全、表述准确、条理清晰，内容无前后矛盾，符合招标文件要求的得</w:t>
            </w:r>
            <w:r>
              <w:rPr>
                <w:rFonts w:hint="eastAsia" w:ascii="仿宋" w:hAnsi="仿宋" w:eastAsia="仿宋" w:cs="仿宋"/>
                <w:color w:val="auto"/>
                <w:sz w:val="24"/>
                <w:lang w:val="en-US" w:eastAsia="zh-CN"/>
              </w:rPr>
              <w:t>9</w:t>
            </w:r>
            <w:r>
              <w:rPr>
                <w:rFonts w:hint="eastAsia" w:ascii="仿宋" w:hAnsi="仿宋" w:eastAsia="仿宋" w:cs="仿宋"/>
                <w:color w:val="auto"/>
                <w:sz w:val="24"/>
              </w:rPr>
              <w:t>分；内容基本齐全、表述基本准确、条理基本清晰，内容基本无前后矛盾，基本符合招标文件要求的得</w:t>
            </w:r>
            <w:r>
              <w:rPr>
                <w:rFonts w:hint="eastAsia" w:ascii="仿宋" w:hAnsi="仿宋" w:eastAsia="仿宋" w:cs="仿宋"/>
                <w:color w:val="auto"/>
                <w:sz w:val="24"/>
                <w:lang w:val="en-US" w:eastAsia="zh-CN"/>
              </w:rPr>
              <w:t>5</w:t>
            </w:r>
            <w:r>
              <w:rPr>
                <w:rFonts w:hint="eastAsia" w:ascii="仿宋" w:hAnsi="仿宋" w:eastAsia="仿宋" w:cs="仿宋"/>
                <w:color w:val="auto"/>
                <w:sz w:val="24"/>
              </w:rPr>
              <w:t>分；内容欠缺、表述部分准确、条理部分清晰，内容前后矛盾，部分符合招标文件要求或欠缺的得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w:t>
            </w:r>
            <w:r>
              <w:rPr>
                <w:rFonts w:hint="eastAsia" w:ascii="仿宋" w:hAnsi="仿宋" w:eastAsia="仿宋" w:cs="仿宋"/>
                <w:color w:val="auto"/>
                <w:sz w:val="24"/>
                <w:lang w:eastAsia="zh-CN"/>
              </w:rPr>
              <w:t>。</w:t>
            </w:r>
          </w:p>
        </w:tc>
        <w:tc>
          <w:tcPr>
            <w:tcW w:w="1050"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w:t>
            </w:r>
            <w:r>
              <w:rPr>
                <w:rFonts w:hint="eastAsia" w:eastAsia="仿宋" w:cs="仿宋"/>
                <w:color w:val="auto"/>
                <w:sz w:val="24"/>
                <w:lang w:val="en-US" w:eastAsia="zh-CN"/>
              </w:rPr>
              <w:t>9</w:t>
            </w:r>
            <w:r>
              <w:rPr>
                <w:rFonts w:hint="eastAsia" w:ascii="仿宋" w:hAnsi="仿宋" w:eastAsia="仿宋" w:cs="仿宋"/>
                <w:color w:val="auto"/>
                <w:sz w:val="24"/>
              </w:rPr>
              <w:t>分</w:t>
            </w:r>
          </w:p>
        </w:tc>
        <w:tc>
          <w:tcPr>
            <w:tcW w:w="1305"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0" w:type="dxa"/>
            <w:vMerge w:val="continue"/>
            <w:tcBorders>
              <w:tl2br w:val="nil"/>
              <w:tr2bl w:val="nil"/>
            </w:tcBorders>
            <w:vAlign w:val="center"/>
          </w:tcPr>
          <w:p>
            <w:pPr>
              <w:widowControl/>
              <w:jc w:val="left"/>
              <w:rPr>
                <w:rFonts w:ascii="仿宋" w:hAnsi="仿宋" w:eastAsia="仿宋" w:cs="仿宋"/>
                <w:color w:val="auto"/>
                <w:sz w:val="24"/>
              </w:rPr>
            </w:pPr>
          </w:p>
        </w:tc>
        <w:tc>
          <w:tcPr>
            <w:tcW w:w="782" w:type="dxa"/>
            <w:tcBorders>
              <w:tl2br w:val="nil"/>
              <w:tr2bl w:val="nil"/>
            </w:tcBorders>
            <w:shd w:val="clear" w:color="auto" w:fill="auto"/>
            <w:vAlign w:val="center"/>
          </w:tcPr>
          <w:p>
            <w:pPr>
              <w:widowControl/>
              <w:jc w:val="left"/>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6</w:t>
            </w:r>
          </w:p>
        </w:tc>
        <w:tc>
          <w:tcPr>
            <w:tcW w:w="5250" w:type="dxa"/>
            <w:gridSpan w:val="2"/>
            <w:tcBorders>
              <w:tl2br w:val="nil"/>
              <w:tr2bl w:val="nil"/>
            </w:tcBorders>
            <w:shd w:val="clear" w:color="auto" w:fill="auto"/>
            <w:vAlign w:val="center"/>
          </w:tcPr>
          <w:p>
            <w:pPr>
              <w:widowControl/>
              <w:jc w:val="left"/>
              <w:rPr>
                <w:rFonts w:hint="eastAsia" w:ascii="仿宋" w:hAnsi="仿宋" w:eastAsia="仿宋" w:cs="仿宋"/>
                <w:color w:val="auto"/>
                <w:sz w:val="24"/>
              </w:rPr>
            </w:pPr>
            <w:r>
              <w:rPr>
                <w:rFonts w:hint="eastAsia" w:ascii="仿宋" w:hAnsi="仿宋" w:eastAsia="仿宋" w:cs="仿宋"/>
                <w:color w:val="auto"/>
                <w:sz w:val="24"/>
              </w:rPr>
              <w:t>保证进度和项目完成的方案和措施是否具有详细、科学、合理的培训计划、培训内容、时间段等情况，根据投标人提供培训方案等的严谨性及合理性进行评定。</w:t>
            </w:r>
          </w:p>
          <w:p>
            <w:pPr>
              <w:widowControl/>
              <w:jc w:val="left"/>
              <w:rPr>
                <w:rFonts w:hint="eastAsia" w:ascii="仿宋" w:hAnsi="仿宋" w:eastAsia="仿宋" w:cs="仿宋"/>
                <w:color w:val="auto"/>
                <w:sz w:val="24"/>
                <w:lang w:val="en-US" w:eastAsia="zh-CN"/>
              </w:rPr>
            </w:pPr>
            <w:r>
              <w:rPr>
                <w:rFonts w:hint="eastAsia" w:ascii="仿宋" w:hAnsi="仿宋" w:eastAsia="仿宋" w:cs="仿宋"/>
                <w:color w:val="auto"/>
                <w:sz w:val="24"/>
              </w:rPr>
              <w:t>内容完整齐全、表述准确、条理清晰，内容无前后矛盾，符合招标文件要求的得</w:t>
            </w:r>
            <w:r>
              <w:rPr>
                <w:rFonts w:hint="eastAsia" w:ascii="仿宋" w:hAnsi="仿宋" w:eastAsia="仿宋" w:cs="仿宋"/>
                <w:color w:val="auto"/>
                <w:sz w:val="24"/>
                <w:lang w:val="en-US" w:eastAsia="zh-CN"/>
              </w:rPr>
              <w:t>9</w:t>
            </w:r>
            <w:r>
              <w:rPr>
                <w:rFonts w:hint="eastAsia" w:ascii="仿宋" w:hAnsi="仿宋" w:eastAsia="仿宋" w:cs="仿宋"/>
                <w:color w:val="auto"/>
                <w:sz w:val="24"/>
              </w:rPr>
              <w:t>分；内容基本齐全、表述基本准确、条理基本清晰，内容基本无前后矛盾，基本符合招标文件要求的得</w:t>
            </w:r>
            <w:r>
              <w:rPr>
                <w:rFonts w:hint="eastAsia" w:ascii="仿宋" w:hAnsi="仿宋" w:eastAsia="仿宋" w:cs="仿宋"/>
                <w:color w:val="auto"/>
                <w:sz w:val="24"/>
                <w:lang w:val="en-US" w:eastAsia="zh-CN"/>
              </w:rPr>
              <w:t>5</w:t>
            </w:r>
            <w:r>
              <w:rPr>
                <w:rFonts w:hint="eastAsia" w:ascii="仿宋" w:hAnsi="仿宋" w:eastAsia="仿宋" w:cs="仿宋"/>
                <w:color w:val="auto"/>
                <w:sz w:val="24"/>
              </w:rPr>
              <w:t>分；内容欠缺、表述部分准确、条理部分清晰，内容前后矛盾，部分符合招标文件要求或欠缺的得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w:t>
            </w:r>
            <w:r>
              <w:rPr>
                <w:rFonts w:hint="eastAsia" w:ascii="仿宋" w:hAnsi="仿宋" w:eastAsia="仿宋" w:cs="仿宋"/>
                <w:color w:val="auto"/>
                <w:sz w:val="24"/>
                <w:lang w:eastAsia="zh-CN"/>
              </w:rPr>
              <w:t>。</w:t>
            </w:r>
          </w:p>
        </w:tc>
        <w:tc>
          <w:tcPr>
            <w:tcW w:w="1050"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w:t>
            </w:r>
            <w:r>
              <w:rPr>
                <w:rFonts w:hint="eastAsia" w:ascii="仿宋" w:hAnsi="仿宋" w:eastAsia="仿宋" w:cs="仿宋"/>
                <w:color w:val="auto"/>
                <w:sz w:val="24"/>
                <w:lang w:val="en-US" w:eastAsia="zh-CN"/>
              </w:rPr>
              <w:t>9</w:t>
            </w:r>
            <w:r>
              <w:rPr>
                <w:rFonts w:hint="eastAsia" w:ascii="仿宋" w:hAnsi="仿宋" w:eastAsia="仿宋" w:cs="仿宋"/>
                <w:color w:val="auto"/>
                <w:sz w:val="24"/>
              </w:rPr>
              <w:t>分</w:t>
            </w:r>
          </w:p>
        </w:tc>
        <w:tc>
          <w:tcPr>
            <w:tcW w:w="1305"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900" w:type="dxa"/>
            <w:vMerge w:val="continue"/>
            <w:tcBorders>
              <w:tl2br w:val="nil"/>
              <w:tr2bl w:val="nil"/>
            </w:tcBorders>
            <w:vAlign w:val="center"/>
          </w:tcPr>
          <w:p>
            <w:pPr>
              <w:widowControl/>
              <w:jc w:val="left"/>
              <w:rPr>
                <w:rFonts w:ascii="仿宋" w:hAnsi="仿宋" w:eastAsia="仿宋" w:cs="仿宋"/>
                <w:color w:val="auto"/>
                <w:sz w:val="24"/>
              </w:rPr>
            </w:pPr>
          </w:p>
        </w:tc>
        <w:tc>
          <w:tcPr>
            <w:tcW w:w="782" w:type="dxa"/>
            <w:tcBorders>
              <w:tl2br w:val="nil"/>
              <w:tr2bl w:val="nil"/>
            </w:tcBorders>
            <w:shd w:val="clear" w:color="auto" w:fill="auto"/>
            <w:vAlign w:val="center"/>
          </w:tcPr>
          <w:p>
            <w:pPr>
              <w:widowControl/>
              <w:jc w:val="left"/>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7</w:t>
            </w:r>
          </w:p>
        </w:tc>
        <w:tc>
          <w:tcPr>
            <w:tcW w:w="5250" w:type="dxa"/>
            <w:gridSpan w:val="2"/>
            <w:tcBorders>
              <w:tl2br w:val="nil"/>
              <w:tr2bl w:val="nil"/>
            </w:tcBorders>
            <w:shd w:val="clear" w:color="auto" w:fill="auto"/>
            <w:vAlign w:val="center"/>
          </w:tcPr>
          <w:p>
            <w:pPr>
              <w:widowControl/>
              <w:jc w:val="left"/>
              <w:rPr>
                <w:rFonts w:hint="eastAsia" w:ascii="仿宋" w:hAnsi="仿宋" w:eastAsia="仿宋" w:cs="仿宋"/>
                <w:color w:val="auto"/>
                <w:sz w:val="24"/>
              </w:rPr>
            </w:pPr>
            <w:r>
              <w:rPr>
                <w:rFonts w:hint="eastAsia" w:ascii="仿宋" w:hAnsi="仿宋" w:eastAsia="仿宋" w:cs="仿宋_GB2312"/>
                <w:color w:val="auto"/>
                <w:sz w:val="24"/>
              </w:rPr>
              <w:t>根据投标人的服务风险防控措施进行评价:根据对服务过程中各节点可能出现的风险有事先预估评判,并制定相应的服务风险防控措施,相应的人力、物力投入安排</w:t>
            </w:r>
            <w:r>
              <w:rPr>
                <w:rFonts w:hint="eastAsia" w:ascii="仿宋" w:hAnsi="仿宋" w:eastAsia="仿宋" w:cs="仿宋"/>
                <w:color w:val="auto"/>
                <w:sz w:val="24"/>
              </w:rPr>
              <w:t>打分。</w:t>
            </w:r>
          </w:p>
          <w:p>
            <w:pPr>
              <w:widowControl/>
              <w:jc w:val="left"/>
              <w:rPr>
                <w:rFonts w:ascii="仿宋" w:hAnsi="仿宋" w:eastAsia="仿宋" w:cs="仿宋"/>
                <w:color w:val="auto"/>
                <w:sz w:val="24"/>
              </w:rPr>
            </w:pPr>
            <w:r>
              <w:rPr>
                <w:rFonts w:hint="eastAsia" w:ascii="仿宋" w:hAnsi="仿宋" w:eastAsia="仿宋" w:cs="仿宋"/>
                <w:color w:val="auto"/>
                <w:sz w:val="24"/>
              </w:rPr>
              <w:t>内容完整齐全、表述准确、条理清晰，内容无前后矛盾，符合招标文件要求的得</w:t>
            </w:r>
            <w:r>
              <w:rPr>
                <w:rFonts w:hint="eastAsia" w:ascii="仿宋" w:hAnsi="仿宋" w:eastAsia="仿宋" w:cs="仿宋"/>
                <w:color w:val="auto"/>
                <w:sz w:val="24"/>
                <w:lang w:val="en-US" w:eastAsia="zh-CN"/>
              </w:rPr>
              <w:t>8</w:t>
            </w:r>
            <w:r>
              <w:rPr>
                <w:rFonts w:hint="eastAsia" w:ascii="仿宋" w:hAnsi="仿宋" w:eastAsia="仿宋" w:cs="仿宋"/>
                <w:color w:val="auto"/>
                <w:sz w:val="24"/>
              </w:rPr>
              <w:t>分；内容基本齐全、表述基本准确、条理基本清晰，内容基本无前后矛盾，基本符合招标文件要求的得</w:t>
            </w:r>
            <w:r>
              <w:rPr>
                <w:rFonts w:hint="eastAsia" w:ascii="仿宋" w:hAnsi="仿宋" w:eastAsia="仿宋" w:cs="仿宋"/>
                <w:color w:val="auto"/>
                <w:sz w:val="24"/>
                <w:lang w:val="en-US" w:eastAsia="zh-CN"/>
              </w:rPr>
              <w:t>5</w:t>
            </w:r>
            <w:r>
              <w:rPr>
                <w:rFonts w:hint="eastAsia" w:ascii="仿宋" w:hAnsi="仿宋" w:eastAsia="仿宋" w:cs="仿宋"/>
                <w:color w:val="auto"/>
                <w:sz w:val="24"/>
              </w:rPr>
              <w:t>分；内容欠缺、表述部分准确、条理部分清晰，内容前后矛盾，部分符合招标文件要求或欠缺的得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w:t>
            </w:r>
            <w:r>
              <w:rPr>
                <w:rFonts w:hint="eastAsia" w:ascii="仿宋" w:hAnsi="仿宋" w:eastAsia="仿宋" w:cs="仿宋"/>
                <w:color w:val="auto"/>
                <w:sz w:val="24"/>
                <w:lang w:eastAsia="zh-CN"/>
              </w:rPr>
              <w:t>。</w:t>
            </w:r>
          </w:p>
        </w:tc>
        <w:tc>
          <w:tcPr>
            <w:tcW w:w="1050"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w:t>
            </w:r>
            <w:r>
              <w:rPr>
                <w:rFonts w:hint="eastAsia" w:ascii="仿宋" w:hAnsi="仿宋" w:eastAsia="仿宋" w:cs="仿宋"/>
                <w:color w:val="auto"/>
                <w:sz w:val="24"/>
                <w:lang w:val="en-US" w:eastAsia="zh-CN"/>
              </w:rPr>
              <w:t>8</w:t>
            </w:r>
            <w:r>
              <w:rPr>
                <w:rFonts w:hint="eastAsia" w:ascii="仿宋" w:hAnsi="仿宋" w:eastAsia="仿宋" w:cs="仿宋"/>
                <w:color w:val="auto"/>
                <w:sz w:val="24"/>
              </w:rPr>
              <w:t>分</w:t>
            </w:r>
          </w:p>
        </w:tc>
        <w:tc>
          <w:tcPr>
            <w:tcW w:w="1305"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00" w:type="dxa"/>
            <w:vMerge w:val="continue"/>
            <w:tcBorders>
              <w:tl2br w:val="nil"/>
              <w:tr2bl w:val="nil"/>
            </w:tcBorders>
            <w:vAlign w:val="center"/>
          </w:tcPr>
          <w:p>
            <w:pPr>
              <w:widowControl/>
              <w:jc w:val="left"/>
              <w:rPr>
                <w:rFonts w:ascii="仿宋" w:hAnsi="仿宋" w:eastAsia="仿宋" w:cs="仿宋"/>
                <w:color w:val="auto"/>
                <w:sz w:val="24"/>
              </w:rPr>
            </w:pPr>
          </w:p>
        </w:tc>
        <w:tc>
          <w:tcPr>
            <w:tcW w:w="782" w:type="dxa"/>
            <w:tcBorders>
              <w:tl2br w:val="nil"/>
              <w:tr2bl w:val="nil"/>
            </w:tcBorders>
            <w:shd w:val="clear" w:color="auto" w:fill="auto"/>
            <w:vAlign w:val="center"/>
          </w:tcPr>
          <w:p>
            <w:pPr>
              <w:widowControl/>
              <w:jc w:val="left"/>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8</w:t>
            </w:r>
          </w:p>
        </w:tc>
        <w:tc>
          <w:tcPr>
            <w:tcW w:w="5250" w:type="dxa"/>
            <w:gridSpan w:val="2"/>
            <w:tcBorders>
              <w:tl2br w:val="nil"/>
              <w:tr2bl w:val="nil"/>
            </w:tcBorders>
            <w:shd w:val="clear" w:color="auto" w:fill="auto"/>
            <w:vAlign w:val="center"/>
          </w:tcPr>
          <w:p>
            <w:pPr>
              <w:widowControl/>
              <w:jc w:val="left"/>
              <w:rPr>
                <w:rFonts w:hint="eastAsia" w:ascii="仿宋" w:hAnsi="仿宋" w:eastAsia="仿宋" w:cs="仿宋"/>
                <w:color w:val="auto"/>
                <w:sz w:val="24"/>
              </w:rPr>
            </w:pPr>
            <w:r>
              <w:rPr>
                <w:rFonts w:hint="eastAsia" w:ascii="仿宋" w:hAnsi="仿宋" w:eastAsia="仿宋" w:cs="仿宋"/>
                <w:color w:val="auto"/>
                <w:sz w:val="24"/>
              </w:rPr>
              <w:t>应急预案：项目实施过程出现不可预见的紧急情况的应对方案，确保维护服务的保障方案。</w:t>
            </w:r>
          </w:p>
          <w:p>
            <w:pPr>
              <w:widowControl/>
              <w:jc w:val="left"/>
              <w:rPr>
                <w:rFonts w:ascii="仿宋" w:hAnsi="仿宋" w:eastAsia="仿宋" w:cs="仿宋"/>
                <w:color w:val="auto"/>
                <w:sz w:val="24"/>
              </w:rPr>
            </w:pPr>
            <w:r>
              <w:rPr>
                <w:rFonts w:hint="eastAsia" w:ascii="仿宋" w:hAnsi="仿宋" w:eastAsia="仿宋" w:cs="仿宋"/>
                <w:color w:val="auto"/>
                <w:sz w:val="24"/>
              </w:rPr>
              <w:t>内容完整齐全、表述准确、条理清晰，内容无前后矛盾，符合招标文件要求的得</w:t>
            </w:r>
            <w:r>
              <w:rPr>
                <w:rFonts w:hint="eastAsia" w:ascii="仿宋" w:hAnsi="仿宋" w:eastAsia="仿宋" w:cs="仿宋"/>
                <w:color w:val="auto"/>
                <w:sz w:val="24"/>
                <w:lang w:val="en-US" w:eastAsia="zh-CN"/>
              </w:rPr>
              <w:t>9</w:t>
            </w:r>
            <w:r>
              <w:rPr>
                <w:rFonts w:hint="eastAsia" w:ascii="仿宋" w:hAnsi="仿宋" w:eastAsia="仿宋" w:cs="仿宋"/>
                <w:color w:val="auto"/>
                <w:sz w:val="24"/>
              </w:rPr>
              <w:t>分；内容基本齐全、表述基本准确、条理基本清晰，内容基本无前后矛盾，基本符合招标文件要求的得</w:t>
            </w:r>
            <w:r>
              <w:rPr>
                <w:rFonts w:hint="eastAsia" w:ascii="仿宋" w:hAnsi="仿宋" w:eastAsia="仿宋" w:cs="仿宋"/>
                <w:color w:val="auto"/>
                <w:sz w:val="24"/>
                <w:lang w:val="en-US" w:eastAsia="zh-CN"/>
              </w:rPr>
              <w:t>5</w:t>
            </w:r>
            <w:r>
              <w:rPr>
                <w:rFonts w:hint="eastAsia" w:ascii="仿宋" w:hAnsi="仿宋" w:eastAsia="仿宋" w:cs="仿宋"/>
                <w:color w:val="auto"/>
                <w:sz w:val="24"/>
              </w:rPr>
              <w:t>分；内容欠缺、表述部分准确、条理部分清晰，内容前后矛盾，部分符合招标文件要求或欠缺的得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w:t>
            </w:r>
            <w:r>
              <w:rPr>
                <w:rFonts w:hint="eastAsia" w:ascii="仿宋" w:hAnsi="仿宋" w:eastAsia="仿宋" w:cs="仿宋"/>
                <w:color w:val="auto"/>
                <w:sz w:val="24"/>
                <w:lang w:eastAsia="zh-CN"/>
              </w:rPr>
              <w:t>。</w:t>
            </w:r>
          </w:p>
        </w:tc>
        <w:tc>
          <w:tcPr>
            <w:tcW w:w="1050"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w:t>
            </w:r>
            <w:r>
              <w:rPr>
                <w:rFonts w:hint="eastAsia" w:eastAsia="仿宋" w:cs="仿宋"/>
                <w:color w:val="auto"/>
                <w:sz w:val="24"/>
                <w:lang w:val="en-US" w:eastAsia="zh-CN"/>
              </w:rPr>
              <w:t>9</w:t>
            </w:r>
            <w:r>
              <w:rPr>
                <w:rFonts w:hint="eastAsia" w:ascii="仿宋" w:hAnsi="仿宋" w:eastAsia="仿宋" w:cs="仿宋"/>
                <w:color w:val="auto"/>
                <w:sz w:val="24"/>
              </w:rPr>
              <w:t>分</w:t>
            </w:r>
          </w:p>
        </w:tc>
        <w:tc>
          <w:tcPr>
            <w:tcW w:w="1305"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900" w:type="dxa"/>
            <w:vMerge w:val="continue"/>
            <w:tcBorders>
              <w:tl2br w:val="nil"/>
              <w:tr2bl w:val="nil"/>
            </w:tcBorders>
            <w:vAlign w:val="center"/>
          </w:tcPr>
          <w:p>
            <w:pPr>
              <w:widowControl/>
              <w:jc w:val="left"/>
              <w:rPr>
                <w:rFonts w:ascii="仿宋" w:hAnsi="仿宋" w:eastAsia="仿宋" w:cs="仿宋"/>
                <w:color w:val="auto"/>
                <w:sz w:val="24"/>
              </w:rPr>
            </w:pPr>
          </w:p>
        </w:tc>
        <w:tc>
          <w:tcPr>
            <w:tcW w:w="782" w:type="dxa"/>
            <w:tcBorders>
              <w:tl2br w:val="nil"/>
              <w:tr2bl w:val="nil"/>
            </w:tcBorders>
            <w:shd w:val="clear" w:color="auto" w:fill="auto"/>
            <w:vAlign w:val="center"/>
          </w:tcPr>
          <w:p>
            <w:pPr>
              <w:widowControl/>
              <w:jc w:val="left"/>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9</w:t>
            </w:r>
          </w:p>
        </w:tc>
        <w:tc>
          <w:tcPr>
            <w:tcW w:w="5250" w:type="dxa"/>
            <w:gridSpan w:val="2"/>
            <w:tcBorders>
              <w:tl2br w:val="nil"/>
              <w:tr2bl w:val="nil"/>
            </w:tcBorders>
            <w:shd w:val="clear" w:color="auto" w:fill="auto"/>
            <w:vAlign w:val="center"/>
          </w:tcPr>
          <w:p>
            <w:pPr>
              <w:widowControl/>
              <w:jc w:val="left"/>
              <w:rPr>
                <w:rFonts w:hint="eastAsia" w:ascii="仿宋" w:hAnsi="仿宋" w:eastAsia="仿宋" w:cs="仿宋"/>
                <w:color w:val="auto"/>
                <w:sz w:val="24"/>
              </w:rPr>
            </w:pPr>
            <w:r>
              <w:rPr>
                <w:rFonts w:hint="eastAsia" w:ascii="仿宋" w:hAnsi="仿宋" w:eastAsia="仿宋" w:cs="仿宋"/>
                <w:color w:val="auto"/>
                <w:sz w:val="24"/>
              </w:rPr>
              <w:t>本地化服务：项目实施时，必须常驻3名管理人员（附人员名单）。方案和措施是否有对服务当地的情况有较深入的理解和渗透，包括但不限于方言、习俗等综合打分。</w:t>
            </w:r>
          </w:p>
          <w:p>
            <w:pPr>
              <w:widowControl/>
              <w:jc w:val="left"/>
              <w:rPr>
                <w:rFonts w:ascii="仿宋" w:hAnsi="仿宋" w:eastAsia="仿宋" w:cs="仿宋"/>
                <w:color w:val="auto"/>
                <w:sz w:val="24"/>
              </w:rPr>
            </w:pPr>
            <w:r>
              <w:rPr>
                <w:rFonts w:hint="eastAsia" w:ascii="仿宋" w:hAnsi="仿宋" w:eastAsia="仿宋" w:cs="仿宋"/>
                <w:color w:val="auto"/>
                <w:sz w:val="24"/>
              </w:rPr>
              <w:t>内容完整齐全、表述准确、条理清晰，内容无前后矛盾，符合招标文件要求的得</w:t>
            </w:r>
            <w:r>
              <w:rPr>
                <w:rFonts w:hint="eastAsia" w:ascii="仿宋" w:hAnsi="仿宋" w:eastAsia="仿宋" w:cs="仿宋"/>
                <w:color w:val="auto"/>
                <w:sz w:val="24"/>
                <w:lang w:val="en-US" w:eastAsia="zh-CN"/>
              </w:rPr>
              <w:t>9</w:t>
            </w:r>
            <w:r>
              <w:rPr>
                <w:rFonts w:hint="eastAsia" w:ascii="仿宋" w:hAnsi="仿宋" w:eastAsia="仿宋" w:cs="仿宋"/>
                <w:color w:val="auto"/>
                <w:sz w:val="24"/>
              </w:rPr>
              <w:t>分；内容基本齐全、表述基本准确、条理基本清晰，内容基本无前后矛盾，基本符合招标文件要求的得</w:t>
            </w:r>
            <w:r>
              <w:rPr>
                <w:rFonts w:hint="eastAsia" w:ascii="仿宋" w:hAnsi="仿宋" w:eastAsia="仿宋" w:cs="仿宋"/>
                <w:color w:val="auto"/>
                <w:sz w:val="24"/>
                <w:lang w:val="en-US" w:eastAsia="zh-CN"/>
              </w:rPr>
              <w:t>5</w:t>
            </w:r>
            <w:r>
              <w:rPr>
                <w:rFonts w:hint="eastAsia" w:ascii="仿宋" w:hAnsi="仿宋" w:eastAsia="仿宋" w:cs="仿宋"/>
                <w:color w:val="auto"/>
                <w:sz w:val="24"/>
              </w:rPr>
              <w:t>分；内容欠缺、表述部分准确、条理部分清晰，内容前后矛盾，部分符合招标文件要求或欠缺的得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w:t>
            </w:r>
            <w:r>
              <w:rPr>
                <w:rFonts w:hint="eastAsia" w:ascii="仿宋" w:hAnsi="仿宋" w:eastAsia="仿宋" w:cs="仿宋"/>
                <w:color w:val="auto"/>
                <w:sz w:val="24"/>
                <w:lang w:eastAsia="zh-CN"/>
              </w:rPr>
              <w:t>。</w:t>
            </w:r>
          </w:p>
        </w:tc>
        <w:tc>
          <w:tcPr>
            <w:tcW w:w="1050"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w:t>
            </w:r>
            <w:r>
              <w:rPr>
                <w:rFonts w:hint="eastAsia" w:eastAsia="仿宋" w:cs="仿宋"/>
                <w:color w:val="auto"/>
                <w:sz w:val="24"/>
                <w:lang w:val="en-US" w:eastAsia="zh-CN"/>
              </w:rPr>
              <w:t>9</w:t>
            </w:r>
            <w:r>
              <w:rPr>
                <w:rFonts w:hint="eastAsia" w:ascii="仿宋" w:hAnsi="仿宋" w:eastAsia="仿宋" w:cs="仿宋"/>
                <w:color w:val="auto"/>
                <w:sz w:val="24"/>
              </w:rPr>
              <w:t>分</w:t>
            </w:r>
          </w:p>
        </w:tc>
        <w:tc>
          <w:tcPr>
            <w:tcW w:w="1305" w:type="dxa"/>
            <w:tcBorders>
              <w:tl2br w:val="nil"/>
              <w:tr2bl w:val="nil"/>
            </w:tcBorders>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rPr>
              <w:t>主观分</w:t>
            </w:r>
          </w:p>
        </w:tc>
      </w:tr>
    </w:tbl>
    <w:p>
      <w:pPr>
        <w:rPr>
          <w:rFonts w:hint="eastAsia" w:ascii="宋体" w:hAnsi="宋体" w:eastAsia="宋体" w:cs="宋体"/>
          <w:b/>
          <w:color w:val="auto"/>
          <w:sz w:val="32"/>
          <w:szCs w:val="20"/>
          <w:highlight w:val="none"/>
        </w:rPr>
      </w:pPr>
    </w:p>
    <w:p>
      <w:pPr>
        <w:widowControl/>
        <w:spacing w:line="360" w:lineRule="auto"/>
        <w:ind w:firstLine="480" w:firstLineChars="200"/>
        <w:rPr>
          <w:rFonts w:hint="eastAsia" w:ascii="仿宋" w:hAnsi="仿宋" w:eastAsia="仿宋" w:cs="仿宋"/>
          <w:sz w:val="24"/>
        </w:rPr>
      </w:pPr>
    </w:p>
    <w:p>
      <w:pPr>
        <w:widowControl/>
        <w:spacing w:line="360" w:lineRule="auto"/>
        <w:ind w:firstLine="480" w:firstLineChars="200"/>
        <w:rPr>
          <w:rFonts w:hint="eastAsia" w:ascii="仿宋" w:hAnsi="仿宋" w:eastAsia="仿宋" w:cs="仿宋"/>
          <w:sz w:val="24"/>
        </w:rPr>
      </w:pPr>
    </w:p>
    <w:p>
      <w:pPr>
        <w:widowControl/>
        <w:spacing w:line="360" w:lineRule="auto"/>
        <w:ind w:firstLine="480" w:firstLineChars="200"/>
        <w:rPr>
          <w:rFonts w:hint="eastAsia" w:ascii="仿宋" w:hAnsi="仿宋" w:eastAsia="仿宋" w:cs="仿宋"/>
          <w:sz w:val="24"/>
        </w:rPr>
      </w:pPr>
    </w:p>
    <w:p>
      <w:pPr>
        <w:widowControl/>
        <w:spacing w:line="360" w:lineRule="auto"/>
        <w:ind w:firstLine="480" w:firstLineChars="200"/>
        <w:rPr>
          <w:rFonts w:hint="eastAsia" w:ascii="仿宋" w:hAnsi="仿宋" w:eastAsia="仿宋" w:cs="仿宋"/>
          <w:sz w:val="24"/>
        </w:rPr>
      </w:pPr>
    </w:p>
    <w:p>
      <w:pPr>
        <w:widowControl/>
        <w:spacing w:line="360" w:lineRule="auto"/>
        <w:ind w:firstLine="480" w:firstLineChars="200"/>
        <w:rPr>
          <w:rFonts w:ascii="仿宋" w:hAnsi="仿宋" w:eastAsia="仿宋" w:cs="仿宋"/>
          <w:sz w:val="24"/>
        </w:rPr>
      </w:pPr>
      <w:r>
        <w:rPr>
          <w:rFonts w:hint="eastAsia" w:ascii="仿宋" w:hAnsi="仿宋" w:eastAsia="仿宋" w:cs="仿宋"/>
          <w:sz w:val="24"/>
        </w:rPr>
        <w:t>价格分（</w:t>
      </w:r>
      <w:r>
        <w:rPr>
          <w:rFonts w:hint="eastAsia" w:ascii="仿宋" w:hAnsi="仿宋" w:eastAsia="仿宋" w:cs="仿宋"/>
          <w:sz w:val="24"/>
          <w:lang w:val="en-US" w:eastAsia="zh-CN"/>
        </w:rPr>
        <w:t>10</w:t>
      </w:r>
      <w:r>
        <w:rPr>
          <w:rFonts w:hint="eastAsia" w:ascii="仿宋" w:hAnsi="仿宋" w:eastAsia="仿宋" w:cs="仿宋"/>
          <w:sz w:val="24"/>
        </w:rPr>
        <w:t>分）</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ind w:firstLine="480" w:firstLineChars="200"/>
              <w:rPr>
                <w:rFonts w:ascii="仿宋" w:hAnsi="仿宋" w:eastAsia="仿宋" w:cs="仿宋"/>
                <w:sz w:val="24"/>
              </w:rPr>
            </w:pPr>
            <w:r>
              <w:rPr>
                <w:rFonts w:hint="eastAsia" w:ascii="仿宋" w:hAnsi="仿宋" w:eastAsia="仿宋" w:cs="仿宋"/>
                <w:sz w:val="24"/>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sz w:val="24"/>
              </w:rPr>
            </w:pPr>
            <w:r>
              <w:rPr>
                <w:rFonts w:hint="eastAsia" w:ascii="仿宋" w:hAnsi="仿宋" w:eastAsia="仿宋" w:cs="仿宋"/>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sz w:val="24"/>
                <w:lang w:eastAsia="zh-CN"/>
              </w:rPr>
            </w:pPr>
            <w:r>
              <w:rPr>
                <w:rFonts w:hint="eastAsia" w:ascii="仿宋" w:hAnsi="仿宋" w:eastAsia="仿宋" w:cs="仿宋"/>
                <w:sz w:val="24"/>
              </w:rPr>
              <w:t>价格权值=0.</w:t>
            </w:r>
            <w:r>
              <w:rPr>
                <w:rFonts w:hint="eastAsia" w:ascii="仿宋" w:hAnsi="仿宋" w:eastAsia="仿宋" w:cs="仿宋"/>
                <w:sz w:val="24"/>
                <w:lang w:val="en-US" w:eastAsia="zh-CN"/>
              </w:rPr>
              <w:t>1</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rPr>
                <w:rFonts w:ascii="仿宋" w:hAnsi="仿宋" w:eastAsia="仿宋" w:cs="仿宋"/>
                <w:sz w:val="24"/>
              </w:rPr>
            </w:pPr>
            <w:r>
              <w:rPr>
                <w:rFonts w:hint="eastAsia" w:ascii="仿宋" w:hAnsi="仿宋" w:eastAsia="仿宋" w:cs="仿宋"/>
                <w:sz w:val="24"/>
              </w:rPr>
              <w:t>最低有效投标价格为评标基准价</w:t>
            </w:r>
          </w:p>
          <w:p>
            <w:pPr>
              <w:widowControl/>
              <w:rPr>
                <w:rFonts w:ascii="仿宋" w:hAnsi="仿宋" w:eastAsia="仿宋" w:cs="仿宋"/>
                <w:sz w:val="24"/>
              </w:rPr>
            </w:pPr>
            <w:r>
              <w:rPr>
                <w:rFonts w:hint="eastAsia" w:ascii="仿宋" w:hAnsi="仿宋" w:eastAsia="仿宋" w:cs="仿宋"/>
                <w:sz w:val="24"/>
              </w:rPr>
              <w:t>投标报价得分=(评标基准价／投标报价)×价格权值×100</w:t>
            </w:r>
          </w:p>
          <w:p>
            <w:pPr>
              <w:widowControl/>
              <w:rPr>
                <w:rFonts w:ascii="仿宋" w:hAnsi="仿宋" w:eastAsia="仿宋" w:cs="仿宋"/>
                <w:sz w:val="24"/>
              </w:rPr>
            </w:pPr>
            <w:r>
              <w:rPr>
                <w:rFonts w:hint="eastAsia" w:ascii="仿宋" w:hAnsi="仿宋" w:eastAsia="仿宋" w:cs="仿宋"/>
                <w:sz w:val="24"/>
              </w:rPr>
              <w:t>（计算得分保留小数点后2位）</w:t>
            </w:r>
          </w:p>
        </w:tc>
      </w:tr>
    </w:tbl>
    <w:p>
      <w:pPr>
        <w:pStyle w:val="23"/>
        <w:rPr>
          <w:rFonts w:hint="eastAsia" w:ascii="宋体" w:hAnsi="宋体" w:eastAsia="宋体" w:cs="宋体"/>
          <w:b/>
          <w:color w:val="auto"/>
          <w:sz w:val="32"/>
          <w:szCs w:val="20"/>
          <w:highlight w:val="none"/>
        </w:rPr>
      </w:pPr>
    </w:p>
    <w:p>
      <w:pPr>
        <w:pStyle w:val="24"/>
        <w:rPr>
          <w:rFonts w:hint="eastAsia"/>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 w:val="20"/>
          <w:szCs w:val="20"/>
          <w:highlight w:val="none"/>
          <w:shd w:val="clear" w:color="auto" w:fill="FFFFFF"/>
        </w:rPr>
        <w:t>*</w:t>
      </w:r>
      <w:r>
        <w:rPr>
          <w:rFonts w:hint="eastAsia" w:ascii="宋体" w:hAnsi="宋体" w:eastAsia="宋体" w:cs="宋体"/>
          <w:b/>
          <w:color w:val="auto"/>
          <w:sz w:val="24"/>
          <w:highlight w:val="none"/>
        </w:rPr>
        <w:t>备注：</w:t>
      </w:r>
      <w:r>
        <w:rPr>
          <w:rFonts w:hint="eastAsia" w:ascii="宋体" w:hAnsi="宋体" w:eastAsia="宋体" w:cs="宋体"/>
          <w:color w:val="auto"/>
          <w:highlight w:val="none"/>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130"/>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13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13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13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13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13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13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货物项目，以及预留份额政府采购货物项目中的非预留部分标项，对小型和微型企业的投标报价给予10%-20%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130"/>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有下列情形之一的，投标无效：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4.2.13投标人未提供样品或提供的样品不满足采购需求实质性条件的，投标无效；</w:t>
      </w:r>
    </w:p>
    <w:p>
      <w:p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kern w:val="0"/>
          <w:sz w:val="24"/>
          <w:highlight w:val="none"/>
        </w:rPr>
        <w:t>4.2.1</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rPr>
        <w:t xml:space="preserve"> 投标文件不满足招标文件的实质性要求的；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w:t>
      </w:r>
      <w:r>
        <w:rPr>
          <w:rFonts w:hint="eastAsia" w:ascii="宋体" w:hAnsi="宋体" w:eastAsia="宋体" w:cs="宋体"/>
          <w:color w:val="auto"/>
          <w:kern w:val="0"/>
          <w:sz w:val="24"/>
          <w:highlight w:val="none"/>
          <w:lang w:val="en-US" w:eastAsia="zh-CN"/>
        </w:rPr>
        <w:t>5</w:t>
      </w:r>
      <w:r>
        <w:rPr>
          <w:rFonts w:hint="eastAsia" w:ascii="宋体" w:hAnsi="宋体" w:eastAsia="宋体" w:cs="宋体"/>
          <w:color w:val="auto"/>
          <w:kern w:val="0"/>
          <w:sz w:val="24"/>
          <w:highlight w:val="none"/>
        </w:rPr>
        <w:t>法律、法规、规章（适用本市的）及省级以上规范性文件（适用本市的）规定的其他无效情形。</w:t>
      </w:r>
    </w:p>
    <w:p>
      <w:pPr>
        <w:pStyle w:val="25"/>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应当将废标理由通知所有投标人。</w:t>
      </w:r>
    </w:p>
    <w:p>
      <w:pPr>
        <w:pStyle w:val="25"/>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沟通并作书面记录。采购人、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确认后，将修改招标文件，重新组织采购活动。</w:t>
      </w:r>
    </w:p>
    <w:p>
      <w:pPr>
        <w:pStyle w:val="25"/>
        <w:snapToGrid w:val="0"/>
        <w:spacing w:line="360" w:lineRule="auto"/>
        <w:ind w:firstLine="482"/>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有政府采购法第七十一条、第七十二条规定的违法行为之一，影响或者可能影响中标结果的，依照下列规定处理：</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7.1未确定中标供应商的，终止本次政府采购活动，重新开展政府采购活动。</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hint="eastAsia" w:ascii="宋体" w:hAnsi="宋体" w:eastAsia="宋体" w:cs="宋体"/>
          <w:color w:val="auto"/>
          <w:highlight w:val="none"/>
        </w:rPr>
      </w:pPr>
    </w:p>
    <w:bookmarkEnd w:id="31"/>
    <w:p>
      <w:pPr>
        <w:spacing w:line="360" w:lineRule="auto"/>
        <w:ind w:left="720" w:leftChars="343" w:firstLine="1084" w:firstLineChars="300"/>
        <w:outlineLvl w:val="0"/>
        <w:rPr>
          <w:rFonts w:hint="eastAsia" w:ascii="宋体" w:hAnsi="宋体" w:eastAsia="宋体" w:cs="宋体"/>
          <w:b/>
          <w:color w:val="auto"/>
          <w:sz w:val="36"/>
          <w:szCs w:val="36"/>
          <w:highlight w:val="none"/>
        </w:rPr>
      </w:pPr>
      <w:bookmarkStart w:id="397" w:name="第五部分"/>
      <w:bookmarkStart w:id="398" w:name="_Toc86217003"/>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    </w:t>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240" w:lineRule="auto"/>
        <w:ind w:left="0" w:leftChars="0" w:firstLine="0" w:firstLineChars="0"/>
        <w:outlineLvl w:val="9"/>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（货物类）</w:t>
      </w:r>
    </w:p>
    <w:p>
      <w:pPr>
        <w:pStyle w:val="701"/>
        <w:rPr>
          <w:rFonts w:hint="eastAsia" w:ascii="宋体" w:hAnsi="宋体" w:eastAsia="宋体" w:cs="宋体"/>
          <w:color w:val="auto"/>
          <w:szCs w:val="24"/>
          <w:highlight w:val="none"/>
        </w:rPr>
      </w:pPr>
    </w:p>
    <w:p>
      <w:pPr>
        <w:pStyle w:val="701"/>
        <w:rPr>
          <w:rFonts w:hint="eastAsia" w:ascii="宋体" w:hAnsi="宋体" w:eastAsia="宋体" w:cs="宋体"/>
          <w:color w:val="auto"/>
          <w:szCs w:val="24"/>
          <w:highlight w:val="none"/>
        </w:rPr>
      </w:pPr>
    </w:p>
    <w:p>
      <w:pPr>
        <w:pStyle w:val="701"/>
        <w:jc w:val="center"/>
        <w:rPr>
          <w:rFonts w:hint="eastAsia" w:ascii="宋体" w:hAnsi="宋体" w:eastAsia="宋体" w:cs="宋体"/>
          <w:color w:val="auto"/>
          <w:szCs w:val="24"/>
          <w:highlight w:val="none"/>
        </w:rPr>
      </w:pPr>
    </w:p>
    <w:p>
      <w:pPr>
        <w:pStyle w:val="701"/>
        <w:ind w:firstLine="2843" w:firstLineChars="118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第一部分 合同书</w:t>
      </w:r>
    </w:p>
    <w:p>
      <w:pPr>
        <w:pStyle w:val="701"/>
        <w:rPr>
          <w:rFonts w:hint="eastAsia" w:ascii="宋体" w:hAnsi="宋体" w:eastAsia="宋体" w:cs="宋体"/>
          <w:color w:val="auto"/>
          <w:szCs w:val="24"/>
          <w:highlight w:val="none"/>
        </w:rPr>
      </w:pPr>
    </w:p>
    <w:p>
      <w:pPr>
        <w:pStyle w:val="701"/>
        <w:rPr>
          <w:rFonts w:hint="eastAsia" w:ascii="宋体" w:hAnsi="宋体" w:eastAsia="宋体" w:cs="宋体"/>
          <w:color w:val="auto"/>
          <w:szCs w:val="24"/>
          <w:highlight w:val="none"/>
        </w:rPr>
      </w:pP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598"/>
        <w:spacing w:before="120" w:line="22" w:lineRule="atLeast"/>
        <w:rPr>
          <w:rFonts w:hint="eastAsia" w:ascii="宋体" w:hAnsi="宋体" w:eastAsia="宋体" w:cs="宋体"/>
          <w:color w:val="auto"/>
          <w:szCs w:val="24"/>
          <w:highlight w:val="none"/>
        </w:rPr>
      </w:pPr>
    </w:p>
    <w:p>
      <w:pPr>
        <w:pStyle w:val="598"/>
        <w:spacing w:before="120" w:line="22" w:lineRule="atLeast"/>
        <w:rPr>
          <w:rFonts w:hint="eastAsia" w:ascii="宋体" w:hAnsi="宋体" w:eastAsia="宋体" w:cs="宋体"/>
          <w:color w:val="auto"/>
          <w:szCs w:val="24"/>
          <w:highlight w:val="none"/>
        </w:rPr>
      </w:pPr>
    </w:p>
    <w:p>
      <w:pPr>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hint="eastAsia" w:ascii="宋体" w:hAnsi="宋体" w:eastAsia="宋体" w:cs="宋体"/>
          <w:color w:val="auto"/>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日</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rPr>
        <w:t>以</w:t>
      </w:r>
      <w:r>
        <w:rPr>
          <w:rFonts w:hint="eastAsia" w:ascii="宋体" w:hAnsi="宋体" w:eastAsia="宋体" w:cs="宋体"/>
          <w:color w:val="auto"/>
          <w:sz w:val="24"/>
          <w:highlight w:val="none"/>
          <w:u w:val="single"/>
        </w:rPr>
        <w:t xml:space="preserve">   （政府采购方式）  </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u w:val="single"/>
        </w:rPr>
        <w:t xml:space="preserve">   （项目名称、编号）   </w:t>
      </w:r>
      <w:r>
        <w:rPr>
          <w:rFonts w:hint="eastAsia" w:ascii="宋体" w:hAnsi="宋体" w:eastAsia="宋体" w:cs="宋体"/>
          <w:color w:val="auto"/>
          <w:sz w:val="24"/>
          <w:highlight w:val="none"/>
        </w:rPr>
        <w:t>项目进行了采购。经</w:t>
      </w:r>
      <w:r>
        <w:rPr>
          <w:rFonts w:hint="eastAsia" w:ascii="宋体" w:hAnsi="宋体" w:eastAsia="宋体" w:cs="宋体"/>
          <w:color w:val="auto"/>
          <w:sz w:val="24"/>
          <w:highlight w:val="none"/>
          <w:u w:val="single"/>
        </w:rPr>
        <w:t xml:space="preserve">   （相关评定主体名称）   </w:t>
      </w:r>
      <w:r>
        <w:rPr>
          <w:rFonts w:hint="eastAsia" w:ascii="宋体" w:hAnsi="宋体" w:eastAsia="宋体" w:cs="宋体"/>
          <w:color w:val="auto"/>
          <w:sz w:val="24"/>
          <w:highlight w:val="none"/>
        </w:rPr>
        <w:t>评定，</w:t>
      </w:r>
      <w:r>
        <w:rPr>
          <w:rFonts w:hint="eastAsia" w:ascii="宋体" w:hAnsi="宋体" w:eastAsia="宋体" w:cs="宋体"/>
          <w:color w:val="auto"/>
          <w:sz w:val="24"/>
          <w:highlight w:val="none"/>
          <w:u w:val="single"/>
        </w:rPr>
        <w:t xml:space="preserve">   （中标或者成交供应商名称）</w:t>
      </w:r>
      <w:r>
        <w:rPr>
          <w:rFonts w:hint="eastAsia" w:ascii="宋体" w:hAnsi="宋体" w:eastAsia="宋体" w:cs="宋体"/>
          <w:color w:val="auto"/>
          <w:sz w:val="24"/>
          <w:highlight w:val="none"/>
        </w:rPr>
        <w:t>为该项目中标或者成交供应商。现于中标或者成交通知书发出之日起10个工作日内，按照采购文件等确定的事项签订本合同。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根据《中华人民共和国民法典》《中华人民共和国政府采购法》等相关法律法规之规定，按照平等、自愿、公平、诚实信用和绿色的原则，经</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lang w:val="zh-CN"/>
        </w:rPr>
        <w:t>(以下简称：甲方)和</w:t>
      </w:r>
      <w:r>
        <w:rPr>
          <w:rFonts w:hint="eastAsia" w:ascii="宋体" w:hAnsi="宋体" w:eastAsia="宋体" w:cs="宋体"/>
          <w:color w:val="auto"/>
          <w:sz w:val="24"/>
          <w:highlight w:val="none"/>
          <w:u w:val="single"/>
        </w:rPr>
        <w:t xml:space="preserve">   （中标或者成交供应商名称）   </w:t>
      </w:r>
      <w:r>
        <w:rPr>
          <w:rFonts w:hint="eastAsia" w:ascii="宋体" w:hAnsi="宋体" w:eastAsia="宋体" w:cs="宋体"/>
          <w:color w:val="auto"/>
          <w:sz w:val="24"/>
          <w:highlight w:val="none"/>
          <w:lang w:val="zh-CN"/>
        </w:rPr>
        <w:t>(以下简称：乙方)协商一致，约定以下合同</w:t>
      </w:r>
      <w:r>
        <w:rPr>
          <w:rFonts w:hint="eastAsia" w:ascii="宋体" w:hAnsi="宋体" w:eastAsia="宋体" w:cs="宋体"/>
          <w:color w:val="auto"/>
          <w:sz w:val="24"/>
          <w:highlight w:val="none"/>
        </w:rPr>
        <w:t>条款，以兹共同遵守、全面履行。</w:t>
      </w:r>
    </w:p>
    <w:p>
      <w:pPr>
        <w:spacing w:line="560" w:lineRule="exact"/>
        <w:ind w:firstLine="482" w:firstLineChars="200"/>
        <w:outlineLvl w:val="0"/>
        <w:rPr>
          <w:rFonts w:hint="eastAsia" w:ascii="宋体" w:hAnsi="宋体" w:eastAsia="宋体" w:cs="宋体"/>
          <w:b/>
          <w:color w:val="auto"/>
          <w:sz w:val="24"/>
          <w:highlight w:val="none"/>
        </w:rPr>
      </w:pPr>
      <w:bookmarkStart w:id="399" w:name="_Toc3029"/>
      <w:bookmarkStart w:id="400" w:name="_Toc2232"/>
      <w:bookmarkStart w:id="401" w:name="_Toc24059"/>
      <w:r>
        <w:rPr>
          <w:rFonts w:hint="eastAsia" w:ascii="宋体" w:hAnsi="宋体" w:eastAsia="宋体" w:cs="宋体"/>
          <w:b/>
          <w:color w:val="auto"/>
          <w:sz w:val="24"/>
          <w:highlight w:val="none"/>
        </w:rPr>
        <w:t>1.1 合同组成部分</w:t>
      </w:r>
      <w:bookmarkEnd w:id="399"/>
      <w:bookmarkEnd w:id="400"/>
      <w:bookmarkEnd w:id="40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 本合同及其补充合同、变更协议；</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 中标或者成交通知书；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 投标或者响应文件（含澄清或者说明文件）；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 采购文件（含澄清或者修改文件）；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 其他相关采购文件。</w:t>
      </w:r>
    </w:p>
    <w:p>
      <w:pPr>
        <w:spacing w:line="560" w:lineRule="exact"/>
        <w:ind w:firstLine="482" w:firstLineChars="200"/>
        <w:outlineLvl w:val="0"/>
        <w:rPr>
          <w:rFonts w:hint="eastAsia" w:ascii="宋体" w:hAnsi="宋体" w:eastAsia="宋体" w:cs="宋体"/>
          <w:b/>
          <w:color w:val="auto"/>
          <w:sz w:val="24"/>
          <w:highlight w:val="none"/>
        </w:rPr>
      </w:pPr>
      <w:bookmarkStart w:id="402" w:name="_Toc27126"/>
      <w:bookmarkStart w:id="403" w:name="_Toc21295"/>
      <w:bookmarkStart w:id="404" w:name="_Toc24300"/>
      <w:r>
        <w:rPr>
          <w:rFonts w:hint="eastAsia" w:ascii="宋体" w:hAnsi="宋体" w:eastAsia="宋体" w:cs="宋体"/>
          <w:b/>
          <w:color w:val="auto"/>
          <w:sz w:val="24"/>
          <w:highlight w:val="none"/>
        </w:rPr>
        <w:t>1.2 货物</w:t>
      </w:r>
      <w:bookmarkEnd w:id="402"/>
      <w:bookmarkEnd w:id="403"/>
      <w:bookmarkEnd w:id="404"/>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1.2.1 货物名称、品牌、规格型号、花色：</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1.2.2 货物数量：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1.2.3 货物质量：</w:t>
      </w:r>
      <w:r>
        <w:rPr>
          <w:rFonts w:hint="eastAsia" w:ascii="宋体" w:hAnsi="宋体" w:eastAsia="宋体" w:cs="宋体"/>
          <w:color w:val="auto"/>
          <w:sz w:val="24"/>
          <w:highlight w:val="none"/>
          <w:u w:val="single"/>
        </w:rPr>
        <w:t>　　　　　　　　　                      　      ；</w:t>
      </w:r>
    </w:p>
    <w:p>
      <w:pPr>
        <w:spacing w:line="560" w:lineRule="exact"/>
        <w:ind w:firstLine="482" w:firstLineChars="200"/>
        <w:outlineLvl w:val="0"/>
        <w:rPr>
          <w:rFonts w:hint="eastAsia" w:ascii="宋体" w:hAnsi="宋体" w:eastAsia="宋体" w:cs="宋体"/>
          <w:b/>
          <w:color w:val="auto"/>
          <w:sz w:val="24"/>
          <w:highlight w:val="none"/>
        </w:rPr>
      </w:pPr>
      <w:bookmarkStart w:id="405" w:name="_Toc21631"/>
      <w:bookmarkStart w:id="406" w:name="_Toc23292"/>
      <w:bookmarkStart w:id="407" w:name="_Toc21551"/>
      <w:r>
        <w:rPr>
          <w:rFonts w:hint="eastAsia" w:ascii="宋体" w:hAnsi="宋体" w:eastAsia="宋体" w:cs="宋体"/>
          <w:b/>
          <w:color w:val="auto"/>
          <w:sz w:val="24"/>
          <w:highlight w:val="none"/>
        </w:rPr>
        <w:t>1.3 价款</w:t>
      </w:r>
      <w:bookmarkEnd w:id="405"/>
      <w:bookmarkEnd w:id="406"/>
      <w:bookmarkEnd w:id="40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本合同总价（含税）为：￥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int="eastAsia" w:ascii="宋体" w:hAnsi="宋体" w:eastAsia="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int="eastAsia" w:ascii="宋体" w:hAnsi="宋体" w:eastAsia="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int="eastAsia" w:ascii="宋体" w:hAnsi="宋体" w:eastAsia="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int="eastAsia" w:ascii="宋体" w:hAnsi="宋体" w:eastAsia="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int="eastAsia" w:ascii="宋体" w:hAnsi="宋体" w:eastAsia="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int="eastAsia" w:ascii="宋体" w:hAnsi="宋体" w:eastAsia="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int="eastAsia" w:ascii="宋体" w:hAnsi="宋体" w:eastAsia="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int="eastAsia" w:ascii="宋体" w:hAnsi="宋体" w:eastAsia="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int="eastAsia" w:ascii="宋体" w:hAnsi="宋体" w:eastAsia="宋体" w:cs="宋体"/>
                <w:color w:val="auto"/>
                <w:sz w:val="24"/>
                <w:szCs w:val="24"/>
                <w:highlight w:val="none"/>
              </w:rPr>
            </w:pPr>
          </w:p>
        </w:tc>
      </w:tr>
    </w:tbl>
    <w:p>
      <w:pPr>
        <w:pStyle w:val="959"/>
        <w:spacing w:before="0" w:beforeAutospacing="0" w:after="0" w:afterAutospacing="0" w:line="360" w:lineRule="auto"/>
        <w:ind w:firstLine="480"/>
        <w:rPr>
          <w:rFonts w:hint="eastAsia" w:ascii="宋体" w:hAnsi="宋体" w:eastAsia="宋体" w:cs="宋体"/>
          <w:b/>
          <w:color w:val="auto"/>
          <w:highlight w:val="none"/>
        </w:rPr>
      </w:pPr>
      <w:bookmarkStart w:id="408" w:name="_Toc22618"/>
      <w:bookmarkStart w:id="409" w:name="_Toc1814"/>
      <w:bookmarkStart w:id="410" w:name="_Toc10340"/>
      <w:r>
        <w:rPr>
          <w:rFonts w:hint="eastAsia" w:ascii="宋体" w:hAnsi="宋体" w:eastAsia="宋体" w:cs="宋体"/>
          <w:b/>
          <w:color w:val="auto"/>
          <w:highlight w:val="none"/>
        </w:rPr>
        <w:t>1.4履约保证金</w:t>
      </w:r>
    </w:p>
    <w:p>
      <w:pPr>
        <w:pStyle w:val="959"/>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（是/否）需要支付履约保证金。若需要支付履约保证金的，则：</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1.4.1履约保证金的比例为合同金额的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1.4.2履约保证金支付方式详见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4"/>
        <w:tabs>
          <w:tab w:val="left" w:pos="0"/>
          <w:tab w:val="clear" w:pos="432"/>
        </w:tabs>
        <w:spacing w:line="560" w:lineRule="exact"/>
        <w:ind w:left="0" w:firstLine="480" w:firstLineChars="200"/>
        <w:rPr>
          <w:rFonts w:hint="eastAsia"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宋体" w:hAnsi="宋体" w:eastAsia="宋体" w:cs="宋体"/>
          <w:color w:val="auto"/>
          <w:highlight w:val="none"/>
        </w:rPr>
      </w:pPr>
      <w:r>
        <w:rPr>
          <w:rFonts w:hint="eastAsia" w:ascii="宋体" w:hAnsi="宋体" w:eastAsia="宋体" w:cs="宋体"/>
          <w:color w:val="auto"/>
          <w:kern w:val="0"/>
          <w:sz w:val="24"/>
          <w:highlight w:val="none"/>
        </w:rPr>
        <w:t>1.4.4 甲方在项目验收结束后及时退还履约保证金。甲方在项目通过验收之日起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eastAsia="宋体" w:cs="宋体"/>
          <w:color w:val="auto"/>
          <w:kern w:val="0"/>
          <w:sz w:val="24"/>
          <w:highlight w:val="none"/>
          <w:u w:val="single"/>
        </w:rPr>
        <w:t xml:space="preserve">  0.05（可根据情况修改）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%计算，最高限额为本合同履约保证金的</w:t>
      </w:r>
      <w:r>
        <w:rPr>
          <w:rFonts w:hint="eastAsia" w:ascii="宋体" w:hAnsi="宋体" w:eastAsia="宋体" w:cs="宋体"/>
          <w:color w:val="auto"/>
          <w:kern w:val="0"/>
          <w:sz w:val="24"/>
          <w:highlight w:val="none"/>
          <w:u w:val="single"/>
        </w:rPr>
        <w:t xml:space="preserve">  20  </w:t>
      </w:r>
      <w:r>
        <w:rPr>
          <w:rFonts w:hint="eastAsia" w:ascii="宋体" w:hAnsi="宋体" w:eastAsia="宋体" w:cs="宋体"/>
          <w:color w:val="auto"/>
          <w:kern w:val="0"/>
          <w:sz w:val="24"/>
          <w:highlight w:val="none"/>
        </w:rPr>
        <w:t xml:space="preserve"> %。</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1.5</w:t>
      </w:r>
      <w:bookmarkEnd w:id="408"/>
      <w:bookmarkEnd w:id="409"/>
      <w:bookmarkEnd w:id="410"/>
      <w:r>
        <w:rPr>
          <w:rFonts w:hint="eastAsia" w:ascii="宋体" w:hAnsi="宋体" w:eastAsia="宋体" w:cs="宋体"/>
          <w:b/>
          <w:color w:val="auto"/>
          <w:sz w:val="24"/>
          <w:highlight w:val="none"/>
        </w:rPr>
        <w:t>预付款</w:t>
      </w:r>
    </w:p>
    <w:p>
      <w:pPr>
        <w:pStyle w:val="959"/>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（是/否）需要支付预付款。若需要支付预付款的，则：</w:t>
      </w:r>
    </w:p>
    <w:p>
      <w:pPr>
        <w:spacing w:line="56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1.5.1预付款比例、支付方式、时间详见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959"/>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1.5.2预付款的扣回方式详见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959"/>
        <w:spacing w:before="0" w:beforeAutospacing="0" w:after="0" w:afterAutospacing="0" w:line="360" w:lineRule="auto"/>
        <w:ind w:firstLine="480"/>
        <w:rPr>
          <w:rFonts w:hint="eastAsia" w:ascii="宋体" w:hAnsi="宋体" w:eastAsia="宋体" w:cs="宋体"/>
          <w:color w:val="auto"/>
          <w:highlight w:val="none"/>
          <w:u w:val="single"/>
        </w:rPr>
      </w:pPr>
      <w:r>
        <w:rPr>
          <w:rFonts w:hint="eastAsia" w:ascii="宋体" w:hAnsi="宋体" w:eastAsia="宋体" w:cs="宋体"/>
          <w:color w:val="auto"/>
          <w:highlight w:val="none"/>
        </w:rPr>
        <w:t>1.5.3预付款的担保措施详见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959"/>
        <w:spacing w:before="0" w:beforeAutospacing="0" w:after="0" w:afterAutospacing="0" w:line="360" w:lineRule="auto"/>
        <w:ind w:firstLine="480"/>
        <w:rPr>
          <w:rFonts w:hint="eastAsia" w:ascii="宋体" w:hAnsi="宋体" w:eastAsia="宋体" w:cs="宋体"/>
          <w:b/>
          <w:bCs/>
          <w:color w:val="auto"/>
          <w:highlight w:val="none"/>
        </w:rPr>
      </w:pPr>
      <w:r>
        <w:rPr>
          <w:rFonts w:hint="eastAsia" w:ascii="宋体" w:hAnsi="宋体" w:eastAsia="宋体" w:cs="宋体"/>
          <w:b/>
          <w:bCs/>
          <w:color w:val="auto"/>
          <w:highlight w:val="none"/>
        </w:rPr>
        <w:t>1.6资金支付</w:t>
      </w:r>
    </w:p>
    <w:p>
      <w:pPr>
        <w:pStyle w:val="959"/>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1.6.2资金支付的方式、时间和条件详见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11" w:name="_Toc32071"/>
      <w:bookmarkStart w:id="412" w:name="_Toc19304"/>
      <w:bookmarkStart w:id="413" w:name="_Toc2846"/>
      <w:r>
        <w:rPr>
          <w:rFonts w:hint="eastAsia" w:ascii="宋体" w:hAnsi="宋体" w:eastAsia="宋体" w:cs="宋体"/>
          <w:b/>
          <w:color w:val="auto"/>
          <w:sz w:val="24"/>
          <w:highlight w:val="none"/>
        </w:rPr>
        <w:t>1.7货物交付期限、地点和方式</w:t>
      </w:r>
      <w:bookmarkEnd w:id="411"/>
      <w:bookmarkEnd w:id="412"/>
      <w:bookmarkEnd w:id="413"/>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1.7.1 交付期限：详见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 交付地点：</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1.7.3 交付方式：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14" w:name="_Toc19554"/>
      <w:bookmarkStart w:id="415" w:name="_Toc27250"/>
      <w:bookmarkStart w:id="416" w:name="_Toc21423"/>
      <w:r>
        <w:rPr>
          <w:rFonts w:hint="eastAsia" w:ascii="宋体" w:hAnsi="宋体" w:eastAsia="宋体" w:cs="宋体"/>
          <w:b/>
          <w:color w:val="auto"/>
          <w:sz w:val="24"/>
          <w:highlight w:val="none"/>
        </w:rPr>
        <w:t>1.8违约责任</w:t>
      </w:r>
      <w:bookmarkEnd w:id="414"/>
      <w:bookmarkEnd w:id="415"/>
      <w:bookmarkEnd w:id="41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color w:val="auto"/>
          <w:sz w:val="24"/>
          <w:highlight w:val="none"/>
          <w:u w:val="single"/>
        </w:rPr>
        <w:t xml:space="preserve">  0.05</w:t>
      </w:r>
      <w:r>
        <w:rPr>
          <w:rFonts w:hint="eastAsia" w:ascii="宋体" w:hAnsi="宋体" w:eastAsia="宋体" w:cs="宋体"/>
          <w:color w:val="auto"/>
          <w:kern w:val="0"/>
          <w:sz w:val="24"/>
          <w:highlight w:val="none"/>
          <w:u w:val="single"/>
        </w:rPr>
        <w:t>（可根据情况修改）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1.8.2 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0.05</w:t>
      </w:r>
      <w:r>
        <w:rPr>
          <w:rFonts w:hint="eastAsia" w:ascii="宋体" w:hAnsi="宋体" w:eastAsia="宋体" w:cs="宋体"/>
          <w:color w:val="auto"/>
          <w:kern w:val="0"/>
          <w:sz w:val="24"/>
          <w:highlight w:val="none"/>
          <w:u w:val="single"/>
        </w:rPr>
        <w:t>（可根据情况修改）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hint="eastAsia" w:ascii="宋体" w:hAnsi="宋体" w:eastAsia="宋体" w:cs="宋体"/>
          <w:color w:val="auto"/>
          <w:highlight w:val="none"/>
        </w:rPr>
      </w:pPr>
      <w:r>
        <w:rPr>
          <w:rFonts w:hint="eastAsia" w:ascii="宋体" w:hAnsi="宋体" w:eastAsia="宋体" w:cs="宋体"/>
          <w:color w:val="auto"/>
          <w:sz w:val="24"/>
          <w:highlight w:val="none"/>
        </w:rPr>
        <w:t>1.8.6违约责任</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另有约定的，从其约定。</w:t>
      </w:r>
    </w:p>
    <w:p>
      <w:pPr>
        <w:spacing w:line="560" w:lineRule="exact"/>
        <w:ind w:firstLine="482" w:firstLineChars="200"/>
        <w:outlineLvl w:val="0"/>
        <w:rPr>
          <w:rFonts w:hint="eastAsia" w:ascii="宋体" w:hAnsi="宋体" w:eastAsia="宋体" w:cs="宋体"/>
          <w:b/>
          <w:color w:val="auto"/>
          <w:sz w:val="24"/>
          <w:highlight w:val="none"/>
        </w:rPr>
      </w:pPr>
      <w:bookmarkStart w:id="417" w:name="_Toc15583"/>
      <w:bookmarkStart w:id="418" w:name="_Toc16021"/>
      <w:bookmarkStart w:id="419" w:name="_Toc28375"/>
      <w:r>
        <w:rPr>
          <w:rFonts w:hint="eastAsia" w:ascii="宋体" w:hAnsi="宋体" w:eastAsia="宋体" w:cs="宋体"/>
          <w:b/>
          <w:color w:val="auto"/>
          <w:sz w:val="24"/>
          <w:highlight w:val="none"/>
        </w:rPr>
        <w:t>1.9合同争议的解决</w:t>
      </w:r>
      <w:bookmarkEnd w:id="417"/>
      <w:bookmarkEnd w:id="418"/>
      <w:bookmarkEnd w:id="419"/>
    </w:p>
    <w:p>
      <w:pPr>
        <w:spacing w:line="560" w:lineRule="exact"/>
        <w:ind w:left="-61" w:leftChars="-29" w:right="-420" w:rightChars="-20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w:t>
      </w:r>
      <w:r>
        <w:rPr>
          <w:rFonts w:hint="eastAsia" w:ascii="宋体" w:hAnsi="宋体" w:eastAsia="宋体" w:cs="宋体"/>
          <w:color w:val="auto"/>
          <w:sz w:val="24"/>
          <w:highlight w:val="none"/>
        </w:rPr>
        <w:t>条款规定的方式解决：</w:t>
      </w:r>
    </w:p>
    <w:p>
      <w:pPr>
        <w:spacing w:line="560" w:lineRule="exact"/>
        <w:ind w:left="-420" w:leftChars="-200" w:right="-420" w:rightChars="-200" w:firstLine="840" w:firstLine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1.9.1 将争议提交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仲裁委员会依申请仲裁时其现行有效的仲裁规则裁决；</w:t>
      </w:r>
    </w:p>
    <w:p>
      <w:pPr>
        <w:spacing w:line="560" w:lineRule="exact"/>
        <w:ind w:left="-420" w:leftChars="-200" w:right="-420" w:rightChars="-200" w:firstLine="840" w:firstLine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1.9.2 向</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人民法院起诉。</w:t>
      </w:r>
    </w:p>
    <w:p>
      <w:pPr>
        <w:spacing w:line="560" w:lineRule="exact"/>
        <w:ind w:firstLine="482" w:firstLineChars="200"/>
        <w:outlineLvl w:val="0"/>
        <w:rPr>
          <w:rFonts w:hint="eastAsia" w:ascii="宋体" w:hAnsi="宋体" w:eastAsia="宋体" w:cs="宋体"/>
          <w:b/>
          <w:color w:val="auto"/>
          <w:sz w:val="24"/>
          <w:highlight w:val="none"/>
        </w:rPr>
      </w:pPr>
      <w:bookmarkStart w:id="420" w:name="_Toc7245"/>
      <w:bookmarkStart w:id="421" w:name="_Toc15322"/>
      <w:bookmarkStart w:id="422" w:name="_Toc11173"/>
      <w:r>
        <w:rPr>
          <w:rFonts w:hint="eastAsia" w:ascii="宋体" w:hAnsi="宋体" w:eastAsia="宋体" w:cs="宋体"/>
          <w:b/>
          <w:color w:val="auto"/>
          <w:sz w:val="24"/>
          <w:highlight w:val="none"/>
        </w:rPr>
        <w:t>2.0 合同生效</w:t>
      </w:r>
      <w:bookmarkEnd w:id="420"/>
      <w:bookmarkEnd w:id="421"/>
      <w:bookmarkEnd w:id="422"/>
    </w:p>
    <w:p>
      <w:pPr>
        <w:spacing w:line="5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本合同自双方当事人盖章签字时生效。</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b/>
          <w:color w:val="auto"/>
          <w:sz w:val="24"/>
          <w:highlight w:val="none"/>
          <w:lang w:val="zh-CN"/>
        </w:rPr>
        <w:t>甲方</w:t>
      </w:r>
      <w:r>
        <w:rPr>
          <w:rFonts w:hint="eastAsia" w:ascii="宋体" w:hAnsi="宋体" w:eastAsia="宋体" w:cs="宋体"/>
          <w:color w:val="auto"/>
          <w:sz w:val="24"/>
          <w:highlight w:val="none"/>
          <w:lang w:val="zh-CN"/>
        </w:rPr>
        <w:t xml:space="preserve">：                             </w:t>
      </w:r>
      <w:r>
        <w:rPr>
          <w:rFonts w:hint="eastAsia" w:ascii="宋体" w:hAnsi="宋体" w:eastAsia="宋体" w:cs="宋体"/>
          <w:b/>
          <w:color w:val="auto"/>
          <w:sz w:val="24"/>
          <w:highlight w:val="none"/>
          <w:lang w:val="zh-CN"/>
        </w:rPr>
        <w:t xml:space="preserve">      乙方</w:t>
      </w:r>
      <w:r>
        <w:rPr>
          <w:rFonts w:hint="eastAsia" w:ascii="宋体" w:hAnsi="宋体" w:eastAsia="宋体" w:cs="宋体"/>
          <w:color w:val="auto"/>
          <w:sz w:val="24"/>
          <w:highlight w:val="none"/>
          <w:lang w:val="zh-CN"/>
        </w:rPr>
        <w:t>：</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统一社会信用代码：                        统一社会信用代码或身份证号码：</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住所：                                   住所：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法定代表人或                             法定代表人</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授权代表（签字）：                        或授权代表（签字）: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联系人：                                 联系人：</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约定送达地址：                           约定送达地址：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邮政编码：                               邮政编码：</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电话:                                    电话: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传真:                                    传真:</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电子邮箱：                               电子邮箱：</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开户名称：                               开户名称：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开户账号：</w:t>
      </w:r>
    </w:p>
    <w:p>
      <w:pPr>
        <w:pStyle w:val="4"/>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701"/>
        <w:spacing w:line="560" w:lineRule="exact"/>
        <w:ind w:firstLine="482"/>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第二部分 合同一般条款</w:t>
      </w:r>
    </w:p>
    <w:p>
      <w:pPr>
        <w:spacing w:line="560" w:lineRule="exact"/>
        <w:ind w:firstLine="482" w:firstLineChars="200"/>
        <w:outlineLvl w:val="0"/>
        <w:rPr>
          <w:rFonts w:hint="eastAsia" w:ascii="宋体" w:hAnsi="宋体" w:eastAsia="宋体" w:cs="宋体"/>
          <w:b/>
          <w:color w:val="auto"/>
          <w:sz w:val="24"/>
          <w:highlight w:val="none"/>
        </w:rPr>
      </w:pPr>
      <w:bookmarkStart w:id="423" w:name="_Ref467379094"/>
      <w:bookmarkStart w:id="424" w:name="_Toc28763"/>
      <w:bookmarkStart w:id="425" w:name="_Ref467379214"/>
      <w:bookmarkStart w:id="426" w:name="_Toc19614"/>
      <w:bookmarkStart w:id="427" w:name="_Toc259093669"/>
      <w:bookmarkStart w:id="428" w:name="_Ref467379195"/>
      <w:bookmarkStart w:id="429" w:name="_Toc16917"/>
      <w:bookmarkStart w:id="430" w:name="_Ref467379109"/>
      <w:bookmarkStart w:id="431" w:name="_Ref467379101"/>
      <w:bookmarkStart w:id="432" w:name="_Ref467379205"/>
      <w:bookmarkStart w:id="433" w:name="_Toc487900349"/>
      <w:bookmarkStart w:id="434" w:name="_Ref467378463"/>
      <w:bookmarkStart w:id="435" w:name="_Toc279701240"/>
      <w:bookmarkStart w:id="436" w:name="_Ref467378499"/>
      <w:bookmarkStart w:id="437" w:name="_Ref467378404"/>
      <w:bookmarkStart w:id="438" w:name="_Ref467379225"/>
      <w:r>
        <w:rPr>
          <w:rFonts w:hint="eastAsia" w:ascii="宋体" w:hAnsi="宋体" w:eastAsia="宋体" w:cs="宋体"/>
          <w:b/>
          <w:color w:val="auto"/>
          <w:sz w:val="24"/>
          <w:highlight w:val="none"/>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本合同中的下列词语应按以下内容进行解释：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宋体" w:hAnsi="宋体" w:eastAsia="宋体" w:cs="宋体"/>
          <w:color w:val="auto"/>
          <w:sz w:val="24"/>
          <w:highlight w:val="none"/>
        </w:rPr>
      </w:pPr>
      <w:bookmarkStart w:id="439" w:name="_Ref467378840"/>
      <w:r>
        <w:rPr>
          <w:rFonts w:hint="eastAsia" w:ascii="宋体" w:hAnsi="宋体" w:eastAsia="宋体" w:cs="宋体"/>
          <w:color w:val="auto"/>
          <w:sz w:val="24"/>
          <w:highlight w:val="none"/>
        </w:rPr>
        <w:t>2.1.4 “甲方”系指与中标或成交供应商签署合同的采购人</w:t>
      </w:r>
      <w:bookmarkEnd w:id="439"/>
      <w:r>
        <w:rPr>
          <w:rFonts w:hint="eastAsia" w:ascii="宋体" w:hAnsi="宋体" w:eastAsia="宋体" w:cs="宋体"/>
          <w:color w:val="auto"/>
          <w:sz w:val="24"/>
          <w:highlight w:val="none"/>
        </w:rPr>
        <w:t>；采购人委托采购代理机构代表其与乙方签订合同的，采购人的授权委托书作为合同附件。</w:t>
      </w:r>
    </w:p>
    <w:p>
      <w:pPr>
        <w:spacing w:line="560" w:lineRule="exact"/>
        <w:ind w:firstLine="480" w:firstLineChars="200"/>
        <w:rPr>
          <w:rFonts w:hint="eastAsia" w:ascii="宋体" w:hAnsi="宋体" w:eastAsia="宋体" w:cs="宋体"/>
          <w:color w:val="auto"/>
          <w:sz w:val="24"/>
          <w:highlight w:val="none"/>
        </w:rPr>
      </w:pPr>
      <w:bookmarkStart w:id="440" w:name="_Ref467379400"/>
      <w:r>
        <w:rPr>
          <w:rFonts w:hint="eastAsia" w:ascii="宋体" w:hAnsi="宋体" w:eastAsia="宋体" w:cs="宋体"/>
          <w:color w:val="auto"/>
          <w:sz w:val="24"/>
          <w:highlight w:val="none"/>
        </w:rPr>
        <w:t>2.1.5 “乙方”系指根据合同约定交付货物的中标或成交供应商</w:t>
      </w:r>
      <w:bookmarkEnd w:id="440"/>
      <w:r>
        <w:rPr>
          <w:rFonts w:hint="eastAsia" w:ascii="宋体" w:hAnsi="宋体" w:eastAsia="宋体" w:cs="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color w:val="auto"/>
          <w:sz w:val="24"/>
          <w:highlight w:val="none"/>
        </w:rPr>
      </w:pPr>
      <w:bookmarkStart w:id="441" w:name="_Ref467379436"/>
      <w:r>
        <w:rPr>
          <w:rFonts w:hint="eastAsia" w:ascii="宋体" w:hAnsi="宋体" w:eastAsia="宋体" w:cs="宋体"/>
          <w:color w:val="auto"/>
          <w:sz w:val="24"/>
          <w:highlight w:val="none"/>
        </w:rPr>
        <w:t>2.1.6 “现场”系指合同约定货物将要运至或者安装的地点。</w:t>
      </w:r>
      <w:bookmarkEnd w:id="441"/>
    </w:p>
    <w:p>
      <w:pPr>
        <w:spacing w:line="560" w:lineRule="exact"/>
        <w:ind w:firstLine="482" w:firstLineChars="200"/>
        <w:outlineLvl w:val="0"/>
        <w:rPr>
          <w:rFonts w:hint="eastAsia" w:ascii="宋体" w:hAnsi="宋体" w:eastAsia="宋体" w:cs="宋体"/>
          <w:b/>
          <w:color w:val="auto"/>
          <w:sz w:val="24"/>
          <w:highlight w:val="none"/>
        </w:rPr>
      </w:pPr>
      <w:bookmarkStart w:id="442" w:name="_Toc487900350"/>
      <w:bookmarkStart w:id="443" w:name="_Toc13336"/>
      <w:bookmarkStart w:id="444" w:name="_Toc279701241"/>
      <w:bookmarkStart w:id="445" w:name="_Toc27635"/>
      <w:bookmarkStart w:id="446" w:name="_Toc259093670"/>
      <w:bookmarkStart w:id="447" w:name="_Toc32504"/>
      <w:r>
        <w:rPr>
          <w:rFonts w:hint="eastAsia" w:ascii="宋体" w:hAnsi="宋体" w:eastAsia="宋体" w:cs="宋体"/>
          <w:b/>
          <w:color w:val="auto"/>
          <w:sz w:val="24"/>
          <w:highlight w:val="none"/>
        </w:rPr>
        <w:t>2.2 技术规范</w:t>
      </w:r>
      <w:bookmarkEnd w:id="442"/>
      <w:bookmarkEnd w:id="443"/>
      <w:bookmarkEnd w:id="444"/>
      <w:bookmarkEnd w:id="445"/>
      <w:bookmarkEnd w:id="446"/>
      <w:bookmarkEnd w:id="44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color w:val="auto"/>
          <w:sz w:val="24"/>
          <w:highlight w:val="none"/>
        </w:rPr>
      </w:pPr>
      <w:bookmarkStart w:id="448" w:name="_Toc487900351"/>
      <w:bookmarkStart w:id="449" w:name="_Toc9829"/>
      <w:bookmarkStart w:id="450" w:name="_Toc27853"/>
      <w:bookmarkStart w:id="451" w:name="_Toc31634"/>
      <w:bookmarkStart w:id="452" w:name="_Toc279701242"/>
      <w:bookmarkStart w:id="453" w:name="_Toc259093671"/>
      <w:r>
        <w:rPr>
          <w:rFonts w:hint="eastAsia" w:ascii="宋体" w:hAnsi="宋体" w:eastAsia="宋体" w:cs="宋体"/>
          <w:b/>
          <w:color w:val="auto"/>
          <w:sz w:val="24"/>
          <w:highlight w:val="none"/>
        </w:rPr>
        <w:t>2.3 知识产权</w:t>
      </w:r>
      <w:bookmarkEnd w:id="448"/>
      <w:bookmarkEnd w:id="449"/>
      <w:bookmarkEnd w:id="450"/>
      <w:bookmarkEnd w:id="451"/>
      <w:bookmarkEnd w:id="452"/>
      <w:bookmarkEnd w:id="45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2.3.2具有知识产权的计算机软件等货物的知识产权归属，详见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54" w:name="_Toc11932"/>
      <w:bookmarkStart w:id="455" w:name="_Toc4194"/>
      <w:bookmarkStart w:id="456" w:name="_Toc29149"/>
      <w:r>
        <w:rPr>
          <w:rFonts w:hint="eastAsia" w:ascii="宋体" w:hAnsi="宋体" w:eastAsia="宋体" w:cs="宋体"/>
          <w:b/>
          <w:color w:val="auto"/>
          <w:sz w:val="24"/>
          <w:highlight w:val="none"/>
        </w:rPr>
        <w:t>2.4 包装和装运</w:t>
      </w:r>
      <w:bookmarkEnd w:id="454"/>
      <w:bookmarkEnd w:id="455"/>
      <w:bookmarkEnd w:id="45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2.4.3 装运货物的要求和通知，详见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57" w:name="_Ref467378591"/>
      <w:bookmarkStart w:id="458" w:name="_Toc487900354"/>
      <w:bookmarkStart w:id="459" w:name="_Ref467379536"/>
      <w:bookmarkStart w:id="460" w:name="_Ref467378541"/>
      <w:bookmarkStart w:id="461" w:name="_Toc259093674"/>
      <w:bookmarkStart w:id="462" w:name="_Ref467379542"/>
      <w:bookmarkStart w:id="463" w:name="_Toc279701245"/>
      <w:bookmarkStart w:id="464" w:name="_Ref467379527"/>
      <w:bookmarkStart w:id="465" w:name="_Toc26182"/>
      <w:bookmarkStart w:id="466" w:name="_Toc30272"/>
      <w:bookmarkStart w:id="467" w:name="_Toc19074"/>
      <w:r>
        <w:rPr>
          <w:rFonts w:hint="eastAsia" w:ascii="宋体" w:hAnsi="宋体" w:eastAsia="宋体" w:cs="宋体"/>
          <w:b/>
          <w:color w:val="auto"/>
          <w:sz w:val="24"/>
          <w:highlight w:val="none"/>
        </w:rPr>
        <w:t>2.</w:t>
      </w:r>
      <w:bookmarkEnd w:id="457"/>
      <w:bookmarkEnd w:id="458"/>
      <w:bookmarkEnd w:id="459"/>
      <w:bookmarkEnd w:id="460"/>
      <w:bookmarkEnd w:id="461"/>
      <w:bookmarkEnd w:id="462"/>
      <w:bookmarkEnd w:id="463"/>
      <w:bookmarkEnd w:id="464"/>
      <w:r>
        <w:rPr>
          <w:rFonts w:hint="eastAsia" w:ascii="宋体" w:hAnsi="宋体" w:eastAsia="宋体" w:cs="宋体"/>
          <w:b/>
          <w:color w:val="auto"/>
          <w:sz w:val="24"/>
          <w:highlight w:val="none"/>
        </w:rPr>
        <w:t>5 履约检查和问题反馈</w:t>
      </w:r>
      <w:bookmarkEnd w:id="465"/>
      <w:bookmarkEnd w:id="466"/>
      <w:bookmarkEnd w:id="467"/>
    </w:p>
    <w:p>
      <w:pPr>
        <w:spacing w:line="560" w:lineRule="exact"/>
        <w:ind w:firstLine="480" w:firstLineChars="200"/>
        <w:rPr>
          <w:rFonts w:hint="eastAsia" w:ascii="宋体" w:hAnsi="宋体" w:eastAsia="宋体" w:cs="宋体"/>
          <w:color w:val="auto"/>
          <w:sz w:val="24"/>
          <w:highlight w:val="none"/>
        </w:rPr>
      </w:pPr>
      <w:bookmarkStart w:id="468" w:name="_Ref467379657"/>
      <w:r>
        <w:rPr>
          <w:rFonts w:hint="eastAsia" w:ascii="宋体" w:hAnsi="宋体" w:eastAsia="宋体" w:cs="宋体"/>
          <w:color w:val="auto"/>
          <w:sz w:val="24"/>
          <w:highlight w:val="none"/>
        </w:rPr>
        <w:t>2.5.1</w:t>
      </w:r>
      <w:bookmarkEnd w:id="468"/>
      <w:bookmarkStart w:id="469" w:name="_Toc186431854"/>
      <w:bookmarkStart w:id="470" w:name="_Ref467379807"/>
      <w:bookmarkStart w:id="471" w:name="_Toc259093676"/>
      <w:bookmarkStart w:id="472" w:name="_Ref467379793"/>
      <w:bookmarkStart w:id="473" w:name="_Toc279701247"/>
      <w:bookmarkStart w:id="474" w:name="_Toc487900357"/>
      <w:r>
        <w:rPr>
          <w:rFonts w:hint="eastAsia" w:ascii="宋体" w:hAnsi="宋体" w:eastAsia="宋体" w:cs="宋体"/>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2.5.2 合同履行期间，甲方有权将履行过程中出现的问题反馈给乙方，双方当事人应以书面形式约定需要完善和改进的内容</w:t>
      </w:r>
      <w:bookmarkEnd w:id="469"/>
      <w:bookmarkStart w:id="475" w:name="_Toc186431855"/>
      <w:r>
        <w:rPr>
          <w:rFonts w:hint="eastAsia" w:ascii="宋体" w:hAnsi="宋体" w:eastAsia="宋体" w:cs="宋体"/>
          <w:color w:val="auto"/>
          <w:sz w:val="24"/>
          <w:highlight w:val="none"/>
        </w:rPr>
        <w:t>。</w:t>
      </w:r>
    </w:p>
    <w:bookmarkEnd w:id="470"/>
    <w:bookmarkEnd w:id="471"/>
    <w:bookmarkEnd w:id="472"/>
    <w:bookmarkEnd w:id="473"/>
    <w:bookmarkEnd w:id="474"/>
    <w:bookmarkEnd w:id="475"/>
    <w:p>
      <w:pPr>
        <w:spacing w:line="560" w:lineRule="exact"/>
        <w:ind w:firstLine="482" w:firstLineChars="200"/>
        <w:outlineLvl w:val="0"/>
        <w:rPr>
          <w:rFonts w:hint="eastAsia" w:ascii="宋体" w:hAnsi="宋体" w:eastAsia="宋体" w:cs="宋体"/>
          <w:b/>
          <w:color w:val="auto"/>
          <w:sz w:val="24"/>
          <w:highlight w:val="none"/>
        </w:rPr>
      </w:pPr>
      <w:bookmarkStart w:id="476" w:name="_Toc487900358"/>
      <w:bookmarkStart w:id="477" w:name="_Ref467379863"/>
      <w:bookmarkStart w:id="478" w:name="_Toc259093677"/>
      <w:bookmarkStart w:id="479" w:name="_Toc279701248"/>
      <w:bookmarkStart w:id="480" w:name="_Ref467379923"/>
      <w:bookmarkStart w:id="481" w:name="_Ref467379852"/>
      <w:bookmarkStart w:id="482" w:name="_Toc16110"/>
      <w:bookmarkStart w:id="483" w:name="_Toc774"/>
      <w:bookmarkStart w:id="484" w:name="_Toc3225"/>
      <w:r>
        <w:rPr>
          <w:rFonts w:hint="eastAsia" w:ascii="宋体" w:hAnsi="宋体" w:eastAsia="宋体" w:cs="宋体"/>
          <w:b/>
          <w:color w:val="auto"/>
          <w:sz w:val="24"/>
          <w:highlight w:val="none"/>
        </w:rPr>
        <w:t>2.6 技术资料</w:t>
      </w:r>
      <w:bookmarkEnd w:id="476"/>
      <w:bookmarkEnd w:id="477"/>
      <w:bookmarkEnd w:id="478"/>
      <w:bookmarkEnd w:id="479"/>
      <w:bookmarkEnd w:id="480"/>
      <w:bookmarkEnd w:id="481"/>
      <w:r>
        <w:rPr>
          <w:rFonts w:hint="eastAsia" w:ascii="宋体" w:hAnsi="宋体" w:eastAsia="宋体" w:cs="宋体"/>
          <w:b/>
          <w:color w:val="auto"/>
          <w:sz w:val="24"/>
          <w:highlight w:val="none"/>
        </w:rPr>
        <w:t>和保密义务</w:t>
      </w:r>
      <w:bookmarkEnd w:id="482"/>
      <w:bookmarkEnd w:id="483"/>
      <w:bookmarkEnd w:id="48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 乙方有义务妥善保管和保护由甲方提供的前款信息和资料等；</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color w:val="auto"/>
          <w:sz w:val="24"/>
          <w:highlight w:val="none"/>
        </w:rPr>
      </w:pPr>
      <w:bookmarkStart w:id="485" w:name="_Toc7860"/>
      <w:r>
        <w:rPr>
          <w:rFonts w:hint="eastAsia" w:ascii="宋体" w:hAnsi="宋体" w:eastAsia="宋体" w:cs="宋体"/>
          <w:b/>
          <w:color w:val="auto"/>
          <w:sz w:val="24"/>
          <w:highlight w:val="none"/>
        </w:rPr>
        <w:t>2.7 质量保证</w:t>
      </w:r>
      <w:bookmarkEnd w:id="48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color w:val="auto"/>
          <w:sz w:val="24"/>
          <w:highlight w:val="none"/>
        </w:rPr>
      </w:pPr>
      <w:bookmarkStart w:id="486" w:name="_Toc17244"/>
      <w:bookmarkStart w:id="487" w:name="_Toc279701252"/>
      <w:bookmarkStart w:id="488" w:name="_Toc259093681"/>
      <w:bookmarkStart w:id="489" w:name="_Toc487900362"/>
      <w:r>
        <w:rPr>
          <w:rFonts w:hint="eastAsia" w:ascii="宋体" w:hAnsi="宋体" w:eastAsia="宋体" w:cs="宋体"/>
          <w:b/>
          <w:color w:val="auto"/>
          <w:sz w:val="24"/>
          <w:highlight w:val="none"/>
        </w:rPr>
        <w:t>2.8 货物的风险负担</w:t>
      </w:r>
      <w:bookmarkEnd w:id="486"/>
    </w:p>
    <w:p>
      <w:pPr>
        <w:spacing w:line="5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货物或者在途货物或者交付给第一承运人后的货物毁损、灭失的风险负担详见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90" w:name="_Toc14055"/>
      <w:r>
        <w:rPr>
          <w:rFonts w:hint="eastAsia" w:ascii="宋体" w:hAnsi="宋体" w:eastAsia="宋体" w:cs="宋体"/>
          <w:b/>
          <w:color w:val="auto"/>
          <w:sz w:val="24"/>
          <w:highlight w:val="none"/>
        </w:rPr>
        <w:t>2.9 延迟交货</w:t>
      </w:r>
      <w:bookmarkEnd w:id="487"/>
      <w:bookmarkEnd w:id="488"/>
      <w:bookmarkEnd w:id="489"/>
      <w:bookmarkEnd w:id="490"/>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乙双方签订合同后，乙方应按照合同约定履行合同义务，除不可抗力外，乙方不得延迟交货。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宋体" w:hAnsi="宋体" w:eastAsia="宋体" w:cs="宋体"/>
          <w:b/>
          <w:color w:val="auto"/>
          <w:sz w:val="24"/>
          <w:highlight w:val="none"/>
        </w:rPr>
      </w:pPr>
      <w:bookmarkStart w:id="491" w:name="_Toc7502"/>
      <w:bookmarkStart w:id="492" w:name="_Ref467378121"/>
      <w:bookmarkStart w:id="493" w:name="_Toc279701254"/>
      <w:bookmarkStart w:id="494" w:name="_Toc487900364"/>
      <w:bookmarkStart w:id="495" w:name="_Toc259093683"/>
      <w:r>
        <w:rPr>
          <w:rFonts w:hint="eastAsia" w:ascii="宋体" w:hAnsi="宋体" w:eastAsia="宋体" w:cs="宋体"/>
          <w:b/>
          <w:color w:val="auto"/>
          <w:sz w:val="24"/>
          <w:highlight w:val="none"/>
        </w:rPr>
        <w:t>2.10 合同变更</w:t>
      </w:r>
      <w:bookmarkEnd w:id="49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496" w:name="_Toc487900369"/>
      <w:bookmarkStart w:id="497" w:name="_Toc259093688"/>
      <w:bookmarkStart w:id="498" w:name="_Toc279701259"/>
    </w:p>
    <w:p>
      <w:pPr>
        <w:spacing w:line="560" w:lineRule="exact"/>
        <w:ind w:firstLine="482" w:firstLineChars="200"/>
        <w:outlineLvl w:val="0"/>
        <w:rPr>
          <w:rFonts w:hint="eastAsia" w:ascii="宋体" w:hAnsi="宋体" w:eastAsia="宋体" w:cs="宋体"/>
          <w:b/>
          <w:color w:val="auto"/>
          <w:sz w:val="24"/>
          <w:highlight w:val="none"/>
        </w:rPr>
      </w:pPr>
      <w:bookmarkStart w:id="499" w:name="_Toc22955"/>
      <w:bookmarkStart w:id="500" w:name="_Toc10366"/>
      <w:bookmarkStart w:id="501" w:name="_Toc15237"/>
      <w:r>
        <w:rPr>
          <w:rFonts w:hint="eastAsia" w:ascii="宋体" w:hAnsi="宋体" w:eastAsia="宋体" w:cs="宋体"/>
          <w:b/>
          <w:color w:val="auto"/>
          <w:sz w:val="24"/>
          <w:highlight w:val="none"/>
        </w:rPr>
        <w:t>2.11 合同转让</w:t>
      </w:r>
      <w:bookmarkEnd w:id="496"/>
      <w:bookmarkEnd w:id="497"/>
      <w:bookmarkEnd w:id="498"/>
      <w:r>
        <w:rPr>
          <w:rFonts w:hint="eastAsia" w:ascii="宋体" w:hAnsi="宋体" w:eastAsia="宋体" w:cs="宋体"/>
          <w:b/>
          <w:color w:val="auto"/>
          <w:sz w:val="24"/>
          <w:highlight w:val="none"/>
        </w:rPr>
        <w:t>和分包</w:t>
      </w:r>
      <w:bookmarkEnd w:id="499"/>
      <w:bookmarkEnd w:id="500"/>
      <w:bookmarkEnd w:id="50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2.11.2乙方采取分包方式履行合同的，甲方可直接向分包供应商支付款项。</w:t>
      </w:r>
    </w:p>
    <w:p>
      <w:pPr>
        <w:spacing w:line="560" w:lineRule="exact"/>
        <w:ind w:firstLine="482" w:firstLineChars="200"/>
        <w:outlineLvl w:val="0"/>
        <w:rPr>
          <w:rFonts w:hint="eastAsia" w:ascii="宋体" w:hAnsi="宋体" w:eastAsia="宋体" w:cs="宋体"/>
          <w:b/>
          <w:color w:val="auto"/>
          <w:sz w:val="24"/>
          <w:highlight w:val="none"/>
        </w:rPr>
      </w:pPr>
      <w:bookmarkStart w:id="502" w:name="_Toc16508"/>
      <w:bookmarkStart w:id="503" w:name="_Toc14066"/>
      <w:bookmarkStart w:id="504" w:name="_Toc13566"/>
      <w:r>
        <w:rPr>
          <w:rFonts w:hint="eastAsia" w:ascii="宋体" w:hAnsi="宋体" w:eastAsia="宋体" w:cs="宋体"/>
          <w:b/>
          <w:color w:val="auto"/>
          <w:sz w:val="24"/>
          <w:highlight w:val="none"/>
        </w:rPr>
        <w:t>2.12 不可抗力</w:t>
      </w:r>
      <w:bookmarkEnd w:id="502"/>
      <w:bookmarkEnd w:id="503"/>
      <w:bookmarkEnd w:id="50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2.12.2 因不可抗力致使不能实现合同目的的，当事人可以解除合同；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2.12.3 因不可抗力致使合同有变更必要的，双方当事人应在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约定时间内以书面形式变更合同；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2.12.4受不可抗力影响的一方在不可抗力发生后，应在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约定时间内以书面形式通知对方当事人，并在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约定时间内，将有关部门出具的证明文件送达对方当事人。</w:t>
      </w:r>
    </w:p>
    <w:p>
      <w:pPr>
        <w:spacing w:line="560" w:lineRule="exact"/>
        <w:ind w:firstLine="482" w:firstLineChars="200"/>
        <w:outlineLvl w:val="0"/>
        <w:rPr>
          <w:rFonts w:hint="eastAsia" w:ascii="宋体" w:hAnsi="宋体" w:eastAsia="宋体" w:cs="宋体"/>
          <w:b/>
          <w:color w:val="auto"/>
          <w:sz w:val="24"/>
          <w:highlight w:val="none"/>
        </w:rPr>
      </w:pPr>
      <w:bookmarkStart w:id="505" w:name="_Toc6969"/>
      <w:bookmarkStart w:id="506" w:name="_Toc279701255"/>
      <w:bookmarkStart w:id="507" w:name="_Toc259093684"/>
      <w:bookmarkStart w:id="508" w:name="_Toc689"/>
      <w:bookmarkStart w:id="509" w:name="_Toc487900365"/>
      <w:bookmarkStart w:id="510" w:name="_Toc30676"/>
      <w:r>
        <w:rPr>
          <w:rFonts w:hint="eastAsia" w:ascii="宋体" w:hAnsi="宋体" w:eastAsia="宋体" w:cs="宋体"/>
          <w:b/>
          <w:color w:val="auto"/>
          <w:sz w:val="24"/>
          <w:highlight w:val="none"/>
        </w:rPr>
        <w:t>2.13 税费</w:t>
      </w:r>
      <w:bookmarkEnd w:id="505"/>
      <w:bookmarkEnd w:id="506"/>
      <w:bookmarkEnd w:id="507"/>
      <w:bookmarkEnd w:id="508"/>
      <w:bookmarkEnd w:id="509"/>
      <w:bookmarkEnd w:id="510"/>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与合同有关的一切税费，均按照中华人民共和国法律的相关规定。</w:t>
      </w:r>
    </w:p>
    <w:p>
      <w:pPr>
        <w:spacing w:line="560" w:lineRule="exact"/>
        <w:ind w:firstLine="482" w:firstLineChars="200"/>
        <w:outlineLvl w:val="0"/>
        <w:rPr>
          <w:rFonts w:hint="eastAsia" w:ascii="宋体" w:hAnsi="宋体" w:eastAsia="宋体" w:cs="宋体"/>
          <w:b/>
          <w:color w:val="auto"/>
          <w:sz w:val="24"/>
          <w:highlight w:val="none"/>
        </w:rPr>
      </w:pPr>
      <w:bookmarkStart w:id="511" w:name="_Toc7102"/>
      <w:bookmarkStart w:id="512" w:name="_Toc259093687"/>
      <w:bookmarkStart w:id="513" w:name="_Toc8298"/>
      <w:bookmarkStart w:id="514" w:name="_Toc279701258"/>
      <w:bookmarkStart w:id="515" w:name="_Toc16959"/>
      <w:bookmarkStart w:id="516" w:name="_Toc487900368"/>
      <w:r>
        <w:rPr>
          <w:rFonts w:hint="eastAsia" w:ascii="宋体" w:hAnsi="宋体" w:eastAsia="宋体" w:cs="宋体"/>
          <w:b/>
          <w:color w:val="auto"/>
          <w:sz w:val="24"/>
          <w:highlight w:val="none"/>
        </w:rPr>
        <w:t>2.14乙方破产</w:t>
      </w:r>
      <w:bookmarkEnd w:id="511"/>
      <w:bookmarkEnd w:id="512"/>
      <w:bookmarkEnd w:id="513"/>
      <w:bookmarkEnd w:id="514"/>
      <w:bookmarkEnd w:id="515"/>
      <w:bookmarkEnd w:id="51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color w:val="auto"/>
          <w:sz w:val="24"/>
          <w:highlight w:val="none"/>
        </w:rPr>
      </w:pPr>
      <w:bookmarkStart w:id="517" w:name="_Toc6134"/>
      <w:bookmarkStart w:id="518" w:name="_Toc29333"/>
      <w:bookmarkStart w:id="519" w:name="_Toc15387"/>
      <w:r>
        <w:rPr>
          <w:rFonts w:hint="eastAsia" w:ascii="宋体" w:hAnsi="宋体" w:eastAsia="宋体" w:cs="宋体"/>
          <w:b/>
          <w:color w:val="auto"/>
          <w:sz w:val="24"/>
          <w:highlight w:val="none"/>
        </w:rPr>
        <w:t>2.15 合同中止、终止</w:t>
      </w:r>
      <w:bookmarkEnd w:id="517"/>
      <w:bookmarkEnd w:id="518"/>
      <w:bookmarkEnd w:id="51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2.15.1 双方当事人不得擅自中止或者终止合同；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520" w:name="_Toc14563"/>
      <w:bookmarkStart w:id="521" w:name="_Toc1125"/>
      <w:bookmarkStart w:id="522" w:name="_Toc6596"/>
      <w:r>
        <w:rPr>
          <w:rFonts w:hint="eastAsia" w:ascii="宋体" w:hAnsi="宋体" w:eastAsia="宋体" w:cs="宋体"/>
          <w:b/>
          <w:color w:val="auto"/>
          <w:sz w:val="24"/>
          <w:highlight w:val="none"/>
        </w:rPr>
        <w:t>2.16检验和验收</w:t>
      </w:r>
      <w:bookmarkEnd w:id="520"/>
      <w:bookmarkEnd w:id="521"/>
      <w:bookmarkEnd w:id="522"/>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2.16.1货物交付前，乙方应对货物的质量、数量等方面进行详细、全面的检验，并向甲方出具证明货物符合合同约定的文件；货物交付时，甲方在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2.16.3 检验和验收标准、程序等具体内容以及前述验收书的效力详见</w:t>
      </w:r>
      <w:r>
        <w:rPr>
          <w:rFonts w:hint="eastAsia" w:ascii="宋体" w:hAnsi="宋体" w:eastAsia="宋体" w:cs="宋体"/>
          <w:b/>
          <w:i/>
          <w:color w:val="auto"/>
          <w:sz w:val="24"/>
          <w:highlight w:val="none"/>
          <w:u w:val="single"/>
        </w:rPr>
        <w:t>合同专用条款</w:t>
      </w:r>
      <w:r>
        <w:rPr>
          <w:rFonts w:hint="eastAsia" w:ascii="宋体" w:hAnsi="宋体" w:eastAsia="宋体" w:cs="宋体"/>
          <w:i/>
          <w:color w:val="auto"/>
          <w:sz w:val="24"/>
          <w:highlight w:val="none"/>
        </w:rPr>
        <w:t>。</w:t>
      </w:r>
    </w:p>
    <w:bookmarkEnd w:id="492"/>
    <w:bookmarkEnd w:id="493"/>
    <w:bookmarkEnd w:id="494"/>
    <w:bookmarkEnd w:id="495"/>
    <w:p>
      <w:pPr>
        <w:spacing w:line="560" w:lineRule="exact"/>
        <w:ind w:firstLine="482" w:firstLineChars="200"/>
        <w:outlineLvl w:val="0"/>
        <w:rPr>
          <w:rFonts w:hint="eastAsia" w:ascii="宋体" w:hAnsi="宋体" w:eastAsia="宋体" w:cs="宋体"/>
          <w:b/>
          <w:color w:val="auto"/>
          <w:sz w:val="24"/>
          <w:highlight w:val="none"/>
        </w:rPr>
      </w:pPr>
      <w:bookmarkStart w:id="523" w:name="_Toc487900371"/>
      <w:bookmarkStart w:id="524" w:name="_Toc259093690"/>
      <w:bookmarkStart w:id="525" w:name="_Toc279701261"/>
      <w:bookmarkStart w:id="526" w:name="_Toc25182"/>
      <w:bookmarkStart w:id="527" w:name="_Toc11284"/>
      <w:bookmarkStart w:id="528" w:name="_Toc19604"/>
      <w:r>
        <w:rPr>
          <w:rFonts w:hint="eastAsia" w:ascii="宋体" w:hAnsi="宋体" w:eastAsia="宋体" w:cs="宋体"/>
          <w:b/>
          <w:color w:val="auto"/>
          <w:sz w:val="24"/>
          <w:highlight w:val="none"/>
        </w:rPr>
        <w:t>2.17 通知</w:t>
      </w:r>
      <w:bookmarkEnd w:id="523"/>
      <w:bookmarkEnd w:id="524"/>
      <w:bookmarkEnd w:id="525"/>
      <w:r>
        <w:rPr>
          <w:rFonts w:hint="eastAsia" w:ascii="宋体" w:hAnsi="宋体" w:eastAsia="宋体" w:cs="宋体"/>
          <w:b/>
          <w:color w:val="auto"/>
          <w:sz w:val="24"/>
          <w:highlight w:val="none"/>
        </w:rPr>
        <w:t>和送达</w:t>
      </w:r>
      <w:bookmarkEnd w:id="526"/>
      <w:bookmarkEnd w:id="527"/>
      <w:bookmarkEnd w:id="528"/>
    </w:p>
    <w:p>
      <w:pPr>
        <w:spacing w:line="560" w:lineRule="exact"/>
        <w:ind w:firstLine="480" w:firstLineChars="200"/>
        <w:rPr>
          <w:rFonts w:hint="eastAsia" w:ascii="宋体" w:hAnsi="宋体" w:eastAsia="宋体" w:cs="宋体"/>
          <w:color w:val="auto"/>
          <w:sz w:val="24"/>
          <w:highlight w:val="none"/>
        </w:rPr>
      </w:pPr>
      <w:bookmarkStart w:id="529" w:name="_Toc6698"/>
      <w:bookmarkStart w:id="530" w:name="_Toc3135"/>
      <w:bookmarkStart w:id="531" w:name="_Toc487900372"/>
      <w:bookmarkStart w:id="532" w:name="_Toc279701262"/>
      <w:bookmarkStart w:id="533" w:name="_Toc259093691"/>
      <w:r>
        <w:rPr>
          <w:rFonts w:hint="eastAsia" w:ascii="宋体" w:hAnsi="宋体" w:eastAsia="宋体" w:cs="宋体"/>
          <w:color w:val="auto"/>
          <w:sz w:val="24"/>
          <w:highlight w:val="none"/>
        </w:rPr>
        <w:t xml:space="preserve">2.17.1任何一方因履行合同而以合同第一部分尾部所列明的传真或电子邮件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发出的所有通知、文件、材料，均视为已向对方当事人送达；任何一方变更上述送达方式或者地址的，应于</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个工作日内书面通知对方当事人，在对方当事人收到有关变更通知之前，变更前的约定送达方式或者地址仍视为有效。</w:t>
      </w:r>
      <w:bookmarkEnd w:id="529"/>
      <w:bookmarkEnd w:id="530"/>
    </w:p>
    <w:p>
      <w:pPr>
        <w:spacing w:line="560" w:lineRule="exact"/>
        <w:ind w:firstLine="480" w:firstLineChars="200"/>
        <w:rPr>
          <w:rFonts w:hint="eastAsia" w:ascii="宋体" w:hAnsi="宋体" w:eastAsia="宋体" w:cs="宋体"/>
          <w:color w:val="auto"/>
          <w:sz w:val="24"/>
          <w:highlight w:val="none"/>
        </w:rPr>
      </w:pPr>
      <w:bookmarkStart w:id="534" w:name="_Toc23128"/>
      <w:bookmarkStart w:id="535" w:name="_Toc23294"/>
      <w:r>
        <w:rPr>
          <w:rFonts w:hint="eastAsia" w:ascii="宋体" w:hAnsi="宋体" w:eastAsia="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spacing w:line="560" w:lineRule="exact"/>
        <w:ind w:firstLine="482" w:firstLineChars="200"/>
        <w:outlineLvl w:val="0"/>
        <w:rPr>
          <w:rFonts w:hint="eastAsia" w:ascii="宋体" w:hAnsi="宋体" w:eastAsia="宋体" w:cs="宋体"/>
          <w:b/>
          <w:color w:val="auto"/>
          <w:sz w:val="24"/>
          <w:highlight w:val="none"/>
        </w:rPr>
      </w:pPr>
      <w:bookmarkStart w:id="536" w:name="_Toc18540"/>
      <w:bookmarkStart w:id="537" w:name="_Toc30599"/>
      <w:bookmarkStart w:id="538" w:name="_Toc4355"/>
      <w:r>
        <w:rPr>
          <w:rFonts w:hint="eastAsia" w:ascii="宋体" w:hAnsi="宋体" w:eastAsia="宋体" w:cs="宋体"/>
          <w:b/>
          <w:color w:val="auto"/>
          <w:sz w:val="24"/>
          <w:highlight w:val="none"/>
        </w:rPr>
        <w:t>2.18 计量单位</w:t>
      </w:r>
      <w:bookmarkEnd w:id="531"/>
      <w:bookmarkEnd w:id="532"/>
      <w:bookmarkEnd w:id="533"/>
      <w:bookmarkEnd w:id="536"/>
      <w:bookmarkEnd w:id="537"/>
      <w:bookmarkEnd w:id="53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除技术规范中另有规定外,合同的计量单位均使用国家法定计量单位。</w:t>
      </w:r>
    </w:p>
    <w:p>
      <w:pPr>
        <w:spacing w:line="560" w:lineRule="exact"/>
        <w:ind w:firstLine="482" w:firstLineChars="200"/>
        <w:outlineLvl w:val="0"/>
        <w:rPr>
          <w:rFonts w:hint="eastAsia" w:ascii="宋体" w:hAnsi="宋体" w:eastAsia="宋体" w:cs="宋体"/>
          <w:b/>
          <w:color w:val="auto"/>
          <w:sz w:val="24"/>
          <w:highlight w:val="none"/>
        </w:rPr>
      </w:pPr>
      <w:bookmarkStart w:id="539" w:name="_Toc259093692"/>
      <w:bookmarkStart w:id="540" w:name="_Toc18567"/>
      <w:bookmarkStart w:id="541" w:name="_Toc279701263"/>
      <w:bookmarkStart w:id="542" w:name="_Toc10330"/>
      <w:bookmarkStart w:id="543" w:name="_Toc487900373"/>
      <w:bookmarkStart w:id="544" w:name="_Toc12773"/>
      <w:r>
        <w:rPr>
          <w:rFonts w:hint="eastAsia" w:ascii="宋体" w:hAnsi="宋体" w:eastAsia="宋体" w:cs="宋体"/>
          <w:b/>
          <w:color w:val="auto"/>
          <w:sz w:val="24"/>
          <w:highlight w:val="none"/>
        </w:rPr>
        <w:t>2.19 合同使用的文字和适用的法律</w:t>
      </w:r>
      <w:bookmarkEnd w:id="539"/>
      <w:bookmarkEnd w:id="540"/>
      <w:bookmarkEnd w:id="541"/>
      <w:bookmarkEnd w:id="542"/>
      <w:bookmarkEnd w:id="543"/>
      <w:bookmarkEnd w:id="54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2.19.1 合同使用汉语书就、变更和解释；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2.19.2 合同适用中华人民共和国法律。</w:t>
      </w:r>
    </w:p>
    <w:p>
      <w:pPr>
        <w:spacing w:line="560" w:lineRule="exact"/>
        <w:ind w:firstLine="482" w:firstLineChars="200"/>
        <w:outlineLvl w:val="0"/>
        <w:rPr>
          <w:rFonts w:hint="eastAsia" w:ascii="宋体" w:hAnsi="宋体" w:eastAsia="宋体" w:cs="宋体"/>
          <w:b/>
          <w:color w:val="auto"/>
          <w:sz w:val="24"/>
          <w:highlight w:val="none"/>
        </w:rPr>
      </w:pPr>
      <w:bookmarkStart w:id="545" w:name="_Toc19890"/>
      <w:bookmarkStart w:id="546" w:name="_Toc6885"/>
      <w:bookmarkStart w:id="547" w:name="_Toc14001"/>
      <w:r>
        <w:rPr>
          <w:rFonts w:hint="eastAsia" w:ascii="宋体" w:hAnsi="宋体" w:eastAsia="宋体" w:cs="宋体"/>
          <w:b/>
          <w:color w:val="auto"/>
          <w:sz w:val="24"/>
          <w:highlight w:val="none"/>
        </w:rPr>
        <w:t>2.20 合同份数</w:t>
      </w:r>
      <w:bookmarkEnd w:id="545"/>
      <w:bookmarkEnd w:id="546"/>
      <w:bookmarkEnd w:id="54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合同份数按</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规定，每份均具有同等法律效力。</w:t>
      </w:r>
    </w:p>
    <w:p>
      <w:pPr>
        <w:adjustRightInd/>
        <w:spacing w:line="360" w:lineRule="auto"/>
        <w:ind w:firstLine="2513" w:firstLineChars="1197"/>
        <w:outlineLvl w:val="0"/>
        <w:rPr>
          <w:rFonts w:hint="eastAsia" w:ascii="宋体" w:hAnsi="宋体" w:eastAsia="宋体" w:cs="宋体"/>
          <w:b/>
          <w:color w:val="auto"/>
          <w:highlight w:val="none"/>
        </w:rPr>
      </w:pPr>
      <w:r>
        <w:rPr>
          <w:rFonts w:hint="eastAsia" w:ascii="宋体" w:hAnsi="宋体" w:eastAsia="宋体" w:cs="宋体"/>
          <w:color w:val="auto"/>
          <w:kern w:val="0"/>
          <w:highlight w:val="none"/>
        </w:rPr>
        <w:br w:type="page"/>
      </w:r>
      <w:r>
        <w:rPr>
          <w:rFonts w:hint="eastAsia" w:ascii="宋体" w:hAnsi="宋体" w:eastAsia="宋体" w:cs="宋体"/>
          <w:b/>
          <w:color w:val="auto"/>
          <w:sz w:val="32"/>
          <w:szCs w:val="20"/>
          <w:highlight w:val="none"/>
        </w:rPr>
        <w:t xml:space="preserve"> 第三部分  合同专用条款</w:t>
      </w:r>
    </w:p>
    <w:p>
      <w:pPr>
        <w:spacing w:line="560" w:lineRule="exact"/>
        <w:ind w:left="-420" w:leftChars="-200"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4534" w:type="pct"/>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1.4.2</w:t>
            </w:r>
          </w:p>
        </w:tc>
        <w:tc>
          <w:tcPr>
            <w:tcW w:w="453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1.5.1</w:t>
            </w:r>
          </w:p>
        </w:tc>
        <w:tc>
          <w:tcPr>
            <w:tcW w:w="453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1.5.2 </w:t>
            </w:r>
          </w:p>
        </w:tc>
        <w:tc>
          <w:tcPr>
            <w:tcW w:w="453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1.5.3</w:t>
            </w:r>
          </w:p>
        </w:tc>
        <w:tc>
          <w:tcPr>
            <w:tcW w:w="453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1.6.2</w:t>
            </w:r>
          </w:p>
        </w:tc>
        <w:tc>
          <w:tcPr>
            <w:tcW w:w="453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453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w:t>
            </w:r>
          </w:p>
        </w:tc>
        <w:tc>
          <w:tcPr>
            <w:tcW w:w="453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1.7.3</w:t>
            </w:r>
          </w:p>
        </w:tc>
        <w:tc>
          <w:tcPr>
            <w:tcW w:w="453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1.8.6</w:t>
            </w:r>
          </w:p>
        </w:tc>
        <w:tc>
          <w:tcPr>
            <w:tcW w:w="453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w:t>
            </w:r>
          </w:p>
        </w:tc>
        <w:tc>
          <w:tcPr>
            <w:tcW w:w="453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4534" w:type="pct"/>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2.4.1</w:t>
            </w:r>
          </w:p>
        </w:tc>
        <w:tc>
          <w:tcPr>
            <w:tcW w:w="4534" w:type="pct"/>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2.4.3</w:t>
            </w:r>
          </w:p>
        </w:tc>
        <w:tc>
          <w:tcPr>
            <w:tcW w:w="453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2.8 </w:t>
            </w:r>
          </w:p>
        </w:tc>
        <w:tc>
          <w:tcPr>
            <w:tcW w:w="4534" w:type="pct"/>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2.12.3</w:t>
            </w:r>
          </w:p>
        </w:tc>
        <w:tc>
          <w:tcPr>
            <w:tcW w:w="453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2.12.4</w:t>
            </w:r>
          </w:p>
        </w:tc>
        <w:tc>
          <w:tcPr>
            <w:tcW w:w="453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2.16.1</w:t>
            </w:r>
          </w:p>
        </w:tc>
        <w:tc>
          <w:tcPr>
            <w:tcW w:w="453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2.16.3</w:t>
            </w:r>
          </w:p>
        </w:tc>
        <w:tc>
          <w:tcPr>
            <w:tcW w:w="453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2.20 </w:t>
            </w:r>
          </w:p>
        </w:tc>
        <w:tc>
          <w:tcPr>
            <w:tcW w:w="4534" w:type="pct"/>
            <w:vAlign w:val="center"/>
          </w:tcPr>
          <w:p>
            <w:pPr>
              <w:spacing w:line="360" w:lineRule="auto"/>
              <w:rPr>
                <w:rFonts w:hint="eastAsia" w:ascii="宋体" w:hAnsi="宋体" w:eastAsia="宋体" w:cs="宋体"/>
                <w:color w:val="auto"/>
                <w:sz w:val="24"/>
                <w:highlight w:val="none"/>
              </w:rPr>
            </w:pPr>
          </w:p>
        </w:tc>
      </w:tr>
    </w:tbl>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rPr>
          <w:rFonts w:hint="eastAsia" w:ascii="宋体" w:hAnsi="宋体" w:eastAsia="宋体" w:cs="宋体"/>
          <w:color w:val="auto"/>
          <w:sz w:val="24"/>
          <w:highlight w:val="none"/>
        </w:rPr>
      </w:pPr>
    </w:p>
    <w:p>
      <w:pPr>
        <w:pStyle w:val="4"/>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ind w:left="720" w:firstLine="723" w:firstLineChars="200"/>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7"/>
      <w:r>
        <w:rPr>
          <w:rFonts w:hint="eastAsia" w:ascii="宋体" w:hAnsi="宋体" w:eastAsia="宋体" w:cs="宋体"/>
          <w:b/>
          <w:color w:val="auto"/>
          <w:sz w:val="36"/>
          <w:szCs w:val="20"/>
          <w:highlight w:val="none"/>
        </w:rPr>
        <w:t xml:space="preserve"> </w:t>
      </w:r>
      <w:bookmarkEnd w:id="398"/>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kern w:val="28"/>
          <w:sz w:val="24"/>
          <w:szCs w:val="20"/>
          <w:highlight w:val="none"/>
        </w:rPr>
        <w:t>（2）联合协议</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我方参与（项目名称）【招标编号：（采购编号）】政府采购活动，郑重承诺：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both"/>
        <w:rPr>
          <w:rFonts w:hint="eastAsia" w:ascii="宋体" w:hAnsi="宋体" w:eastAsia="宋体" w:cs="宋体"/>
          <w:b/>
          <w:color w:val="auto"/>
          <w:kern w:val="0"/>
          <w:sz w:val="32"/>
          <w:szCs w:val="32"/>
          <w:highlight w:val="none"/>
        </w:rPr>
      </w:pPr>
    </w:p>
    <w:p>
      <w:pPr>
        <w:snapToGrid w:val="0"/>
        <w:spacing w:line="360" w:lineRule="auto"/>
        <w:ind w:right="480" w:firstLine="559" w:firstLineChars="233"/>
        <w:jc w:val="left"/>
        <w:rPr>
          <w:rFonts w:hint="eastAsia" w:ascii="宋体" w:hAnsi="宋体" w:eastAsia="宋体" w:cs="宋体"/>
          <w:b/>
          <w:color w:val="auto"/>
          <w:kern w:val="0"/>
          <w:sz w:val="32"/>
          <w:szCs w:val="32"/>
          <w:highlight w:val="none"/>
        </w:rPr>
      </w:pPr>
      <w:r>
        <w:rPr>
          <w:rFonts w:hint="eastAsia" w:ascii="宋体" w:hAnsi="宋体" w:eastAsia="宋体" w:cs="宋体"/>
          <w:color w:val="auto"/>
          <w:sz w:val="24"/>
          <w:highlight w:val="none"/>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宋体"/>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snapToGrid w:val="0"/>
        <w:spacing w:line="360" w:lineRule="auto"/>
        <w:ind w:right="480"/>
        <w:jc w:val="both"/>
        <w:rPr>
          <w:rFonts w:hint="eastAsia" w:ascii="宋体" w:hAnsi="宋体" w:eastAsia="宋体" w:cs="宋体"/>
          <w:b/>
          <w:color w:val="auto"/>
          <w:kern w:val="0"/>
          <w:sz w:val="32"/>
          <w:szCs w:val="32"/>
          <w:highlight w:val="none"/>
        </w:rPr>
      </w:pPr>
    </w:p>
    <w:p>
      <w:pPr>
        <w:widowControl/>
        <w:spacing w:line="360" w:lineRule="auto"/>
        <w:ind w:firstLine="643" w:firstLineChars="200"/>
        <w:jc w:val="center"/>
        <w:rPr>
          <w:rFonts w:hint="eastAsia" w:ascii="宋体" w:hAnsi="宋体" w:eastAsia="宋体" w:cs="宋体"/>
          <w:b/>
          <w:color w:val="auto"/>
          <w:kern w:val="0"/>
          <w:sz w:val="32"/>
          <w:szCs w:val="32"/>
          <w:highlight w:val="none"/>
        </w:rPr>
      </w:pPr>
    </w:p>
    <w:p>
      <w:pPr>
        <w:widowControl/>
        <w:spacing w:line="360" w:lineRule="auto"/>
        <w:ind w:firstLine="643" w:firstLineChars="20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二、联合协议（如果有）</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.专门面向中小企业，货物全部由符合政策要求的中小企业（或小微企业）制造的，提供相应的中小企业声明函（附件7）。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要求以联合体形式参加的，提供联合协议（附件5）和中小企业声明函（附件7），联合协议中中小企业合同金额应当达到招标公告载明的比例；如果供应商本身提供所有标的均由中小企业制造的，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要求合同分包的，提供分包意向协议（附件6）和中小企业声明函（附件7），分包意向协议中中小企业合同金额应当达到招标公告载明的比例；如果供应商本身提供所有标的均由中小企业制造的，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（5）评标标准相应的商务技术资料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（6）投标标的清单</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pStyle w:val="4"/>
        <w:rPr>
          <w:rFonts w:hint="eastAsia" w:ascii="宋体" w:hAnsi="宋体" w:eastAsia="宋体" w:cs="宋体"/>
          <w:color w:val="auto"/>
          <w:highlight w:val="none"/>
          <w:lang w:val="en-US"/>
        </w:rPr>
      </w:pPr>
    </w:p>
    <w:p>
      <w:pPr>
        <w:rPr>
          <w:rFonts w:hint="eastAsia" w:ascii="宋体" w:hAnsi="宋体" w:eastAsia="宋体" w:cs="宋体"/>
          <w:color w:val="auto"/>
          <w:highlight w:val="none"/>
        </w:rPr>
      </w:pPr>
    </w:p>
    <w:p>
      <w:pPr>
        <w:snapToGrid w:val="0"/>
        <w:spacing w:line="360" w:lineRule="auto"/>
        <w:ind w:firstLine="3855" w:firstLineChars="1200"/>
        <w:outlineLvl w:val="0"/>
        <w:rPr>
          <w:rFonts w:hint="eastAsia" w:ascii="宋体" w:hAnsi="宋体" w:eastAsia="宋体" w:cs="宋体"/>
          <w:b/>
          <w:color w:val="auto"/>
          <w:kern w:val="0"/>
          <w:sz w:val="32"/>
          <w:szCs w:val="32"/>
          <w:highlight w:val="none"/>
        </w:rPr>
      </w:pPr>
    </w:p>
    <w:p>
      <w:pPr>
        <w:snapToGrid w:val="0"/>
        <w:spacing w:line="360" w:lineRule="auto"/>
        <w:ind w:firstLine="3855" w:firstLineChars="1200"/>
        <w:outlineLvl w:val="0"/>
        <w:rPr>
          <w:rFonts w:hint="eastAsia" w:ascii="宋体" w:hAnsi="宋体" w:eastAsia="宋体" w:cs="宋体"/>
          <w:b/>
          <w:color w:val="auto"/>
          <w:kern w:val="0"/>
          <w:sz w:val="32"/>
          <w:szCs w:val="32"/>
          <w:highlight w:val="none"/>
        </w:rPr>
      </w:pPr>
    </w:p>
    <w:p>
      <w:pPr>
        <w:snapToGrid w:val="0"/>
        <w:spacing w:line="360" w:lineRule="auto"/>
        <w:ind w:firstLine="3855" w:firstLineChars="1200"/>
        <w:outlineLvl w:val="0"/>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ind w:firstLine="3855" w:firstLineChars="1200"/>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w:t>
      </w:r>
      <w:r>
        <w:rPr>
          <w:rFonts w:hint="eastAsia" w:ascii="宋体" w:hAnsi="宋体" w:eastAsia="宋体" w:cs="宋体"/>
          <w:snapToGrid w:val="0"/>
          <w:color w:val="auto"/>
          <w:kern w:val="28"/>
          <w:sz w:val="24"/>
          <w:szCs w:val="20"/>
          <w:highlight w:val="none"/>
        </w:rPr>
        <w:t>联合协议（如果有)；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2.1.3落实政府采购政策需满足的资格要求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2.1.4本项目的特定资格要求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2.2.3分包意向协议</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2.2.6投标标的清单；</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jc w:val="center"/>
        <w:rPr>
          <w:rFonts w:hint="eastAsia" w:ascii="宋体" w:hAnsi="宋体" w:eastAsia="宋体" w:cs="宋体"/>
          <w:b/>
          <w:color w:val="auto"/>
          <w:kern w:val="0"/>
          <w:sz w:val="32"/>
          <w:szCs w:val="32"/>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 xml:space="preserve">                                                 签发日期：  年  月   日</w:t>
      </w: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 xml:space="preserve">      </w:t>
      </w: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148"/>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148"/>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snapToGrid w:val="0"/>
        <w:spacing w:line="360" w:lineRule="auto"/>
        <w:ind w:right="480"/>
        <w:rPr>
          <w:rFonts w:hint="eastAsia" w:ascii="宋体" w:hAnsi="宋体" w:eastAsia="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三、分包意向协议（如果有）</w:t>
      </w:r>
    </w:p>
    <w:p>
      <w:pPr>
        <w:widowControl/>
        <w:spacing w:line="360" w:lineRule="auto"/>
        <w:ind w:firstLine="120" w:firstLineChars="50"/>
        <w:jc w:val="left"/>
        <w:rPr>
          <w:rFonts w:hint="eastAsia" w:ascii="宋体" w:hAnsi="宋体" w:eastAsia="宋体" w:cs="宋体"/>
          <w:color w:val="auto"/>
          <w:sz w:val="24"/>
          <w:highlight w:val="none"/>
        </w:rPr>
      </w:pPr>
      <w:bookmarkStart w:id="548" w:name="_Hlk101169080"/>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中标后以分包方式履行合同的，提供分包意向协议(附件6)；采购人不同意分包或者投标人中标后不以分包方式履行合同的，则不需要提供。</w:t>
      </w:r>
      <w:r>
        <w:rPr>
          <w:rFonts w:hint="eastAsia" w:ascii="宋体" w:hAnsi="宋体" w:eastAsia="宋体" w:cs="宋体"/>
          <w:color w:val="auto"/>
          <w:sz w:val="24"/>
          <w:highlight w:val="none"/>
        </w:rPr>
        <w:t>]</w:t>
      </w:r>
    </w:p>
    <w:bookmarkEnd w:id="548"/>
    <w:p>
      <w:pPr>
        <w:snapToGrid w:val="0"/>
        <w:spacing w:line="360" w:lineRule="auto"/>
        <w:rPr>
          <w:rFonts w:hint="eastAsia" w:ascii="宋体" w:hAnsi="宋体" w:eastAsia="宋体" w:cs="宋体"/>
          <w:color w:val="auto"/>
          <w:kern w:val="0"/>
          <w:sz w:val="24"/>
          <w:highlight w:val="none"/>
        </w:rPr>
      </w:pPr>
    </w:p>
    <w:p>
      <w:pPr>
        <w:jc w:val="center"/>
        <w:rPr>
          <w:rFonts w:hint="eastAsia" w:ascii="宋体" w:hAnsi="宋体" w:eastAsia="宋体" w:cs="宋体"/>
          <w:b/>
          <w:color w:val="auto"/>
          <w:kern w:val="0"/>
          <w:sz w:val="32"/>
          <w:szCs w:val="32"/>
          <w:highlight w:val="none"/>
        </w:rPr>
      </w:pPr>
    </w:p>
    <w:p>
      <w:pPr>
        <w:pStyle w:val="4"/>
        <w:rPr>
          <w:rFonts w:hint="eastAsia" w:ascii="宋体" w:hAnsi="宋体" w:eastAsia="宋体" w:cs="宋体"/>
          <w:color w:val="auto"/>
          <w:highlight w:val="none"/>
          <w:lang w:val="en-US"/>
        </w:rPr>
      </w:pPr>
    </w:p>
    <w:p>
      <w:pPr>
        <w:rPr>
          <w:rFonts w:hint="eastAsia" w:ascii="宋体" w:hAnsi="宋体" w:eastAsia="宋体" w:cs="宋体"/>
          <w:color w:val="auto"/>
          <w:highlight w:val="none"/>
        </w:rPr>
      </w:pPr>
    </w:p>
    <w:p>
      <w:pPr>
        <w:pStyle w:val="4"/>
        <w:rPr>
          <w:rFonts w:hint="eastAsia" w:ascii="宋体" w:hAnsi="宋体" w:eastAsia="宋体" w:cs="宋体"/>
          <w:color w:val="auto"/>
          <w:highlight w:val="none"/>
          <w:lang w:val="en-US"/>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四、符合性审查资料</w:t>
      </w:r>
    </w:p>
    <w:p>
      <w:pPr>
        <w:jc w:val="center"/>
        <w:rPr>
          <w:rFonts w:hint="eastAsia" w:ascii="宋体" w:hAnsi="宋体" w:eastAsia="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五、评标标准相应的商务技术资料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widowControl/>
        <w:adjustRightInd/>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八</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692"/>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417"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843" w:type="dxa"/>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品牌（如果有）</w:t>
            </w:r>
          </w:p>
        </w:tc>
        <w:tc>
          <w:tcPr>
            <w:tcW w:w="3118"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规格型号</w:t>
            </w:r>
          </w:p>
        </w:tc>
        <w:tc>
          <w:tcPr>
            <w:tcW w:w="993"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1559"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单价</w:t>
            </w:r>
          </w:p>
        </w:tc>
        <w:tc>
          <w:tcPr>
            <w:tcW w:w="1984"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合计</w:t>
            </w:r>
          </w:p>
        </w:tc>
        <w:tc>
          <w:tcPr>
            <w:tcW w:w="3119" w:type="dxa"/>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41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XX</w:t>
            </w:r>
          </w:p>
        </w:tc>
        <w:tc>
          <w:tcPr>
            <w:tcW w:w="1843" w:type="dxa"/>
            <w:vAlign w:val="center"/>
          </w:tcPr>
          <w:p>
            <w:pPr>
              <w:snapToGrid w:val="0"/>
              <w:spacing w:line="360" w:lineRule="auto"/>
              <w:jc w:val="center"/>
              <w:rPr>
                <w:rFonts w:hint="eastAsia" w:ascii="宋体" w:hAnsi="宋体" w:eastAsia="宋体" w:cs="宋体"/>
                <w:color w:val="auto"/>
                <w:sz w:val="24"/>
                <w:highlight w:val="none"/>
              </w:rPr>
            </w:pPr>
          </w:p>
        </w:tc>
        <w:tc>
          <w:tcPr>
            <w:tcW w:w="3118" w:type="dxa"/>
            <w:vAlign w:val="center"/>
          </w:tcPr>
          <w:p>
            <w:pPr>
              <w:snapToGrid w:val="0"/>
              <w:spacing w:line="360" w:lineRule="auto"/>
              <w:jc w:val="center"/>
              <w:rPr>
                <w:rFonts w:hint="eastAsia" w:ascii="宋体" w:hAnsi="宋体" w:eastAsia="宋体" w:cs="宋体"/>
                <w:color w:val="auto"/>
                <w:sz w:val="24"/>
                <w:highlight w:val="none"/>
              </w:rPr>
            </w:pPr>
          </w:p>
        </w:tc>
        <w:tc>
          <w:tcPr>
            <w:tcW w:w="993" w:type="dxa"/>
            <w:vAlign w:val="center"/>
          </w:tcPr>
          <w:p>
            <w:pPr>
              <w:snapToGrid w:val="0"/>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1984" w:type="dxa"/>
            <w:vAlign w:val="center"/>
          </w:tcPr>
          <w:p>
            <w:pPr>
              <w:spacing w:line="360" w:lineRule="auto"/>
              <w:jc w:val="center"/>
              <w:rPr>
                <w:rFonts w:hint="eastAsia" w:ascii="宋体" w:hAnsi="宋体" w:eastAsia="宋体" w:cs="宋体"/>
                <w:color w:val="auto"/>
                <w:sz w:val="24"/>
                <w:highlight w:val="none"/>
              </w:rPr>
            </w:pPr>
          </w:p>
        </w:tc>
        <w:tc>
          <w:tcPr>
            <w:tcW w:w="3119"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41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XX</w:t>
            </w:r>
          </w:p>
        </w:tc>
        <w:tc>
          <w:tcPr>
            <w:tcW w:w="1843" w:type="dxa"/>
            <w:vAlign w:val="center"/>
          </w:tcPr>
          <w:p>
            <w:pPr>
              <w:snapToGrid w:val="0"/>
              <w:spacing w:line="360" w:lineRule="auto"/>
              <w:jc w:val="center"/>
              <w:rPr>
                <w:rFonts w:hint="eastAsia" w:ascii="宋体" w:hAnsi="宋体" w:eastAsia="宋体" w:cs="宋体"/>
                <w:color w:val="auto"/>
                <w:sz w:val="24"/>
                <w:highlight w:val="none"/>
              </w:rPr>
            </w:pPr>
          </w:p>
        </w:tc>
        <w:tc>
          <w:tcPr>
            <w:tcW w:w="3118" w:type="dxa"/>
            <w:vAlign w:val="center"/>
          </w:tcPr>
          <w:p>
            <w:pPr>
              <w:snapToGrid w:val="0"/>
              <w:spacing w:line="360" w:lineRule="auto"/>
              <w:jc w:val="center"/>
              <w:rPr>
                <w:rFonts w:hint="eastAsia" w:ascii="宋体" w:hAnsi="宋体" w:eastAsia="宋体" w:cs="宋体"/>
                <w:color w:val="auto"/>
                <w:sz w:val="24"/>
                <w:highlight w:val="none"/>
              </w:rPr>
            </w:pPr>
          </w:p>
        </w:tc>
        <w:tc>
          <w:tcPr>
            <w:tcW w:w="993" w:type="dxa"/>
            <w:vAlign w:val="center"/>
          </w:tcPr>
          <w:p>
            <w:pPr>
              <w:snapToGrid w:val="0"/>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1984" w:type="dxa"/>
            <w:vAlign w:val="center"/>
          </w:tcPr>
          <w:p>
            <w:pPr>
              <w:spacing w:line="360" w:lineRule="auto"/>
              <w:jc w:val="center"/>
              <w:rPr>
                <w:rFonts w:hint="eastAsia" w:ascii="宋体" w:hAnsi="宋体" w:eastAsia="宋体" w:cs="宋体"/>
                <w:color w:val="auto"/>
                <w:sz w:val="24"/>
                <w:highlight w:val="none"/>
              </w:rPr>
            </w:pPr>
          </w:p>
        </w:tc>
        <w:tc>
          <w:tcPr>
            <w:tcW w:w="3119"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417" w:type="dxa"/>
            <w:vAlign w:val="center"/>
          </w:tcPr>
          <w:p>
            <w:pPr>
              <w:snapToGrid w:val="0"/>
              <w:spacing w:line="360" w:lineRule="auto"/>
              <w:jc w:val="center"/>
              <w:rPr>
                <w:rFonts w:hint="eastAsia" w:ascii="宋体" w:hAnsi="宋体" w:eastAsia="宋体" w:cs="宋体"/>
                <w:color w:val="auto"/>
                <w:sz w:val="24"/>
                <w:highlight w:val="none"/>
              </w:rPr>
            </w:pPr>
          </w:p>
        </w:tc>
        <w:tc>
          <w:tcPr>
            <w:tcW w:w="1843" w:type="dxa"/>
            <w:vAlign w:val="center"/>
          </w:tcPr>
          <w:p>
            <w:pPr>
              <w:snapToGrid w:val="0"/>
              <w:spacing w:line="360" w:lineRule="auto"/>
              <w:jc w:val="center"/>
              <w:rPr>
                <w:rFonts w:hint="eastAsia" w:ascii="宋体" w:hAnsi="宋体" w:eastAsia="宋体" w:cs="宋体"/>
                <w:color w:val="auto"/>
                <w:sz w:val="24"/>
                <w:highlight w:val="none"/>
              </w:rPr>
            </w:pPr>
          </w:p>
        </w:tc>
        <w:tc>
          <w:tcPr>
            <w:tcW w:w="3118" w:type="dxa"/>
            <w:vAlign w:val="center"/>
          </w:tcPr>
          <w:p>
            <w:pPr>
              <w:snapToGrid w:val="0"/>
              <w:spacing w:line="360" w:lineRule="auto"/>
              <w:jc w:val="center"/>
              <w:rPr>
                <w:rFonts w:hint="eastAsia" w:ascii="宋体" w:hAnsi="宋体" w:eastAsia="宋体" w:cs="宋体"/>
                <w:color w:val="auto"/>
                <w:sz w:val="24"/>
                <w:highlight w:val="none"/>
              </w:rPr>
            </w:pPr>
          </w:p>
        </w:tc>
        <w:tc>
          <w:tcPr>
            <w:tcW w:w="993" w:type="dxa"/>
            <w:vAlign w:val="center"/>
          </w:tcPr>
          <w:p>
            <w:pPr>
              <w:snapToGrid w:val="0"/>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1984" w:type="dxa"/>
            <w:vAlign w:val="center"/>
          </w:tcPr>
          <w:p>
            <w:pPr>
              <w:spacing w:line="360" w:lineRule="auto"/>
              <w:jc w:val="center"/>
              <w:rPr>
                <w:rFonts w:hint="eastAsia" w:ascii="宋体" w:hAnsi="宋体" w:eastAsia="宋体" w:cs="宋体"/>
                <w:color w:val="auto"/>
                <w:sz w:val="24"/>
                <w:highlight w:val="none"/>
              </w:rPr>
            </w:pPr>
          </w:p>
        </w:tc>
        <w:tc>
          <w:tcPr>
            <w:tcW w:w="3119"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color w:val="auto"/>
                <w:sz w:val="24"/>
                <w:highlight w:val="none"/>
              </w:rPr>
            </w:pPr>
          </w:p>
        </w:tc>
        <w:tc>
          <w:tcPr>
            <w:tcW w:w="1417" w:type="dxa"/>
            <w:vAlign w:val="center"/>
          </w:tcPr>
          <w:p>
            <w:pPr>
              <w:snapToGrid w:val="0"/>
              <w:spacing w:line="360" w:lineRule="auto"/>
              <w:jc w:val="center"/>
              <w:rPr>
                <w:rFonts w:hint="eastAsia" w:ascii="宋体" w:hAnsi="宋体" w:eastAsia="宋体" w:cs="宋体"/>
                <w:color w:val="auto"/>
                <w:sz w:val="24"/>
                <w:highlight w:val="none"/>
              </w:rPr>
            </w:pPr>
          </w:p>
        </w:tc>
        <w:tc>
          <w:tcPr>
            <w:tcW w:w="1843" w:type="dxa"/>
            <w:vAlign w:val="center"/>
          </w:tcPr>
          <w:p>
            <w:pPr>
              <w:snapToGrid w:val="0"/>
              <w:spacing w:line="360" w:lineRule="auto"/>
              <w:jc w:val="center"/>
              <w:rPr>
                <w:rFonts w:hint="eastAsia" w:ascii="宋体" w:hAnsi="宋体" w:eastAsia="宋体" w:cs="宋体"/>
                <w:color w:val="auto"/>
                <w:sz w:val="24"/>
                <w:highlight w:val="none"/>
              </w:rPr>
            </w:pPr>
          </w:p>
        </w:tc>
        <w:tc>
          <w:tcPr>
            <w:tcW w:w="3118" w:type="dxa"/>
            <w:vAlign w:val="center"/>
          </w:tcPr>
          <w:p>
            <w:pPr>
              <w:snapToGrid w:val="0"/>
              <w:spacing w:line="360" w:lineRule="auto"/>
              <w:jc w:val="center"/>
              <w:rPr>
                <w:rFonts w:hint="eastAsia" w:ascii="宋体" w:hAnsi="宋体" w:eastAsia="宋体" w:cs="宋体"/>
                <w:color w:val="auto"/>
                <w:sz w:val="24"/>
                <w:highlight w:val="none"/>
              </w:rPr>
            </w:pPr>
          </w:p>
        </w:tc>
        <w:tc>
          <w:tcPr>
            <w:tcW w:w="993" w:type="dxa"/>
            <w:vAlign w:val="center"/>
          </w:tcPr>
          <w:p>
            <w:pPr>
              <w:snapToGrid w:val="0"/>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1984" w:type="dxa"/>
            <w:vAlign w:val="center"/>
          </w:tcPr>
          <w:p>
            <w:pPr>
              <w:spacing w:line="360" w:lineRule="auto"/>
              <w:jc w:val="center"/>
              <w:rPr>
                <w:rFonts w:hint="eastAsia" w:ascii="宋体" w:hAnsi="宋体" w:eastAsia="宋体" w:cs="宋体"/>
                <w:color w:val="auto"/>
                <w:sz w:val="24"/>
                <w:highlight w:val="none"/>
              </w:rPr>
            </w:pPr>
          </w:p>
        </w:tc>
        <w:tc>
          <w:tcPr>
            <w:tcW w:w="3119"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color w:val="auto"/>
                <w:sz w:val="24"/>
                <w:highlight w:val="none"/>
              </w:rPr>
            </w:pPr>
          </w:p>
        </w:tc>
        <w:tc>
          <w:tcPr>
            <w:tcW w:w="1417" w:type="dxa"/>
            <w:vAlign w:val="center"/>
          </w:tcPr>
          <w:p>
            <w:pPr>
              <w:snapToGrid w:val="0"/>
              <w:spacing w:line="360" w:lineRule="auto"/>
              <w:jc w:val="center"/>
              <w:rPr>
                <w:rFonts w:hint="eastAsia" w:ascii="宋体" w:hAnsi="宋体" w:eastAsia="宋体" w:cs="宋体"/>
                <w:color w:val="auto"/>
                <w:sz w:val="24"/>
                <w:highlight w:val="none"/>
              </w:rPr>
            </w:pPr>
          </w:p>
        </w:tc>
        <w:tc>
          <w:tcPr>
            <w:tcW w:w="1843" w:type="dxa"/>
            <w:vAlign w:val="center"/>
          </w:tcPr>
          <w:p>
            <w:pPr>
              <w:snapToGrid w:val="0"/>
              <w:spacing w:line="360" w:lineRule="auto"/>
              <w:jc w:val="center"/>
              <w:rPr>
                <w:rFonts w:hint="eastAsia" w:ascii="宋体" w:hAnsi="宋体" w:eastAsia="宋体" w:cs="宋体"/>
                <w:color w:val="auto"/>
                <w:sz w:val="24"/>
                <w:highlight w:val="none"/>
              </w:rPr>
            </w:pPr>
          </w:p>
        </w:tc>
        <w:tc>
          <w:tcPr>
            <w:tcW w:w="3118" w:type="dxa"/>
            <w:vAlign w:val="center"/>
          </w:tcPr>
          <w:p>
            <w:pPr>
              <w:snapToGrid w:val="0"/>
              <w:spacing w:line="360" w:lineRule="auto"/>
              <w:jc w:val="center"/>
              <w:rPr>
                <w:rFonts w:hint="eastAsia" w:ascii="宋体" w:hAnsi="宋体" w:eastAsia="宋体" w:cs="宋体"/>
                <w:color w:val="auto"/>
                <w:sz w:val="24"/>
                <w:highlight w:val="none"/>
              </w:rPr>
            </w:pPr>
          </w:p>
        </w:tc>
        <w:tc>
          <w:tcPr>
            <w:tcW w:w="993" w:type="dxa"/>
            <w:vAlign w:val="center"/>
          </w:tcPr>
          <w:p>
            <w:pPr>
              <w:snapToGrid w:val="0"/>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1984" w:type="dxa"/>
            <w:vAlign w:val="center"/>
          </w:tcPr>
          <w:p>
            <w:pPr>
              <w:spacing w:line="360" w:lineRule="auto"/>
              <w:jc w:val="center"/>
              <w:rPr>
                <w:rFonts w:hint="eastAsia" w:ascii="宋体" w:hAnsi="宋体" w:eastAsia="宋体" w:cs="宋体"/>
                <w:color w:val="auto"/>
                <w:sz w:val="24"/>
                <w:highlight w:val="none"/>
              </w:rPr>
            </w:pPr>
          </w:p>
        </w:tc>
        <w:tc>
          <w:tcPr>
            <w:tcW w:w="3119"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投标报价（小写）</w:t>
            </w:r>
          </w:p>
        </w:tc>
        <w:tc>
          <w:tcPr>
            <w:tcW w:w="7655" w:type="dxa"/>
            <w:gridSpan w:val="4"/>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投标报价（大写）</w:t>
            </w:r>
          </w:p>
        </w:tc>
        <w:tc>
          <w:tcPr>
            <w:tcW w:w="7655" w:type="dxa"/>
            <w:gridSpan w:val="4"/>
            <w:vAlign w:val="center"/>
          </w:tcPr>
          <w:p>
            <w:pPr>
              <w:spacing w:line="360" w:lineRule="auto"/>
              <w:jc w:val="center"/>
              <w:rPr>
                <w:rFonts w:hint="eastAsia" w:ascii="宋体" w:hAnsi="宋体" w:eastAsia="宋体" w:cs="宋体"/>
                <w:color w:val="auto"/>
                <w:sz w:val="24"/>
                <w:highlight w:val="none"/>
              </w:rPr>
            </w:pPr>
          </w:p>
        </w:tc>
      </w:tr>
    </w:tbl>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color w:val="auto"/>
          <w:kern w:val="0"/>
          <w:sz w:val="24"/>
          <w:highlight w:val="none"/>
          <w:lang w:val="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2、有关本项目实施所涉及的一切费用均计入报价。有关本项目实施所涉及的一切费用均计入报价。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zh-CN"/>
        </w:rPr>
        <w:t>4、</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kern w:val="0"/>
          <w:sz w:val="24"/>
          <w:highlight w:val="none"/>
          <w:lang w:eastAsia="zh-CN"/>
        </w:rPr>
      </w:pPr>
      <w:r>
        <w:rPr>
          <w:rFonts w:hint="eastAsia" w:ascii="宋体" w:hAnsi="宋体" w:eastAsia="宋体" w:cs="宋体"/>
          <w:b/>
          <w:color w:val="auto"/>
          <w:sz w:val="24"/>
          <w:highlight w:val="none"/>
        </w:rPr>
        <w:t>5、特别说明：▲供应商报价低于项目预算50%的，应当在报价文件中详细阐述不影响产品质量或者诚信履约的具体原因</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lang w:val="en-US" w:eastAsia="zh-CN"/>
        </w:rPr>
        <w:t>未做阐述说明的，投标无效。</w:t>
      </w:r>
    </w:p>
    <w:p>
      <w:pPr>
        <w:pStyle w:val="692"/>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2"/>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bookmarkStart w:id="549" w:name="_Hlk101259491"/>
      <w:r>
        <w:rPr>
          <w:rFonts w:hint="eastAsia" w:ascii="宋体" w:hAnsi="宋体" w:eastAsia="宋体" w:cs="宋体"/>
          <w:color w:val="auto"/>
          <w:sz w:val="32"/>
          <w:szCs w:val="32"/>
          <w:highlight w:val="none"/>
        </w:rPr>
        <w:t>（如果有）</w:t>
      </w:r>
      <w:bookmarkEnd w:id="549"/>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2"/>
        <w:keepNext w:val="0"/>
        <w:pageBreakBefore w:val="0"/>
        <w:tabs>
          <w:tab w:val="clear" w:pos="720"/>
        </w:tabs>
        <w:snapToGrid w:val="0"/>
        <w:spacing w:before="120" w:after="120"/>
        <w:ind w:firstLine="643"/>
        <w:outlineLvl w:val="9"/>
        <w:rPr>
          <w:rFonts w:hint="eastAsia" w:ascii="宋体" w:hAnsi="宋体" w:eastAsia="宋体" w:cs="宋体"/>
          <w:b w:val="0"/>
          <w:color w:val="auto"/>
          <w:sz w:val="32"/>
          <w:szCs w:val="32"/>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bookmarkStart w:id="550" w:name="_Toc465665161"/>
      <w:r>
        <w:rPr>
          <w:rFonts w:hint="eastAsia" w:ascii="宋体" w:hAnsi="宋体" w:eastAsia="宋体" w:cs="宋体"/>
          <w:color w:val="auto"/>
          <w:highlight w:val="none"/>
        </w:rPr>
        <w:t>附件</w:t>
      </w:r>
      <w:bookmarkEnd w:id="550"/>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551" w:name="OLE_LINK13"/>
      <w:bookmarkStart w:id="552" w:name="OLE_LINK14"/>
      <w:r>
        <w:rPr>
          <w:rFonts w:hint="eastAsia" w:ascii="宋体" w:hAnsi="宋体" w:eastAsia="宋体" w:cs="宋体"/>
          <w:b/>
          <w:color w:val="auto"/>
          <w:spacing w:val="6"/>
          <w:sz w:val="32"/>
          <w:szCs w:val="32"/>
          <w:highlight w:val="none"/>
        </w:rPr>
        <w:t>残疾人福利性单位声明函</w:t>
      </w:r>
    </w:p>
    <w:bookmarkEnd w:id="551"/>
    <w:bookmarkEnd w:id="552"/>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highlight w:val="none"/>
          <w:u w:val="single"/>
        </w:rPr>
        <w:t>（采购人）</w:t>
      </w:r>
      <w:r>
        <w:rPr>
          <w:rFonts w:hint="eastAsia" w:ascii="宋体" w:hAnsi="宋体" w:eastAsia="宋体" w:cs="宋体"/>
          <w:color w:val="auto"/>
          <w:sz w:val="24"/>
          <w:highlight w:val="none"/>
        </w:rPr>
        <w:t>_单位的_</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附件5：联合协议</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p>
    <w:p>
      <w:pPr>
        <w:snapToGrid w:val="0"/>
        <w:spacing w:line="360" w:lineRule="auto"/>
        <w:ind w:firstLine="576"/>
        <w:rPr>
          <w:rFonts w:hint="eastAsia" w:ascii="宋体" w:hAnsi="宋体" w:eastAsia="宋体" w:cs="宋体"/>
          <w:color w:val="auto"/>
          <w:kern w:val="0"/>
          <w:sz w:val="24"/>
          <w:highlight w:val="none"/>
          <w:lang w:val="zh-CN"/>
        </w:rPr>
      </w:pPr>
      <w:bookmarkStart w:id="553" w:name="_Hlk101134295"/>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（联合体成员2）</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bookmarkEnd w:id="553"/>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（联合体成员X,……）</w:t>
      </w:r>
      <w:r>
        <w:rPr>
          <w:rFonts w:hint="eastAsia" w:ascii="宋体" w:hAnsi="宋体" w:eastAsia="宋体" w:cs="宋体"/>
          <w:color w:val="auto"/>
          <w:kern w:val="0"/>
          <w:sz w:val="24"/>
          <w:highlight w:val="none"/>
        </w:rPr>
        <w:t>提供的全部货物由小微企业制造，其合同份额占到合同总金额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right="960"/>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附件6：分包意向协议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4"/>
        <w:ind w:left="664" w:leftChars="316" w:firstLine="229" w:firstLineChars="9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二、分包供应商中小企业合同份额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（分包供应商X,……）提供的货物全部由小微企业制造，</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554"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要求合同分包形式参加的项目或采购包，供应商按招标文件第一部分招标公告申请人的资格要求中规定的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bookmarkEnd w:id="554"/>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outlineLvl w:val="0"/>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t>附件7：中小企业声明函</w:t>
      </w:r>
    </w:p>
    <w:p>
      <w:pPr>
        <w:spacing w:line="360" w:lineRule="auto"/>
        <w:jc w:val="center"/>
        <w:rPr>
          <w:rFonts w:hint="eastAsia" w:ascii="宋体" w:hAnsi="宋体" w:eastAsia="宋体" w:cs="宋体"/>
          <w:color w:val="auto"/>
          <w:sz w:val="24"/>
          <w:highlight w:val="none"/>
          <w:u w:val="singl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（采购人） </w:t>
      </w:r>
      <w:r>
        <w:rPr>
          <w:rFonts w:hint="eastAsia" w:ascii="宋体" w:hAnsi="宋体" w:eastAsia="宋体" w:cs="宋体"/>
          <w:color w:val="auto"/>
          <w:sz w:val="24"/>
          <w:highlight w:val="none"/>
        </w:rPr>
        <w:t xml:space="preserve">的 </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 ，属于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行业 ；制造商为</w:t>
      </w:r>
      <w:r>
        <w:rPr>
          <w:rFonts w:hint="eastAsia" w:ascii="宋体" w:hAnsi="宋体" w:eastAsia="宋体" w:cs="宋体"/>
          <w:color w:val="auto"/>
          <w:sz w:val="24"/>
          <w:highlight w:val="none"/>
          <w:u w:val="single"/>
        </w:rPr>
        <w:t xml:space="preserve"> （企业名称）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 ，属于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行业 ；制造商为</w:t>
      </w:r>
      <w:r>
        <w:rPr>
          <w:rFonts w:hint="eastAsia" w:ascii="宋体" w:hAnsi="宋体" w:eastAsia="宋体" w:cs="宋体"/>
          <w:color w:val="auto"/>
          <w:sz w:val="24"/>
          <w:highlight w:val="none"/>
          <w:u w:val="single"/>
        </w:rPr>
        <w:t xml:space="preserve"> （企业名称）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pacing w:line="36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pStyle w:val="4"/>
        <w:jc w:val="left"/>
        <w:rPr>
          <w:rFonts w:hint="eastAsia" w:ascii="宋体" w:hAnsi="宋体" w:eastAsia="宋体" w:cs="宋体"/>
          <w:color w:val="auto"/>
          <w:sz w:val="24"/>
          <w:highlight w:val="none"/>
        </w:rPr>
      </w:pPr>
      <w:r>
        <w:rPr>
          <w:rFonts w:hint="eastAsia" w:ascii="宋体" w:hAnsi="宋体" w:eastAsia="宋体" w:cs="宋体"/>
          <w:color w:val="auto"/>
          <w:highlight w:val="none"/>
        </w:rPr>
        <w:t>附件</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样品（演示）授权委托书</w:t>
      </w:r>
    </w:p>
    <w:p>
      <w:pPr>
        <w:jc w:val="center"/>
        <w:rPr>
          <w:rFonts w:hint="eastAsia" w:ascii="宋体" w:hAnsi="宋体" w:eastAsia="宋体" w:cs="宋体"/>
          <w:color w:val="auto"/>
          <w:sz w:val="40"/>
          <w:highlight w:val="none"/>
        </w:rPr>
      </w:pPr>
      <w:r>
        <w:rPr>
          <w:rFonts w:hint="eastAsia" w:ascii="宋体" w:hAnsi="宋体" w:eastAsia="宋体" w:cs="宋体"/>
          <w:color w:val="auto"/>
          <w:sz w:val="40"/>
          <w:highlight w:val="none"/>
        </w:rPr>
        <w:t>样品（演示）授权委托书</w:t>
      </w:r>
    </w:p>
    <w:p>
      <w:pPr>
        <w:jc w:val="center"/>
        <w:rPr>
          <w:rFonts w:hint="eastAsia" w:ascii="宋体" w:hAnsi="宋体" w:eastAsia="宋体" w:cs="宋体"/>
          <w:color w:val="auto"/>
          <w:sz w:val="40"/>
          <w:highlight w:val="none"/>
        </w:rPr>
      </w:pP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XXX（单位名称或采购机构名称）</w:t>
      </w:r>
      <w:r>
        <w:rPr>
          <w:rFonts w:hint="eastAsia" w:ascii="宋体" w:hAnsi="宋体" w:eastAsia="宋体" w:cs="宋体"/>
          <w:color w:val="auto"/>
          <w:highlight w:val="none"/>
          <w:lang w:val="zh-CN"/>
        </w:rPr>
        <w:t>：</w:t>
      </w:r>
    </w:p>
    <w:p>
      <w:pPr>
        <w:snapToGrid w:val="0"/>
        <w:spacing w:line="360" w:lineRule="auto"/>
        <w:ind w:left="254" w:leftChars="121" w:firstLine="420" w:firstLineChars="200"/>
        <w:rPr>
          <w:rFonts w:hint="eastAsia" w:ascii="宋体" w:hAnsi="宋体" w:eastAsia="宋体" w:cs="宋体"/>
          <w:color w:val="auto"/>
          <w:highlight w:val="none"/>
          <w:u w:val="single"/>
          <w:lang w:val="zh-CN"/>
        </w:rPr>
      </w:pPr>
      <w:r>
        <w:rPr>
          <w:rFonts w:hint="eastAsia" w:ascii="宋体" w:hAnsi="宋体" w:eastAsia="宋体" w:cs="宋体"/>
          <w:color w:val="auto"/>
          <w:highlight w:val="none"/>
          <w:lang w:val="zh-CN"/>
        </w:rPr>
        <w:t>兹委派</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先生/女士，身份证号：</w:t>
      </w:r>
      <w:r>
        <w:rPr>
          <w:rFonts w:hint="eastAsia" w:ascii="宋体" w:hAnsi="宋体" w:eastAsia="宋体" w:cs="宋体"/>
          <w:color w:val="auto"/>
          <w:highlight w:val="none"/>
          <w:u w:val="single"/>
          <w:lang w:val="zh-CN"/>
        </w:rPr>
        <w:t xml:space="preserve">                   </w:t>
      </w:r>
    </w:p>
    <w:p>
      <w:pPr>
        <w:snapToGrid w:val="0"/>
        <w:spacing w:line="360" w:lineRule="auto"/>
        <w:ind w:left="254" w:leftChars="121"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zh-CN"/>
        </w:rPr>
        <w:t>手机：</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，代表我公司前来递交</w:t>
      </w:r>
      <w:r>
        <w:rPr>
          <w:rFonts w:hint="eastAsia" w:ascii="宋体" w:hAnsi="宋体" w:eastAsia="宋体" w:cs="宋体"/>
          <w:color w:val="auto"/>
          <w:highlight w:val="none"/>
          <w:u w:val="single"/>
          <w:lang w:val="zh-CN"/>
        </w:rPr>
        <w:t xml:space="preserve">                           采购项目</w:t>
      </w:r>
      <w:r>
        <w:rPr>
          <w:rFonts w:hint="eastAsia" w:ascii="宋体" w:hAnsi="宋体" w:eastAsia="宋体" w:cs="宋体"/>
          <w:color w:val="auto"/>
          <w:highlight w:val="none"/>
          <w:lang w:val="zh-CN"/>
        </w:rPr>
        <w:t>【项目编号：              】（标项号：  ）投标样品或参加演示，并全权负责标后取回样品等其他处理事宜。</w:t>
      </w:r>
    </w:p>
    <w:p>
      <w:pPr>
        <w:snapToGrid w:val="0"/>
        <w:spacing w:line="360" w:lineRule="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 xml:space="preserve">  </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特此告知。</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投标人名称(公章)：</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w:t>
      </w:r>
    </w:p>
    <w:p>
      <w:pPr>
        <w:snapToGrid w:val="0"/>
        <w:spacing w:line="360" w:lineRule="auto"/>
        <w:ind w:right="240"/>
        <w:jc w:val="right"/>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签发日期：  年  月   日</w:t>
      </w:r>
    </w:p>
    <w:p>
      <w:pPr>
        <w:snapToGrid w:val="0"/>
        <w:spacing w:line="360" w:lineRule="auto"/>
        <w:ind w:right="240"/>
        <w:jc w:val="right"/>
        <w:rPr>
          <w:rFonts w:hint="eastAsia" w:ascii="宋体" w:hAnsi="宋体" w:eastAsia="宋体" w:cs="宋体"/>
          <w:color w:val="auto"/>
          <w:highlight w:val="none"/>
          <w:lang w:val="zh-CN"/>
        </w:rPr>
      </w:pPr>
    </w:p>
    <w:p>
      <w:pPr>
        <w:snapToGrid w:val="0"/>
        <w:spacing w:line="360" w:lineRule="auto"/>
        <w:ind w:right="1920"/>
        <w:rPr>
          <w:rFonts w:hint="eastAsia" w:ascii="宋体" w:hAnsi="宋体" w:eastAsia="宋体" w:cs="宋体"/>
          <w:color w:val="auto"/>
          <w:highlight w:val="none"/>
          <w:lang w:val="zh-CN"/>
        </w:rPr>
      </w:pPr>
    </w:p>
    <w:p>
      <w:pPr>
        <w:snapToGrid w:val="0"/>
        <w:spacing w:line="360" w:lineRule="auto"/>
        <w:ind w:right="240"/>
        <w:jc w:val="right"/>
        <w:rPr>
          <w:rFonts w:hint="eastAsia" w:ascii="宋体" w:hAnsi="宋体" w:eastAsia="宋体" w:cs="宋体"/>
          <w:color w:val="auto"/>
          <w:highlight w:val="none"/>
          <w:lang w:val="zh-CN"/>
        </w:rPr>
      </w:pPr>
    </w:p>
    <w:p>
      <w:pPr>
        <w:snapToGrid w:val="0"/>
        <w:spacing w:line="360" w:lineRule="auto"/>
        <w:ind w:right="240"/>
        <w:rPr>
          <w:rFonts w:hint="eastAsia" w:ascii="宋体" w:hAnsi="宋体" w:eastAsia="宋体" w:cs="宋体"/>
          <w:color w:val="auto"/>
          <w:highlight w:val="none"/>
          <w:lang w:val="zh-CN"/>
        </w:rPr>
      </w:pPr>
      <w:r>
        <w:rPr>
          <w:rFonts w:hint="eastAsia" w:ascii="宋体" w:hAnsi="宋体" w:eastAsia="宋体" w:cs="宋体"/>
          <w:color w:val="auto"/>
          <w:highlight w:val="none"/>
        </w:rPr>
        <w:t>受委托人</w:t>
      </w:r>
      <w:r>
        <w:rPr>
          <w:rFonts w:hint="eastAsia" w:ascii="宋体" w:hAnsi="宋体" w:eastAsia="宋体" w:cs="宋体"/>
          <w:color w:val="auto"/>
          <w:highlight w:val="none"/>
          <w:lang w:val="zh-CN"/>
        </w:rPr>
        <w:t>身份证复印件：</w:t>
      </w:r>
    </w:p>
    <w:p>
      <w:pPr>
        <w:snapToGrid w:val="0"/>
        <w:spacing w:line="360" w:lineRule="auto"/>
        <w:ind w:right="240"/>
        <w:rPr>
          <w:rFonts w:hint="eastAsia" w:ascii="宋体" w:hAnsi="宋体" w:eastAsia="宋体" w:cs="宋体"/>
          <w:color w:val="auto"/>
          <w:highlight w:val="none"/>
          <w:lang w:val="zh-CN"/>
        </w:rPr>
      </w:pPr>
    </w:p>
    <w:p>
      <w:pPr>
        <w:snapToGrid w:val="0"/>
        <w:spacing w:line="360" w:lineRule="auto"/>
        <w:ind w:right="24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说明：本委托书在有样品或演示时由受委托人携带至指定地点。</w:t>
      </w:r>
    </w:p>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同时有样品和演示的，可委托不同人员。</w:t>
      </w:r>
    </w:p>
    <w:p>
      <w:pPr>
        <w:pStyle w:val="4"/>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both"/>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rPr>
          <w:rFonts w:hint="eastAsia" w:ascii="宋体" w:hAnsi="宋体" w:eastAsia="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55" w:name="_Toc164085800"/>
    <w:bookmarkStart w:id="556" w:name="_Toc131845147"/>
    <w:bookmarkStart w:id="557" w:name="_Toc91899912"/>
    <w:bookmarkStart w:id="558" w:name="_Toc36110187"/>
    <w:r>
      <w:rPr>
        <w:rFonts w:hint="eastAsia" w:ascii="仿宋_GB2312" w:eastAsia="仿宋_GB2312"/>
        <w:kern w:val="0"/>
        <w:szCs w:val="21"/>
      </w:rPr>
      <w:t xml:space="preserve"> 页</w:t>
    </w:r>
    <w:bookmarkEnd w:id="555"/>
    <w:bookmarkEnd w:id="556"/>
    <w:bookmarkEnd w:id="557"/>
    <w:bookmarkEnd w:id="55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3Y2MzNGExYWY2MjkzNTRhODg2YmYwMDk3YjdjMT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4E22"/>
    <w:rsid w:val="01B37585"/>
    <w:rsid w:val="01D55165"/>
    <w:rsid w:val="01DF6BF8"/>
    <w:rsid w:val="01EC2C57"/>
    <w:rsid w:val="025F0711"/>
    <w:rsid w:val="026B2E25"/>
    <w:rsid w:val="02824D4D"/>
    <w:rsid w:val="02DC4B10"/>
    <w:rsid w:val="02DD76CE"/>
    <w:rsid w:val="02F36323"/>
    <w:rsid w:val="02F5619C"/>
    <w:rsid w:val="0326446A"/>
    <w:rsid w:val="032D5555"/>
    <w:rsid w:val="036634D2"/>
    <w:rsid w:val="03AA0080"/>
    <w:rsid w:val="03B74E41"/>
    <w:rsid w:val="03DD35E4"/>
    <w:rsid w:val="04076900"/>
    <w:rsid w:val="041A5A3B"/>
    <w:rsid w:val="042311BA"/>
    <w:rsid w:val="042B157A"/>
    <w:rsid w:val="04824B9E"/>
    <w:rsid w:val="048F763B"/>
    <w:rsid w:val="049F330E"/>
    <w:rsid w:val="04AA775C"/>
    <w:rsid w:val="04AF1889"/>
    <w:rsid w:val="04F66F48"/>
    <w:rsid w:val="05251E14"/>
    <w:rsid w:val="05A16594"/>
    <w:rsid w:val="05A33A8F"/>
    <w:rsid w:val="05A7762D"/>
    <w:rsid w:val="05DF652D"/>
    <w:rsid w:val="060E5941"/>
    <w:rsid w:val="06110FAF"/>
    <w:rsid w:val="06493CA7"/>
    <w:rsid w:val="065A6178"/>
    <w:rsid w:val="066F1CF3"/>
    <w:rsid w:val="06930BB8"/>
    <w:rsid w:val="06A92350"/>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6A0048"/>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915D60"/>
    <w:rsid w:val="0CAA755C"/>
    <w:rsid w:val="0CC007F7"/>
    <w:rsid w:val="0CC617AC"/>
    <w:rsid w:val="0CC70BCA"/>
    <w:rsid w:val="0CE618DF"/>
    <w:rsid w:val="0CFE707A"/>
    <w:rsid w:val="0D063BDA"/>
    <w:rsid w:val="0D08375F"/>
    <w:rsid w:val="0D0F7E0C"/>
    <w:rsid w:val="0D184CFB"/>
    <w:rsid w:val="0D4A7419"/>
    <w:rsid w:val="0D73211D"/>
    <w:rsid w:val="0D827401"/>
    <w:rsid w:val="0D84094E"/>
    <w:rsid w:val="0D8A00E9"/>
    <w:rsid w:val="0D8D589E"/>
    <w:rsid w:val="0DA01C73"/>
    <w:rsid w:val="0DA675E9"/>
    <w:rsid w:val="0DD63300"/>
    <w:rsid w:val="0DF50604"/>
    <w:rsid w:val="0DF702FE"/>
    <w:rsid w:val="0E060E51"/>
    <w:rsid w:val="0E4E33A5"/>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0FC6AD8"/>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15556D"/>
    <w:rsid w:val="1438513A"/>
    <w:rsid w:val="146D271E"/>
    <w:rsid w:val="14982588"/>
    <w:rsid w:val="149A5AD9"/>
    <w:rsid w:val="14A7619D"/>
    <w:rsid w:val="150536C3"/>
    <w:rsid w:val="150C1963"/>
    <w:rsid w:val="151447A0"/>
    <w:rsid w:val="154A6454"/>
    <w:rsid w:val="15762120"/>
    <w:rsid w:val="16A8729C"/>
    <w:rsid w:val="16B33777"/>
    <w:rsid w:val="16BC70A7"/>
    <w:rsid w:val="16C6339E"/>
    <w:rsid w:val="16C94348"/>
    <w:rsid w:val="172F2D79"/>
    <w:rsid w:val="17557BEF"/>
    <w:rsid w:val="175956CC"/>
    <w:rsid w:val="17D349C1"/>
    <w:rsid w:val="18244F26"/>
    <w:rsid w:val="182A221B"/>
    <w:rsid w:val="1830729E"/>
    <w:rsid w:val="18650755"/>
    <w:rsid w:val="1870062C"/>
    <w:rsid w:val="187B448D"/>
    <w:rsid w:val="18817102"/>
    <w:rsid w:val="18830A15"/>
    <w:rsid w:val="18852B28"/>
    <w:rsid w:val="188B5321"/>
    <w:rsid w:val="193E726F"/>
    <w:rsid w:val="19563CB9"/>
    <w:rsid w:val="19780194"/>
    <w:rsid w:val="19932372"/>
    <w:rsid w:val="19A20DD5"/>
    <w:rsid w:val="19A838D1"/>
    <w:rsid w:val="19AE03F1"/>
    <w:rsid w:val="1A071A03"/>
    <w:rsid w:val="1A1F16AE"/>
    <w:rsid w:val="1A3B5C77"/>
    <w:rsid w:val="1A984BAD"/>
    <w:rsid w:val="1AB8220E"/>
    <w:rsid w:val="1AE4166C"/>
    <w:rsid w:val="1AF06CFB"/>
    <w:rsid w:val="1AF11B8D"/>
    <w:rsid w:val="1B0D0CA7"/>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EF6D8A"/>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5D622D"/>
    <w:rsid w:val="208921B3"/>
    <w:rsid w:val="208D5628"/>
    <w:rsid w:val="20973DEB"/>
    <w:rsid w:val="20B26522"/>
    <w:rsid w:val="20B44310"/>
    <w:rsid w:val="211116EB"/>
    <w:rsid w:val="216133FC"/>
    <w:rsid w:val="21D56769"/>
    <w:rsid w:val="21E52EF3"/>
    <w:rsid w:val="21FB5D7B"/>
    <w:rsid w:val="22015E94"/>
    <w:rsid w:val="220B1C3D"/>
    <w:rsid w:val="221D1D20"/>
    <w:rsid w:val="22334A87"/>
    <w:rsid w:val="227A4A01"/>
    <w:rsid w:val="22BE6801"/>
    <w:rsid w:val="22EF6456"/>
    <w:rsid w:val="233500BF"/>
    <w:rsid w:val="23377FF7"/>
    <w:rsid w:val="236B425F"/>
    <w:rsid w:val="23836192"/>
    <w:rsid w:val="23901F29"/>
    <w:rsid w:val="239C0061"/>
    <w:rsid w:val="23B908A4"/>
    <w:rsid w:val="23BA7198"/>
    <w:rsid w:val="23E95BEF"/>
    <w:rsid w:val="23FD0064"/>
    <w:rsid w:val="245375B0"/>
    <w:rsid w:val="24642C0A"/>
    <w:rsid w:val="24B22173"/>
    <w:rsid w:val="24B95AD9"/>
    <w:rsid w:val="24BE24DA"/>
    <w:rsid w:val="24CF5825"/>
    <w:rsid w:val="24D663E6"/>
    <w:rsid w:val="24D77F2B"/>
    <w:rsid w:val="251E1D03"/>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177609"/>
    <w:rsid w:val="28333E1D"/>
    <w:rsid w:val="28454BD6"/>
    <w:rsid w:val="28455253"/>
    <w:rsid w:val="28551971"/>
    <w:rsid w:val="285B1C53"/>
    <w:rsid w:val="289F7086"/>
    <w:rsid w:val="28C32028"/>
    <w:rsid w:val="28CC490F"/>
    <w:rsid w:val="28DE40AA"/>
    <w:rsid w:val="29345E77"/>
    <w:rsid w:val="294C65AD"/>
    <w:rsid w:val="29806583"/>
    <w:rsid w:val="298B3C4C"/>
    <w:rsid w:val="29E67BCF"/>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0F1932"/>
    <w:rsid w:val="2E232059"/>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0E70FE"/>
    <w:rsid w:val="319C6071"/>
    <w:rsid w:val="31AC537E"/>
    <w:rsid w:val="31E3679B"/>
    <w:rsid w:val="31E732FD"/>
    <w:rsid w:val="32517576"/>
    <w:rsid w:val="32BE5C2C"/>
    <w:rsid w:val="32DD265F"/>
    <w:rsid w:val="32EF79B2"/>
    <w:rsid w:val="32FB6478"/>
    <w:rsid w:val="330E4365"/>
    <w:rsid w:val="33263B3F"/>
    <w:rsid w:val="336963EB"/>
    <w:rsid w:val="33816EEB"/>
    <w:rsid w:val="33EB55CD"/>
    <w:rsid w:val="33EC4C02"/>
    <w:rsid w:val="340D2360"/>
    <w:rsid w:val="3410665D"/>
    <w:rsid w:val="34211214"/>
    <w:rsid w:val="342E63AB"/>
    <w:rsid w:val="345B62A3"/>
    <w:rsid w:val="34950E68"/>
    <w:rsid w:val="34986E94"/>
    <w:rsid w:val="34AA4510"/>
    <w:rsid w:val="34AF62C9"/>
    <w:rsid w:val="34CB4388"/>
    <w:rsid w:val="34FA6E12"/>
    <w:rsid w:val="354D7158"/>
    <w:rsid w:val="358D5588"/>
    <w:rsid w:val="359327BC"/>
    <w:rsid w:val="35FC273D"/>
    <w:rsid w:val="36080591"/>
    <w:rsid w:val="363A3B40"/>
    <w:rsid w:val="364517E5"/>
    <w:rsid w:val="365302AE"/>
    <w:rsid w:val="36607A0A"/>
    <w:rsid w:val="366E227C"/>
    <w:rsid w:val="366F2E0D"/>
    <w:rsid w:val="367B6A5C"/>
    <w:rsid w:val="36A74ADA"/>
    <w:rsid w:val="36AD60D5"/>
    <w:rsid w:val="36B224F9"/>
    <w:rsid w:val="36EC0CC9"/>
    <w:rsid w:val="373A29CC"/>
    <w:rsid w:val="373F410B"/>
    <w:rsid w:val="376D4844"/>
    <w:rsid w:val="37EE7094"/>
    <w:rsid w:val="38296C89"/>
    <w:rsid w:val="383002EB"/>
    <w:rsid w:val="38586797"/>
    <w:rsid w:val="385D15DF"/>
    <w:rsid w:val="38BC0149"/>
    <w:rsid w:val="38D87D1C"/>
    <w:rsid w:val="39636459"/>
    <w:rsid w:val="396B7F6C"/>
    <w:rsid w:val="39B417A9"/>
    <w:rsid w:val="39FC5695"/>
    <w:rsid w:val="3A006D8E"/>
    <w:rsid w:val="3A136626"/>
    <w:rsid w:val="3A1E0383"/>
    <w:rsid w:val="3A3651E5"/>
    <w:rsid w:val="3A744481"/>
    <w:rsid w:val="3A8C7BEF"/>
    <w:rsid w:val="3A906246"/>
    <w:rsid w:val="3A997391"/>
    <w:rsid w:val="3B2349B7"/>
    <w:rsid w:val="3B616CFF"/>
    <w:rsid w:val="3B6259F6"/>
    <w:rsid w:val="3B976654"/>
    <w:rsid w:val="3BC01EFC"/>
    <w:rsid w:val="3BCA786A"/>
    <w:rsid w:val="3BD31E2F"/>
    <w:rsid w:val="3BF15831"/>
    <w:rsid w:val="3C0331F7"/>
    <w:rsid w:val="3C105946"/>
    <w:rsid w:val="3C471448"/>
    <w:rsid w:val="3C5F759A"/>
    <w:rsid w:val="3C6C525A"/>
    <w:rsid w:val="3CCE23CB"/>
    <w:rsid w:val="3CD17D17"/>
    <w:rsid w:val="3D3C7F39"/>
    <w:rsid w:val="3D440F09"/>
    <w:rsid w:val="3D4504A0"/>
    <w:rsid w:val="3D8734BB"/>
    <w:rsid w:val="3D9616FC"/>
    <w:rsid w:val="3D9A11D4"/>
    <w:rsid w:val="3DA16D89"/>
    <w:rsid w:val="3DA364BE"/>
    <w:rsid w:val="3DE041CB"/>
    <w:rsid w:val="3E0D48F6"/>
    <w:rsid w:val="3E1868B4"/>
    <w:rsid w:val="3E377251"/>
    <w:rsid w:val="3E42664B"/>
    <w:rsid w:val="3E465C5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A42DCA"/>
    <w:rsid w:val="40C31A53"/>
    <w:rsid w:val="40FF545D"/>
    <w:rsid w:val="410067C8"/>
    <w:rsid w:val="415A0DB4"/>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A0824"/>
    <w:rsid w:val="460E7DA5"/>
    <w:rsid w:val="46422483"/>
    <w:rsid w:val="4659254A"/>
    <w:rsid w:val="465B0637"/>
    <w:rsid w:val="465E3F0D"/>
    <w:rsid w:val="466A16E6"/>
    <w:rsid w:val="46893F2B"/>
    <w:rsid w:val="46C4686E"/>
    <w:rsid w:val="477B778F"/>
    <w:rsid w:val="478203EC"/>
    <w:rsid w:val="47B025FA"/>
    <w:rsid w:val="47F24FA4"/>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5120AF"/>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DF3347D"/>
    <w:rsid w:val="4E793892"/>
    <w:rsid w:val="4E800872"/>
    <w:rsid w:val="4EC569ED"/>
    <w:rsid w:val="4ED50EA1"/>
    <w:rsid w:val="4EEC050C"/>
    <w:rsid w:val="4F104EC3"/>
    <w:rsid w:val="4F47354A"/>
    <w:rsid w:val="4F911C54"/>
    <w:rsid w:val="4FE625E0"/>
    <w:rsid w:val="5021480F"/>
    <w:rsid w:val="502E3E89"/>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5564B4"/>
    <w:rsid w:val="52615633"/>
    <w:rsid w:val="526F4DE4"/>
    <w:rsid w:val="52977FD4"/>
    <w:rsid w:val="52A25790"/>
    <w:rsid w:val="52A96B6F"/>
    <w:rsid w:val="52B45975"/>
    <w:rsid w:val="52D94AA4"/>
    <w:rsid w:val="52EA3A62"/>
    <w:rsid w:val="52F50BB8"/>
    <w:rsid w:val="52FF7816"/>
    <w:rsid w:val="53097272"/>
    <w:rsid w:val="530B3D85"/>
    <w:rsid w:val="53544462"/>
    <w:rsid w:val="5397158E"/>
    <w:rsid w:val="53A72B6C"/>
    <w:rsid w:val="54013861"/>
    <w:rsid w:val="540C7047"/>
    <w:rsid w:val="54487265"/>
    <w:rsid w:val="544D6070"/>
    <w:rsid w:val="54544735"/>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1B338B"/>
    <w:rsid w:val="566B6D1E"/>
    <w:rsid w:val="568B4B9B"/>
    <w:rsid w:val="56D71D47"/>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D00F8B"/>
    <w:rsid w:val="58E363A9"/>
    <w:rsid w:val="59166304"/>
    <w:rsid w:val="595E1678"/>
    <w:rsid w:val="596D5BD4"/>
    <w:rsid w:val="597E3DD8"/>
    <w:rsid w:val="59F80043"/>
    <w:rsid w:val="5A09252F"/>
    <w:rsid w:val="5A0B2778"/>
    <w:rsid w:val="5A2A7C7B"/>
    <w:rsid w:val="5A3E2560"/>
    <w:rsid w:val="5A402699"/>
    <w:rsid w:val="5A5D3B6E"/>
    <w:rsid w:val="5A637A76"/>
    <w:rsid w:val="5A6D33BA"/>
    <w:rsid w:val="5A792B1F"/>
    <w:rsid w:val="5A874767"/>
    <w:rsid w:val="5AA85BE2"/>
    <w:rsid w:val="5AAD6F28"/>
    <w:rsid w:val="5AD63A24"/>
    <w:rsid w:val="5AE71988"/>
    <w:rsid w:val="5B2E1A1D"/>
    <w:rsid w:val="5B843A1C"/>
    <w:rsid w:val="5B873E3F"/>
    <w:rsid w:val="5B8A653E"/>
    <w:rsid w:val="5C02690E"/>
    <w:rsid w:val="5C196DA7"/>
    <w:rsid w:val="5C1C0829"/>
    <w:rsid w:val="5C2A048C"/>
    <w:rsid w:val="5C327B4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482646"/>
    <w:rsid w:val="5F6277C6"/>
    <w:rsid w:val="5F6D0B1D"/>
    <w:rsid w:val="5F8D0B82"/>
    <w:rsid w:val="5FA40637"/>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C64CD9"/>
    <w:rsid w:val="61F94C26"/>
    <w:rsid w:val="62000E56"/>
    <w:rsid w:val="624F3E49"/>
    <w:rsid w:val="62632286"/>
    <w:rsid w:val="62885958"/>
    <w:rsid w:val="62B618B7"/>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03C61"/>
    <w:rsid w:val="64C158BF"/>
    <w:rsid w:val="64CE2EAA"/>
    <w:rsid w:val="64FF0C2E"/>
    <w:rsid w:val="653C3090"/>
    <w:rsid w:val="653C4FDA"/>
    <w:rsid w:val="65854376"/>
    <w:rsid w:val="658767BE"/>
    <w:rsid w:val="65892531"/>
    <w:rsid w:val="66195831"/>
    <w:rsid w:val="662E75B1"/>
    <w:rsid w:val="66342C2E"/>
    <w:rsid w:val="663E784C"/>
    <w:rsid w:val="668B6A45"/>
    <w:rsid w:val="66A706A0"/>
    <w:rsid w:val="66C11F13"/>
    <w:rsid w:val="672F3F24"/>
    <w:rsid w:val="673E055F"/>
    <w:rsid w:val="67551CE3"/>
    <w:rsid w:val="67A22552"/>
    <w:rsid w:val="67B22DCC"/>
    <w:rsid w:val="67BE71AA"/>
    <w:rsid w:val="67C823EF"/>
    <w:rsid w:val="67D90273"/>
    <w:rsid w:val="67DE5875"/>
    <w:rsid w:val="67E55852"/>
    <w:rsid w:val="67EB1AB4"/>
    <w:rsid w:val="67FA1285"/>
    <w:rsid w:val="682269E1"/>
    <w:rsid w:val="68551F4F"/>
    <w:rsid w:val="687C10C9"/>
    <w:rsid w:val="68840C16"/>
    <w:rsid w:val="68876EFB"/>
    <w:rsid w:val="68884654"/>
    <w:rsid w:val="689F444F"/>
    <w:rsid w:val="68B96DBB"/>
    <w:rsid w:val="68BC69A9"/>
    <w:rsid w:val="68CA2805"/>
    <w:rsid w:val="68E937A3"/>
    <w:rsid w:val="693E15D3"/>
    <w:rsid w:val="69627681"/>
    <w:rsid w:val="6977531D"/>
    <w:rsid w:val="69CC2BFF"/>
    <w:rsid w:val="69FD55B8"/>
    <w:rsid w:val="6A0B1C62"/>
    <w:rsid w:val="6A2406C8"/>
    <w:rsid w:val="6ADE0BD1"/>
    <w:rsid w:val="6AE96859"/>
    <w:rsid w:val="6B147746"/>
    <w:rsid w:val="6B24787C"/>
    <w:rsid w:val="6B3727A3"/>
    <w:rsid w:val="6B451364"/>
    <w:rsid w:val="6B573233"/>
    <w:rsid w:val="6B5B6274"/>
    <w:rsid w:val="6B835F1F"/>
    <w:rsid w:val="6B935D53"/>
    <w:rsid w:val="6C196F71"/>
    <w:rsid w:val="6C226FCB"/>
    <w:rsid w:val="6C31226F"/>
    <w:rsid w:val="6C552F0B"/>
    <w:rsid w:val="6C8C67B7"/>
    <w:rsid w:val="6C9D744C"/>
    <w:rsid w:val="6D167928"/>
    <w:rsid w:val="6D26299B"/>
    <w:rsid w:val="6D4772EC"/>
    <w:rsid w:val="6D9078AF"/>
    <w:rsid w:val="6D91263F"/>
    <w:rsid w:val="6DAA3FEF"/>
    <w:rsid w:val="6DC0172B"/>
    <w:rsid w:val="6DCB690C"/>
    <w:rsid w:val="6DD41A5B"/>
    <w:rsid w:val="6DF43C2E"/>
    <w:rsid w:val="6DF51CA3"/>
    <w:rsid w:val="6E8335BD"/>
    <w:rsid w:val="6E8E12EF"/>
    <w:rsid w:val="6E972936"/>
    <w:rsid w:val="6E9F2B3A"/>
    <w:rsid w:val="6ED446C5"/>
    <w:rsid w:val="6F2A7D94"/>
    <w:rsid w:val="6F8331F1"/>
    <w:rsid w:val="6FAE1A09"/>
    <w:rsid w:val="6FD75BF8"/>
    <w:rsid w:val="70713D1E"/>
    <w:rsid w:val="707723D0"/>
    <w:rsid w:val="70F5661B"/>
    <w:rsid w:val="71360107"/>
    <w:rsid w:val="713B688E"/>
    <w:rsid w:val="719F449E"/>
    <w:rsid w:val="71D43752"/>
    <w:rsid w:val="71F1796A"/>
    <w:rsid w:val="7205184D"/>
    <w:rsid w:val="72154626"/>
    <w:rsid w:val="72262B5D"/>
    <w:rsid w:val="72283FF7"/>
    <w:rsid w:val="722E7212"/>
    <w:rsid w:val="723A0474"/>
    <w:rsid w:val="725923E4"/>
    <w:rsid w:val="72864BF7"/>
    <w:rsid w:val="729023FC"/>
    <w:rsid w:val="73C0646E"/>
    <w:rsid w:val="742222F5"/>
    <w:rsid w:val="74476126"/>
    <w:rsid w:val="74706664"/>
    <w:rsid w:val="747F3682"/>
    <w:rsid w:val="749C4185"/>
    <w:rsid w:val="74C257AA"/>
    <w:rsid w:val="75067759"/>
    <w:rsid w:val="751002ED"/>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F5330"/>
    <w:rsid w:val="77052AA4"/>
    <w:rsid w:val="77136511"/>
    <w:rsid w:val="77167A87"/>
    <w:rsid w:val="77340A39"/>
    <w:rsid w:val="77351FD0"/>
    <w:rsid w:val="77472422"/>
    <w:rsid w:val="777F31F2"/>
    <w:rsid w:val="77D1700D"/>
    <w:rsid w:val="77EA74CC"/>
    <w:rsid w:val="77EC04CC"/>
    <w:rsid w:val="781E5417"/>
    <w:rsid w:val="78775729"/>
    <w:rsid w:val="78A42DB0"/>
    <w:rsid w:val="78A656AB"/>
    <w:rsid w:val="78B2245C"/>
    <w:rsid w:val="78E172CC"/>
    <w:rsid w:val="78EA1D1F"/>
    <w:rsid w:val="7904172F"/>
    <w:rsid w:val="790F7E27"/>
    <w:rsid w:val="792A231A"/>
    <w:rsid w:val="79316829"/>
    <w:rsid w:val="79536A6E"/>
    <w:rsid w:val="79635B60"/>
    <w:rsid w:val="797E66A9"/>
    <w:rsid w:val="798518A4"/>
    <w:rsid w:val="79A97383"/>
    <w:rsid w:val="79E27E8B"/>
    <w:rsid w:val="79F850CE"/>
    <w:rsid w:val="79FD443C"/>
    <w:rsid w:val="7A1D1975"/>
    <w:rsid w:val="7A293BFF"/>
    <w:rsid w:val="7A3473FD"/>
    <w:rsid w:val="7A3E5150"/>
    <w:rsid w:val="7A4670D6"/>
    <w:rsid w:val="7A534B63"/>
    <w:rsid w:val="7A615382"/>
    <w:rsid w:val="7A67303B"/>
    <w:rsid w:val="7A9152AF"/>
    <w:rsid w:val="7AAB1D04"/>
    <w:rsid w:val="7ABA4368"/>
    <w:rsid w:val="7AD05746"/>
    <w:rsid w:val="7B257FFD"/>
    <w:rsid w:val="7B2C39A7"/>
    <w:rsid w:val="7B343476"/>
    <w:rsid w:val="7B5A2978"/>
    <w:rsid w:val="7B5A7E4C"/>
    <w:rsid w:val="7B667AF9"/>
    <w:rsid w:val="7B7468F8"/>
    <w:rsid w:val="7BEE0103"/>
    <w:rsid w:val="7C0A0FE4"/>
    <w:rsid w:val="7C254906"/>
    <w:rsid w:val="7C590818"/>
    <w:rsid w:val="7C6732F0"/>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2">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1"/>
    <w:qFormat/>
    <w:uiPriority w:val="0"/>
    <w:pPr>
      <w:shd w:val="clear" w:color="auto" w:fill="000080"/>
    </w:pPr>
  </w:style>
  <w:style w:type="paragraph" w:styleId="19">
    <w:name w:val="annotation text"/>
    <w:basedOn w:val="1"/>
    <w:link w:val="343"/>
    <w:qFormat/>
    <w:uiPriority w:val="99"/>
    <w:pPr>
      <w:jc w:val="left"/>
    </w:pPr>
  </w:style>
  <w:style w:type="paragraph" w:styleId="20">
    <w:name w:val="Salutation"/>
    <w:basedOn w:val="1"/>
    <w:next w:val="1"/>
    <w:link w:val="297"/>
    <w:qFormat/>
    <w:uiPriority w:val="0"/>
    <w:rPr>
      <w:rFonts w:ascii="仿宋_GB2312" w:eastAsia="仿宋_GB2312"/>
      <w:sz w:val="28"/>
      <w:szCs w:val="20"/>
    </w:rPr>
  </w:style>
  <w:style w:type="paragraph" w:styleId="21">
    <w:name w:val="Body Text 3"/>
    <w:basedOn w:val="1"/>
    <w:link w:val="329"/>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9"/>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20"/>
    <w:qFormat/>
    <w:uiPriority w:val="0"/>
    <w:pPr>
      <w:ind w:firstLine="420"/>
    </w:pPr>
    <w:rPr>
      <w:rFonts w:hAnsi="Calibri" w:cs="Times New Roman"/>
      <w:snapToGrid/>
      <w:szCs w:val="20"/>
    </w:rPr>
  </w:style>
  <w:style w:type="paragraph" w:styleId="25">
    <w:name w:val="Body Text Indent"/>
    <w:basedOn w:val="1"/>
    <w:next w:val="1"/>
    <w:link w:val="264"/>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4"/>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0"/>
    <w:qFormat/>
    <w:uiPriority w:val="0"/>
    <w:pPr>
      <w:ind w:left="100" w:leftChars="2500"/>
    </w:pPr>
    <w:rPr>
      <w:rFonts w:ascii="宋体"/>
      <w:sz w:val="24"/>
      <w:szCs w:val="21"/>
      <w:lang w:val="zh-CN"/>
    </w:rPr>
  </w:style>
  <w:style w:type="paragraph" w:styleId="37">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8">
    <w:name w:val="endnote text"/>
    <w:basedOn w:val="1"/>
    <w:link w:val="931"/>
    <w:qFormat/>
    <w:uiPriority w:val="0"/>
    <w:rPr>
      <w:lang w:val="zh-CN"/>
    </w:rPr>
  </w:style>
  <w:style w:type="paragraph" w:styleId="39">
    <w:name w:val="Balloon Text"/>
    <w:basedOn w:val="1"/>
    <w:link w:val="187"/>
    <w:qFormat/>
    <w:uiPriority w:val="0"/>
    <w:rPr>
      <w:sz w:val="18"/>
      <w:szCs w:val="18"/>
    </w:rPr>
  </w:style>
  <w:style w:type="paragraph" w:styleId="40">
    <w:name w:val="footer"/>
    <w:basedOn w:val="1"/>
    <w:link w:val="382"/>
    <w:qFormat/>
    <w:uiPriority w:val="99"/>
    <w:pPr>
      <w:tabs>
        <w:tab w:val="center" w:pos="4153"/>
        <w:tab w:val="right" w:pos="8306"/>
      </w:tabs>
      <w:snapToGrid w:val="0"/>
      <w:jc w:val="left"/>
    </w:pPr>
    <w:rPr>
      <w:sz w:val="18"/>
      <w:szCs w:val="18"/>
    </w:rPr>
  </w:style>
  <w:style w:type="paragraph" w:styleId="41">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5"/>
    <w:link w:val="309"/>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1"/>
    <w:qFormat/>
    <w:uiPriority w:val="0"/>
    <w:pPr>
      <w:spacing w:after="120" w:line="480" w:lineRule="auto"/>
    </w:pPr>
  </w:style>
  <w:style w:type="paragraph" w:styleId="57">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5"/>
    <w:qFormat/>
    <w:uiPriority w:val="0"/>
    <w:rPr>
      <w:b/>
      <w:bCs/>
    </w:rPr>
  </w:style>
  <w:style w:type="paragraph" w:styleId="61">
    <w:name w:val="Body Text First Indent 2"/>
    <w:basedOn w:val="25"/>
    <w:next w:val="1"/>
    <w:link w:val="120"/>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正文文本首行缩进 2"/>
    <w:basedOn w:val="25"/>
    <w:qFormat/>
    <w:uiPriority w:val="99"/>
    <w:pPr>
      <w:spacing w:line="200" w:lineRule="atLeast"/>
      <w:ind w:firstLine="420"/>
    </w:pPr>
    <w:rPr>
      <w:rFonts w:ascii="宋体" w:hAnsi="Courier New"/>
      <w:spacing w:val="-4"/>
      <w:sz w:val="18"/>
    </w:rPr>
  </w:style>
  <w:style w:type="paragraph" w:customStyle="1" w:styleId="80">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0"/>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1"/>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7"/>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7"/>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4"/>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6"/>
    <w:qFormat/>
    <w:uiPriority w:val="0"/>
    <w:rPr>
      <w:rFonts w:ascii="宋体"/>
      <w:kern w:val="2"/>
      <w:sz w:val="24"/>
      <w:szCs w:val="21"/>
      <w:lang w:val="zh-CN"/>
    </w:rPr>
  </w:style>
  <w:style w:type="character" w:customStyle="1" w:styleId="181">
    <w:name w:val="标题 9 Char"/>
    <w:link w:val="10"/>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0"/>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39"/>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15"/>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2"/>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18"/>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0"/>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5"/>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6"/>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5"/>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59"/>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6"/>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0"/>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7"/>
    <w:qFormat/>
    <w:uiPriority w:val="0"/>
    <w:rPr>
      <w:rFonts w:ascii="黑体" w:hAnsi="Courier New" w:eastAsia="黑体"/>
    </w:rPr>
  </w:style>
  <w:style w:type="character" w:customStyle="1" w:styleId="301">
    <w:name w:val="正文文本 2 Char1"/>
    <w:link w:val="56"/>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5"/>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8"/>
    <w:qFormat/>
    <w:uiPriority w:val="0"/>
    <w:rPr>
      <w:b/>
      <w:bCs/>
      <w:kern w:val="2"/>
      <w:sz w:val="24"/>
      <w:szCs w:val="24"/>
    </w:rPr>
  </w:style>
  <w:style w:type="character" w:customStyle="1" w:styleId="307">
    <w:name w:val="正文文本缩进 2 Char"/>
    <w:link w:val="37"/>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0"/>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4"/>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5"/>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1"/>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qFormat/>
    <w:uiPriority w:val="0"/>
    <w:rPr>
      <w:kern w:val="2"/>
      <w:sz w:val="21"/>
      <w:szCs w:val="24"/>
    </w:rPr>
  </w:style>
  <w:style w:type="character" w:customStyle="1" w:styleId="344">
    <w:name w:val="签名 Char"/>
    <w:link w:val="42"/>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9"/>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0"/>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1"/>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1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4"/>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2"/>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6"/>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2"/>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5"/>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2"/>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2"/>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7"/>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2"/>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2"/>
    <w:next w:val="53"/>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2"/>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2"/>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6"/>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8"/>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4">
    <w:name w:val="不明显强调1"/>
    <w:qFormat/>
    <w:uiPriority w:val="19"/>
    <w:rPr>
      <w:i/>
      <w:iCs/>
    </w:rPr>
  </w:style>
  <w:style w:type="paragraph" w:customStyle="1" w:styleId="965">
    <w:name w:val="[Normal]"/>
    <w:qFormat/>
    <w:uiPriority w:val="0"/>
    <w:rPr>
      <w:rFonts w:ascii="宋体" w:hAnsi="宋体" w:eastAsia="宋体" w:cs="Times New Roman"/>
      <w:sz w:val="24"/>
      <w:szCs w:val="22"/>
      <w:lang w:val="zh-CN" w:eastAsia="zh-CN" w:bidi="ar-SA"/>
    </w:rPr>
  </w:style>
  <w:style w:type="paragraph" w:customStyle="1" w:styleId="966">
    <w:name w:val="_Style 4"/>
    <w:basedOn w:val="1"/>
    <w:qFormat/>
    <w:uiPriority w:val="99"/>
    <w:pPr>
      <w:widowControl/>
      <w:adjustRightInd/>
      <w:spacing w:after="200"/>
      <w:ind w:firstLine="420" w:firstLineChars="200"/>
      <w:jc w:val="left"/>
    </w:pPr>
    <w:rPr>
      <w:rFonts w:ascii="仿宋" w:hAnsi="仿宋" w:eastAsia="仿宋_GB2312"/>
      <w:kern w:val="0"/>
      <w:sz w:val="28"/>
      <w:szCs w:val="2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customXml/item2.xml" Type="http://schemas.openxmlformats.org/officeDocument/2006/relationships/customXml"/><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72B4D-9256-4782-95A6-08916EF33AD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80</Pages>
  <Words>37918</Words>
  <Characters>40000</Characters>
  <Lines>279</Lines>
  <Paragraphs>78</Paragraphs>
  <TotalTime>12</TotalTime>
  <ScaleCrop>false</ScaleCrop>
  <LinksUpToDate>false</LinksUpToDate>
  <CharactersWithSpaces>45349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三月七</cp:lastModifiedBy>
  <cp:lastPrinted>2021-12-27T03:06:00Z</cp:lastPrinted>
  <dcterms:modified xsi:type="dcterms:W3CDTF">2023-09-25T00:36:53Z</dcterms:modified>
  <cp:revision>342</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3D53BC56972F44A2976C2CBBE1AB2643_13</vt:lpwstr>
  </property>
</Properties>
</file>